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264"/>
        <w:gridCol w:w="3384"/>
      </w:tblGrid>
      <w:tr>
        <w:tc>
          <w:tcPr>
            <w:tcW w:type="dxa" w:w="4997"/>
            <w:tcMar>
              <w:top w:w="650" w:type="dxa"/>
              <w:start w:w="180" w:type="dxa"/>
              <w:bottom w:w="280" w:type="dxa"/>
              <w:end w:w="120" w:type="dxa"/>
            </w:tcMar>
            <w:shd w:fill="123D4A"/>
            <w:vAlign w:val="center"/>
          </w:tcPr>
          <w:p>
            <w:pPr>
              <w:spacing w:after="320"/>
            </w:pPr>
            <w:r>
              <w:rPr>
                <w:b/>
                <w:color w:val="6ED2D4"/>
                <w:sz w:val="24"/>
              </w:rPr>
              <w:t>EXECUTIVE TECHNOLOGY</w:t>
              <w:br/>
              <w:t>PORTFOLIO</w:t>
            </w:r>
          </w:p>
          <w:p>
            <w:pPr>
              <w:spacing w:after="120"/>
            </w:pPr>
            <w:r>
              <w:rPr>
                <w:b/>
                <w:color w:val="FFFFFF"/>
                <w:sz w:val="62"/>
              </w:rPr>
              <w:t>Mahmoud Salama</w:t>
            </w:r>
          </w:p>
          <w:p>
            <w:pPr>
              <w:spacing w:after="360"/>
            </w:pPr>
            <w:r>
              <w:rPr>
                <w:color w:val="D7E7EA"/>
                <w:sz w:val="26"/>
              </w:rPr>
              <w:t>Senior Technology Executive | Digital Transformation | Enterprise Systems | Software &amp; Architecture</w:t>
            </w:r>
          </w:p>
          <w:p>
            <w:pPr>
              <w:spacing w:after="480"/>
            </w:pPr>
            <w:r>
              <w:rPr>
                <w:i/>
                <w:color w:val="B8CED3"/>
                <w:sz w:val="22"/>
              </w:rPr>
              <w:t>National platforms. Digital government. Enterprise delivery. Operational ownership.</w:t>
            </w:r>
          </w:p>
          <w:p>
            <w:r>
              <w:rPr>
                <w:b/>
                <w:color w:val="6ED2D4"/>
                <w:sz w:val="18"/>
              </w:rPr>
              <w:t>SELECTED, VERIFIED PROJECT HISTORY</w:t>
            </w:r>
          </w:p>
          <w:p>
            <w:r>
              <w:rPr>
                <w:color w:val="FFFFFF"/>
                <w:sz w:val="21"/>
              </w:rPr>
              <w:t>Egypt &amp; Oman  |  2008–Present</w:t>
            </w:r>
          </w:p>
        </w:tc>
        <w:tc>
          <w:tcPr>
            <w:tcW w:type="dxa" w:w="4997"/>
            <w:tcMar>
              <w:top w:w="120" w:type="dxa"/>
              <w:start w:w="80" w:type="dxa"/>
              <w:bottom w:w="120" w:type="dxa"/>
              <w:end w:w="80" w:type="dxa"/>
            </w:tcMar>
            <w:shd w:fill="26373D"/>
            <w:vAlign w:val="center"/>
          </w:tcPr>
          <w:p>
            <w:pPr>
              <w:jc w:val="center"/>
            </w:pPr>
            <w:r>
              <w:drawing>
                <wp:inline xmlns:a="http://schemas.openxmlformats.org/drawingml/2006/main" xmlns:pic="http://schemas.openxmlformats.org/drawingml/2006/picture">
                  <wp:extent cx="2029968" cy="2556256"/>
                  <wp:docPr id="1" name="Picture 1" descr="Professional portrait of Mahmoud Salama" title="Mahmoud Salama"/>
                  <wp:cNvGraphicFramePr>
                    <a:graphicFrameLocks noChangeAspect="1"/>
                  </wp:cNvGraphicFramePr>
                  <a:graphic>
                    <a:graphicData uri="http://schemas.openxmlformats.org/drawingml/2006/picture">
                      <pic:pic>
                        <pic:nvPicPr>
                          <pic:cNvPr id="0" name="mahmoud-portrait.png"/>
                          <pic:cNvPicPr/>
                        </pic:nvPicPr>
                        <pic:blipFill>
                          <a:blip r:embed="rId11"/>
                          <a:stretch>
                            <a:fillRect/>
                          </a:stretch>
                        </pic:blipFill>
                        <pic:spPr>
                          <a:xfrm>
                            <a:off x="0" y="0"/>
                            <a:ext cx="2029968" cy="2556256"/>
                          </a:xfrm>
                          <a:prstGeom prst="rect"/>
                        </pic:spPr>
                      </pic:pic>
                    </a:graphicData>
                  </a:graphic>
                </wp:inline>
              </w:drawing>
            </w:r>
          </w:p>
        </w:tc>
      </w:tr>
    </w:tbl>
    <w:p>
      <w:pPr>
        <w:spacing w:after="40"/>
      </w:pPr>
    </w:p>
    <w:tbl>
      <w:tblPr>
        <w:tblW w:type="auto" w:w="0"/>
        <w:jc w:val="center"/>
        <w:tblLook w:firstColumn="1" w:firstRow="1" w:lastColumn="0" w:lastRow="0" w:noHBand="0" w:noVBand="1" w:val="04A0"/>
      </w:tblPr>
      <w:tblGrid>
        <w:gridCol w:w="2498"/>
        <w:gridCol w:w="2498"/>
        <w:gridCol w:w="2498"/>
        <w:gridCol w:w="2498"/>
      </w:tblGrid>
      <w:tr>
        <w:tc>
          <w:tcPr>
            <w:tcW w:type="dxa" w:w="2498"/>
            <w:shd w:fill="E8F1F3"/>
            <w:tcMar>
              <w:top w:w="120" w:type="dxa"/>
              <w:start w:w="80" w:type="dxa"/>
              <w:bottom w:w="110" w:type="dxa"/>
              <w:end w:w="80" w:type="dxa"/>
            </w:tcMar>
          </w:tcPr>
          <w:p>
            <w:pPr>
              <w:jc w:val="center"/>
            </w:pPr>
            <w:r>
              <w:rPr>
                <w:b/>
                <w:color w:val="123D4A"/>
                <w:sz w:val="34"/>
              </w:rPr>
              <w:t>18+</w:t>
            </w:r>
          </w:p>
          <w:p>
            <w:pPr>
              <w:jc w:val="center"/>
            </w:pPr>
            <w:r>
              <w:rPr>
                <w:color w:val="5E6874"/>
                <w:sz w:val="16"/>
              </w:rPr>
              <w:t>years</w:t>
            </w:r>
          </w:p>
        </w:tc>
        <w:tc>
          <w:tcPr>
            <w:tcW w:type="dxa" w:w="2498"/>
            <w:shd w:fill="E8EEF5"/>
            <w:tcMar>
              <w:top w:w="120" w:type="dxa"/>
              <w:start w:w="80" w:type="dxa"/>
              <w:bottom w:w="110" w:type="dxa"/>
              <w:end w:w="80" w:type="dxa"/>
            </w:tcMar>
          </w:tcPr>
          <w:p>
            <w:pPr>
              <w:jc w:val="center"/>
            </w:pPr>
            <w:r>
              <w:rPr>
                <w:b/>
                <w:color w:val="123D4A"/>
                <w:sz w:val="34"/>
              </w:rPr>
              <w:t>Extensive</w:t>
            </w:r>
          </w:p>
          <w:p>
            <w:pPr>
              <w:jc w:val="center"/>
            </w:pPr>
            <w:r>
              <w:rPr>
                <w:color w:val="5E6874"/>
                <w:sz w:val="16"/>
              </w:rPr>
              <w:t>Keyframe projects</w:t>
            </w:r>
          </w:p>
        </w:tc>
        <w:tc>
          <w:tcPr>
            <w:tcW w:type="dxa" w:w="2498"/>
            <w:shd w:fill="E8F1F3"/>
            <w:tcMar>
              <w:top w:w="120" w:type="dxa"/>
              <w:start w:w="80" w:type="dxa"/>
              <w:bottom w:w="110" w:type="dxa"/>
              <w:end w:w="80" w:type="dxa"/>
            </w:tcMar>
          </w:tcPr>
          <w:p>
            <w:pPr>
              <w:jc w:val="center"/>
            </w:pPr>
            <w:r>
              <w:rPr>
                <w:b/>
                <w:color w:val="123D4A"/>
                <w:sz w:val="34"/>
              </w:rPr>
              <w:t>54</w:t>
            </w:r>
          </w:p>
          <w:p>
            <w:pPr>
              <w:jc w:val="center"/>
            </w:pPr>
            <w:r>
              <w:rPr>
                <w:color w:val="5E6874"/>
                <w:sz w:val="16"/>
              </w:rPr>
              <w:t>technology team</w:t>
            </w:r>
          </w:p>
        </w:tc>
        <w:tc>
          <w:tcPr>
            <w:tcW w:type="dxa" w:w="2498"/>
            <w:shd w:fill="E8EEF5"/>
            <w:tcMar>
              <w:top w:w="120" w:type="dxa"/>
              <w:start w:w="80" w:type="dxa"/>
              <w:bottom w:w="110" w:type="dxa"/>
              <w:end w:w="80" w:type="dxa"/>
            </w:tcMar>
          </w:tcPr>
          <w:p>
            <w:pPr>
              <w:jc w:val="center"/>
            </w:pPr>
            <w:r>
              <w:rPr>
                <w:b/>
                <w:color w:val="123D4A"/>
                <w:sz w:val="34"/>
              </w:rPr>
              <w:t>National scale</w:t>
            </w:r>
          </w:p>
          <w:p>
            <w:pPr>
              <w:jc w:val="center"/>
            </w:pPr>
            <w:r>
              <w:rPr>
                <w:color w:val="5E6874"/>
                <w:sz w:val="16"/>
              </w:rPr>
              <w:t>monthly transactions</w:t>
            </w:r>
          </w:p>
        </w:tc>
      </w:tr>
    </w:tbl>
    <w:p>
      <w:pPr>
        <w:spacing w:after="360"/>
      </w:pPr>
    </w:p>
    <w:p>
      <w:pPr>
        <w:jc w:val="center"/>
      </w:pPr>
      <w:r>
        <w:rPr>
          <w:sz w:val="19"/>
        </w:rPr>
        <w:t>Cairo, Egypt   •   +20 122 015 6077   •   ma7moud.salamaaa@gmail.com</w:t>
      </w:r>
    </w:p>
    <w:p>
      <w:pPr>
        <w:jc w:val="center"/>
      </w:pPr>
      <w:hyperlink r:id="rId12">
        <w:r>
          <w:rPr>
            <w:color w:val="2E74B5"/>
            <w:u w:val="single"/>
          </w:rPr>
          <w:t>mahmoud-salama.vercel.app</w:t>
        </w:r>
      </w:hyperlink>
      <w:r>
        <w:t xml:space="preserve">   •   </w:t>
      </w:r>
      <w:hyperlink r:id="rId13">
        <w:r>
          <w:rPr>
            <w:color w:val="2E74B5"/>
            <w:u w:val="single"/>
          </w:rPr>
          <w:t>LinkedIn</w:t>
        </w:r>
      </w:hyperlink>
      <w:r>
        <w:t xml:space="preserve">   •   </w:t>
      </w:r>
      <w:hyperlink r:id="rId14">
        <w:r>
          <w:rPr>
            <w:color w:val="2E74B5"/>
            <w:u w:val="single"/>
          </w:rPr>
          <w:t>GitHub</w:t>
        </w:r>
      </w:hyperlink>
    </w:p>
    <w:p>
      <w:pPr>
        <w:pageBreakBefore/>
        <w:spacing w:after="40"/>
      </w:pPr>
      <w:r>
        <w:rPr>
          <w:b/>
          <w:color w:val="0B6B72"/>
          <w:sz w:val="18"/>
        </w:rPr>
        <w:t>EXECUTIVE PROFILE</w:t>
      </w:r>
    </w:p>
    <w:p>
      <w:pPr>
        <w:pStyle w:val="Heading1"/>
        <w:pBdr>
          <w:bottom w:val="single" w:sz="12" w:space="5" w:color="0B6B72"/>
        </w:pBdr>
      </w:pPr>
      <w:r>
        <w:t>Technology leadership at national scale</w:t>
      </w:r>
    </w:p>
    <w:p>
      <w:pPr>
        <w:pStyle w:val="Subtitle"/>
        <w:spacing w:after="200"/>
      </w:pPr>
      <w:r>
        <w:t>A hands-on technology executive who has progressed from Linux and full-stack engineering to enterprise architecture, digital transformation and end-to-end technology leadership across Egypt and Oman.</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98"/>
            <w:shd w:fill="E8F1F3"/>
            <w:tcMar>
              <w:top w:w="130" w:type="dxa"/>
              <w:start w:w="140" w:type="dxa"/>
              <w:bottom w:w="120" w:type="dxa"/>
              <w:end w:w="140" w:type="dxa"/>
            </w:tcMar>
            <w:vAlign w:val="center"/>
          </w:tcPr>
          <w:p>
            <w:pPr>
              <w:jc w:val="center"/>
            </w:pPr>
            <w:r>
              <w:rPr>
                <w:b/>
                <w:color w:val="123D4A"/>
                <w:sz w:val="40"/>
              </w:rPr>
              <w:t>18+</w:t>
            </w:r>
          </w:p>
          <w:p>
            <w:pPr>
              <w:spacing w:after="0"/>
              <w:jc w:val="center"/>
            </w:pPr>
            <w:r>
              <w:rPr>
                <w:color w:val="5E6874"/>
                <w:sz w:val="17"/>
              </w:rPr>
              <w:t>years across engineering, architecture and leadership</w:t>
            </w:r>
          </w:p>
        </w:tc>
        <w:tc>
          <w:tcPr>
            <w:tcW w:type="dxa" w:w="2498"/>
            <w:shd w:fill="E8EEF5"/>
            <w:tcMar>
              <w:top w:w="130" w:type="dxa"/>
              <w:start w:w="140" w:type="dxa"/>
              <w:bottom w:w="120" w:type="dxa"/>
              <w:end w:w="140" w:type="dxa"/>
            </w:tcMar>
            <w:vAlign w:val="center"/>
          </w:tcPr>
          <w:p>
            <w:pPr>
              <w:jc w:val="center"/>
            </w:pPr>
            <w:r>
              <w:rPr>
                <w:b/>
                <w:color w:val="123D4A"/>
                <w:sz w:val="40"/>
              </w:rPr>
              <w:t>54</w:t>
            </w:r>
          </w:p>
          <w:p>
            <w:pPr>
              <w:spacing w:after="0"/>
              <w:jc w:val="center"/>
            </w:pPr>
            <w:r>
              <w:rPr>
                <w:color w:val="5E6874"/>
                <w:sz w:val="17"/>
              </w:rPr>
              <w:t>people across four technology functions</w:t>
            </w:r>
          </w:p>
        </w:tc>
        <w:tc>
          <w:tcPr>
            <w:tcW w:type="dxa" w:w="2498"/>
            <w:shd w:fill="E8F1F3"/>
            <w:tcMar>
              <w:top w:w="130" w:type="dxa"/>
              <w:start w:w="140" w:type="dxa"/>
              <w:bottom w:w="120" w:type="dxa"/>
              <w:end w:w="140" w:type="dxa"/>
            </w:tcMar>
            <w:vAlign w:val="center"/>
          </w:tcPr>
          <w:p>
            <w:pPr>
              <w:jc w:val="center"/>
            </w:pPr>
            <w:r>
              <w:rPr>
                <w:b/>
                <w:color w:val="123D4A"/>
                <w:sz w:val="40"/>
              </w:rPr>
              <w:t>7</w:t>
            </w:r>
          </w:p>
          <w:p>
            <w:pPr>
              <w:spacing w:after="0"/>
              <w:jc w:val="center"/>
            </w:pPr>
            <w:r>
              <w:rPr>
                <w:color w:val="5E6874"/>
                <w:sz w:val="17"/>
              </w:rPr>
              <w:t>direct reports in the current organization</w:t>
            </w:r>
          </w:p>
        </w:tc>
        <w:tc>
          <w:tcPr>
            <w:tcW w:type="dxa" w:w="2498"/>
            <w:shd w:fill="E8EEF5"/>
            <w:tcMar>
              <w:top w:w="130" w:type="dxa"/>
              <w:start w:w="140" w:type="dxa"/>
              <w:bottom w:w="120" w:type="dxa"/>
              <w:end w:w="140" w:type="dxa"/>
            </w:tcMar>
            <w:vAlign w:val="center"/>
          </w:tcPr>
          <w:p>
            <w:pPr>
              <w:jc w:val="center"/>
            </w:pPr>
            <w:r>
              <w:rPr>
                <w:b/>
                <w:color w:val="123D4A"/>
                <w:sz w:val="40"/>
              </w:rPr>
              <w:t>Extensive</w:t>
            </w:r>
          </w:p>
          <w:p>
            <w:pPr>
              <w:spacing w:after="0"/>
              <w:jc w:val="center"/>
            </w:pPr>
            <w:r>
              <w:rPr>
                <w:color w:val="5E6874"/>
                <w:sz w:val="17"/>
              </w:rPr>
              <w:t>digital projects delivered at Keyframe</w:t>
            </w:r>
          </w:p>
        </w:tc>
      </w:tr>
      <w:tr>
        <w:tc>
          <w:tcPr>
            <w:tcW w:type="dxa" w:w="2498"/>
            <w:shd w:fill="E8F1F3"/>
            <w:tcMar>
              <w:top w:w="130" w:type="dxa"/>
              <w:start w:w="140" w:type="dxa"/>
              <w:bottom w:w="120" w:type="dxa"/>
              <w:end w:w="140" w:type="dxa"/>
            </w:tcMar>
            <w:vAlign w:val="center"/>
          </w:tcPr>
          <w:p>
            <w:pPr>
              <w:jc w:val="center"/>
            </w:pPr>
            <w:r>
              <w:rPr>
                <w:b/>
                <w:color w:val="123D4A"/>
                <w:sz w:val="40"/>
              </w:rPr>
              <w:t>~60K</w:t>
            </w:r>
          </w:p>
          <w:p>
            <w:pPr>
              <w:spacing w:after="0"/>
              <w:jc w:val="center"/>
            </w:pPr>
            <w:r>
              <w:rPr>
                <w:color w:val="5E6874"/>
                <w:sz w:val="17"/>
              </w:rPr>
              <w:t>users on the unified procurement platform</w:t>
            </w:r>
          </w:p>
        </w:tc>
        <w:tc>
          <w:tcPr>
            <w:tcW w:type="dxa" w:w="2498"/>
            <w:shd w:fill="E8EEF5"/>
            <w:tcMar>
              <w:top w:w="130" w:type="dxa"/>
              <w:start w:w="140" w:type="dxa"/>
              <w:bottom w:w="120" w:type="dxa"/>
              <w:end w:w="140" w:type="dxa"/>
            </w:tcMar>
            <w:vAlign w:val="center"/>
          </w:tcPr>
          <w:p>
            <w:pPr>
              <w:jc w:val="center"/>
            </w:pPr>
            <w:r>
              <w:rPr>
                <w:b/>
                <w:color w:val="123D4A"/>
                <w:sz w:val="40"/>
              </w:rPr>
              <w:t>~90K</w:t>
            </w:r>
          </w:p>
          <w:p>
            <w:pPr>
              <w:spacing w:after="0"/>
              <w:jc w:val="center"/>
            </w:pPr>
            <w:r>
              <w:rPr>
                <w:color w:val="5E6874"/>
                <w:sz w:val="17"/>
              </w:rPr>
              <w:t>facilities and entities served</w:t>
            </w:r>
          </w:p>
        </w:tc>
        <w:tc>
          <w:tcPr>
            <w:tcW w:type="dxa" w:w="2498"/>
            <w:shd w:fill="E8F1F3"/>
            <w:tcMar>
              <w:top w:w="130" w:type="dxa"/>
              <w:start w:w="140" w:type="dxa"/>
              <w:bottom w:w="120" w:type="dxa"/>
              <w:end w:w="140" w:type="dxa"/>
            </w:tcMar>
            <w:vAlign w:val="center"/>
          </w:tcPr>
          <w:p>
            <w:pPr>
              <w:jc w:val="center"/>
            </w:pPr>
            <w:r>
              <w:rPr>
                <w:b/>
                <w:color w:val="123D4A"/>
                <w:sz w:val="40"/>
              </w:rPr>
              <w:t>Multi-entity scale</w:t>
            </w:r>
          </w:p>
          <w:p>
            <w:pPr>
              <w:spacing w:after="0"/>
              <w:jc w:val="center"/>
            </w:pPr>
            <w:r>
              <w:rPr>
                <w:color w:val="5E6874"/>
                <w:sz w:val="17"/>
              </w:rPr>
              <w:t>health entities using HIS/e-pharmacy capabilities</w:t>
            </w:r>
          </w:p>
        </w:tc>
        <w:tc>
          <w:tcPr>
            <w:tcW w:type="dxa" w:w="2498"/>
            <w:shd w:fill="E8EEF5"/>
            <w:tcMar>
              <w:top w:w="130" w:type="dxa"/>
              <w:start w:w="140" w:type="dxa"/>
              <w:bottom w:w="120" w:type="dxa"/>
              <w:end w:w="140" w:type="dxa"/>
            </w:tcMar>
            <w:vAlign w:val="center"/>
          </w:tcPr>
          <w:p>
            <w:pPr>
              <w:jc w:val="center"/>
            </w:pPr>
            <w:r>
              <w:rPr>
                <w:b/>
                <w:color w:val="123D4A"/>
                <w:sz w:val="40"/>
              </w:rPr>
              <w:t>2</w:t>
            </w:r>
          </w:p>
          <w:p>
            <w:pPr>
              <w:spacing w:after="0"/>
              <w:jc w:val="center"/>
            </w:pPr>
            <w:r>
              <w:rPr>
                <w:color w:val="5E6874"/>
                <w:sz w:val="17"/>
              </w:rPr>
              <w:t>ITIDA award-winning Keyframe solutions</w:t>
            </w:r>
          </w:p>
        </w:tc>
      </w:tr>
    </w:tbl>
    <w:p>
      <w:pPr>
        <w:spacing w:after="0"/>
      </w:pPr>
    </w:p>
    <w:p>
      <w:pPr>
        <w:pStyle w:val="Heading2"/>
      </w:pPr>
      <w:r>
        <w:t>Leadership proposition</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Strategy translated into delivery</w:t>
            </w:r>
          </w:p>
          <w:p>
            <w:pPr>
              <w:spacing w:after="0" w:line="269" w:lineRule="auto"/>
            </w:pPr>
            <w:r>
              <w:rPr>
                <w:sz w:val="19"/>
              </w:rPr>
              <w:t>Connects operating priorities, architecture, roadmaps, requirements, engineering, QA, release, adoption and service improvement.</w:t>
            </w:r>
          </w:p>
        </w:tc>
        <w:tc>
          <w:tcPr>
            <w:tcW w:type="dxa" w:w="4997"/>
            <w:shd w:fill="F5F8F9"/>
            <w:tcMar>
              <w:top w:w="130" w:type="dxa"/>
              <w:start w:w="150" w:type="dxa"/>
              <w:bottom w:w="130" w:type="dxa"/>
              <w:end w:w="150" w:type="dxa"/>
            </w:tcMar>
          </w:tcPr>
          <w:p>
            <w:pPr>
              <w:spacing w:after="100" w:line="269" w:lineRule="auto"/>
            </w:pPr>
            <w:r>
              <w:rPr>
                <w:b/>
                <w:color w:val="0B6B72"/>
                <w:sz w:val="22"/>
              </w:rPr>
              <w:t>Executive scope with technical depth</w:t>
            </w:r>
          </w:p>
          <w:p>
            <w:pPr>
              <w:spacing w:after="0" w:line="269" w:lineRule="auto"/>
            </w:pPr>
            <w:r>
              <w:rPr>
                <w:sz w:val="19"/>
              </w:rPr>
              <w:t>Retains direct fluency in application architecture, databases, APIs, workflows, integrations, reporting and production problem-solving.</w:t>
            </w:r>
          </w:p>
        </w:tc>
      </w:tr>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Platforms, not isolated projects</w:t>
            </w:r>
          </w:p>
          <w:p>
            <w:pPr>
              <w:spacing w:after="0" w:line="269" w:lineRule="auto"/>
            </w:pPr>
            <w:r>
              <w:rPr>
                <w:sz w:val="19"/>
              </w:rPr>
              <w:t>Builds reusable, configurable capabilities and shared services that support multiple agencies, workflows, channels and operating teams.</w:t>
            </w:r>
          </w:p>
        </w:tc>
        <w:tc>
          <w:tcPr>
            <w:tcW w:type="dxa" w:w="4997"/>
            <w:shd w:fill="F5F8F9"/>
            <w:tcMar>
              <w:top w:w="130" w:type="dxa"/>
              <w:start w:w="150" w:type="dxa"/>
              <w:bottom w:w="130" w:type="dxa"/>
              <w:end w:w="150" w:type="dxa"/>
            </w:tcMar>
          </w:tcPr>
          <w:p>
            <w:pPr>
              <w:spacing w:after="100" w:line="269" w:lineRule="auto"/>
            </w:pPr>
            <w:r>
              <w:rPr>
                <w:b/>
                <w:color w:val="0B6B72"/>
                <w:sz w:val="22"/>
              </w:rPr>
              <w:t>Operational accountability</w:t>
            </w:r>
          </w:p>
          <w:p>
            <w:pPr>
              <w:spacing w:after="0" w:line="269" w:lineRule="auto"/>
            </w:pPr>
            <w:r>
              <w:rPr>
                <w:sz w:val="19"/>
              </w:rPr>
              <w:t>Owns production readiness, support, customer service, training, incident escalation, continuity requirements and continuous improvement.</w:t>
            </w:r>
          </w:p>
        </w:tc>
      </w:tr>
    </w:tbl>
    <w:p>
      <w:pPr>
        <w:spacing w:after="0"/>
      </w:pPr>
    </w:p>
    <w:p>
      <w:pPr>
        <w:pStyle w:val="Heading2"/>
      </w:pPr>
      <w:r>
        <w:t>Portfolio reading note</w:t>
      </w:r>
    </w:p>
    <w:p>
      <w:pPr>
        <w:spacing w:after="0"/>
      </w:pPr>
      <w:r>
        <w:t>This is a representative portfolio—not an exhaustive catalogue of all work. Employers are separated from government and commercial client assignments, delivery ownership is stated explicitly, and confidential or undocumented details are intentionally excluded.</w:t>
      </w:r>
    </w:p>
    <w:p>
      <w:pPr>
        <w:pageBreakBefore/>
        <w:spacing w:after="40"/>
      </w:pPr>
      <w:r>
        <w:rPr>
          <w:b/>
          <w:color w:val="0B6B72"/>
          <w:sz w:val="18"/>
        </w:rPr>
        <w:t>CAREER JOURNEY</w:t>
      </w:r>
    </w:p>
    <w:p>
      <w:pPr>
        <w:pStyle w:val="Heading1"/>
        <w:pBdr>
          <w:bottom w:val="single" w:sz="12" w:space="5" w:color="0B6B72"/>
        </w:pBdr>
      </w:pPr>
      <w:r>
        <w:t>From engineer to enterprise technology executive</w:t>
      </w:r>
    </w:p>
    <w:p>
      <w:pPr>
        <w:pStyle w:val="Subtitle"/>
        <w:spacing w:after="200"/>
      </w:pPr>
      <w:r>
        <w:t>A career built through progressively wider ownership: software, teams, government platforms, enterprise services, digital transformation and national operations.</w:t>
      </w:r>
    </w:p>
    <w:tbl>
      <w:tblPr>
        <w:tblW w:type="auto" w:w="0"/>
        <w:jc w:val="center"/>
        <w:tblLayout w:type="fixed"/>
        <w:tblLook w:firstColumn="1" w:firstRow="1" w:lastColumn="0" w:lastRow="0" w:noHBand="0" w:noVBand="1" w:val="04A0"/>
      </w:tblPr>
      <w:tblGrid>
        <w:gridCol w:w="1944"/>
        <w:gridCol w:w="7920"/>
      </w:tblGrid>
      <w:tr>
        <w:tc>
          <w:tcPr>
            <w:tcW w:type="dxa" w:w="1944"/>
            <w:shd w:fill="123D4A"/>
            <w:tcMar>
              <w:top w:w="130" w:type="dxa"/>
              <w:start w:w="120" w:type="dxa"/>
              <w:bottom w:w="130" w:type="dxa"/>
              <w:end w:w="120" w:type="dxa"/>
            </w:tcMar>
          </w:tcPr>
          <w:p>
            <w:r>
              <w:rPr>
                <w:b/>
                <w:color w:val="FFFFFF"/>
                <w:sz w:val="20"/>
              </w:rPr>
              <w:t>2025–Present</w:t>
            </w:r>
          </w:p>
        </w:tc>
        <w:tc>
          <w:tcPr>
            <w:tcW w:type="dxa" w:w="7920"/>
            <w:shd w:fill="F5F8F9"/>
            <w:tcMar>
              <w:top w:w="130" w:type="dxa"/>
              <w:start w:w="155" w:type="dxa"/>
              <w:bottom w:w="130" w:type="dxa"/>
              <w:end w:w="155" w:type="dxa"/>
            </w:tcMar>
          </w:tcPr>
          <w:p>
            <w:r>
              <w:rPr>
                <w:b/>
                <w:color w:val="123D4A"/>
                <w:sz w:val="22"/>
              </w:rPr>
              <w:t>UPA</w:t>
            </w:r>
          </w:p>
          <w:p>
            <w:r>
              <w:rPr>
                <w:b/>
                <w:color w:val="0B6B72"/>
                <w:sz w:val="19"/>
              </w:rPr>
              <w:t>Head of the Central Administration for Information Systems &amp; Digital Transformation</w:t>
            </w:r>
          </w:p>
          <w:p>
            <w:pPr>
              <w:spacing w:after="0"/>
            </w:pPr>
            <w:r>
              <w:rPr>
                <w:sz w:val="18"/>
              </w:rPr>
              <w:t>Leads a 54-person organization across applications, analysis/QA/reporting, support/customer service, architecture, data and transformation governance.</w:t>
            </w:r>
          </w:p>
        </w:tc>
      </w:tr>
      <w:tr>
        <w:tc>
          <w:tcPr>
            <w:tcW w:type="dxa" w:w="1944"/>
            <w:shd w:fill="123D4A"/>
            <w:tcMar>
              <w:top w:w="130" w:type="dxa"/>
              <w:start w:w="120" w:type="dxa"/>
              <w:bottom w:w="130" w:type="dxa"/>
              <w:end w:w="120" w:type="dxa"/>
            </w:tcMar>
          </w:tcPr>
          <w:p>
            <w:r>
              <w:rPr>
                <w:b/>
                <w:color w:val="FFFFFF"/>
                <w:sz w:val="20"/>
              </w:rPr>
              <w:t>2020–2025</w:t>
            </w:r>
          </w:p>
        </w:tc>
        <w:tc>
          <w:tcPr>
            <w:tcW w:type="dxa" w:w="7920"/>
            <w:shd w:fill="FFFFFF"/>
            <w:tcMar>
              <w:top w:w="130" w:type="dxa"/>
              <w:start w:w="155" w:type="dxa"/>
              <w:bottom w:w="130" w:type="dxa"/>
              <w:end w:w="155" w:type="dxa"/>
            </w:tcMar>
          </w:tcPr>
          <w:p>
            <w:r>
              <w:rPr>
                <w:b/>
                <w:color w:val="123D4A"/>
                <w:sz w:val="22"/>
              </w:rPr>
              <w:t>UPA</w:t>
            </w:r>
          </w:p>
          <w:p>
            <w:r>
              <w:rPr>
                <w:b/>
                <w:color w:val="0B6B72"/>
                <w:sz w:val="19"/>
              </w:rPr>
              <w:t>General Manager — Systems, Applications &amp; Technical Support</w:t>
            </w:r>
          </w:p>
          <w:p>
            <w:pPr>
              <w:spacing w:after="0"/>
            </w:pPr>
            <w:r>
              <w:rPr>
                <w:sz w:val="18"/>
              </w:rPr>
              <w:t>Directed application, platform, support and service delivery; digitized workflows and strengthened governance, release readiness, training and nationwide adoption.</w:t>
            </w:r>
          </w:p>
        </w:tc>
      </w:tr>
      <w:tr>
        <w:tc>
          <w:tcPr>
            <w:tcW w:type="dxa" w:w="1944"/>
            <w:shd w:fill="0B6B72"/>
            <w:tcMar>
              <w:top w:w="130" w:type="dxa"/>
              <w:start w:w="120" w:type="dxa"/>
              <w:bottom w:w="130" w:type="dxa"/>
              <w:end w:w="120" w:type="dxa"/>
            </w:tcMar>
          </w:tcPr>
          <w:p>
            <w:r>
              <w:rPr>
                <w:b/>
                <w:color w:val="FFFFFF"/>
                <w:sz w:val="20"/>
              </w:rPr>
              <w:t>2016–2020</w:t>
            </w:r>
          </w:p>
        </w:tc>
        <w:tc>
          <w:tcPr>
            <w:tcW w:type="dxa" w:w="7920"/>
            <w:shd w:fill="F5F8F9"/>
            <w:tcMar>
              <w:top w:w="130" w:type="dxa"/>
              <w:start w:w="155" w:type="dxa"/>
              <w:bottom w:w="130" w:type="dxa"/>
              <w:end w:w="155" w:type="dxa"/>
            </w:tcMar>
          </w:tcPr>
          <w:p>
            <w:r>
              <w:rPr>
                <w:b/>
                <w:color w:val="123D4A"/>
                <w:sz w:val="22"/>
              </w:rPr>
              <w:t>Integral Solutions LLC — Oman</w:t>
            </w:r>
          </w:p>
          <w:p>
            <w:r>
              <w:rPr>
                <w:b/>
                <w:color w:val="0B6B72"/>
                <w:sz w:val="19"/>
              </w:rPr>
              <w:t>Senior Full-Stack Developer — Government Solutions</w:t>
            </w:r>
          </w:p>
          <w:p>
            <w:pPr>
              <w:spacing w:after="0"/>
            </w:pPr>
            <w:r>
              <w:rPr>
                <w:sz w:val="18"/>
              </w:rPr>
              <w:t>Led delivery teams while remaining hands-on across national education, correspondence, recruitment, incident, agriculture and operational systems.</w:t>
            </w:r>
          </w:p>
        </w:tc>
      </w:tr>
      <w:tr>
        <w:tc>
          <w:tcPr>
            <w:tcW w:type="dxa" w:w="1944"/>
            <w:shd w:fill="0B6B72"/>
            <w:tcMar>
              <w:top w:w="130" w:type="dxa"/>
              <w:start w:w="120" w:type="dxa"/>
              <w:bottom w:w="130" w:type="dxa"/>
              <w:end w:w="120" w:type="dxa"/>
            </w:tcMar>
          </w:tcPr>
          <w:p>
            <w:r>
              <w:rPr>
                <w:b/>
                <w:color w:val="FFFFFF"/>
                <w:sz w:val="20"/>
              </w:rPr>
              <w:t>2011–2016</w:t>
            </w:r>
          </w:p>
        </w:tc>
        <w:tc>
          <w:tcPr>
            <w:tcW w:type="dxa" w:w="7920"/>
            <w:shd w:fill="FFFFFF"/>
            <w:tcMar>
              <w:top w:w="130" w:type="dxa"/>
              <w:start w:w="155" w:type="dxa"/>
              <w:bottom w:w="130" w:type="dxa"/>
              <w:end w:w="155" w:type="dxa"/>
            </w:tcMar>
          </w:tcPr>
          <w:p>
            <w:r>
              <w:rPr>
                <w:b/>
                <w:color w:val="123D4A"/>
                <w:sz w:val="22"/>
              </w:rPr>
              <w:t>Keyframe Egypt</w:t>
            </w:r>
          </w:p>
          <w:p>
            <w:r>
              <w:rPr>
                <w:b/>
                <w:color w:val="0B6B72"/>
                <w:sz w:val="19"/>
              </w:rPr>
              <w:t>Development Team Leader &amp; Senior Full-Stack Developer</w:t>
            </w:r>
          </w:p>
          <w:p>
            <w:pPr>
              <w:spacing w:after="0"/>
            </w:pPr>
            <w:r>
              <w:rPr>
                <w:sz w:val="18"/>
              </w:rPr>
              <w:t>Delivered an extensive portfolio of digital projects and reusable CMS and conference platforms, with hands-on technical ownership across major assignments.</w:t>
            </w:r>
          </w:p>
        </w:tc>
      </w:tr>
      <w:tr>
        <w:tc>
          <w:tcPr>
            <w:tcW w:type="dxa" w:w="1944"/>
            <w:shd w:fill="0B6B72"/>
            <w:tcMar>
              <w:top w:w="130" w:type="dxa"/>
              <w:start w:w="120" w:type="dxa"/>
              <w:bottom w:w="130" w:type="dxa"/>
              <w:end w:w="120" w:type="dxa"/>
            </w:tcMar>
          </w:tcPr>
          <w:p>
            <w:r>
              <w:rPr>
                <w:b/>
                <w:color w:val="FFFFFF"/>
                <w:sz w:val="20"/>
              </w:rPr>
              <w:t>2008–2010</w:t>
            </w:r>
          </w:p>
        </w:tc>
        <w:tc>
          <w:tcPr>
            <w:tcW w:type="dxa" w:w="7920"/>
            <w:shd w:fill="F5F8F9"/>
            <w:tcMar>
              <w:top w:w="130" w:type="dxa"/>
              <w:start w:w="155" w:type="dxa"/>
              <w:bottom w:w="130" w:type="dxa"/>
              <w:end w:w="155" w:type="dxa"/>
            </w:tcMar>
          </w:tcPr>
          <w:p>
            <w:r>
              <w:rPr>
                <w:b/>
                <w:color w:val="123D4A"/>
                <w:sz w:val="22"/>
              </w:rPr>
              <w:t>Egyptian Armed Forces</w:t>
            </w:r>
          </w:p>
          <w:p>
            <w:r>
              <w:rPr>
                <w:b/>
                <w:color w:val="0B6B72"/>
                <w:sz w:val="19"/>
              </w:rPr>
              <w:t>Linux Systems &amp; Web Developer</w:t>
            </w:r>
          </w:p>
          <w:p>
            <w:pPr>
              <w:spacing w:after="0"/>
            </w:pPr>
            <w:r>
              <w:rPr>
                <w:sz w:val="18"/>
              </w:rPr>
              <w:t>Contributed to a custom Linux-from-Scratch distribution and Arabic localization; confidential identifiers are omitted.</w:t>
            </w:r>
          </w:p>
        </w:tc>
      </w:tr>
    </w:tbl>
    <w:p>
      <w:pPr>
        <w:pStyle w:val="Heading2"/>
      </w:pPr>
      <w:r>
        <w:t>Government and client exposure</w:t>
      </w:r>
    </w:p>
    <w:p>
      <w:r>
        <w:t>Current employment is with UPA. Earlier Omani ministries and agencies were Integral Solutions client assignments; Egyptian ministries, authorities and commercial organizations were Keyframe client assignments. This distinction is maintained throughout the portfolio.</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Egypt</w:t>
            </w:r>
          </w:p>
          <w:p>
            <w:pPr>
              <w:spacing w:after="0" w:line="269" w:lineRule="auto"/>
            </w:pPr>
            <w:r>
              <w:rPr>
                <w:sz w:val="19"/>
              </w:rPr>
              <w:t>UPA; Ministries of Health and Planning; MSAD; National Management Institute; Cairo Traffic; healthcare, education, events and commercial clients.</w:t>
            </w:r>
          </w:p>
        </w:tc>
        <w:tc>
          <w:tcPr>
            <w:tcW w:type="dxa" w:w="4997"/>
            <w:shd w:fill="F5F8F9"/>
            <w:tcMar>
              <w:top w:w="130" w:type="dxa"/>
              <w:start w:w="150" w:type="dxa"/>
              <w:bottom w:w="130" w:type="dxa"/>
              <w:end w:w="150" w:type="dxa"/>
            </w:tcMar>
          </w:tcPr>
          <w:p>
            <w:pPr>
              <w:spacing w:after="100" w:line="269" w:lineRule="auto"/>
            </w:pPr>
            <w:r>
              <w:rPr>
                <w:b/>
                <w:color w:val="0B6B72"/>
                <w:sz w:val="22"/>
              </w:rPr>
              <w:t>Oman</w:t>
            </w:r>
          </w:p>
          <w:p>
            <w:pPr>
              <w:spacing w:after="0" w:line="269" w:lineRule="auto"/>
            </w:pPr>
            <w:r>
              <w:rPr>
                <w:sz w:val="19"/>
              </w:rPr>
              <w:t>On-site and delivery assignments across the Ministries of Education, Defence and Agriculture, plus Omani government entities and Al Wahat Club.</w:t>
            </w:r>
          </w:p>
        </w:tc>
      </w:tr>
    </w:tbl>
    <w:p>
      <w:pPr>
        <w:spacing w:after="0"/>
      </w:pPr>
    </w:p>
    <w:p>
      <w:pPr>
        <w:pageBreakBefore/>
        <w:spacing w:after="40"/>
      </w:pPr>
      <w:r>
        <w:rPr>
          <w:b/>
          <w:color w:val="0B6B72"/>
          <w:sz w:val="18"/>
        </w:rPr>
        <w:t>UPA | 2020–PRESENT</w:t>
      </w:r>
    </w:p>
    <w:p>
      <w:pPr>
        <w:pStyle w:val="Heading1"/>
        <w:pBdr>
          <w:bottom w:val="single" w:sz="12" w:space="5" w:color="0B6B72"/>
        </w:pBdr>
      </w:pPr>
      <w:r>
        <w:t>Enterprise technology leadership for healthcare supply</w:t>
      </w:r>
    </w:p>
    <w:p>
      <w:pPr>
        <w:pStyle w:val="Subtitle"/>
        <w:spacing w:after="200"/>
      </w:pPr>
      <w:r>
        <w:t>One executive scope spanning a unified national procurement platform and a wider portfolio of integrated health, CRM, publishing, reporting, data, integration, support and AI initiatives.</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98"/>
            <w:shd w:fill="E8F1F3"/>
            <w:tcMar>
              <w:top w:w="130" w:type="dxa"/>
              <w:start w:w="140" w:type="dxa"/>
              <w:bottom w:w="120" w:type="dxa"/>
              <w:end w:w="140" w:type="dxa"/>
            </w:tcMar>
            <w:vAlign w:val="center"/>
          </w:tcPr>
          <w:p>
            <w:pPr>
              <w:jc w:val="center"/>
            </w:pPr>
            <w:r>
              <w:rPr>
                <w:b/>
                <w:color w:val="123D4A"/>
                <w:sz w:val="40"/>
              </w:rPr>
              <w:t>~60K</w:t>
            </w:r>
          </w:p>
          <w:p>
            <w:pPr>
              <w:spacing w:after="0"/>
              <w:jc w:val="center"/>
            </w:pPr>
            <w:r>
              <w:rPr>
                <w:color w:val="5E6874"/>
                <w:sz w:val="17"/>
              </w:rPr>
              <w:t>platform users</w:t>
            </w:r>
          </w:p>
        </w:tc>
        <w:tc>
          <w:tcPr>
            <w:tcW w:type="dxa" w:w="2498"/>
            <w:shd w:fill="E8EEF5"/>
            <w:tcMar>
              <w:top w:w="130" w:type="dxa"/>
              <w:start w:w="140" w:type="dxa"/>
              <w:bottom w:w="120" w:type="dxa"/>
              <w:end w:w="140" w:type="dxa"/>
            </w:tcMar>
            <w:vAlign w:val="center"/>
          </w:tcPr>
          <w:p>
            <w:pPr>
              <w:jc w:val="center"/>
            </w:pPr>
            <w:r>
              <w:rPr>
                <w:b/>
                <w:color w:val="123D4A"/>
                <w:sz w:val="40"/>
              </w:rPr>
              <w:t>~90K</w:t>
            </w:r>
          </w:p>
          <w:p>
            <w:pPr>
              <w:spacing w:after="0"/>
              <w:jc w:val="center"/>
            </w:pPr>
            <w:r>
              <w:rPr>
                <w:color w:val="5E6874"/>
                <w:sz w:val="17"/>
              </w:rPr>
              <w:t>facilities/entities</w:t>
            </w:r>
          </w:p>
        </w:tc>
        <w:tc>
          <w:tcPr>
            <w:tcW w:type="dxa" w:w="2498"/>
            <w:shd w:fill="E8F1F3"/>
            <w:tcMar>
              <w:top w:w="130" w:type="dxa"/>
              <w:start w:w="140" w:type="dxa"/>
              <w:bottom w:w="120" w:type="dxa"/>
              <w:end w:w="140" w:type="dxa"/>
            </w:tcMar>
            <w:vAlign w:val="center"/>
          </w:tcPr>
          <w:p>
            <w:pPr>
              <w:jc w:val="center"/>
            </w:pPr>
            <w:r>
              <w:rPr>
                <w:b/>
                <w:color w:val="123D4A"/>
                <w:sz w:val="40"/>
              </w:rPr>
              <w:t>~300</w:t>
            </w:r>
          </w:p>
          <w:p>
            <w:pPr>
              <w:spacing w:after="0"/>
              <w:jc w:val="center"/>
            </w:pPr>
            <w:r>
              <w:rPr>
                <w:color w:val="5E6874"/>
                <w:sz w:val="17"/>
              </w:rPr>
              <w:t>suppliers</w:t>
            </w:r>
          </w:p>
        </w:tc>
        <w:tc>
          <w:tcPr>
            <w:tcW w:type="dxa" w:w="2498"/>
            <w:shd w:fill="E8EEF5"/>
            <w:tcMar>
              <w:top w:w="130" w:type="dxa"/>
              <w:start w:w="140" w:type="dxa"/>
              <w:bottom w:w="120" w:type="dxa"/>
              <w:end w:w="140" w:type="dxa"/>
            </w:tcMar>
            <w:vAlign w:val="center"/>
          </w:tcPr>
          <w:p>
            <w:pPr>
              <w:jc w:val="center"/>
            </w:pPr>
            <w:r>
              <w:rPr>
                <w:b/>
                <w:color w:val="123D4A"/>
                <w:sz w:val="40"/>
              </w:rPr>
              <w:t>National scale</w:t>
            </w:r>
          </w:p>
          <w:p>
            <w:pPr>
              <w:spacing w:after="0"/>
              <w:jc w:val="center"/>
            </w:pPr>
            <w:r>
              <w:rPr>
                <w:color w:val="5E6874"/>
                <w:sz w:val="17"/>
              </w:rPr>
              <w:t>transactions/month</w:t>
            </w:r>
          </w:p>
        </w:tc>
      </w:tr>
      <w:tr>
        <w:tc>
          <w:tcPr>
            <w:tcW w:type="dxa" w:w="2498"/>
            <w:shd w:fill="E8F1F3"/>
            <w:tcMar>
              <w:top w:w="130" w:type="dxa"/>
              <w:start w:w="140" w:type="dxa"/>
              <w:bottom w:w="120" w:type="dxa"/>
              <w:end w:w="140" w:type="dxa"/>
            </w:tcMar>
            <w:vAlign w:val="center"/>
          </w:tcPr>
          <w:p>
            <w:pPr>
              <w:jc w:val="center"/>
            </w:pPr>
            <w:r>
              <w:rPr>
                <w:b/>
                <w:color w:val="123D4A"/>
                <w:sz w:val="40"/>
              </w:rPr>
              <w:t>~400GB</w:t>
            </w:r>
          </w:p>
          <w:p>
            <w:pPr>
              <w:spacing w:after="0"/>
              <w:jc w:val="center"/>
            </w:pPr>
            <w:r>
              <w:rPr>
                <w:color w:val="5E6874"/>
                <w:sz w:val="17"/>
              </w:rPr>
              <w:t>largest confirmed database scale</w:t>
            </w:r>
          </w:p>
        </w:tc>
        <w:tc>
          <w:tcPr>
            <w:tcW w:type="dxa" w:w="2498"/>
            <w:shd w:fill="E8EEF5"/>
            <w:tcMar>
              <w:top w:w="130" w:type="dxa"/>
              <w:start w:w="140" w:type="dxa"/>
              <w:bottom w:w="120" w:type="dxa"/>
              <w:end w:w="140" w:type="dxa"/>
            </w:tcMar>
            <w:vAlign w:val="center"/>
          </w:tcPr>
          <w:p>
            <w:pPr>
              <w:jc w:val="center"/>
            </w:pPr>
            <w:r>
              <w:rPr>
                <w:b/>
                <w:color w:val="123D4A"/>
                <w:sz w:val="40"/>
              </w:rPr>
              <w:t>Multi-entity scale</w:t>
            </w:r>
          </w:p>
          <w:p>
            <w:pPr>
              <w:spacing w:after="0"/>
              <w:jc w:val="center"/>
            </w:pPr>
            <w:r>
              <w:rPr>
                <w:color w:val="5E6874"/>
                <w:sz w:val="17"/>
              </w:rPr>
              <w:t>health entities</w:t>
            </w:r>
          </w:p>
        </w:tc>
        <w:tc>
          <w:tcPr>
            <w:tcW w:type="dxa" w:w="2498"/>
            <w:shd w:fill="E8F1F3"/>
            <w:tcMar>
              <w:top w:w="130" w:type="dxa"/>
              <w:start w:w="140" w:type="dxa"/>
              <w:bottom w:w="120" w:type="dxa"/>
              <w:end w:w="140" w:type="dxa"/>
            </w:tcMar>
            <w:vAlign w:val="center"/>
          </w:tcPr>
          <w:p>
            <w:pPr>
              <w:jc w:val="center"/>
            </w:pPr>
            <w:r>
              <w:rPr>
                <w:b/>
                <w:color w:val="123D4A"/>
                <w:sz w:val="40"/>
              </w:rPr>
              <w:t>20+</w:t>
            </w:r>
          </w:p>
          <w:p>
            <w:pPr>
              <w:spacing w:after="0"/>
              <w:jc w:val="center"/>
            </w:pPr>
            <w:r>
              <w:rPr>
                <w:color w:val="5E6874"/>
                <w:sz w:val="17"/>
              </w:rPr>
              <w:t>public websites</w:t>
            </w:r>
          </w:p>
        </w:tc>
        <w:tc>
          <w:tcPr>
            <w:tcW w:type="dxa" w:w="2498"/>
            <w:shd w:fill="E8EEF5"/>
            <w:tcMar>
              <w:top w:w="130" w:type="dxa"/>
              <w:start w:w="140" w:type="dxa"/>
              <w:bottom w:w="120" w:type="dxa"/>
              <w:end w:w="140" w:type="dxa"/>
            </w:tcMar>
            <w:vAlign w:val="center"/>
          </w:tcPr>
          <w:p>
            <w:pPr>
              <w:jc w:val="center"/>
            </w:pPr>
            <w:r>
              <w:rPr>
                <w:b/>
                <w:color w:val="123D4A"/>
                <w:sz w:val="40"/>
              </w:rPr>
              <w:t>~2K</w:t>
            </w:r>
          </w:p>
          <w:p>
            <w:pPr>
              <w:spacing w:after="0"/>
              <w:jc w:val="center"/>
            </w:pPr>
            <w:r>
              <w:rPr>
                <w:color w:val="5E6874"/>
                <w:sz w:val="17"/>
              </w:rPr>
              <w:t>support calls/month</w:t>
            </w:r>
          </w:p>
        </w:tc>
      </w:tr>
    </w:tbl>
    <w:p>
      <w:pPr>
        <w:spacing w:after="0"/>
      </w:pPr>
    </w:p>
    <w:p>
      <w:pPr>
        <w:pStyle w:val="Heading2"/>
      </w:pPr>
      <w:r>
        <w:t>Unified National Procurement Platform</w:t>
      </w:r>
    </w:p>
    <w:p>
      <w:r>
        <w:t>A unified enterprise platform supporting demand consolidation, approvals, tendering, supplier evaluation, award and contracting, purchase orders, delivery and receipt, reporting, auditability, support and shared enterprise services.</w:t>
      </w:r>
    </w:p>
    <w:p>
      <w:pPr>
        <w:pStyle w:val="ListBullet"/>
      </w:pPr>
      <w:r>
        <w:t>Service and technology leadershipship across strategy, architecture, delivery governance, operations, integration, data and service performance.</w:t>
      </w:r>
    </w:p>
    <w:p>
      <w:pPr>
        <w:pStyle w:val="ListBullet"/>
      </w:pPr>
      <w:r>
        <w:t>Multi-level approvals, committees, evaluation, contracts, routing, escalation, SLA timers, maker-checker controls, audit history and role/data-level permissions.</w:t>
      </w:r>
    </w:p>
    <w:p>
      <w:pPr>
        <w:pStyle w:val="ListBullet"/>
      </w:pPr>
      <w:r>
        <w:t>Configurable workflows and digital records replacing large volumes of paper-, Excel- and email-based processes.</w:t>
      </w:r>
    </w:p>
    <w:p>
      <w:pPr>
        <w:pStyle w:val="ListBullet"/>
      </w:pPr>
      <w:r>
        <w:t>Cross-functional delivery spanning analysts, architects, engineers, QA/reporting, data, support/customer service and third parties.</w:t>
      </w:r>
    </w:p>
    <w:p>
      <w:pPr>
        <w:pStyle w:val="Heading2"/>
      </w:pPr>
      <w:r>
        <w:t>Wider enterprise portfolio</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Integrated healthcare</w:t>
            </w:r>
          </w:p>
          <w:p>
            <w:pPr>
              <w:spacing w:after="0" w:line="269" w:lineRule="auto"/>
            </w:pPr>
            <w:r>
              <w:rPr>
                <w:sz w:val="19"/>
              </w:rPr>
              <w:t>HIS and electronic pharmacy capabilities, ICD-10/11 support and integration with multiple health-sector organizations.</w:t>
            </w:r>
          </w:p>
        </w:tc>
        <w:tc>
          <w:tcPr>
            <w:tcW w:type="dxa" w:w="4997"/>
            <w:shd w:fill="F5F8F9"/>
            <w:tcMar>
              <w:top w:w="130" w:type="dxa"/>
              <w:start w:w="150" w:type="dxa"/>
              <w:bottom w:w="130" w:type="dxa"/>
              <w:end w:w="150" w:type="dxa"/>
            </w:tcMar>
          </w:tcPr>
          <w:p>
            <w:pPr>
              <w:spacing w:after="100" w:line="269" w:lineRule="auto"/>
            </w:pPr>
            <w:r>
              <w:rPr>
                <w:b/>
                <w:color w:val="0B6B72"/>
                <w:sz w:val="22"/>
              </w:rPr>
              <w:t>Enterprise service channels</w:t>
            </w:r>
          </w:p>
          <w:p>
            <w:pPr>
              <w:spacing w:after="0" w:line="269" w:lineRule="auto"/>
            </w:pPr>
            <w:r>
              <w:rPr>
                <w:sz w:val="19"/>
              </w:rPr>
              <w:t>CRM, SMS notifications, public websites, CMS/electronic publishing, documents, search, reporting and user communications.</w:t>
            </w:r>
          </w:p>
        </w:tc>
      </w:tr>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Data and integration</w:t>
            </w:r>
          </w:p>
          <w:p>
            <w:pPr>
              <w:spacing w:after="0" w:line="269" w:lineRule="auto"/>
            </w:pPr>
            <w:r>
              <w:rPr>
                <w:sz w:val="19"/>
              </w:rPr>
              <w:t>Database design, master/reference data, data quality, analytics, REST/SOAP services, data/file exchange and enterprise integration.</w:t>
            </w:r>
          </w:p>
        </w:tc>
        <w:tc>
          <w:tcPr>
            <w:tcW w:type="dxa" w:w="4997"/>
            <w:shd w:fill="F5F8F9"/>
            <w:tcMar>
              <w:top w:w="130" w:type="dxa"/>
              <w:start w:w="150" w:type="dxa"/>
              <w:bottom w:w="130" w:type="dxa"/>
              <w:end w:w="150" w:type="dxa"/>
            </w:tcMar>
          </w:tcPr>
          <w:p>
            <w:pPr>
              <w:spacing w:after="100" w:line="269" w:lineRule="auto"/>
            </w:pPr>
            <w:r>
              <w:rPr>
                <w:b/>
                <w:color w:val="0B6B72"/>
                <w:sz w:val="22"/>
              </w:rPr>
              <w:t>AI and modernization</w:t>
            </w:r>
          </w:p>
          <w:p>
            <w:pPr>
              <w:spacing w:after="0" w:line="269" w:lineRule="auto"/>
            </w:pPr>
            <w:r>
              <w:rPr>
                <w:sz w:val="19"/>
              </w:rPr>
              <w:t>AI-assisted engineering and enterprise AI initiatives governed as part of the wider technology roadmap.</w:t>
            </w:r>
          </w:p>
        </w:tc>
      </w:tr>
    </w:tbl>
    <w:p>
      <w:pPr>
        <w:spacing w:after="0"/>
      </w:pPr>
    </w:p>
    <w:p>
      <w:pPr>
        <w:pageBreakBefore/>
        <w:spacing w:after="40"/>
      </w:pPr>
      <w:r>
        <w:rPr>
          <w:b/>
          <w:color w:val="0B6B72"/>
          <w:sz w:val="18"/>
        </w:rPr>
        <w:t>UPA PORTFOLIO</w:t>
      </w:r>
    </w:p>
    <w:p>
      <w:pPr>
        <w:pStyle w:val="Heading1"/>
        <w:pBdr>
          <w:bottom w:val="single" w:sz="12" w:space="5" w:color="0B6B72"/>
        </w:pBdr>
      </w:pPr>
      <w:r>
        <w:t>Digital health, shared services and national operations</w:t>
      </w:r>
    </w:p>
    <w:p>
      <w:pPr>
        <w:pStyle w:val="Heading2"/>
      </w:pPr>
      <w:r>
        <w:t>Integrated HIS &amp; Electronic Pharmacy Platform</w:t>
      </w:r>
    </w:p>
    <w:p>
      <w:r>
        <w:rPr>
          <w:b/>
          <w:color w:val="0B6B72"/>
        </w:rPr>
        <w:t>Operational across the health-sector environment  |  Led analysis, database design and delivery; contributed directly to programming</w:t>
        <w:br/>
        <w:t xml:space="preserve">Reusable healthcare platform for health entities with a complete electronic pharmacy and HIS capabilities, ICD-10 and ICD-11 support and integrations with multiple health-sector organizations. </w:t>
      </w:r>
      <w:r/>
    </w:p>
    <w:p>
      <w:pPr>
        <w:pStyle w:val="Heading2"/>
      </w:pPr>
      <w:r>
        <w:t>National Technical Support &amp; Customer-Service Operation</w:t>
      </w:r>
    </w:p>
    <w:p>
      <w:r>
        <w:rPr>
          <w:b/>
          <w:color w:val="0B6B72"/>
        </w:rPr>
        <w:t>Operational  |  Service and technology leadership</w:t>
        <w:br/>
        <w:t>Approximately 20-person support and customer-service operation handling around 2,000 calls per month, covering technical, functional, data, access, integration and operational incidents, plus onboarding and training nationwide.</w:t>
      </w:r>
      <w:r/>
    </w:p>
    <w:p>
      <w:pPr>
        <w:pStyle w:val="Heading2"/>
      </w:pPr>
      <w:r>
        <w:t>Dynamics 365 Integration &amp; Enterprise Data Alignment</w:t>
      </w:r>
    </w:p>
    <w:p>
      <w:r>
        <w:rPr>
          <w:b/>
          <w:color w:val="0B6B72"/>
        </w:rPr>
        <w:t>Operational  |  Led the integration workstream through the Central Administration</w:t>
        <w:br/>
        <w:t>Unified integration work connecting the authority's platforms with Microsoft Dynamics 365 and related enterprise data and workflow requirements.</w:t>
      </w:r>
      <w:r/>
    </w:p>
    <w:p>
      <w:pPr>
        <w:pStyle w:val="Heading2"/>
      </w:pPr>
      <w:r>
        <w:t>Omnichannel SMS Notification Service</w:t>
      </w:r>
    </w:p>
    <w:p>
      <w:r>
        <w:rPr>
          <w:b/>
          <w:color w:val="0B6B72"/>
        </w:rPr>
        <w:t>Operational across all required channels  |  Led analysis, delivery and integration</w:t>
      </w:r>
      <w:r>
        <w:br/>
        <w:t>Central notification capability integrated with the authority's platform and service channels.</w:t>
      </w:r>
    </w:p>
    <w:p>
      <w:pPr>
        <w:pStyle w:val="Heading2"/>
      </w:pPr>
      <w:r>
        <w:t>Electronic Signature Enablement</w:t>
      </w:r>
    </w:p>
    <w:p>
      <w:r>
        <w:rPr>
          <w:b/>
          <w:color w:val="0B6B72"/>
        </w:rPr>
        <w:t>Implementation in progress; production signing not yet activated  |  Led requirements, workflows, integration readiness and governance</w:t>
      </w:r>
      <w:r>
        <w:br/>
        <w:t>Prepared platform workflows and integration components for electronic signature while keeping the production status explicit.</w:t>
      </w:r>
    </w:p>
    <w:p>
      <w:pPr>
        <w:pStyle w:val="Heading2"/>
      </w:pPr>
      <w:r>
        <w:t>Enterprise Data, Reporting &amp; Analytics Environment</w:t>
      </w:r>
    </w:p>
    <w:p>
      <w:r>
        <w:rPr>
          <w:b/>
          <w:color w:val="0B6B72"/>
        </w:rPr>
        <w:t>Operational  |  Service and technology leadership and hands-on technical contributor</w:t>
        <w:br/>
        <w:t>Database, reporting, data-quality, master-data, integration and analytics capabilities supporting operational and executive decisions across large national datasets.</w:t>
      </w:r>
      <w:r/>
    </w:p>
    <w:p>
      <w:pPr>
        <w:pStyle w:val="Heading2"/>
      </w:pPr>
      <w:r>
        <w:t>Service model</w:t>
      </w:r>
    </w:p>
    <w:p>
      <w:r>
        <w:t>A support and customer-service function of approximately 20 people—within the fixed 54-person organization—handles around 2,000 calls each month across technical, functional, data, access, integration and operational issues, alongside onboarding and training.</w:t>
      </w:r>
    </w:p>
    <w:p>
      <w:pPr>
        <w:pageBreakBefore/>
        <w:spacing w:after="40"/>
      </w:pPr>
      <w:r>
        <w:rPr>
          <w:b/>
          <w:color w:val="0B6B72"/>
          <w:sz w:val="18"/>
        </w:rPr>
        <w:t>UPA OPERATING MODEL</w:t>
      </w:r>
    </w:p>
    <w:p>
      <w:pPr>
        <w:pStyle w:val="Heading1"/>
        <w:pBdr>
          <w:bottom w:val="single" w:sz="12" w:space="5" w:color="0B6B72"/>
        </w:pBdr>
      </w:pPr>
      <w:r>
        <w:t>Governance, availability and delivery boundaries</w:t>
      </w:r>
    </w:p>
    <w:p>
      <w:pPr>
        <w:pStyle w:val="Subtitle"/>
        <w:spacing w:after="200"/>
      </w:pPr>
      <w:r>
        <w:t>Executive accountability is expressed precisely: application and platform ownership remains internal, while infrastructure services are consumed from an independent data-centre provider.</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Internally governed</w:t>
            </w:r>
          </w:p>
          <w:p>
            <w:pPr>
              <w:spacing w:after="0" w:line="269" w:lineRule="auto"/>
            </w:pPr>
            <w:r>
              <w:rPr>
                <w:sz w:val="19"/>
              </w:rPr>
              <w:t>Applications, platform configurations, business analysis, architecture, engineering, QA/UAT, data/reporting, integrations, service operations, support, training and selected delivery settings.</w:t>
            </w:r>
          </w:p>
        </w:tc>
        <w:tc>
          <w:tcPr>
            <w:tcW w:type="dxa" w:w="4997"/>
            <w:shd w:fill="F5F8F9"/>
            <w:tcMar>
              <w:top w:w="130" w:type="dxa"/>
              <w:start w:w="150" w:type="dxa"/>
              <w:bottom w:w="130" w:type="dxa"/>
              <w:end w:w="150" w:type="dxa"/>
            </w:tcMar>
          </w:tcPr>
          <w:p>
            <w:pPr>
              <w:spacing w:after="100" w:line="269" w:lineRule="auto"/>
            </w:pPr>
            <w:r>
              <w:rPr>
                <w:b/>
                <w:color w:val="0B6B72"/>
                <w:sz w:val="22"/>
              </w:rPr>
              <w:t>Data-centre service boundary</w:t>
            </w:r>
          </w:p>
          <w:p>
            <w:pPr>
              <w:spacing w:after="0" w:line="269" w:lineRule="auto"/>
            </w:pPr>
            <w:r>
              <w:rPr>
                <w:sz w:val="19"/>
              </w:rPr>
              <w:t>Operating systems, networks and firewalls are operated by an independent, geographically separate data-centre service. Infrastructure availability itself is not claimed as an internal operations function.</w:t>
            </w:r>
          </w:p>
        </w:tc>
      </w:tr>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Application delivery controls</w:t>
            </w:r>
          </w:p>
          <w:p>
            <w:pPr>
              <w:spacing w:after="0" w:line="269" w:lineRule="auto"/>
            </w:pPr>
            <w:r>
              <w:rPr>
                <w:sz w:val="19"/>
              </w:rPr>
              <w:t>Release readiness, security requirements, access controls, auditability, monitoring/visibility requirements, incident/RCA practices, support procedures and change governance.</w:t>
            </w:r>
          </w:p>
        </w:tc>
        <w:tc>
          <w:tcPr>
            <w:tcW w:type="dxa" w:w="4997"/>
            <w:shd w:fill="F5F8F9"/>
            <w:tcMar>
              <w:top w:w="130" w:type="dxa"/>
              <w:start w:w="150" w:type="dxa"/>
              <w:bottom w:w="130" w:type="dxa"/>
              <w:end w:w="150" w:type="dxa"/>
            </w:tcMar>
          </w:tcPr>
          <w:p>
            <w:pPr>
              <w:spacing w:after="100" w:line="269" w:lineRule="auto"/>
            </w:pPr>
            <w:r>
              <w:rPr>
                <w:b/>
                <w:color w:val="0B6B72"/>
                <w:sz w:val="22"/>
              </w:rPr>
              <w:t>Continuity and recovery</w:t>
            </w:r>
          </w:p>
          <w:p>
            <w:pPr>
              <w:spacing w:after="0" w:line="269" w:lineRule="auto"/>
            </w:pPr>
            <w:r>
              <w:rPr>
                <w:sz w:val="19"/>
              </w:rPr>
              <w:t>Periodic disaster-recovery tests are performed under Mahmoud's supervision. Geographic DR is available; failover remains manually controlled.</w:t>
            </w:r>
          </w:p>
        </w:tc>
      </w:tr>
    </w:tbl>
    <w:p>
      <w:pPr>
        <w:spacing w:after="0"/>
      </w:pPr>
    </w:p>
    <w:p>
      <w:pPr>
        <w:pStyle w:val="Heading2"/>
      </w:pPr>
      <w:r>
        <w:t>Leadership operating span</w:t>
      </w:r>
    </w:p>
    <w:p>
      <w:pPr>
        <w:pStyle w:val="ListBullet"/>
      </w:pPr>
      <w:r>
        <w:t>Technology strategy, operating-model design and program/portfolio prioritization.</w:t>
      </w:r>
    </w:p>
    <w:p>
      <w:pPr>
        <w:pStyle w:val="ListBullet"/>
      </w:pPr>
      <w:r>
        <w:t>Enterprise and solution architecture, application modernization and integration governance.</w:t>
      </w:r>
    </w:p>
    <w:p>
      <w:pPr>
        <w:pStyle w:val="ListBullet"/>
      </w:pPr>
      <w:r>
        <w:t>Requirements, process redesign, software delivery, QA/UAT, reporting and production readiness.</w:t>
      </w:r>
    </w:p>
    <w:p>
      <w:pPr>
        <w:pStyle w:val="ListBullet"/>
      </w:pPr>
      <w:r>
        <w:t>Customer service, technical support, CRM case handling, training, adoption and escalation.</w:t>
      </w:r>
    </w:p>
    <w:p>
      <w:pPr>
        <w:pStyle w:val="ListBullet"/>
      </w:pPr>
      <w:r>
        <w:t>Data governance, reference data, reporting architecture, operational analytics and executive evidence.</w:t>
      </w:r>
    </w:p>
    <w:p>
      <w:pPr>
        <w:pStyle w:val="ListBullet"/>
      </w:pPr>
      <w:r>
        <w:t>Stakeholder alignment across government entities, healthcare organizations, vendors and third parties.</w:t>
      </w:r>
    </w:p>
    <w:p>
      <w:pPr>
        <w:pStyle w:val="Heading2"/>
      </w:pPr>
      <w:r>
        <w:t>Documented leadership appointments</w:t>
      </w:r>
    </w:p>
    <w:p>
      <w:pPr>
        <w:pStyle w:val="ListBullet"/>
      </w:pPr>
      <w:r>
        <w:t>Digital Transformation Committee Member - World Bank Group B-READY Egypt Assessment (2025-2026)</w:t>
      </w:r>
    </w:p>
    <w:p>
      <w:pPr>
        <w:pStyle w:val="ListBullet"/>
      </w:pPr>
      <w:r>
        <w:t>Board Member - National Blood Operations Oversight (2021-2024)</w:t>
      </w:r>
    </w:p>
    <w:p>
      <w:pPr>
        <w:pStyle w:val="ListBullet"/>
      </w:pPr>
      <w:r>
        <w:t>Governance Lead - National Pharmaceutical Track &amp; Trace Program (2021-2024)</w:t>
      </w:r>
    </w:p>
    <w:p>
      <w:pPr>
        <w:pageBreakBefore/>
        <w:spacing w:after="40"/>
      </w:pPr>
      <w:r>
        <w:rPr>
          <w:b/>
          <w:color w:val="0B6B72"/>
          <w:sz w:val="18"/>
        </w:rPr>
        <w:t>INTEGRAL SOLUTIONS | 2016–2020</w:t>
      </w:r>
    </w:p>
    <w:p>
      <w:pPr>
        <w:pStyle w:val="Heading1"/>
        <w:pBdr>
          <w:bottom w:val="single" w:sz="12" w:space="5" w:color="0B6B72"/>
        </w:pBdr>
      </w:pPr>
      <w:r>
        <w:t>Government delivery in Oman</w:t>
      </w:r>
    </w:p>
    <w:p>
      <w:pPr>
        <w:pStyle w:val="Subtitle"/>
        <w:spacing w:after="200"/>
      </w:pPr>
      <w:r>
        <w:t>Senior Full-Stack Developer — Government Solutions. Mahmoud remained a hands-on technical contributor across government client assignments throughout the period.</w:t>
      </w:r>
    </w:p>
    <w:tbl>
      <w:tblPr>
        <w:tblW w:type="auto" w:w="0"/>
        <w:jc w:val="center"/>
        <w:tblLayout w:type="fixed"/>
        <w:tblLook w:firstColumn="1" w:firstRow="1" w:lastColumn="0" w:lastRow="0" w:noHBand="0" w:noVBand="1" w:val="04A0"/>
      </w:tblPr>
      <w:tblGrid>
        <w:gridCol w:w="2995"/>
        <w:gridCol w:w="1670"/>
        <w:gridCol w:w="2045"/>
        <w:gridCol w:w="3139"/>
      </w:tblGrid>
      <w:tr>
        <w:trPr>
          <w:tblHeader w:val="true"/>
          <w:cantSplit w:val="true"/>
        </w:trPr>
        <w:tc>
          <w:tcPr>
            <w:tcW w:type="dxa" w:w="2498"/>
            <w:shd w:fill="123D4A"/>
            <w:tcMar>
              <w:top w:w="75" w:type="dxa"/>
              <w:start w:w="90" w:type="dxa"/>
              <w:bottom w:w="75" w:type="dxa"/>
              <w:end w:w="90" w:type="dxa"/>
            </w:tcMar>
          </w:tcPr>
          <w:p>
            <w:pPr>
              <w:spacing w:after="0" w:line="240" w:lineRule="auto"/>
            </w:pPr>
            <w:r>
              <w:rPr>
                <w:b/>
                <w:color w:val="FFFFFF"/>
                <w:sz w:val="15"/>
              </w:rPr>
              <w:t>Project / Platform</w:t>
            </w:r>
          </w:p>
        </w:tc>
        <w:tc>
          <w:tcPr>
            <w:tcW w:type="dxa" w:w="2498"/>
            <w:shd w:fill="123D4A"/>
            <w:tcMar>
              <w:top w:w="75" w:type="dxa"/>
              <w:start w:w="90" w:type="dxa"/>
              <w:bottom w:w="75" w:type="dxa"/>
              <w:end w:w="90" w:type="dxa"/>
            </w:tcMar>
          </w:tcPr>
          <w:p>
            <w:pPr>
              <w:spacing w:after="0" w:line="240" w:lineRule="auto"/>
            </w:pPr>
            <w:r>
              <w:rPr>
                <w:b/>
                <w:color w:val="FFFFFF"/>
                <w:sz w:val="15"/>
              </w:rPr>
              <w:t>Context</w:t>
            </w:r>
          </w:p>
        </w:tc>
        <w:tc>
          <w:tcPr>
            <w:tcW w:type="dxa" w:w="2498"/>
            <w:shd w:fill="123D4A"/>
            <w:tcMar>
              <w:top w:w="75" w:type="dxa"/>
              <w:start w:w="90" w:type="dxa"/>
              <w:bottom w:w="75" w:type="dxa"/>
              <w:end w:w="90" w:type="dxa"/>
            </w:tcMar>
          </w:tcPr>
          <w:p>
            <w:pPr>
              <w:spacing w:after="0" w:line="240" w:lineRule="auto"/>
            </w:pPr>
            <w:r>
              <w:rPr>
                <w:b/>
                <w:color w:val="FFFFFF"/>
                <w:sz w:val="15"/>
              </w:rPr>
              <w:t>Ownership</w:t>
            </w:r>
          </w:p>
        </w:tc>
        <w:tc>
          <w:tcPr>
            <w:tcW w:type="dxa" w:w="2498"/>
            <w:shd w:fill="123D4A"/>
            <w:tcMar>
              <w:top w:w="75" w:type="dxa"/>
              <w:start w:w="90" w:type="dxa"/>
              <w:bottom w:w="75" w:type="dxa"/>
              <w:end w:w="90" w:type="dxa"/>
            </w:tcMar>
          </w:tcPr>
          <w:p>
            <w:pPr>
              <w:spacing w:after="0" w:line="240" w:lineRule="auto"/>
            </w:pPr>
            <w:r>
              <w:rPr>
                <w:b/>
                <w:color w:val="FFFFFF"/>
                <w:sz w:val="15"/>
              </w:rPr>
              <w:t>Evidence-based scope</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Oman National Educational Portal</w:t>
            </w:r>
          </w:p>
        </w:tc>
        <w:tc>
          <w:tcPr>
            <w:tcW w:type="dxa" w:w="1670"/>
            <w:tcMar>
              <w:top w:w="42" w:type="dxa"/>
              <w:start w:w="82" w:type="dxa"/>
              <w:bottom w:w="42" w:type="dxa"/>
              <w:end w:w="82" w:type="dxa"/>
            </w:tcMar>
          </w:tcPr>
          <w:p>
            <w:pPr>
              <w:spacing w:after="0" w:line="226" w:lineRule="auto"/>
            </w:pPr>
            <w:r>
              <w:rPr>
                <w:color w:val="1F2933"/>
                <w:sz w:val="14"/>
              </w:rPr>
              <w:t>Oman Ministry of Education</w:t>
            </w:r>
          </w:p>
        </w:tc>
        <w:tc>
          <w:tcPr>
            <w:tcW w:type="dxa" w:w="2045"/>
            <w:tcMar>
              <w:top w:w="42" w:type="dxa"/>
              <w:start w:w="82" w:type="dxa"/>
              <w:bottom w:w="42" w:type="dxa"/>
              <w:end w:w="82" w:type="dxa"/>
            </w:tcMar>
          </w:tcPr>
          <w:p>
            <w:pPr>
              <w:spacing w:after="0" w:line="226" w:lineRule="auto"/>
            </w:pPr>
            <w:r>
              <w:rPr>
                <w:color w:val="1F2933"/>
                <w:sz w:val="14"/>
              </w:rPr>
              <w:t>Core technical contributor</w:t>
            </w:r>
          </w:p>
        </w:tc>
        <w:tc>
          <w:tcPr>
            <w:tcW w:type="dxa" w:w="3139"/>
            <w:tcMar>
              <w:top w:w="42" w:type="dxa"/>
              <w:start w:w="82" w:type="dxa"/>
              <w:bottom w:w="42" w:type="dxa"/>
              <w:end w:w="82" w:type="dxa"/>
            </w:tcMar>
          </w:tcPr>
          <w:p>
            <w:pPr>
              <w:spacing w:after="0" w:line="226" w:lineRule="auto"/>
            </w:pPr>
            <w:r>
              <w:rPr>
                <w:color w:val="1F2933"/>
                <w:sz w:val="13"/>
              </w:rPr>
              <w:t>National education platform serving approximately one million users; contributed across analysis, application and database development, reporting, testing, deployment, rollout and support.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Maktabi Electronic Correspondence Management</w:t>
            </w:r>
          </w:p>
        </w:tc>
        <w:tc>
          <w:tcPr>
            <w:tcW w:type="dxa" w:w="1670"/>
            <w:shd w:fill="F5F8F9"/>
            <w:tcMar>
              <w:top w:w="42" w:type="dxa"/>
              <w:start w:w="82" w:type="dxa"/>
              <w:bottom w:w="42" w:type="dxa"/>
              <w:end w:w="82" w:type="dxa"/>
            </w:tcMar>
          </w:tcPr>
          <w:p>
            <w:pPr>
              <w:spacing w:after="0" w:line="226" w:lineRule="auto"/>
            </w:pPr>
            <w:r>
              <w:rPr>
                <w:color w:val="1F2933"/>
                <w:sz w:val="14"/>
              </w:rPr>
              <w:t>Omani government entities</w:t>
            </w:r>
          </w:p>
        </w:tc>
        <w:tc>
          <w:tcPr>
            <w:tcW w:type="dxa" w:w="2045"/>
            <w:shd w:fill="F5F8F9"/>
            <w:tcMar>
              <w:top w:w="42" w:type="dxa"/>
              <w:start w:w="82" w:type="dxa"/>
              <w:bottom w:w="42" w:type="dxa"/>
              <w:end w:w="82" w:type="dxa"/>
            </w:tcMar>
          </w:tcPr>
          <w:p>
            <w:pPr>
              <w:spacing w:after="0" w:line="226" w:lineRule="auto"/>
            </w:pPr>
            <w:r>
              <w:rPr>
                <w:color w:val="1F2933"/>
                <w:sz w:val="14"/>
              </w:rPr>
              <w:t>Core technical contributor</w:t>
            </w:r>
          </w:p>
        </w:tc>
        <w:tc>
          <w:tcPr>
            <w:tcW w:type="dxa" w:w="3139"/>
            <w:shd w:fill="F5F8F9"/>
            <w:tcMar>
              <w:top w:w="42" w:type="dxa"/>
              <w:start w:w="82" w:type="dxa"/>
              <w:bottom w:w="42" w:type="dxa"/>
              <w:end w:w="82" w:type="dxa"/>
            </w:tcMar>
          </w:tcPr>
          <w:p>
            <w:pPr>
              <w:spacing w:after="0" w:line="226" w:lineRule="auto"/>
            </w:pPr>
            <w:r>
              <w:rPr>
                <w:color w:val="1F2933"/>
                <w:sz w:val="13"/>
              </w:rPr>
              <w:t>Large electronic correspondence platform covering creation, routing, forwarding, tracking, management, reporting, supporting database components, testing, production deployment, release implementation and support.</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Recruitment System</w:t>
            </w:r>
          </w:p>
        </w:tc>
        <w:tc>
          <w:tcPr>
            <w:tcW w:type="dxa" w:w="1670"/>
            <w:tcMar>
              <w:top w:w="42" w:type="dxa"/>
              <w:start w:w="82" w:type="dxa"/>
              <w:bottom w:w="42" w:type="dxa"/>
              <w:end w:w="82" w:type="dxa"/>
            </w:tcMar>
          </w:tcPr>
          <w:p>
            <w:pPr>
              <w:spacing w:after="0" w:line="226" w:lineRule="auto"/>
            </w:pPr>
            <w:r>
              <w:rPr>
                <w:color w:val="1F2933"/>
                <w:sz w:val="14"/>
              </w:rPr>
              <w:t>Oman Ministry of Education</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Built the complete recruitment platform independently from analysis and design through database, development, testing and production deployment; recipient of the Sultan Qaboos Award.</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Student Incident Management System</w:t>
            </w:r>
          </w:p>
        </w:tc>
        <w:tc>
          <w:tcPr>
            <w:tcW w:type="dxa" w:w="1670"/>
            <w:shd w:fill="F5F8F9"/>
            <w:tcMar>
              <w:top w:w="42" w:type="dxa"/>
              <w:start w:w="82" w:type="dxa"/>
              <w:bottom w:w="42" w:type="dxa"/>
              <w:end w:w="82" w:type="dxa"/>
            </w:tcMar>
          </w:tcPr>
          <w:p>
            <w:pPr>
              <w:spacing w:after="0" w:line="226" w:lineRule="auto"/>
            </w:pPr>
            <w:r>
              <w:rPr>
                <w:color w:val="1F2933"/>
                <w:sz w:val="14"/>
              </w:rPr>
              <w:t>Oman Ministry of Education</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End-to-end system for recording, following up and reporting student incidents across the education environment.</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International Schools Management</w:t>
            </w:r>
          </w:p>
        </w:tc>
        <w:tc>
          <w:tcPr>
            <w:tcW w:type="dxa" w:w="1670"/>
            <w:tcMar>
              <w:top w:w="42" w:type="dxa"/>
              <w:start w:w="82" w:type="dxa"/>
              <w:bottom w:w="42" w:type="dxa"/>
              <w:end w:w="82" w:type="dxa"/>
            </w:tcMar>
          </w:tcPr>
          <w:p>
            <w:pPr>
              <w:spacing w:after="0" w:line="226" w:lineRule="auto"/>
            </w:pPr>
            <w:r>
              <w:rPr>
                <w:color w:val="1F2933"/>
                <w:sz w:val="14"/>
              </w:rPr>
              <w:t>Oman Ministry of Education</w:t>
            </w:r>
          </w:p>
        </w:tc>
        <w:tc>
          <w:tcPr>
            <w:tcW w:type="dxa" w:w="2045"/>
            <w:tcMar>
              <w:top w:w="42" w:type="dxa"/>
              <w:start w:w="82" w:type="dxa"/>
              <w:bottom w:w="42" w:type="dxa"/>
              <w:end w:w="82" w:type="dxa"/>
            </w:tcMar>
          </w:tcPr>
          <w:p>
            <w:pPr>
              <w:spacing w:after="0" w:line="226" w:lineRule="auto"/>
            </w:pPr>
            <w:r>
              <w:rPr>
                <w:color w:val="1F2933"/>
                <w:sz w:val="14"/>
              </w:rPr>
              <w:t>Core technical contributor</w:t>
            </w:r>
          </w:p>
        </w:tc>
        <w:tc>
          <w:tcPr>
            <w:tcW w:type="dxa" w:w="3139"/>
            <w:tcMar>
              <w:top w:w="42" w:type="dxa"/>
              <w:start w:w="82" w:type="dxa"/>
              <w:bottom w:w="42" w:type="dxa"/>
              <w:end w:w="82" w:type="dxa"/>
            </w:tcMar>
          </w:tcPr>
          <w:p>
            <w:pPr>
              <w:spacing w:after="0" w:line="226" w:lineRule="auto"/>
            </w:pPr>
            <w:r>
              <w:rPr>
                <w:color w:val="1F2933"/>
                <w:sz w:val="13"/>
              </w:rPr>
              <w:t>Contributed across requirements, application and database development, testing, deployment and support.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IT Asset &amp; Hardware Management</w:t>
            </w:r>
          </w:p>
        </w:tc>
        <w:tc>
          <w:tcPr>
            <w:tcW w:type="dxa" w:w="1670"/>
            <w:shd w:fill="F5F8F9"/>
            <w:tcMar>
              <w:top w:w="42" w:type="dxa"/>
              <w:start w:w="82" w:type="dxa"/>
              <w:bottom w:w="42" w:type="dxa"/>
              <w:end w:w="82" w:type="dxa"/>
            </w:tcMar>
          </w:tcPr>
          <w:p>
            <w:pPr>
              <w:spacing w:after="0" w:line="226" w:lineRule="auto"/>
            </w:pPr>
            <w:r>
              <w:rPr>
                <w:color w:val="1F2933"/>
                <w:sz w:val="14"/>
              </w:rPr>
              <w:t>Oman Ministry of Education</w:t>
            </w:r>
          </w:p>
        </w:tc>
        <w:tc>
          <w:tcPr>
            <w:tcW w:type="dxa" w:w="2045"/>
            <w:shd w:fill="F5F8F9"/>
            <w:tcMar>
              <w:top w:w="42" w:type="dxa"/>
              <w:start w:w="82" w:type="dxa"/>
              <w:bottom w:w="42" w:type="dxa"/>
              <w:end w:w="82" w:type="dxa"/>
            </w:tcMar>
          </w:tcPr>
          <w:p>
            <w:pPr>
              <w:spacing w:after="0" w:line="226" w:lineRule="auto"/>
            </w:pPr>
            <w:r>
              <w:rPr>
                <w:color w:val="1F2933"/>
                <w:sz w:val="14"/>
              </w:rPr>
              <w:t>Core technical contributor</w:t>
            </w:r>
          </w:p>
        </w:tc>
        <w:tc>
          <w:tcPr>
            <w:tcW w:type="dxa" w:w="3139"/>
            <w:shd w:fill="F5F8F9"/>
            <w:tcMar>
              <w:top w:w="42" w:type="dxa"/>
              <w:start w:w="82" w:type="dxa"/>
              <w:bottom w:w="42" w:type="dxa"/>
              <w:end w:w="82" w:type="dxa"/>
            </w:tcMar>
          </w:tcPr>
          <w:p>
            <w:pPr>
              <w:spacing w:after="0" w:line="226" w:lineRule="auto"/>
            </w:pPr>
            <w:r>
              <w:rPr>
                <w:color w:val="1F2933"/>
                <w:sz w:val="13"/>
              </w:rPr>
              <w:t>Asset-management solution focused on technology hardware, inventory and operational control.</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Ministry of Agriculture Portal &amp; Omani Dates Market</w:t>
            </w:r>
          </w:p>
        </w:tc>
        <w:tc>
          <w:tcPr>
            <w:tcW w:type="dxa" w:w="1670"/>
            <w:tcMar>
              <w:top w:w="42" w:type="dxa"/>
              <w:start w:w="82" w:type="dxa"/>
              <w:bottom w:w="42" w:type="dxa"/>
              <w:end w:w="82" w:type="dxa"/>
            </w:tcMar>
          </w:tcPr>
          <w:p>
            <w:pPr>
              <w:spacing w:after="0" w:line="226" w:lineRule="auto"/>
            </w:pPr>
            <w:r>
              <w:rPr>
                <w:color w:val="1F2933"/>
                <w:sz w:val="14"/>
              </w:rPr>
              <w:t>Oman Ministry of Agriculture</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Designed and built the portal and dates-market capabilities, including purchasing and request workflows without an online payment gateway.</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Al Wahat Club Management System</w:t>
            </w:r>
          </w:p>
        </w:tc>
        <w:tc>
          <w:tcPr>
            <w:tcW w:type="dxa" w:w="1670"/>
            <w:shd w:fill="F5F8F9"/>
            <w:tcMar>
              <w:top w:w="42" w:type="dxa"/>
              <w:start w:w="82" w:type="dxa"/>
              <w:bottom w:w="42" w:type="dxa"/>
              <w:end w:w="82" w:type="dxa"/>
            </w:tcMar>
          </w:tcPr>
          <w:p>
            <w:pPr>
              <w:spacing w:after="0" w:line="226" w:lineRule="auto"/>
            </w:pPr>
            <w:r>
              <w:rPr>
                <w:color w:val="1F2933"/>
                <w:sz w:val="14"/>
              </w:rPr>
              <w:t>Royal Guard of Oman club assignment</w:t>
            </w:r>
          </w:p>
        </w:tc>
        <w:tc>
          <w:tcPr>
            <w:tcW w:type="dxa" w:w="2045"/>
            <w:shd w:fill="F5F8F9"/>
            <w:tcMar>
              <w:top w:w="42" w:type="dxa"/>
              <w:start w:w="82" w:type="dxa"/>
              <w:bottom w:w="42" w:type="dxa"/>
              <w:end w:w="82" w:type="dxa"/>
            </w:tcMar>
          </w:tcPr>
          <w:p>
            <w:pPr>
              <w:spacing w:after="0" w:line="226" w:lineRule="auto"/>
            </w:pPr>
            <w:r>
              <w:rPr>
                <w:color w:val="1F2933"/>
                <w:sz w:val="14"/>
              </w:rPr>
              <w:t>Core technical contributor</w:t>
            </w:r>
          </w:p>
        </w:tc>
        <w:tc>
          <w:tcPr>
            <w:tcW w:type="dxa" w:w="3139"/>
            <w:shd w:fill="F5F8F9"/>
            <w:tcMar>
              <w:top w:w="42" w:type="dxa"/>
              <w:start w:w="82" w:type="dxa"/>
              <w:bottom w:w="42" w:type="dxa"/>
              <w:end w:w="82" w:type="dxa"/>
            </w:tcMar>
          </w:tcPr>
          <w:p>
            <w:pPr>
              <w:spacing w:after="0" w:line="226" w:lineRule="auto"/>
            </w:pPr>
            <w:r>
              <w:rPr>
                <w:color w:val="1F2933"/>
                <w:sz w:val="13"/>
              </w:rPr>
              <w:t>New system covering memberships and affiliates, hall and facility reservations, approval workflows and event management. This was a client project, not employment at the club.</w:t>
            </w:r>
          </w:p>
        </w:tc>
      </w:tr>
    </w:tbl>
    <w:p>
      <w:pPr>
        <w:spacing w:after="0"/>
      </w:pPr>
    </w:p>
    <w:p>
      <w:pPr>
        <w:pStyle w:val="Heading2"/>
      </w:pPr>
      <w:r>
        <w:t>Delivery approach</w:t>
      </w:r>
    </w:p>
    <w:p>
      <w:pPr>
        <w:pStyle w:val="ListBullet"/>
      </w:pPr>
      <w:r>
        <w:t>Led development teams while remaining hands-on across analysis, databases, C#/.NET development, reporting, testing, deployment, rollout and support; worked substantially on-site across Omani government assignments.</w:t>
      </w:r>
    </w:p>
    <w:p>
      <w:pPr>
        <w:pStyle w:val="ListBullet"/>
      </w:pPr>
      <w:r>
        <w:t>Delivered the Recruitment System and Student Incident Management System independently; Integral Solutions was the employer and the ministries and agencies were client assignments.</w:t>
      </w:r>
    </w:p>
    <w:p>
      <w:pPr>
        <w:pStyle w:val="Heading2"/>
      </w:pPr>
      <w:r>
        <w:t>Technology used</w:t>
      </w:r>
    </w:p>
    <w:p>
      <w:r>
        <w:t>C#, .NET / ASP.NET Web Forms, Web API, Entity Framework, LINQ, SQL Server, JavaScript, jQuery, AJAX, Kendo UI, Telerik UI and Reporting, Infragistics, DevExpress, Crystal Reports, REST/SOAP and IIS.</w:t>
      </w:r>
    </w:p>
    <w:p>
      <w:pPr>
        <w:pageBreakBefore/>
        <w:spacing w:after="40"/>
      </w:pPr>
      <w:r>
        <w:rPr>
          <w:b/>
          <w:color w:val="0B6B72"/>
          <w:sz w:val="18"/>
        </w:rPr>
        <w:t>KEYFRAME EGYPT | 2011–2016</w:t>
      </w:r>
    </w:p>
    <w:p>
      <w:pPr>
        <w:pStyle w:val="Heading1"/>
        <w:pBdr>
          <w:bottom w:val="single" w:sz="12" w:space="5" w:color="0B6B72"/>
        </w:pBdr>
      </w:pPr>
      <w:r>
        <w:t>Extensive project delivery and reusable product foundations</w:t>
      </w:r>
    </w:p>
    <w:p>
      <w:pPr>
        <w:pStyle w:val="Subtitle"/>
        <w:spacing w:after="200"/>
      </w:pPr>
      <w:r>
        <w:t>Development Team Leader &amp; Senior Full-Stack Developer. Sole end-to-end ownership for the confirmed projects presented here, plus leadership of a seven-person full-time team during the final three years. During this period he also founded the Bug Systems concept and independently delivered the bilingual Salamat Healthcare Platform; it is not Keyframe client employment.</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98"/>
            <w:shd w:fill="E8F1F3"/>
            <w:tcMar>
              <w:top w:w="130" w:type="dxa"/>
              <w:start w:w="140" w:type="dxa"/>
              <w:bottom w:w="120" w:type="dxa"/>
              <w:end w:w="140" w:type="dxa"/>
            </w:tcMar>
            <w:vAlign w:val="center"/>
          </w:tcPr>
          <w:p>
            <w:pPr>
              <w:jc w:val="center"/>
            </w:pPr>
            <w:r>
              <w:rPr>
                <w:b/>
                <w:color w:val="123D4A"/>
                <w:sz w:val="40"/>
              </w:rPr>
              <w:t>Extensive</w:t>
            </w:r>
          </w:p>
          <w:p>
            <w:pPr>
              <w:spacing w:after="0"/>
              <w:jc w:val="center"/>
            </w:pPr>
            <w:r>
              <w:rPr>
                <w:color w:val="5E6874"/>
                <w:sz w:val="17"/>
              </w:rPr>
              <w:t>digital projects</w:t>
            </w:r>
          </w:p>
        </w:tc>
        <w:tc>
          <w:tcPr>
            <w:tcW w:type="dxa" w:w="2498"/>
            <w:shd w:fill="E8EEF5"/>
            <w:tcMar>
              <w:top w:w="130" w:type="dxa"/>
              <w:start w:w="140" w:type="dxa"/>
              <w:bottom w:w="120" w:type="dxa"/>
              <w:end w:w="140" w:type="dxa"/>
            </w:tcMar>
            <w:vAlign w:val="center"/>
          </w:tcPr>
          <w:p>
            <w:pPr>
              <w:jc w:val="center"/>
            </w:pPr>
            <w:r>
              <w:rPr>
                <w:b/>
                <w:color w:val="123D4A"/>
                <w:sz w:val="40"/>
              </w:rPr>
              <w:t>7</w:t>
            </w:r>
          </w:p>
          <w:p>
            <w:pPr>
              <w:spacing w:after="0"/>
              <w:jc w:val="center"/>
            </w:pPr>
            <w:r>
              <w:rPr>
                <w:color w:val="5E6874"/>
                <w:sz w:val="17"/>
              </w:rPr>
              <w:t>full-time team members</w:t>
            </w:r>
          </w:p>
        </w:tc>
        <w:tc>
          <w:tcPr>
            <w:tcW w:type="dxa" w:w="2498"/>
            <w:shd w:fill="E8F1F3"/>
            <w:tcMar>
              <w:top w:w="130" w:type="dxa"/>
              <w:start w:w="140" w:type="dxa"/>
              <w:bottom w:w="120" w:type="dxa"/>
              <w:end w:w="140" w:type="dxa"/>
            </w:tcMar>
            <w:vAlign w:val="center"/>
          </w:tcPr>
          <w:p>
            <w:pPr>
              <w:jc w:val="center"/>
            </w:pPr>
            <w:r>
              <w:rPr>
                <w:b/>
                <w:color w:val="123D4A"/>
                <w:sz w:val="40"/>
              </w:rPr>
              <w:t>2</w:t>
            </w:r>
          </w:p>
          <w:p>
            <w:pPr>
              <w:spacing w:after="0"/>
              <w:jc w:val="center"/>
            </w:pPr>
            <w:r>
              <w:rPr>
                <w:color w:val="5E6874"/>
                <w:sz w:val="17"/>
              </w:rPr>
              <w:t>ITIDA award-winning solutions</w:t>
            </w:r>
          </w:p>
        </w:tc>
        <w:tc>
          <w:tcPr>
            <w:tcW w:type="dxa" w:w="2498"/>
            <w:shd w:fill="E8EEF5"/>
            <w:tcMar>
              <w:top w:w="130" w:type="dxa"/>
              <w:start w:w="140" w:type="dxa"/>
              <w:bottom w:w="120" w:type="dxa"/>
              <w:end w:w="140" w:type="dxa"/>
            </w:tcMar>
            <w:vAlign w:val="center"/>
          </w:tcPr>
          <w:p>
            <w:pPr>
              <w:jc w:val="center"/>
            </w:pPr>
            <w:r>
              <w:rPr>
                <w:b/>
                <w:color w:val="123D4A"/>
                <w:sz w:val="40"/>
              </w:rPr>
              <w:t>4</w:t>
            </w:r>
          </w:p>
          <w:p>
            <w:pPr>
              <w:spacing w:after="0"/>
              <w:jc w:val="center"/>
            </w:pPr>
            <w:r>
              <w:rPr>
                <w:color w:val="5E6874"/>
                <w:sz w:val="17"/>
              </w:rPr>
              <w:t>Electrolux country sites</w:t>
            </w:r>
          </w:p>
        </w:tc>
      </w:tr>
    </w:tbl>
    <w:p>
      <w:pPr>
        <w:spacing w:after="0"/>
      </w:pPr>
    </w:p>
    <w:p>
      <w:pPr>
        <w:pStyle w:val="Heading2"/>
      </w:pPr>
      <w:r>
        <w:t>Reusable .NET CMS &amp; electronic publishing</w:t>
      </w:r>
    </w:p>
    <w:p>
      <w:r>
        <w:t>Designed and built a reusable CMS supporting multilingual and RTL publishing, pages, articles, news, events, photo/video galleries, permissions, workflows, search, SEO, analytics, resource files, reporting and integration extensions. The platform was adapted across government, healthcare, education, events and multi-country commercial portals.</w:t>
      </w:r>
    </w:p>
    <w:p>
      <w:pPr>
        <w:pStyle w:val="Heading2"/>
      </w:pPr>
      <w:r>
        <w:t>Reusable conference management</w:t>
      </w:r>
    </w:p>
    <w:p>
      <w:r>
        <w:t>Built a reusable platform for Arab Medical Union, UCHID, BGICC and Arab Organizers, covering registration, attendance, schedules, sessions, speakers, research evaluation, certificates, communications, administration and reporting. No payment-gateway claim is made.</w:t>
      </w:r>
    </w:p>
    <w:p>
      <w:pPr>
        <w:pStyle w:val="Heading2"/>
      </w:pPr>
      <w:r>
        <w:t>Representative individual deliveries</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85" w:type="dxa"/>
              <w:start w:w="125" w:type="dxa"/>
              <w:bottom w:w="85" w:type="dxa"/>
              <w:end w:w="125" w:type="dxa"/>
            </w:tcMar>
          </w:tcPr>
          <w:p>
            <w:pPr>
              <w:spacing w:after="40" w:line="240" w:lineRule="auto"/>
            </w:pPr>
            <w:r>
              <w:rPr>
                <w:b/>
                <w:color w:val="0B6B72"/>
                <w:sz w:val="20"/>
              </w:rPr>
              <w:t>Egypt Ministry of Health &amp; Population Portal</w:t>
            </w:r>
          </w:p>
          <w:p>
            <w:pPr>
              <w:spacing w:after="0" w:line="240" w:lineRule="auto"/>
            </w:pPr>
            <w:r>
              <w:rPr>
                <w:sz w:val="17"/>
              </w:rPr>
              <w:t>Large government health portal with CMS, services, news and events, electronic library, FAQ, newsletter, polls, media galleries, social integration, reporting, security and deployment.</w:t>
            </w:r>
          </w:p>
        </w:tc>
        <w:tc>
          <w:tcPr>
            <w:tcW w:type="dxa" w:w="4997"/>
            <w:shd w:fill="F5F8F9"/>
            <w:tcMar>
              <w:top w:w="85" w:type="dxa"/>
              <w:start w:w="125" w:type="dxa"/>
              <w:bottom w:w="85" w:type="dxa"/>
              <w:end w:w="125" w:type="dxa"/>
            </w:tcMar>
          </w:tcPr>
          <w:p>
            <w:pPr>
              <w:spacing w:after="40" w:line="240" w:lineRule="auto"/>
            </w:pPr>
            <w:r>
              <w:rPr>
                <w:b/>
                <w:color w:val="0B6B72"/>
                <w:sz w:val="20"/>
              </w:rPr>
              <w:t>Egypt Ministry of Planning Portal</w:t>
            </w:r>
          </w:p>
          <w:p>
            <w:pPr>
              <w:spacing w:after="0" w:line="240" w:lineRule="auto"/>
            </w:pPr>
            <w:r>
              <w:rPr>
                <w:sz w:val="17"/>
              </w:rPr>
              <w:t>Independently handled analysis, SRS, architecture, database, CMS, development, testing and deployment. The specification covered services, news, media, newsletter, tenders, polls, careers, accessibility, security, performance and backup/restore.</w:t>
            </w:r>
          </w:p>
        </w:tc>
      </w:tr>
      <w:tr>
        <w:trPr>
          <w:cantSplit w:val="true"/>
        </w:trPr>
        <w:tc>
          <w:tcPr>
            <w:tcW w:type="dxa" w:w="4997"/>
            <w:shd w:fill="F5F8F9"/>
            <w:tcMar>
              <w:top w:w="85" w:type="dxa"/>
              <w:start w:w="125" w:type="dxa"/>
              <w:bottom w:w="85" w:type="dxa"/>
              <w:end w:w="125" w:type="dxa"/>
            </w:tcMar>
          </w:tcPr>
          <w:p>
            <w:pPr>
              <w:spacing w:after="40" w:line="240" w:lineRule="auto"/>
            </w:pPr>
            <w:r>
              <w:rPr>
                <w:b/>
                <w:color w:val="0B6B72"/>
                <w:sz w:val="20"/>
              </w:rPr>
              <w:t>Egypt Government Digital Portals</w:t>
            </w:r>
          </w:p>
          <w:p>
            <w:pPr>
              <w:spacing w:after="0" w:line="240" w:lineRule="auto"/>
            </w:pPr>
            <w:r>
              <w:rPr>
                <w:sz w:val="17"/>
              </w:rPr>
              <w:t>Representative solutions include MSAD, Rate Your Services, National Management Institute, the National Coordinating Committee for Combating Corruption, Egypt Calendar, Elections in Egypt and online survey systems. These were client projects, not government employment.</w:t>
            </w:r>
          </w:p>
        </w:tc>
        <w:tc>
          <w:tcPr>
            <w:tcW w:type="dxa" w:w="4997"/>
            <w:shd w:fill="F5F8F9"/>
            <w:tcMar>
              <w:top w:w="85" w:type="dxa"/>
              <w:start w:w="125" w:type="dxa"/>
              <w:bottom w:w="85" w:type="dxa"/>
              <w:end w:w="125" w:type="dxa"/>
            </w:tcMar>
          </w:tcPr>
          <w:p>
            <w:pPr>
              <w:spacing w:after="40" w:line="240" w:lineRule="auto"/>
            </w:pPr>
            <w:r>
              <w:rPr>
                <w:b/>
                <w:color w:val="0B6B72"/>
                <w:sz w:val="20"/>
              </w:rPr>
              <w:t>Yashfeen Medical Portal</w:t>
            </w:r>
          </w:p>
          <w:p>
            <w:pPr>
              <w:spacing w:after="0" w:line="240" w:lineRule="auto"/>
            </w:pPr>
            <w:r>
              <w:rPr>
                <w:sz w:val="17"/>
              </w:rPr>
              <w:t>Full medical portal built independently for Keyframe. It achieved a award-recognized solution in an ITIDA competition. Mahmoud delivered two ITIDA award-winning solutions during the Keyframe period; the second project name is not currently documented.</w:t>
            </w:r>
          </w:p>
        </w:tc>
      </w:tr>
      <w:tr>
        <w:trPr>
          <w:cantSplit w:val="true"/>
        </w:trPr>
        <w:tc>
          <w:tcPr>
            <w:tcW w:type="dxa" w:w="4997"/>
            <w:shd w:fill="F5F8F9"/>
            <w:tcMar>
              <w:top w:w="85" w:type="dxa"/>
              <w:start w:w="125" w:type="dxa"/>
              <w:bottom w:w="85" w:type="dxa"/>
              <w:end w:w="125" w:type="dxa"/>
            </w:tcMar>
          </w:tcPr>
          <w:p>
            <w:pPr>
              <w:spacing w:after="40" w:line="240" w:lineRule="auto"/>
            </w:pPr>
            <w:r>
              <w:rPr>
                <w:b/>
                <w:color w:val="0B6B72"/>
                <w:sz w:val="20"/>
              </w:rPr>
              <w:t>Traffic Reporting &amp; Officers' Affairs System</w:t>
            </w:r>
          </w:p>
          <w:p>
            <w:pPr>
              <w:spacing w:after="0" w:line="240" w:lineRule="auto"/>
            </w:pPr>
            <w:r>
              <w:rPr>
                <w:sz w:val="17"/>
              </w:rPr>
              <w:t>Complete system for traffic reports and officers' affairs, delivered independently from analysis and database design through testing and deployment.</w:t>
            </w:r>
          </w:p>
        </w:tc>
        <w:tc>
          <w:tcPr>
            <w:tcW w:type="dxa" w:w="4997"/>
            <w:shd w:fill="F5F8F9"/>
            <w:tcMar>
              <w:top w:w="85" w:type="dxa"/>
              <w:start w:w="125" w:type="dxa"/>
              <w:bottom w:w="85" w:type="dxa"/>
              <w:end w:w="125" w:type="dxa"/>
            </w:tcMar>
          </w:tcPr>
          <w:p>
            <w:pPr>
              <w:spacing w:after="40" w:line="240" w:lineRule="auto"/>
            </w:pPr>
            <w:r>
              <w:rPr>
                <w:b/>
                <w:color w:val="0B6B72"/>
                <w:sz w:val="20"/>
              </w:rPr>
              <w:t>Electronic Examinations &amp; Educational Review System</w:t>
            </w:r>
          </w:p>
          <w:p>
            <w:pPr>
              <w:spacing w:after="0" w:line="240" w:lineRule="auto"/>
            </w:pPr>
            <w:r>
              <w:rPr>
                <w:sz w:val="17"/>
              </w:rPr>
              <w:t>Complete electronic-examination and curriculum-review system for multiple educational certificate curricula.</w:t>
            </w:r>
          </w:p>
        </w:tc>
      </w:tr>
    </w:tbl>
    <w:p>
      <w:pPr>
        <w:spacing w:after="0"/>
      </w:pPr>
    </w:p>
    <w:p>
      <w:pPr>
        <w:pageBreakBefore/>
        <w:spacing w:after="40"/>
      </w:pPr>
      <w:r>
        <w:rPr>
          <w:b/>
          <w:color w:val="0B6B72"/>
          <w:sz w:val="18"/>
        </w:rPr>
        <w:t>SELECTED PROJECT DIRECTORY</w:t>
      </w:r>
    </w:p>
    <w:p>
      <w:pPr>
        <w:pStyle w:val="Heading1"/>
        <w:pBdr>
          <w:bottom w:val="single" w:sz="12" w:space="5" w:color="0B6B72"/>
        </w:pBdr>
      </w:pPr>
      <w:r>
        <w:t>Government, health, education, events and enterprise platforms</w:t>
      </w:r>
    </w:p>
    <w:p>
      <w:pPr>
        <w:pStyle w:val="Subtitle"/>
        <w:spacing w:after="200"/>
      </w:pPr>
      <w:r>
        <w:t>Representative projects. Smaller projects from the broader Keyframe portfolio are intentionally omitted.</w:t>
      </w:r>
    </w:p>
    <w:tbl>
      <w:tblPr>
        <w:tblW w:type="auto" w:w="0"/>
        <w:jc w:val="center"/>
        <w:tblLayout w:type="fixed"/>
        <w:tblLook w:firstColumn="1" w:firstRow="1" w:lastColumn="0" w:lastRow="0" w:noHBand="0" w:noVBand="1" w:val="04A0"/>
      </w:tblPr>
      <w:tblGrid>
        <w:gridCol w:w="2995"/>
        <w:gridCol w:w="1670"/>
        <w:gridCol w:w="2045"/>
        <w:gridCol w:w="3139"/>
      </w:tblGrid>
      <w:tr>
        <w:trPr>
          <w:tblHeader w:val="true"/>
          <w:cantSplit w:val="true"/>
        </w:trPr>
        <w:tc>
          <w:tcPr>
            <w:tcW w:type="dxa" w:w="2498"/>
            <w:shd w:fill="123D4A"/>
            <w:tcMar>
              <w:top w:w="75" w:type="dxa"/>
              <w:start w:w="90" w:type="dxa"/>
              <w:bottom w:w="75" w:type="dxa"/>
              <w:end w:w="90" w:type="dxa"/>
            </w:tcMar>
          </w:tcPr>
          <w:p>
            <w:pPr>
              <w:spacing w:after="0" w:line="240" w:lineRule="auto"/>
            </w:pPr>
            <w:r>
              <w:rPr>
                <w:b/>
                <w:color w:val="FFFFFF"/>
                <w:sz w:val="15"/>
              </w:rPr>
              <w:t>Project / Platform</w:t>
            </w:r>
          </w:p>
        </w:tc>
        <w:tc>
          <w:tcPr>
            <w:tcW w:type="dxa" w:w="2498"/>
            <w:shd w:fill="123D4A"/>
            <w:tcMar>
              <w:top w:w="75" w:type="dxa"/>
              <w:start w:w="90" w:type="dxa"/>
              <w:bottom w:w="75" w:type="dxa"/>
              <w:end w:w="90" w:type="dxa"/>
            </w:tcMar>
          </w:tcPr>
          <w:p>
            <w:pPr>
              <w:spacing w:after="0" w:line="240" w:lineRule="auto"/>
            </w:pPr>
            <w:r>
              <w:rPr>
                <w:b/>
                <w:color w:val="FFFFFF"/>
                <w:sz w:val="15"/>
              </w:rPr>
              <w:t>Context</w:t>
            </w:r>
          </w:p>
        </w:tc>
        <w:tc>
          <w:tcPr>
            <w:tcW w:type="dxa" w:w="2498"/>
            <w:shd w:fill="123D4A"/>
            <w:tcMar>
              <w:top w:w="75" w:type="dxa"/>
              <w:start w:w="90" w:type="dxa"/>
              <w:bottom w:w="75" w:type="dxa"/>
              <w:end w:w="90" w:type="dxa"/>
            </w:tcMar>
          </w:tcPr>
          <w:p>
            <w:pPr>
              <w:spacing w:after="0" w:line="240" w:lineRule="auto"/>
            </w:pPr>
            <w:r>
              <w:rPr>
                <w:b/>
                <w:color w:val="FFFFFF"/>
                <w:sz w:val="15"/>
              </w:rPr>
              <w:t>Ownership</w:t>
            </w:r>
          </w:p>
        </w:tc>
        <w:tc>
          <w:tcPr>
            <w:tcW w:type="dxa" w:w="2498"/>
            <w:shd w:fill="123D4A"/>
            <w:tcMar>
              <w:top w:w="75" w:type="dxa"/>
              <w:start w:w="90" w:type="dxa"/>
              <w:bottom w:w="75" w:type="dxa"/>
              <w:end w:w="90" w:type="dxa"/>
            </w:tcMar>
          </w:tcPr>
          <w:p>
            <w:pPr>
              <w:spacing w:after="0" w:line="240" w:lineRule="auto"/>
            </w:pPr>
            <w:r>
              <w:rPr>
                <w:b/>
                <w:color w:val="FFFFFF"/>
                <w:sz w:val="15"/>
              </w:rPr>
              <w:t>Evidence-based scope</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Unified National Procurement Platform</w:t>
            </w:r>
          </w:p>
        </w:tc>
        <w:tc>
          <w:tcPr>
            <w:tcW w:type="dxa" w:w="1670"/>
            <w:tcMar>
              <w:top w:w="42" w:type="dxa"/>
              <w:start w:w="82" w:type="dxa"/>
              <w:bottom w:w="42" w:type="dxa"/>
              <w:end w:w="82" w:type="dxa"/>
            </w:tcMar>
          </w:tcPr>
          <w:p>
            <w:pPr>
              <w:spacing w:after="0" w:line="226" w:lineRule="auto"/>
            </w:pPr>
            <w:r>
              <w:rPr>
                <w:color w:val="1F2933"/>
                <w:sz w:val="14"/>
              </w:rPr>
              <w:t>UPA</w:t>
            </w:r>
          </w:p>
        </w:tc>
        <w:tc>
          <w:tcPr>
            <w:tcW w:type="dxa" w:w="2045"/>
            <w:tcMar>
              <w:top w:w="42" w:type="dxa"/>
              <w:start w:w="82" w:type="dxa"/>
              <w:bottom w:w="42" w:type="dxa"/>
              <w:end w:w="82" w:type="dxa"/>
            </w:tcMar>
          </w:tcPr>
          <w:p>
            <w:pPr>
              <w:spacing w:after="0" w:line="226" w:lineRule="auto"/>
            </w:pPr>
            <w:r>
              <w:rPr>
                <w:color w:val="1F2933"/>
                <w:sz w:val="14"/>
              </w:rPr>
              <w:t>Led through the Central Administration</w:t>
            </w:r>
          </w:p>
        </w:tc>
        <w:tc>
          <w:tcPr>
            <w:tcW w:type="dxa" w:w="3139"/>
            <w:tcMar>
              <w:top w:w="42" w:type="dxa"/>
              <w:start w:w="82" w:type="dxa"/>
              <w:bottom w:w="42" w:type="dxa"/>
              <w:end w:w="82" w:type="dxa"/>
            </w:tcMar>
          </w:tcPr>
          <w:p>
            <w:pPr>
              <w:spacing w:after="0" w:line="226" w:lineRule="auto"/>
            </w:pPr>
            <w:r>
              <w:rPr>
                <w:color w:val="1F2933"/>
                <w:sz w:val="13"/>
              </w:rPr>
              <w:t>Unified national platform covering demand consolidation, approvals, tendering, supplier evaluation, award and contracting, purchase orders, delivery and receipt, reporting, auditability, support and shared enterprise services.</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Integrated HIS &amp; Electronic Pharmacy Platform</w:t>
            </w:r>
          </w:p>
        </w:tc>
        <w:tc>
          <w:tcPr>
            <w:tcW w:type="dxa" w:w="1670"/>
            <w:shd w:fill="F5F8F9"/>
            <w:tcMar>
              <w:top w:w="42" w:type="dxa"/>
              <w:start w:w="82" w:type="dxa"/>
              <w:bottom w:w="42" w:type="dxa"/>
              <w:end w:w="82" w:type="dxa"/>
            </w:tcMar>
          </w:tcPr>
          <w:p>
            <w:pPr>
              <w:spacing w:after="0" w:line="226" w:lineRule="auto"/>
            </w:pPr>
            <w:r>
              <w:rPr>
                <w:color w:val="1F2933"/>
                <w:sz w:val="14"/>
              </w:rPr>
              <w:t>UPA</w:t>
            </w:r>
          </w:p>
        </w:tc>
        <w:tc>
          <w:tcPr>
            <w:tcW w:type="dxa" w:w="2045"/>
            <w:shd w:fill="F5F8F9"/>
            <w:tcMar>
              <w:top w:w="42" w:type="dxa"/>
              <w:start w:w="82" w:type="dxa"/>
              <w:bottom w:w="42" w:type="dxa"/>
              <w:end w:w="82" w:type="dxa"/>
            </w:tcMar>
          </w:tcPr>
          <w:p>
            <w:pPr>
              <w:spacing w:after="0" w:line="226" w:lineRule="auto"/>
            </w:pPr>
            <w:r>
              <w:rPr>
                <w:color w:val="1F2933"/>
                <w:sz w:val="14"/>
              </w:rPr>
              <w:t>Led through the Central Administration</w:t>
            </w:r>
          </w:p>
        </w:tc>
        <w:tc>
          <w:tcPr>
            <w:tcW w:type="dxa" w:w="3139"/>
            <w:shd w:fill="F5F8F9"/>
            <w:tcMar>
              <w:top w:w="42" w:type="dxa"/>
              <w:start w:w="82" w:type="dxa"/>
              <w:bottom w:w="42" w:type="dxa"/>
              <w:end w:w="82" w:type="dxa"/>
            </w:tcMar>
          </w:tcPr>
          <w:p>
            <w:pPr>
              <w:spacing w:after="0" w:line="226" w:lineRule="auto"/>
            </w:pPr>
            <w:r>
              <w:rPr>
                <w:color w:val="1F2933"/>
                <w:sz w:val="13"/>
              </w:rPr>
              <w:t xml:space="preserve">Reusable healthcare platform for health entities with a complete electronic pharmacy and HIS capabilities, ICD-10 and ICD-11 support and integrations with multiple health-sector organizations. </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Dynamics 365 Integration &amp; Enterprise Data Alignment</w:t>
            </w:r>
          </w:p>
        </w:tc>
        <w:tc>
          <w:tcPr>
            <w:tcW w:type="dxa" w:w="1670"/>
            <w:tcMar>
              <w:top w:w="42" w:type="dxa"/>
              <w:start w:w="82" w:type="dxa"/>
              <w:bottom w:w="42" w:type="dxa"/>
              <w:end w:w="82" w:type="dxa"/>
            </w:tcMar>
          </w:tcPr>
          <w:p>
            <w:pPr>
              <w:spacing w:after="0" w:line="226" w:lineRule="auto"/>
            </w:pPr>
            <w:r>
              <w:rPr>
                <w:color w:val="1F2933"/>
                <w:sz w:val="14"/>
              </w:rPr>
              <w:t>UPA</w:t>
            </w:r>
          </w:p>
        </w:tc>
        <w:tc>
          <w:tcPr>
            <w:tcW w:type="dxa" w:w="2045"/>
            <w:tcMar>
              <w:top w:w="42" w:type="dxa"/>
              <w:start w:w="82" w:type="dxa"/>
              <w:bottom w:w="42" w:type="dxa"/>
              <w:end w:w="82" w:type="dxa"/>
            </w:tcMar>
          </w:tcPr>
          <w:p>
            <w:pPr>
              <w:spacing w:after="0" w:line="226" w:lineRule="auto"/>
            </w:pPr>
            <w:r>
              <w:rPr>
                <w:color w:val="1F2933"/>
                <w:sz w:val="14"/>
              </w:rPr>
              <w:t>Led through the Central Administration</w:t>
            </w:r>
          </w:p>
        </w:tc>
        <w:tc>
          <w:tcPr>
            <w:tcW w:type="dxa" w:w="3139"/>
            <w:tcMar>
              <w:top w:w="42" w:type="dxa"/>
              <w:start w:w="82" w:type="dxa"/>
              <w:bottom w:w="42" w:type="dxa"/>
              <w:end w:w="82" w:type="dxa"/>
            </w:tcMar>
          </w:tcPr>
          <w:p>
            <w:pPr>
              <w:spacing w:after="0" w:line="226" w:lineRule="auto"/>
            </w:pPr>
            <w:r>
              <w:rPr>
                <w:color w:val="1F2933"/>
                <w:sz w:val="13"/>
              </w:rPr>
              <w:t>Unified integration work connecting the authority's platforms with Microsoft Dynamics 365 and related enterprise data and workflow requirements.</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Omnichannel SMS Notification Service</w:t>
            </w:r>
          </w:p>
        </w:tc>
        <w:tc>
          <w:tcPr>
            <w:tcW w:type="dxa" w:w="1670"/>
            <w:shd w:fill="F5F8F9"/>
            <w:tcMar>
              <w:top w:w="42" w:type="dxa"/>
              <w:start w:w="82" w:type="dxa"/>
              <w:bottom w:w="42" w:type="dxa"/>
              <w:end w:w="82" w:type="dxa"/>
            </w:tcMar>
          </w:tcPr>
          <w:p>
            <w:pPr>
              <w:spacing w:after="0" w:line="226" w:lineRule="auto"/>
            </w:pPr>
            <w:r>
              <w:rPr>
                <w:color w:val="1F2933"/>
                <w:sz w:val="14"/>
              </w:rPr>
              <w:t>UPA</w:t>
            </w:r>
          </w:p>
        </w:tc>
        <w:tc>
          <w:tcPr>
            <w:tcW w:type="dxa" w:w="2045"/>
            <w:shd w:fill="F5F8F9"/>
            <w:tcMar>
              <w:top w:w="42" w:type="dxa"/>
              <w:start w:w="82" w:type="dxa"/>
              <w:bottom w:w="42" w:type="dxa"/>
              <w:end w:w="82" w:type="dxa"/>
            </w:tcMar>
          </w:tcPr>
          <w:p>
            <w:pPr>
              <w:spacing w:after="0" w:line="226" w:lineRule="auto"/>
            </w:pPr>
            <w:r>
              <w:rPr>
                <w:color w:val="1F2933"/>
                <w:sz w:val="14"/>
              </w:rPr>
              <w:t>Led through the Central Administration</w:t>
            </w:r>
          </w:p>
        </w:tc>
        <w:tc>
          <w:tcPr>
            <w:tcW w:type="dxa" w:w="3139"/>
            <w:shd w:fill="F5F8F9"/>
            <w:tcMar>
              <w:top w:w="42" w:type="dxa"/>
              <w:start w:w="82" w:type="dxa"/>
              <w:bottom w:w="42" w:type="dxa"/>
              <w:end w:w="82" w:type="dxa"/>
            </w:tcMar>
          </w:tcPr>
          <w:p>
            <w:pPr>
              <w:spacing w:after="0" w:line="226" w:lineRule="auto"/>
            </w:pPr>
            <w:r>
              <w:rPr>
                <w:color w:val="1F2933"/>
                <w:sz w:val="13"/>
              </w:rPr>
              <w:t>Central notification capability integrated with the authority's platform and service channels.</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Electronic Signature Enablement</w:t>
            </w:r>
          </w:p>
        </w:tc>
        <w:tc>
          <w:tcPr>
            <w:tcW w:type="dxa" w:w="1670"/>
            <w:tcMar>
              <w:top w:w="42" w:type="dxa"/>
              <w:start w:w="82" w:type="dxa"/>
              <w:bottom w:w="42" w:type="dxa"/>
              <w:end w:w="82" w:type="dxa"/>
            </w:tcMar>
          </w:tcPr>
          <w:p>
            <w:pPr>
              <w:spacing w:after="0" w:line="226" w:lineRule="auto"/>
            </w:pPr>
            <w:r>
              <w:rPr>
                <w:color w:val="1F2933"/>
                <w:sz w:val="14"/>
              </w:rPr>
              <w:t>UPA</w:t>
            </w:r>
          </w:p>
        </w:tc>
        <w:tc>
          <w:tcPr>
            <w:tcW w:type="dxa" w:w="2045"/>
            <w:tcMar>
              <w:top w:w="42" w:type="dxa"/>
              <w:start w:w="82" w:type="dxa"/>
              <w:bottom w:w="42" w:type="dxa"/>
              <w:end w:w="82" w:type="dxa"/>
            </w:tcMar>
          </w:tcPr>
          <w:p>
            <w:pPr>
              <w:spacing w:after="0" w:line="226" w:lineRule="auto"/>
            </w:pPr>
            <w:r>
              <w:rPr>
                <w:color w:val="1F2933"/>
                <w:sz w:val="14"/>
              </w:rPr>
              <w:t>Led through the Central Administration</w:t>
            </w:r>
          </w:p>
        </w:tc>
        <w:tc>
          <w:tcPr>
            <w:tcW w:type="dxa" w:w="3139"/>
            <w:tcMar>
              <w:top w:w="42" w:type="dxa"/>
              <w:start w:w="82" w:type="dxa"/>
              <w:bottom w:w="42" w:type="dxa"/>
              <w:end w:w="82" w:type="dxa"/>
            </w:tcMar>
          </w:tcPr>
          <w:p>
            <w:pPr>
              <w:spacing w:after="0" w:line="226" w:lineRule="auto"/>
            </w:pPr>
            <w:r>
              <w:rPr>
                <w:color w:val="1F2933"/>
                <w:sz w:val="13"/>
              </w:rPr>
              <w:t>Prepared platform workflows and integration components for electronic signature while keeping the production status explicit.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Oman National Educational Portal</w:t>
            </w:r>
          </w:p>
        </w:tc>
        <w:tc>
          <w:tcPr>
            <w:tcW w:type="dxa" w:w="1670"/>
            <w:shd w:fill="F5F8F9"/>
            <w:tcMar>
              <w:top w:w="42" w:type="dxa"/>
              <w:start w:w="82" w:type="dxa"/>
              <w:bottom w:w="42" w:type="dxa"/>
              <w:end w:w="82" w:type="dxa"/>
            </w:tcMar>
          </w:tcPr>
          <w:p>
            <w:pPr>
              <w:spacing w:after="0" w:line="226" w:lineRule="auto"/>
            </w:pPr>
            <w:r>
              <w:rPr>
                <w:color w:val="1F2933"/>
                <w:sz w:val="14"/>
              </w:rPr>
              <w:t>Oman Ministry of Education</w:t>
            </w:r>
          </w:p>
        </w:tc>
        <w:tc>
          <w:tcPr>
            <w:tcW w:type="dxa" w:w="2045"/>
            <w:shd w:fill="F5F8F9"/>
            <w:tcMar>
              <w:top w:w="42" w:type="dxa"/>
              <w:start w:w="82" w:type="dxa"/>
              <w:bottom w:w="42" w:type="dxa"/>
              <w:end w:w="82" w:type="dxa"/>
            </w:tcMar>
          </w:tcPr>
          <w:p>
            <w:pPr>
              <w:spacing w:after="0" w:line="226" w:lineRule="auto"/>
            </w:pPr>
            <w:r>
              <w:rPr>
                <w:color w:val="1F2933"/>
                <w:sz w:val="14"/>
              </w:rPr>
              <w:t>Core technical contributor</w:t>
            </w:r>
          </w:p>
        </w:tc>
        <w:tc>
          <w:tcPr>
            <w:tcW w:type="dxa" w:w="3139"/>
            <w:shd w:fill="F5F8F9"/>
            <w:tcMar>
              <w:top w:w="42" w:type="dxa"/>
              <w:start w:w="82" w:type="dxa"/>
              <w:bottom w:w="42" w:type="dxa"/>
              <w:end w:w="82" w:type="dxa"/>
            </w:tcMar>
          </w:tcPr>
          <w:p>
            <w:pPr>
              <w:spacing w:after="0" w:line="226" w:lineRule="auto"/>
            </w:pPr>
            <w:r>
              <w:rPr>
                <w:color w:val="1F2933"/>
                <w:sz w:val="13"/>
              </w:rPr>
              <w:t>National education platform serving approximately one million users; contributed across analysis, application and database development, reporting, testing, deployment, rollout and support.</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Maktabi Electronic Correspondence Management</w:t>
            </w:r>
          </w:p>
        </w:tc>
        <w:tc>
          <w:tcPr>
            <w:tcW w:type="dxa" w:w="1670"/>
            <w:tcMar>
              <w:top w:w="42" w:type="dxa"/>
              <w:start w:w="82" w:type="dxa"/>
              <w:bottom w:w="42" w:type="dxa"/>
              <w:end w:w="82" w:type="dxa"/>
            </w:tcMar>
          </w:tcPr>
          <w:p>
            <w:pPr>
              <w:spacing w:after="0" w:line="226" w:lineRule="auto"/>
            </w:pPr>
            <w:r>
              <w:rPr>
                <w:color w:val="1F2933"/>
                <w:sz w:val="14"/>
              </w:rPr>
              <w:t>Omani government entities</w:t>
            </w:r>
          </w:p>
        </w:tc>
        <w:tc>
          <w:tcPr>
            <w:tcW w:type="dxa" w:w="2045"/>
            <w:tcMar>
              <w:top w:w="42" w:type="dxa"/>
              <w:start w:w="82" w:type="dxa"/>
              <w:bottom w:w="42" w:type="dxa"/>
              <w:end w:w="82" w:type="dxa"/>
            </w:tcMar>
          </w:tcPr>
          <w:p>
            <w:pPr>
              <w:spacing w:after="0" w:line="226" w:lineRule="auto"/>
            </w:pPr>
            <w:r>
              <w:rPr>
                <w:color w:val="1F2933"/>
                <w:sz w:val="14"/>
              </w:rPr>
              <w:t>Core technical contributor</w:t>
            </w:r>
          </w:p>
        </w:tc>
        <w:tc>
          <w:tcPr>
            <w:tcW w:type="dxa" w:w="3139"/>
            <w:tcMar>
              <w:top w:w="42" w:type="dxa"/>
              <w:start w:w="82" w:type="dxa"/>
              <w:bottom w:w="42" w:type="dxa"/>
              <w:end w:w="82" w:type="dxa"/>
            </w:tcMar>
          </w:tcPr>
          <w:p>
            <w:pPr>
              <w:spacing w:after="0" w:line="226" w:lineRule="auto"/>
            </w:pPr>
            <w:r>
              <w:rPr>
                <w:color w:val="1F2933"/>
                <w:sz w:val="13"/>
              </w:rPr>
              <w:t>Large electronic correspondence platform covering creation, routing, forwarding, tracking, management, reporting, supporting database components, testing, production deployment, release implementation and support.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Recruitment System</w:t>
            </w:r>
          </w:p>
        </w:tc>
        <w:tc>
          <w:tcPr>
            <w:tcW w:type="dxa" w:w="1670"/>
            <w:shd w:fill="F5F8F9"/>
            <w:tcMar>
              <w:top w:w="42" w:type="dxa"/>
              <w:start w:w="82" w:type="dxa"/>
              <w:bottom w:w="42" w:type="dxa"/>
              <w:end w:w="82" w:type="dxa"/>
            </w:tcMar>
          </w:tcPr>
          <w:p>
            <w:pPr>
              <w:spacing w:after="0" w:line="226" w:lineRule="auto"/>
            </w:pPr>
            <w:r>
              <w:rPr>
                <w:color w:val="1F2933"/>
                <w:sz w:val="14"/>
              </w:rPr>
              <w:t>Oman Ministry of Education</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Built the complete recruitment platform independently from analysis and design through database, development, testing and production deployment; recipient of the Sultan Qaboos Award.</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Student Incident Management System</w:t>
            </w:r>
          </w:p>
        </w:tc>
        <w:tc>
          <w:tcPr>
            <w:tcW w:type="dxa" w:w="1670"/>
            <w:tcMar>
              <w:top w:w="42" w:type="dxa"/>
              <w:start w:w="82" w:type="dxa"/>
              <w:bottom w:w="42" w:type="dxa"/>
              <w:end w:w="82" w:type="dxa"/>
            </w:tcMar>
          </w:tcPr>
          <w:p>
            <w:pPr>
              <w:spacing w:after="0" w:line="226" w:lineRule="auto"/>
            </w:pPr>
            <w:r>
              <w:rPr>
                <w:color w:val="1F2933"/>
                <w:sz w:val="14"/>
              </w:rPr>
              <w:t>Oman Ministry of Education</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End-to-end system for recording, following up and reporting student incidents across the education environment.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International Schools Management</w:t>
            </w:r>
          </w:p>
        </w:tc>
        <w:tc>
          <w:tcPr>
            <w:tcW w:type="dxa" w:w="1670"/>
            <w:shd w:fill="F5F8F9"/>
            <w:tcMar>
              <w:top w:w="42" w:type="dxa"/>
              <w:start w:w="82" w:type="dxa"/>
              <w:bottom w:w="42" w:type="dxa"/>
              <w:end w:w="82" w:type="dxa"/>
            </w:tcMar>
          </w:tcPr>
          <w:p>
            <w:pPr>
              <w:spacing w:after="0" w:line="226" w:lineRule="auto"/>
            </w:pPr>
            <w:r>
              <w:rPr>
                <w:color w:val="1F2933"/>
                <w:sz w:val="14"/>
              </w:rPr>
              <w:t>Oman Ministry of Education</w:t>
            </w:r>
          </w:p>
        </w:tc>
        <w:tc>
          <w:tcPr>
            <w:tcW w:type="dxa" w:w="2045"/>
            <w:shd w:fill="F5F8F9"/>
            <w:tcMar>
              <w:top w:w="42" w:type="dxa"/>
              <w:start w:w="82" w:type="dxa"/>
              <w:bottom w:w="42" w:type="dxa"/>
              <w:end w:w="82" w:type="dxa"/>
            </w:tcMar>
          </w:tcPr>
          <w:p>
            <w:pPr>
              <w:spacing w:after="0" w:line="226" w:lineRule="auto"/>
            </w:pPr>
            <w:r>
              <w:rPr>
                <w:color w:val="1F2933"/>
                <w:sz w:val="14"/>
              </w:rPr>
              <w:t>Core technical contributor</w:t>
            </w:r>
          </w:p>
        </w:tc>
        <w:tc>
          <w:tcPr>
            <w:tcW w:type="dxa" w:w="3139"/>
            <w:shd w:fill="F5F8F9"/>
            <w:tcMar>
              <w:top w:w="42" w:type="dxa"/>
              <w:start w:w="82" w:type="dxa"/>
              <w:bottom w:w="42" w:type="dxa"/>
              <w:end w:w="82" w:type="dxa"/>
            </w:tcMar>
          </w:tcPr>
          <w:p>
            <w:pPr>
              <w:spacing w:after="0" w:line="226" w:lineRule="auto"/>
            </w:pPr>
            <w:r>
              <w:rPr>
                <w:color w:val="1F2933"/>
                <w:sz w:val="13"/>
              </w:rPr>
              <w:t>Contributed across requirements, application and database development, testing, deployment and support.</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IT Asset &amp; Hardware Management</w:t>
            </w:r>
          </w:p>
        </w:tc>
        <w:tc>
          <w:tcPr>
            <w:tcW w:type="dxa" w:w="1670"/>
            <w:tcMar>
              <w:top w:w="42" w:type="dxa"/>
              <w:start w:w="82" w:type="dxa"/>
              <w:bottom w:w="42" w:type="dxa"/>
              <w:end w:w="82" w:type="dxa"/>
            </w:tcMar>
          </w:tcPr>
          <w:p>
            <w:pPr>
              <w:spacing w:after="0" w:line="226" w:lineRule="auto"/>
            </w:pPr>
            <w:r>
              <w:rPr>
                <w:color w:val="1F2933"/>
                <w:sz w:val="14"/>
              </w:rPr>
              <w:t>Oman Ministry of Education</w:t>
            </w:r>
          </w:p>
        </w:tc>
        <w:tc>
          <w:tcPr>
            <w:tcW w:type="dxa" w:w="2045"/>
            <w:tcMar>
              <w:top w:w="42" w:type="dxa"/>
              <w:start w:w="82" w:type="dxa"/>
              <w:bottom w:w="42" w:type="dxa"/>
              <w:end w:w="82" w:type="dxa"/>
            </w:tcMar>
          </w:tcPr>
          <w:p>
            <w:pPr>
              <w:spacing w:after="0" w:line="226" w:lineRule="auto"/>
            </w:pPr>
            <w:r>
              <w:rPr>
                <w:color w:val="1F2933"/>
                <w:sz w:val="14"/>
              </w:rPr>
              <w:t>Core technical contributor</w:t>
            </w:r>
          </w:p>
        </w:tc>
        <w:tc>
          <w:tcPr>
            <w:tcW w:type="dxa" w:w="3139"/>
            <w:tcMar>
              <w:top w:w="42" w:type="dxa"/>
              <w:start w:w="82" w:type="dxa"/>
              <w:bottom w:w="42" w:type="dxa"/>
              <w:end w:w="82" w:type="dxa"/>
            </w:tcMar>
          </w:tcPr>
          <w:p>
            <w:pPr>
              <w:spacing w:after="0" w:line="226" w:lineRule="auto"/>
            </w:pPr>
            <w:r>
              <w:rPr>
                <w:color w:val="1F2933"/>
                <w:sz w:val="13"/>
              </w:rPr>
              <w:t>Asset-management solution focused on technology hardware, inventory and operational control.</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Ministry of Agriculture Portal &amp; Omani Dates Market</w:t>
            </w:r>
          </w:p>
        </w:tc>
        <w:tc>
          <w:tcPr>
            <w:tcW w:type="dxa" w:w="1670"/>
            <w:shd w:fill="F5F8F9"/>
            <w:tcMar>
              <w:top w:w="42" w:type="dxa"/>
              <w:start w:w="82" w:type="dxa"/>
              <w:bottom w:w="42" w:type="dxa"/>
              <w:end w:w="82" w:type="dxa"/>
            </w:tcMar>
          </w:tcPr>
          <w:p>
            <w:pPr>
              <w:spacing w:after="0" w:line="226" w:lineRule="auto"/>
            </w:pPr>
            <w:r>
              <w:rPr>
                <w:color w:val="1F2933"/>
                <w:sz w:val="14"/>
              </w:rPr>
              <w:t>Oman Ministry of Agriculture</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Designed and built the portal and dates-market capabilities, including purchasing and request workflows without an online payment gateway.</w:t>
            </w:r>
          </w:p>
        </w:tc>
      </w:tr>
    </w:tbl>
    <w:p>
      <w:pPr>
        <w:spacing w:after="0"/>
      </w:pPr>
    </w:p>
    <w:p>
      <w:pPr>
        <w:pageBreakBefore/>
        <w:spacing w:after="80"/>
      </w:pPr>
      <w:r>
        <w:rPr>
          <w:b/>
          <w:color w:val="0B6B72"/>
          <w:sz w:val="18"/>
        </w:rPr>
        <w:t>SELECTED PROJECT DIRECTORY — CONTINUED</w:t>
      </w:r>
    </w:p>
    <w:tbl>
      <w:tblPr>
        <w:tblW w:type="auto" w:w="0"/>
        <w:jc w:val="center"/>
        <w:tblLayout w:type="fixed"/>
        <w:tblLook w:firstColumn="1" w:firstRow="1" w:lastColumn="0" w:lastRow="0" w:noHBand="0" w:noVBand="1" w:val="04A0"/>
      </w:tblPr>
      <w:tblGrid>
        <w:gridCol w:w="2995"/>
        <w:gridCol w:w="1670"/>
        <w:gridCol w:w="2045"/>
        <w:gridCol w:w="3139"/>
      </w:tblGrid>
      <w:tr>
        <w:trPr>
          <w:tblHeader w:val="true"/>
          <w:cantSplit w:val="true"/>
        </w:trPr>
        <w:tc>
          <w:tcPr>
            <w:tcW w:type="dxa" w:w="2498"/>
            <w:shd w:fill="123D4A"/>
            <w:tcMar>
              <w:top w:w="75" w:type="dxa"/>
              <w:start w:w="90" w:type="dxa"/>
              <w:bottom w:w="75" w:type="dxa"/>
              <w:end w:w="90" w:type="dxa"/>
            </w:tcMar>
          </w:tcPr>
          <w:p>
            <w:pPr>
              <w:spacing w:after="0" w:line="240" w:lineRule="auto"/>
            </w:pPr>
            <w:r>
              <w:rPr>
                <w:b/>
                <w:color w:val="FFFFFF"/>
                <w:sz w:val="15"/>
              </w:rPr>
              <w:t>Project / Platform</w:t>
            </w:r>
          </w:p>
        </w:tc>
        <w:tc>
          <w:tcPr>
            <w:tcW w:type="dxa" w:w="2498"/>
            <w:shd w:fill="123D4A"/>
            <w:tcMar>
              <w:top w:w="75" w:type="dxa"/>
              <w:start w:w="90" w:type="dxa"/>
              <w:bottom w:w="75" w:type="dxa"/>
              <w:end w:w="90" w:type="dxa"/>
            </w:tcMar>
          </w:tcPr>
          <w:p>
            <w:pPr>
              <w:spacing w:after="0" w:line="240" w:lineRule="auto"/>
            </w:pPr>
            <w:r>
              <w:rPr>
                <w:b/>
                <w:color w:val="FFFFFF"/>
                <w:sz w:val="15"/>
              </w:rPr>
              <w:t>Context</w:t>
            </w:r>
          </w:p>
        </w:tc>
        <w:tc>
          <w:tcPr>
            <w:tcW w:type="dxa" w:w="2498"/>
            <w:shd w:fill="123D4A"/>
            <w:tcMar>
              <w:top w:w="75" w:type="dxa"/>
              <w:start w:w="90" w:type="dxa"/>
              <w:bottom w:w="75" w:type="dxa"/>
              <w:end w:w="90" w:type="dxa"/>
            </w:tcMar>
          </w:tcPr>
          <w:p>
            <w:pPr>
              <w:spacing w:after="0" w:line="240" w:lineRule="auto"/>
            </w:pPr>
            <w:r>
              <w:rPr>
                <w:b/>
                <w:color w:val="FFFFFF"/>
                <w:sz w:val="15"/>
              </w:rPr>
              <w:t>Ownership</w:t>
            </w:r>
          </w:p>
        </w:tc>
        <w:tc>
          <w:tcPr>
            <w:tcW w:type="dxa" w:w="2498"/>
            <w:shd w:fill="123D4A"/>
            <w:tcMar>
              <w:top w:w="75" w:type="dxa"/>
              <w:start w:w="90" w:type="dxa"/>
              <w:bottom w:w="75" w:type="dxa"/>
              <w:end w:w="90" w:type="dxa"/>
            </w:tcMar>
          </w:tcPr>
          <w:p>
            <w:pPr>
              <w:spacing w:after="0" w:line="240" w:lineRule="auto"/>
            </w:pPr>
            <w:r>
              <w:rPr>
                <w:b/>
                <w:color w:val="FFFFFF"/>
                <w:sz w:val="15"/>
              </w:rPr>
              <w:t>Evidence-based scope</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Al Wahat Club Management System</w:t>
            </w:r>
          </w:p>
        </w:tc>
        <w:tc>
          <w:tcPr>
            <w:tcW w:type="dxa" w:w="1670"/>
            <w:tcMar>
              <w:top w:w="42" w:type="dxa"/>
              <w:start w:w="82" w:type="dxa"/>
              <w:bottom w:w="42" w:type="dxa"/>
              <w:end w:w="82" w:type="dxa"/>
            </w:tcMar>
          </w:tcPr>
          <w:p>
            <w:pPr>
              <w:spacing w:after="0" w:line="226" w:lineRule="auto"/>
            </w:pPr>
            <w:r>
              <w:rPr>
                <w:color w:val="1F2933"/>
                <w:sz w:val="14"/>
              </w:rPr>
              <w:t>Royal Guard of Oman club assignment</w:t>
            </w:r>
          </w:p>
        </w:tc>
        <w:tc>
          <w:tcPr>
            <w:tcW w:type="dxa" w:w="2045"/>
            <w:tcMar>
              <w:top w:w="42" w:type="dxa"/>
              <w:start w:w="82" w:type="dxa"/>
              <w:bottom w:w="42" w:type="dxa"/>
              <w:end w:w="82" w:type="dxa"/>
            </w:tcMar>
          </w:tcPr>
          <w:p>
            <w:pPr>
              <w:spacing w:after="0" w:line="226" w:lineRule="auto"/>
            </w:pPr>
            <w:r>
              <w:rPr>
                <w:color w:val="1F2933"/>
                <w:sz w:val="14"/>
              </w:rPr>
              <w:t>Core technical contributor</w:t>
            </w:r>
          </w:p>
        </w:tc>
        <w:tc>
          <w:tcPr>
            <w:tcW w:type="dxa" w:w="3139"/>
            <w:tcMar>
              <w:top w:w="42" w:type="dxa"/>
              <w:start w:w="82" w:type="dxa"/>
              <w:bottom w:w="42" w:type="dxa"/>
              <w:end w:w="82" w:type="dxa"/>
            </w:tcMar>
          </w:tcPr>
          <w:p>
            <w:pPr>
              <w:spacing w:after="0" w:line="226" w:lineRule="auto"/>
            </w:pPr>
            <w:r>
              <w:rPr>
                <w:color w:val="1F2933"/>
                <w:sz w:val="13"/>
              </w:rPr>
              <w:t>New system covering memberships and affiliates, hall and facility reservations, approval workflows and event management. This was a client project, not employment at the club.</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Reusable .NET CMS &amp; Electronic-Publishing Platform</w:t>
            </w:r>
          </w:p>
        </w:tc>
        <w:tc>
          <w:tcPr>
            <w:tcW w:type="dxa" w:w="1670"/>
            <w:shd w:fill="F5F8F9"/>
            <w:tcMar>
              <w:top w:w="42" w:type="dxa"/>
              <w:start w:w="82" w:type="dxa"/>
              <w:bottom w:w="42" w:type="dxa"/>
              <w:end w:w="82" w:type="dxa"/>
            </w:tcMar>
          </w:tcPr>
          <w:p>
            <w:pPr>
              <w:spacing w:after="0" w:line="226" w:lineRule="auto"/>
            </w:pPr>
            <w:r>
              <w:rPr>
                <w:color w:val="1F2933"/>
                <w:sz w:val="14"/>
              </w:rPr>
              <w:t>Keyframe Egypt</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Custom reusable CMS supporting multilingual and RTL publishing, pages, articles, news, events, photo and video galleries, permissions, workflows, search, SEO, analytics, resource files and integration extensions.</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Egypt Ministry of Health &amp; Population Portal</w:t>
            </w:r>
          </w:p>
        </w:tc>
        <w:tc>
          <w:tcPr>
            <w:tcW w:type="dxa" w:w="1670"/>
            <w:tcMar>
              <w:top w:w="42" w:type="dxa"/>
              <w:start w:w="82" w:type="dxa"/>
              <w:bottom w:w="42" w:type="dxa"/>
              <w:end w:w="82" w:type="dxa"/>
            </w:tcMar>
          </w:tcPr>
          <w:p>
            <w:pPr>
              <w:spacing w:after="0" w:line="226" w:lineRule="auto"/>
            </w:pPr>
            <w:r>
              <w:rPr>
                <w:color w:val="1F2933"/>
                <w:sz w:val="14"/>
              </w:rPr>
              <w:t>Egypt Ministry of Health &amp; Population</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Large government health portal with CMS, services, news and events, electronic library, FAQ, newsletter, polls, media galleries, social integration, reporting, security and deployment.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Egypt Ministry of Planning Portal</w:t>
            </w:r>
          </w:p>
        </w:tc>
        <w:tc>
          <w:tcPr>
            <w:tcW w:type="dxa" w:w="1670"/>
            <w:shd w:fill="F5F8F9"/>
            <w:tcMar>
              <w:top w:w="42" w:type="dxa"/>
              <w:start w:w="82" w:type="dxa"/>
              <w:bottom w:w="42" w:type="dxa"/>
              <w:end w:w="82" w:type="dxa"/>
            </w:tcMar>
          </w:tcPr>
          <w:p>
            <w:pPr>
              <w:spacing w:after="0" w:line="226" w:lineRule="auto"/>
            </w:pPr>
            <w:r>
              <w:rPr>
                <w:color w:val="1F2933"/>
                <w:sz w:val="14"/>
              </w:rPr>
              <w:t>Egypt Ministry of Planning</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Independently handled analysis, SRS, architecture, database, CMS, development, testing and deployment. The specification covered services, news, media, newsletter, tenders, polls, careers, accessibility, security, performance and backup/restore.</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Egypt Government Digital Portals</w:t>
            </w:r>
          </w:p>
        </w:tc>
        <w:tc>
          <w:tcPr>
            <w:tcW w:type="dxa" w:w="1670"/>
            <w:tcMar>
              <w:top w:w="42" w:type="dxa"/>
              <w:start w:w="82" w:type="dxa"/>
              <w:bottom w:w="42" w:type="dxa"/>
              <w:end w:w="82" w:type="dxa"/>
            </w:tcMar>
          </w:tcPr>
          <w:p>
            <w:pPr>
              <w:spacing w:after="0" w:line="226" w:lineRule="auto"/>
            </w:pPr>
            <w:r>
              <w:rPr>
                <w:color w:val="1F2933"/>
                <w:sz w:val="14"/>
              </w:rPr>
              <w:t>Keyframe Egypt</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Representative solutions include MSAD, Rate Your Services, National Management Institute, the National Coordinating Committee for Combating Corruption, Egypt Calendar, Elections in Egypt and online survey systems. These were client projects, not government employment.</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Reusable Conference Management Platform</w:t>
            </w:r>
          </w:p>
        </w:tc>
        <w:tc>
          <w:tcPr>
            <w:tcW w:type="dxa" w:w="1670"/>
            <w:shd w:fill="F5F8F9"/>
            <w:tcMar>
              <w:top w:w="42" w:type="dxa"/>
              <w:start w:w="82" w:type="dxa"/>
              <w:bottom w:w="42" w:type="dxa"/>
              <w:end w:w="82" w:type="dxa"/>
            </w:tcMar>
          </w:tcPr>
          <w:p>
            <w:pPr>
              <w:spacing w:after="0" w:line="226" w:lineRule="auto"/>
            </w:pPr>
            <w:r>
              <w:rPr>
                <w:color w:val="1F2933"/>
                <w:sz w:val="14"/>
              </w:rPr>
              <w:t>Keyframe Egypt</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Conference platform covering registration, attendance, schedules, sessions, speakers, research evaluation, certificates, communications, administration and reporting. No payment-gateway claim is made.</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Yashfeen Medical Portal</w:t>
            </w:r>
          </w:p>
        </w:tc>
        <w:tc>
          <w:tcPr>
            <w:tcW w:type="dxa" w:w="1670"/>
            <w:tcMar>
              <w:top w:w="42" w:type="dxa"/>
              <w:start w:w="82" w:type="dxa"/>
              <w:bottom w:w="42" w:type="dxa"/>
              <w:end w:w="82" w:type="dxa"/>
            </w:tcMar>
          </w:tcPr>
          <w:p>
            <w:pPr>
              <w:spacing w:after="0" w:line="226" w:lineRule="auto"/>
            </w:pPr>
            <w:r>
              <w:rPr>
                <w:color w:val="1F2933"/>
                <w:sz w:val="14"/>
              </w:rPr>
              <w:t>Keyframe product</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Full medical portal built independently for Keyframe. It achieved a award-recognized solution in an ITIDA competition. Mahmoud delivered two ITIDA award-winning solutions during the Keyframe period; the second project name is not currently documented.</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Traffic Reporting &amp; Officers' Affairs System</w:t>
            </w:r>
          </w:p>
        </w:tc>
        <w:tc>
          <w:tcPr>
            <w:tcW w:type="dxa" w:w="1670"/>
            <w:shd w:fill="F5F8F9"/>
            <w:tcMar>
              <w:top w:w="42" w:type="dxa"/>
              <w:start w:w="82" w:type="dxa"/>
              <w:bottom w:w="42" w:type="dxa"/>
              <w:end w:w="82" w:type="dxa"/>
            </w:tcMar>
          </w:tcPr>
          <w:p>
            <w:pPr>
              <w:spacing w:after="0" w:line="226" w:lineRule="auto"/>
            </w:pPr>
            <w:r>
              <w:rPr>
                <w:color w:val="1F2933"/>
                <w:sz w:val="14"/>
              </w:rPr>
              <w:t>Cairo Traffic Headquarters</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Complete system for traffic reports and officers' affairs, delivered independently from analysis and database design through testing and deployment.</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Electronic Examinations &amp; Educational Review System</w:t>
            </w:r>
          </w:p>
        </w:tc>
        <w:tc>
          <w:tcPr>
            <w:tcW w:type="dxa" w:w="1670"/>
            <w:tcMar>
              <w:top w:w="42" w:type="dxa"/>
              <w:start w:w="82" w:type="dxa"/>
              <w:bottom w:w="42" w:type="dxa"/>
              <w:end w:w="82" w:type="dxa"/>
            </w:tcMar>
          </w:tcPr>
          <w:p>
            <w:pPr>
              <w:spacing w:after="0" w:line="226" w:lineRule="auto"/>
            </w:pPr>
            <w:r>
              <w:rPr>
                <w:color w:val="1F2933"/>
                <w:sz w:val="14"/>
              </w:rPr>
              <w:t>Keyframe Egypt</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Complete electronic-examination and curriculum-review system for multiple educational certificate curricula.</w:t>
            </w:r>
          </w:p>
        </w:tc>
      </w:tr>
      <w:tr>
        <w:trPr>
          <w:cantSplit w:val="true"/>
        </w:trPr>
        <w:tc>
          <w:tcPr>
            <w:tcW w:type="dxa" w:w="2995"/>
            <w:shd w:fill="F5F8F9"/>
            <w:tcMar>
              <w:top w:w="42" w:type="dxa"/>
              <w:start w:w="82" w:type="dxa"/>
              <w:bottom w:w="42" w:type="dxa"/>
              <w:end w:w="82" w:type="dxa"/>
            </w:tcMar>
          </w:tcPr>
          <w:p>
            <w:pPr>
              <w:spacing w:after="0" w:line="226" w:lineRule="auto"/>
            </w:pPr>
            <w:r>
              <w:rPr>
                <w:b/>
                <w:color w:val="123D4A"/>
                <w:sz w:val="14"/>
              </w:rPr>
              <w:t>Electrolux Multi-Country Websites</w:t>
            </w:r>
          </w:p>
        </w:tc>
        <w:tc>
          <w:tcPr>
            <w:tcW w:type="dxa" w:w="1670"/>
            <w:shd w:fill="F5F8F9"/>
            <w:tcMar>
              <w:top w:w="42" w:type="dxa"/>
              <w:start w:w="82" w:type="dxa"/>
              <w:bottom w:w="42" w:type="dxa"/>
              <w:end w:w="82" w:type="dxa"/>
            </w:tcMar>
          </w:tcPr>
          <w:p>
            <w:pPr>
              <w:spacing w:after="0" w:line="226" w:lineRule="auto"/>
            </w:pPr>
            <w:r>
              <w:rPr>
                <w:color w:val="1F2933"/>
                <w:sz w:val="14"/>
              </w:rPr>
              <w:t>Electrolux</w:t>
            </w:r>
          </w:p>
        </w:tc>
        <w:tc>
          <w:tcPr>
            <w:tcW w:type="dxa" w:w="2045"/>
            <w:shd w:fill="F5F8F9"/>
            <w:tcMar>
              <w:top w:w="42" w:type="dxa"/>
              <w:start w:w="82" w:type="dxa"/>
              <w:bottom w:w="42" w:type="dxa"/>
              <w:end w:w="82" w:type="dxa"/>
            </w:tcMar>
          </w:tcPr>
          <w:p>
            <w:pPr>
              <w:spacing w:after="0" w:line="226" w:lineRule="auto"/>
            </w:pPr>
            <w:r>
              <w:rPr>
                <w:color w:val="1F2933"/>
                <w:sz w:val="14"/>
              </w:rPr>
              <w:t>Technical owner</w:t>
            </w:r>
          </w:p>
        </w:tc>
        <w:tc>
          <w:tcPr>
            <w:tcW w:type="dxa" w:w="3139"/>
            <w:shd w:fill="F5F8F9"/>
            <w:tcMar>
              <w:top w:w="42" w:type="dxa"/>
              <w:start w:w="82" w:type="dxa"/>
              <w:bottom w:w="42" w:type="dxa"/>
              <w:end w:w="82" w:type="dxa"/>
            </w:tcMar>
          </w:tcPr>
          <w:p>
            <w:pPr>
              <w:spacing w:after="0" w:line="226" w:lineRule="auto"/>
            </w:pPr>
            <w:r>
              <w:rPr>
                <w:color w:val="1F2933"/>
                <w:sz w:val="13"/>
              </w:rPr>
              <w:t>Reusable CMS implementation customized for Egypt, Saudi Arabia, the UAE and Turkey.</w:t>
            </w:r>
          </w:p>
        </w:tc>
      </w:tr>
      <w:tr>
        <w:trPr>
          <w:cantSplit w:val="true"/>
        </w:trPr>
        <w:tc>
          <w:tcPr>
            <w:tcW w:type="dxa" w:w="2995"/>
            <w:tcMar>
              <w:top w:w="42" w:type="dxa"/>
              <w:start w:w="82" w:type="dxa"/>
              <w:bottom w:w="42" w:type="dxa"/>
              <w:end w:w="82" w:type="dxa"/>
            </w:tcMar>
          </w:tcPr>
          <w:p>
            <w:pPr>
              <w:spacing w:after="0" w:line="226" w:lineRule="auto"/>
            </w:pPr>
            <w:r>
              <w:rPr>
                <w:b/>
                <w:color w:val="123D4A"/>
                <w:sz w:val="14"/>
              </w:rPr>
              <w:t>Salamat Healthcare Platform</w:t>
            </w:r>
          </w:p>
        </w:tc>
        <w:tc>
          <w:tcPr>
            <w:tcW w:type="dxa" w:w="1670"/>
            <w:tcMar>
              <w:top w:w="42" w:type="dxa"/>
              <w:start w:w="82" w:type="dxa"/>
              <w:bottom w:w="42" w:type="dxa"/>
              <w:end w:w="82" w:type="dxa"/>
            </w:tcMar>
          </w:tcPr>
          <w:p>
            <w:pPr>
              <w:spacing w:after="0" w:line="226" w:lineRule="auto"/>
            </w:pPr>
            <w:r>
              <w:rPr>
                <w:color w:val="1F2933"/>
                <w:sz w:val="14"/>
              </w:rPr>
              <w:t>Bug Systems concept</w:t>
            </w:r>
          </w:p>
        </w:tc>
        <w:tc>
          <w:tcPr>
            <w:tcW w:type="dxa" w:w="2045"/>
            <w:tcMar>
              <w:top w:w="42" w:type="dxa"/>
              <w:start w:w="82" w:type="dxa"/>
              <w:bottom w:w="42" w:type="dxa"/>
              <w:end w:w="82" w:type="dxa"/>
            </w:tcMar>
          </w:tcPr>
          <w:p>
            <w:pPr>
              <w:spacing w:after="0" w:line="226" w:lineRule="auto"/>
            </w:pPr>
            <w:r>
              <w:rPr>
                <w:color w:val="1F2933"/>
                <w:sz w:val="14"/>
              </w:rPr>
              <w:t>Technical owner</w:t>
            </w:r>
          </w:p>
        </w:tc>
        <w:tc>
          <w:tcPr>
            <w:tcW w:type="dxa" w:w="3139"/>
            <w:tcMar>
              <w:top w:w="42" w:type="dxa"/>
              <w:start w:w="82" w:type="dxa"/>
              <w:bottom w:w="42" w:type="dxa"/>
              <w:end w:w="82" w:type="dxa"/>
            </w:tcMar>
          </w:tcPr>
          <w:p>
            <w:pPr>
              <w:spacing w:after="0" w:line="226" w:lineRule="auto"/>
            </w:pPr>
            <w:r>
              <w:rPr>
                <w:color w:val="1F2933"/>
                <w:sz w:val="13"/>
              </w:rPr>
              <w:t>Bilingual healthcare platform developed as part of a virtual private-company concept. It is presented separately from Keyframe client employment.</w:t>
            </w:r>
          </w:p>
        </w:tc>
      </w:tr>
    </w:tbl>
    <w:p>
      <w:pPr>
        <w:spacing w:after="0"/>
      </w:pPr>
    </w:p>
    <w:p>
      <w:pPr>
        <w:pStyle w:val="Heading2"/>
      </w:pPr>
      <w:r>
        <w:t>Directory interpretation</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85" w:type="dxa"/>
              <w:start w:w="125" w:type="dxa"/>
              <w:bottom w:w="85" w:type="dxa"/>
              <w:end w:w="125" w:type="dxa"/>
            </w:tcMar>
          </w:tcPr>
          <w:p>
            <w:pPr>
              <w:spacing w:after="40" w:line="240" w:lineRule="auto"/>
            </w:pPr>
            <w:r>
              <w:rPr>
                <w:b/>
                <w:color w:val="0B6B72"/>
                <w:sz w:val="20"/>
              </w:rPr>
              <w:t>Sector coverage</w:t>
            </w:r>
          </w:p>
          <w:p>
            <w:pPr>
              <w:spacing w:after="0" w:line="240" w:lineRule="auto"/>
            </w:pPr>
            <w:r>
              <w:rPr>
                <w:sz w:val="17"/>
              </w:rPr>
              <w:t>Government, healthcare, education, events, electronic publishing and multi-country commercial delivery.</w:t>
            </w:r>
          </w:p>
        </w:tc>
        <w:tc>
          <w:tcPr>
            <w:tcW w:type="dxa" w:w="4997"/>
            <w:shd w:fill="F5F8F9"/>
            <w:tcMar>
              <w:top w:w="85" w:type="dxa"/>
              <w:start w:w="125" w:type="dxa"/>
              <w:bottom w:w="85" w:type="dxa"/>
              <w:end w:w="125" w:type="dxa"/>
            </w:tcMar>
          </w:tcPr>
          <w:p>
            <w:pPr>
              <w:spacing w:after="40" w:line="240" w:lineRule="auto"/>
            </w:pPr>
            <w:r>
              <w:rPr>
                <w:b/>
                <w:color w:val="0B6B72"/>
                <w:sz w:val="20"/>
              </w:rPr>
              <w:t>Ownership model</w:t>
            </w:r>
          </w:p>
          <w:p>
            <w:pPr>
              <w:spacing w:after="0" w:line="240" w:lineRule="auto"/>
            </w:pPr>
            <w:r>
              <w:rPr>
                <w:sz w:val="17"/>
              </w:rPr>
              <w:t>Current executive ownership, earlier team delivery and independently owned end-to-end projects are stated separately.</w:t>
            </w:r>
          </w:p>
        </w:tc>
      </w:tr>
      <w:tr>
        <w:trPr>
          <w:cantSplit w:val="true"/>
        </w:trPr>
        <w:tc>
          <w:tcPr>
            <w:tcW w:type="dxa" w:w="4997"/>
            <w:shd w:fill="F5F8F9"/>
            <w:tcMar>
              <w:top w:w="85" w:type="dxa"/>
              <w:start w:w="125" w:type="dxa"/>
              <w:bottom w:w="85" w:type="dxa"/>
              <w:end w:w="125" w:type="dxa"/>
            </w:tcMar>
          </w:tcPr>
          <w:p>
            <w:pPr>
              <w:spacing w:after="40" w:line="240" w:lineRule="auto"/>
            </w:pPr>
            <w:r>
              <w:rPr>
                <w:b/>
                <w:color w:val="0B6B72"/>
                <w:sz w:val="20"/>
              </w:rPr>
              <w:t>Technology range</w:t>
            </w:r>
          </w:p>
          <w:p>
            <w:pPr>
              <w:spacing w:after="0" w:line="240" w:lineRule="auto"/>
            </w:pPr>
            <w:r>
              <w:rPr>
                <w:sz w:val="17"/>
              </w:rPr>
              <w:t>C#/.NET, SQL platforms, JavaScript, APIs, workflows, CMS/DMS, reporting, integration and production delivery.</w:t>
            </w:r>
          </w:p>
        </w:tc>
        <w:tc>
          <w:tcPr>
            <w:tcW w:type="dxa" w:w="4997"/>
            <w:shd w:fill="F5F8F9"/>
            <w:tcMar>
              <w:top w:w="85" w:type="dxa"/>
              <w:start w:w="125" w:type="dxa"/>
              <w:bottom w:w="85" w:type="dxa"/>
              <w:end w:w="125" w:type="dxa"/>
            </w:tcMar>
          </w:tcPr>
          <w:p>
            <w:pPr>
              <w:spacing w:after="40" w:line="240" w:lineRule="auto"/>
            </w:pPr>
            <w:r>
              <w:rPr>
                <w:b/>
                <w:color w:val="0B6B72"/>
                <w:sz w:val="20"/>
              </w:rPr>
              <w:t>Evidence boundary</w:t>
            </w:r>
          </w:p>
          <w:p>
            <w:pPr>
              <w:spacing w:after="0" w:line="240" w:lineRule="auto"/>
            </w:pPr>
            <w:r>
              <w:rPr>
                <w:sz w:val="17"/>
              </w:rPr>
              <w:t>This directory contains documented representative work; smaller projects within the broader Keyframe portfolio remain omitted.</w:t>
            </w:r>
          </w:p>
        </w:tc>
      </w:tr>
    </w:tbl>
    <w:p>
      <w:pPr>
        <w:spacing w:after="0"/>
      </w:pPr>
    </w:p>
    <w:p>
      <w:pPr>
        <w:pageBreakBefore/>
        <w:spacing w:after="40"/>
      </w:pPr>
      <w:r>
        <w:rPr>
          <w:b/>
          <w:color w:val="0B6B72"/>
          <w:sz w:val="18"/>
        </w:rPr>
        <w:t>CASE STUDIES</w:t>
      </w:r>
    </w:p>
    <w:p>
      <w:pPr>
        <w:pStyle w:val="Heading1"/>
        <w:pBdr>
          <w:bottom w:val="single" w:sz="12" w:space="5" w:color="0B6B72"/>
        </w:pBdr>
      </w:pPr>
      <w:r>
        <w:t>National platforms and award-winning delivery</w:t>
      </w:r>
    </w:p>
    <w:p>
      <w:pPr>
        <w:spacing w:before="160" w:after="60"/>
        <w:keepNext/>
      </w:pPr>
      <w:r>
        <w:rPr>
          <w:b/>
          <w:color w:val="0B6B72"/>
          <w:sz w:val="18"/>
        </w:rPr>
        <w:t xml:space="preserve">CASE STUDY 01  </w:t>
      </w:r>
      <w:r>
        <w:rPr>
          <w:b/>
          <w:color w:val="123D4A"/>
          <w:sz w:val="28"/>
        </w:rPr>
        <w:t>Unified National Procurement Platform</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UPA | Egypt | Operational national platform</w:t>
            </w:r>
          </w:p>
          <w:p>
            <w:r>
              <w:rPr>
                <w:sz w:val="18"/>
              </w:rPr>
              <w:t>Coordinate a complex procurement lifecycle across a large user and entity base while replacing fragmented manual, paper, spreadsheet and email processes.</w:t>
            </w:r>
          </w:p>
          <w:p>
            <w:pPr>
              <w:pStyle w:val="ListBullet"/>
              <w:spacing w:after="40"/>
              <w:ind w:left="259" w:hanging="144"/>
            </w:pPr>
            <w:r>
              <w:rPr>
                <w:sz w:val="18"/>
              </w:rPr>
              <w:t>Led platform strategy, architecture, delivery governance, data, integration, service readiness and operational ownership through the Central Administration.</w:t>
            </w:r>
          </w:p>
          <w:p>
            <w:pPr>
              <w:pStyle w:val="ListBullet"/>
              <w:spacing w:after="40"/>
              <w:ind w:left="259" w:hanging="144"/>
            </w:pPr>
            <w:r>
              <w:rPr>
                <w:sz w:val="18"/>
              </w:rPr>
              <w:t>Aligned analysts, engineers, QA/reporting, support/customer service, stakeholders and third parties around configurable workflows and shared controls.</w:t>
            </w:r>
          </w:p>
          <w:p>
            <w:pPr>
              <w:pStyle w:val="ListBullet"/>
              <w:spacing w:after="40"/>
              <w:ind w:left="259" w:hanging="144"/>
            </w:pPr>
            <w:r>
              <w:rPr>
                <w:sz w:val="18"/>
              </w:rPr>
              <w:t>Combined executive oversight with hands-on escalation across requirements, data, integration, production behavior and service improvement.</w:t>
            </w:r>
          </w:p>
          <w:p>
            <w:r>
              <w:rPr>
                <w:sz w:val="18"/>
              </w:rPr>
              <w:t>Operational platform serving approximately 60,000 users, 90,000 facilities/entities and 300 suppliers, processing around one million transactions per month.</w:t>
            </w:r>
          </w:p>
          <w:p>
            <w:r>
              <w:rPr>
                <w:sz w:val="18"/>
              </w:rPr>
              <w:t>Digital transformation • Enterprise architecture • Platforms • Data • Integration • Service operations</w:t>
            </w:r>
          </w:p>
        </w:tc>
      </w:tr>
    </w:tbl>
    <w:p>
      <w:pPr>
        <w:spacing w:after="0"/>
      </w:pPr>
    </w:p>
    <w:p>
      <w:pPr>
        <w:spacing w:before="160" w:after="60"/>
        <w:keepNext/>
      </w:pPr>
      <w:r>
        <w:rPr>
          <w:b/>
          <w:color w:val="0B6B72"/>
          <w:sz w:val="18"/>
        </w:rPr>
        <w:t xml:space="preserve">CASE STUDY 02  </w:t>
      </w:r>
      <w:r>
        <w:rPr>
          <w:b/>
          <w:color w:val="123D4A"/>
          <w:sz w:val="28"/>
        </w:rPr>
        <w:t>Integrated HIS &amp; Electronic Pharmacy</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UPA | Digital health | Operational across the health-sector environment</w:t>
            </w:r>
          </w:p>
          <w:p>
            <w:r>
              <w:rPr>
                <w:sz w:val="18"/>
              </w:rPr>
              <w:t>Create a reusable healthcare capability that can operate in different health entities and integrate with multiple health-sector organizations.</w:t>
            </w:r>
          </w:p>
          <w:p>
            <w:pPr>
              <w:pStyle w:val="ListBullet"/>
              <w:spacing w:after="40"/>
              <w:ind w:left="259" w:hanging="144"/>
            </w:pPr>
            <w:r>
              <w:rPr>
                <w:sz w:val="18"/>
              </w:rPr>
              <w:t>Participated from analysis through delivery; designed the database, led major workstreams and contributed directly to programming.</w:t>
            </w:r>
          </w:p>
          <w:p>
            <w:pPr>
              <w:pStyle w:val="ListBullet"/>
              <w:spacing w:after="40"/>
              <w:ind w:left="259" w:hanging="144"/>
            </w:pPr>
            <w:r>
              <w:rPr>
                <w:sz w:val="18"/>
              </w:rPr>
              <w:t>Supported complete electronic-pharmacy and HIS capabilities, including ICD-10 and ICD-11.</w:t>
            </w:r>
          </w:p>
          <w:p>
            <w:pPr>
              <w:pStyle w:val="ListBullet"/>
              <w:spacing w:after="40"/>
              <w:ind w:left="259" w:hanging="144"/>
            </w:pPr>
            <w:r>
              <w:rPr>
                <w:sz w:val="18"/>
              </w:rPr>
              <w:t>Kept scope accurate: inpatient admission is not claimed.</w:t>
            </w:r>
          </w:p>
          <w:p>
            <w:r>
              <w:rPr>
                <w:sz w:val="18"/>
              </w:rPr>
              <w:t>A reusable operational healthcare platform active across the health-sector environment.</w:t>
            </w:r>
          </w:p>
          <w:p>
            <w:r>
              <w:rPr>
                <w:sz w:val="18"/>
              </w:rPr>
              <w:t>Digital health • Database architecture • Software delivery • Integration • Clinical coding</w:t>
            </w:r>
          </w:p>
        </w:tc>
      </w:tr>
    </w:tbl>
    <w:p>
      <w:pPr>
        <w:spacing w:after="0"/>
      </w:pPr>
    </w:p>
    <w:p>
      <w:pPr>
        <w:pageBreakBefore/>
        <w:spacing w:after="40"/>
      </w:pPr>
      <w:r>
        <w:rPr>
          <w:b/>
          <w:color w:val="0B6B72"/>
          <w:sz w:val="18"/>
        </w:rPr>
        <w:t>CASE STUDIES</w:t>
      </w:r>
    </w:p>
    <w:p>
      <w:pPr>
        <w:pStyle w:val="Heading1"/>
        <w:pBdr>
          <w:bottom w:val="single" w:sz="12" w:space="5" w:color="0B6B72"/>
        </w:pBdr>
      </w:pPr>
      <w:r>
        <w:t>Government platforms in Oman and Egypt</w:t>
      </w:r>
    </w:p>
    <w:p>
      <w:pPr>
        <w:spacing w:before="160" w:after="60"/>
        <w:keepNext/>
      </w:pPr>
      <w:r>
        <w:rPr>
          <w:b/>
          <w:color w:val="0B6B72"/>
          <w:sz w:val="18"/>
        </w:rPr>
        <w:t xml:space="preserve">CASE STUDY 03  </w:t>
      </w:r>
      <w:r>
        <w:rPr>
          <w:b/>
          <w:color w:val="123D4A"/>
          <w:sz w:val="28"/>
        </w:rPr>
        <w:t>Oman National Educational Portal</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Integral Solutions | Oman Ministry of Education | Core technical contributor</w:t>
            </w:r>
          </w:p>
          <w:p>
            <w:r>
              <w:rPr>
                <w:sz w:val="18"/>
              </w:rPr>
              <w:t>Deliver and operate a national education platform at large user scale across complex government requirements and rollout needs.</w:t>
            </w:r>
          </w:p>
          <w:p>
            <w:pPr>
              <w:pStyle w:val="ListBullet"/>
              <w:spacing w:after="40"/>
              <w:ind w:left="259" w:hanging="144"/>
            </w:pPr>
            <w:r>
              <w:rPr>
                <w:sz w:val="18"/>
              </w:rPr>
              <w:t>Led development teams throughout the Integral period while remaining a hands-on senior developer.</w:t>
            </w:r>
          </w:p>
          <w:p>
            <w:pPr>
              <w:pStyle w:val="ListBullet"/>
              <w:spacing w:after="40"/>
              <w:ind w:left="259" w:hanging="144"/>
            </w:pPr>
            <w:r>
              <w:rPr>
                <w:sz w:val="18"/>
              </w:rPr>
              <w:t>Contributed across analysis, application and database development, reporting, testing, deployment, support and rollout.</w:t>
            </w:r>
          </w:p>
          <w:p>
            <w:pPr>
              <w:pStyle w:val="ListBullet"/>
              <w:spacing w:after="40"/>
              <w:ind w:left="259" w:hanging="144"/>
            </w:pPr>
            <w:r>
              <w:rPr>
                <w:sz w:val="18"/>
              </w:rPr>
              <w:t>Worked within the employer/client boundary: Integral Solutions was the employer; the Ministry was the client assignment.</w:t>
            </w:r>
          </w:p>
          <w:p>
            <w:r>
              <w:rPr>
                <w:sz w:val="18"/>
              </w:rPr>
              <w:t>Operational national portal serving approximately one million users.</w:t>
            </w:r>
          </w:p>
          <w:p>
            <w:r>
              <w:rPr>
                <w:sz w:val="18"/>
              </w:rPr>
              <w:t>Government platforms • Team leadership • C#/.NET • SQL Server • Delivery • Support</w:t>
            </w:r>
          </w:p>
        </w:tc>
      </w:tr>
    </w:tbl>
    <w:p>
      <w:pPr>
        <w:spacing w:after="0"/>
      </w:pPr>
    </w:p>
    <w:p>
      <w:pPr>
        <w:spacing w:before="160" w:after="60"/>
        <w:keepNext/>
      </w:pPr>
      <w:r>
        <w:rPr>
          <w:b/>
          <w:color w:val="0B6B72"/>
          <w:sz w:val="18"/>
        </w:rPr>
        <w:t xml:space="preserve">CASE STUDY 04  </w:t>
      </w:r>
      <w:r>
        <w:rPr>
          <w:b/>
          <w:color w:val="123D4A"/>
          <w:sz w:val="28"/>
        </w:rPr>
        <w:t>Recruitment System</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Integral Solutions | Oman Ministry of Education | Technical owner</w:t>
            </w:r>
          </w:p>
          <w:p>
            <w:r>
              <w:rPr>
                <w:sz w:val="18"/>
              </w:rPr>
              <w:t>Build a complete government recruitment solution independently, covering the full journey from requirements to production.</w:t>
            </w:r>
          </w:p>
          <w:p>
            <w:pPr>
              <w:pStyle w:val="ListBullet"/>
              <w:spacing w:after="40"/>
              <w:ind w:left="259" w:hanging="144"/>
            </w:pPr>
            <w:r>
              <w:rPr>
                <w:sz w:val="18"/>
              </w:rPr>
              <w:t>Owned analysis, design, architecture, database, development, testing and deployment as the sole end-to-end developer.</w:t>
            </w:r>
          </w:p>
          <w:p>
            <w:pPr>
              <w:pStyle w:val="ListBullet"/>
              <w:spacing w:after="40"/>
              <w:ind w:left="259" w:hanging="144"/>
            </w:pPr>
            <w:r>
              <w:rPr>
                <w:sz w:val="18"/>
              </w:rPr>
              <w:t>Delivered on the established Integral government stack and operational environment.</w:t>
            </w:r>
          </w:p>
          <w:p>
            <w:pPr>
              <w:pStyle w:val="ListBullet"/>
              <w:spacing w:after="40"/>
              <w:ind w:left="259" w:hanging="144"/>
            </w:pPr>
            <w:r>
              <w:rPr>
                <w:sz w:val="18"/>
              </w:rPr>
              <w:t>Supported formal government evaluation and production use.</w:t>
            </w:r>
          </w:p>
          <w:p>
            <w:r>
              <w:rPr>
                <w:sz w:val="18"/>
              </w:rPr>
              <w:t>Operational recruitment platform and recipient of the Sultan Qaboos Award.</w:t>
            </w:r>
          </w:p>
          <w:p>
            <w:r>
              <w:rPr>
                <w:sz w:val="18"/>
              </w:rPr>
              <w:t>End-to-end ownership • Government HR • C#/.NET • SQL Server • Award-winning delivery</w:t>
            </w:r>
          </w:p>
        </w:tc>
      </w:tr>
    </w:tbl>
    <w:p>
      <w:pPr>
        <w:spacing w:after="0"/>
      </w:pPr>
    </w:p>
    <w:p>
      <w:pPr>
        <w:pageBreakBefore/>
        <w:spacing w:after="40"/>
      </w:pPr>
      <w:r>
        <w:rPr>
          <w:b/>
          <w:color w:val="0B6B72"/>
          <w:sz w:val="18"/>
        </w:rPr>
        <w:t>CASE STUDIES</w:t>
      </w:r>
    </w:p>
    <w:p>
      <w:pPr>
        <w:pStyle w:val="Heading1"/>
        <w:pBdr>
          <w:bottom w:val="single" w:sz="12" w:space="5" w:color="0B6B72"/>
        </w:pBdr>
      </w:pPr>
      <w:r>
        <w:t>Reusable platforms and health innovation</w:t>
      </w:r>
    </w:p>
    <w:p>
      <w:pPr>
        <w:spacing w:before="160" w:after="60"/>
        <w:keepNext/>
      </w:pPr>
      <w:r>
        <w:rPr>
          <w:b/>
          <w:color w:val="0B6B72"/>
          <w:sz w:val="18"/>
        </w:rPr>
        <w:t xml:space="preserve">CASE STUDY 05  </w:t>
      </w:r>
      <w:r>
        <w:rPr>
          <w:b/>
          <w:color w:val="123D4A"/>
          <w:sz w:val="28"/>
        </w:rPr>
        <w:t>Reusable .NET CMS &amp; Publishing Platform</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Keyframe Egypt | Reused across a broad project portfolio</w:t>
            </w:r>
          </w:p>
          <w:p>
            <w:r>
              <w:rPr>
                <w:sz w:val="18"/>
              </w:rPr>
              <w:t>Serve many organizations and sectors without rebuilding common publishing, workflow, multilingual and administration capabilities each time.</w:t>
            </w:r>
          </w:p>
          <w:p>
            <w:pPr>
              <w:pStyle w:val="ListBullet"/>
              <w:spacing w:after="40"/>
              <w:ind w:left="259" w:hanging="144"/>
            </w:pPr>
            <w:r>
              <w:rPr>
                <w:sz w:val="18"/>
              </w:rPr>
              <w:t>Designed and developed the CMS foundation independently.</w:t>
            </w:r>
          </w:p>
          <w:p>
            <w:pPr>
              <w:pStyle w:val="ListBullet"/>
              <w:spacing w:after="40"/>
              <w:ind w:left="259" w:hanging="144"/>
            </w:pPr>
            <w:r>
              <w:rPr>
                <w:sz w:val="18"/>
              </w:rPr>
              <w:t>Built configurable multilingual/RTL content, media, events, permissions, workflows, search, SEO, analytics and integration components.</w:t>
            </w:r>
          </w:p>
          <w:p>
            <w:pPr>
              <w:pStyle w:val="ListBullet"/>
              <w:spacing w:after="40"/>
              <w:ind w:left="259" w:hanging="144"/>
            </w:pPr>
            <w:r>
              <w:rPr>
                <w:sz w:val="18"/>
              </w:rPr>
              <w:t>Adapted the foundation to ministries, healthcare, education, events and Electrolux sites in Egypt, Saudi Arabia, the UAE and Turkey.</w:t>
            </w:r>
          </w:p>
          <w:p>
            <w:r>
              <w:rPr>
                <w:sz w:val="18"/>
              </w:rPr>
              <w:t>A reusable product foundation supporting rapid delivery across a broad portfolio of digital projects.</w:t>
            </w:r>
          </w:p>
          <w:p>
            <w:r>
              <w:rPr>
                <w:sz w:val="18"/>
              </w:rPr>
              <w:t>Product architecture • Reuse • CMS • Multilingual/RTL • Government and commercial delivery</w:t>
            </w:r>
          </w:p>
        </w:tc>
      </w:tr>
    </w:tbl>
    <w:p>
      <w:pPr>
        <w:spacing w:after="0"/>
      </w:pPr>
    </w:p>
    <w:p>
      <w:pPr>
        <w:spacing w:before="160" w:after="60"/>
        <w:keepNext/>
      </w:pPr>
      <w:r>
        <w:rPr>
          <w:b/>
          <w:color w:val="0B6B72"/>
          <w:sz w:val="18"/>
        </w:rPr>
        <w:t xml:space="preserve">CASE STUDY 06  </w:t>
      </w:r>
      <w:r>
        <w:rPr>
          <w:b/>
          <w:color w:val="123D4A"/>
          <w:sz w:val="28"/>
        </w:rPr>
        <w:t>Yashfeen Medical Portal</w:t>
      </w:r>
    </w:p>
    <w:tbl>
      <w:tblPr>
        <w:tblW w:type="auto" w:w="0"/>
        <w:jc w:val="center"/>
        <w:tblLayout w:type="fixed"/>
        <w:tblLook w:firstColumn="1" w:firstRow="1" w:lastColumn="0" w:lastRow="0" w:noHBand="0" w:noVBand="1" w:val="04A0"/>
      </w:tblPr>
      <w:tblGrid>
        <w:gridCol w:w="2016"/>
        <w:gridCol w:w="7848"/>
      </w:tblGrid>
      <w:tr>
        <w:tc>
          <w:tcPr>
            <w:tcW w:type="dxa" w:w="4997"/>
            <w:shd w:fill="E8F1F3"/>
            <w:tcMar>
              <w:top w:w="115" w:type="dxa"/>
              <w:start w:w="130" w:type="dxa"/>
              <w:bottom w:w="115" w:type="dxa"/>
              <w:end w:w="130" w:type="dxa"/>
            </w:tcMar>
          </w:tcPr>
          <w:p>
            <w:r>
              <w:rPr>
                <w:b/>
                <w:color w:val="0B6B72"/>
                <w:sz w:val="16"/>
              </w:rPr>
              <w:t>CONTEXT</w:t>
            </w:r>
          </w:p>
          <w:p>
            <w:r>
              <w:rPr>
                <w:b/>
                <w:color w:val="0B6B72"/>
                <w:sz w:val="16"/>
              </w:rPr>
              <w:t>CHALLENGE</w:t>
            </w:r>
          </w:p>
          <w:p>
            <w:r>
              <w:rPr>
                <w:b/>
                <w:color w:val="0B6B72"/>
                <w:sz w:val="16"/>
              </w:rPr>
              <w:t>RESULT</w:t>
            </w:r>
          </w:p>
          <w:p>
            <w:r>
              <w:rPr>
                <w:b/>
                <w:color w:val="0B6B72"/>
                <w:sz w:val="16"/>
              </w:rPr>
              <w:t>CAPABILITIES</w:t>
            </w:r>
          </w:p>
        </w:tc>
        <w:tc>
          <w:tcPr>
            <w:tcW w:type="dxa" w:w="4997"/>
            <w:shd w:fill="F5F8F9"/>
            <w:tcMar>
              <w:top w:w="115" w:type="dxa"/>
              <w:start w:w="150" w:type="dxa"/>
              <w:bottom w:w="115" w:type="dxa"/>
              <w:end w:w="150" w:type="dxa"/>
            </w:tcMar>
          </w:tcPr>
          <w:p>
            <w:r>
              <w:rPr>
                <w:sz w:val="18"/>
              </w:rPr>
              <w:t>Keyframe Egypt | Technical owner | Digital health</w:t>
            </w:r>
          </w:p>
          <w:p>
            <w:r>
              <w:rPr>
                <w:sz w:val="18"/>
              </w:rPr>
              <w:t>Create a comprehensive medical portal as a Keyframe product and take it through external technology evaluation.</w:t>
            </w:r>
          </w:p>
          <w:p>
            <w:pPr>
              <w:pStyle w:val="ListBullet"/>
              <w:spacing w:after="40"/>
              <w:ind w:left="259" w:hanging="144"/>
            </w:pPr>
            <w:r>
              <w:rPr>
                <w:sz w:val="18"/>
              </w:rPr>
              <w:t>Owned the complete delivery independently—from analysis and data design through implementation, testing and deployment.</w:t>
            </w:r>
          </w:p>
          <w:p>
            <w:pPr>
              <w:pStyle w:val="ListBullet"/>
              <w:spacing w:after="40"/>
              <w:ind w:left="259" w:hanging="144"/>
            </w:pPr>
            <w:r>
              <w:rPr>
                <w:sz w:val="18"/>
              </w:rPr>
              <w:t>Applied the reusable CMS/platform approach to a full healthcare experience.</w:t>
            </w:r>
          </w:p>
          <w:p>
            <w:pPr>
              <w:pStyle w:val="ListBullet"/>
              <w:spacing w:after="40"/>
              <w:ind w:left="259" w:hanging="144"/>
            </w:pPr>
            <w:r>
              <w:rPr>
                <w:sz w:val="18"/>
              </w:rPr>
              <w:t>Delivered an ITIDA award-recognized solution during the Keyframe period.</w:t>
            </w:r>
          </w:p>
          <w:p>
            <w:r>
              <w:rPr>
                <w:sz w:val="18"/>
              </w:rPr>
              <w:t>Achieved a award-recognized solution in an ITIDA competition. The second award-winning solution is referenced without an undocumented project name.</w:t>
            </w:r>
          </w:p>
          <w:p>
            <w:r>
              <w:rPr>
                <w:sz w:val="18"/>
              </w:rPr>
              <w:t>Digital health • Technical owner • Product engineering • ITIDA award</w:t>
            </w:r>
          </w:p>
        </w:tc>
      </w:tr>
    </w:tbl>
    <w:p>
      <w:pPr>
        <w:spacing w:after="0"/>
      </w:pPr>
    </w:p>
    <w:p>
      <w:pPr>
        <w:pageBreakBefore/>
        <w:spacing w:after="40"/>
      </w:pPr>
      <w:r>
        <w:rPr>
          <w:b/>
          <w:color w:val="0B6B72"/>
          <w:sz w:val="18"/>
        </w:rPr>
        <w:t>CAPABILITIES &amp; RECOGNITION</w:t>
      </w:r>
    </w:p>
    <w:p>
      <w:pPr>
        <w:pStyle w:val="Heading1"/>
        <w:pBdr>
          <w:bottom w:val="single" w:sz="12" w:space="5" w:color="0B6B72"/>
        </w:pBdr>
      </w:pPr>
      <w:r>
        <w:t>A practical executive–engineering bridge</w:t>
      </w:r>
    </w:p>
    <w:tbl>
      <w:tblPr>
        <w:tblW w:type="auto" w:w="0"/>
        <w:jc w:val="center"/>
        <w:tblLayout w:type="fixed"/>
        <w:tblLook w:firstColumn="1" w:firstRow="1" w:lastColumn="0" w:lastRow="0" w:noHBand="0" w:noVBand="1" w:val="04A0"/>
      </w:tblPr>
      <w:tblGrid>
        <w:gridCol w:w="4853"/>
        <w:gridCol w:w="4853"/>
      </w:tblGrid>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Strategy &amp; governance</w:t>
            </w:r>
          </w:p>
          <w:p>
            <w:pPr>
              <w:spacing w:after="0" w:line="269" w:lineRule="auto"/>
            </w:pPr>
            <w:r>
              <w:rPr>
                <w:sz w:val="19"/>
              </w:rPr>
              <w:t>Technology strategy, digital transformation, roadmaps, portfolio prioritization, operating models, executive stakeholders, risk, controls and NFRs.</w:t>
            </w:r>
          </w:p>
        </w:tc>
        <w:tc>
          <w:tcPr>
            <w:tcW w:type="dxa" w:w="4997"/>
            <w:shd w:fill="F5F8F9"/>
            <w:tcMar>
              <w:top w:w="130" w:type="dxa"/>
              <w:start w:w="150" w:type="dxa"/>
              <w:bottom w:w="130" w:type="dxa"/>
              <w:end w:w="150" w:type="dxa"/>
            </w:tcMar>
          </w:tcPr>
          <w:p>
            <w:pPr>
              <w:spacing w:after="100" w:line="269" w:lineRule="auto"/>
            </w:pPr>
            <w:r>
              <w:rPr>
                <w:b/>
                <w:color w:val="0B6B72"/>
                <w:sz w:val="22"/>
              </w:rPr>
              <w:t>Architecture</w:t>
            </w:r>
          </w:p>
          <w:p>
            <w:pPr>
              <w:spacing w:after="0" w:line="269" w:lineRule="auto"/>
            </w:pPr>
            <w:r>
              <w:rPr>
                <w:sz w:val="19"/>
              </w:rPr>
              <w:t>Enterprise and solution architecture, modular/multi-tenant/configurable platforms, API-first design, workflow/RBAC, integration and data architecture.</w:t>
            </w:r>
          </w:p>
        </w:tc>
      </w:tr>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Engineering &amp; delivery</w:t>
            </w:r>
          </w:p>
          <w:p>
            <w:pPr>
              <w:spacing w:after="0" w:line="269" w:lineRule="auto"/>
            </w:pPr>
            <w:r>
              <w:rPr>
                <w:sz w:val="19"/>
              </w:rPr>
              <w:t>C#, .NET, ASP.NET Web Forms/Core/Web API, JavaScript/React, SQL Server/PostgreSQL/MySQL, SDLC, QA/UAT, CI/CD, release and go-live.</w:t>
            </w:r>
          </w:p>
        </w:tc>
        <w:tc>
          <w:tcPr>
            <w:tcW w:type="dxa" w:w="4997"/>
            <w:shd w:fill="F5F8F9"/>
            <w:tcMar>
              <w:top w:w="130" w:type="dxa"/>
              <w:start w:w="150" w:type="dxa"/>
              <w:bottom w:w="130" w:type="dxa"/>
              <w:end w:w="150" w:type="dxa"/>
            </w:tcMar>
          </w:tcPr>
          <w:p>
            <w:pPr>
              <w:spacing w:after="100" w:line="269" w:lineRule="auto"/>
            </w:pPr>
            <w:r>
              <w:rPr>
                <w:b/>
                <w:color w:val="0B6B72"/>
                <w:sz w:val="22"/>
              </w:rPr>
              <w:t>Data &amp; integration</w:t>
            </w:r>
          </w:p>
          <w:p>
            <w:pPr>
              <w:spacing w:after="0" w:line="269" w:lineRule="auto"/>
            </w:pPr>
            <w:r>
              <w:rPr>
                <w:sz w:val="19"/>
              </w:rPr>
              <w:t>Database design, master/reference data, data quality, reporting architecture, REST/SOAP, JSON, API contracts and data/file integrations.</w:t>
            </w:r>
          </w:p>
        </w:tc>
      </w:tr>
      <w:tr>
        <w:trPr>
          <w:cantSplit w:val="true"/>
        </w:trPr>
        <w:tc>
          <w:tcPr>
            <w:tcW w:type="dxa" w:w="4997"/>
            <w:shd w:fill="F5F8F9"/>
            <w:tcMar>
              <w:top w:w="130" w:type="dxa"/>
              <w:start w:w="150" w:type="dxa"/>
              <w:bottom w:w="130" w:type="dxa"/>
              <w:end w:w="150" w:type="dxa"/>
            </w:tcMar>
          </w:tcPr>
          <w:p>
            <w:pPr>
              <w:spacing w:after="100" w:line="269" w:lineRule="auto"/>
            </w:pPr>
            <w:r>
              <w:rPr>
                <w:b/>
                <w:color w:val="0B6B72"/>
                <w:sz w:val="22"/>
              </w:rPr>
              <w:t>Service operations</w:t>
            </w:r>
          </w:p>
          <w:p>
            <w:pPr>
              <w:spacing w:after="0" w:line="269" w:lineRule="auto"/>
            </w:pPr>
            <w:r>
              <w:rPr>
                <w:sz w:val="19"/>
              </w:rPr>
              <w:t>Technical support, customer service, service desk/call center, incident/RCA, change/release, training, adoption and business continuity/DR oversight.</w:t>
            </w:r>
          </w:p>
        </w:tc>
        <w:tc>
          <w:tcPr>
            <w:tcW w:type="dxa" w:w="4997"/>
            <w:shd w:fill="F5F8F9"/>
            <w:tcMar>
              <w:top w:w="130" w:type="dxa"/>
              <w:start w:w="150" w:type="dxa"/>
              <w:bottom w:w="130" w:type="dxa"/>
              <w:end w:w="150" w:type="dxa"/>
            </w:tcMar>
          </w:tcPr>
          <w:p>
            <w:pPr>
              <w:spacing w:after="100" w:line="269" w:lineRule="auto"/>
            </w:pPr>
            <w:r>
              <w:rPr>
                <w:b/>
                <w:color w:val="0B6B72"/>
                <w:sz w:val="22"/>
              </w:rPr>
              <w:t>AI-enabled work</w:t>
            </w:r>
          </w:p>
          <w:p>
            <w:pPr>
              <w:spacing w:after="0" w:line="269" w:lineRule="auto"/>
            </w:pPr>
            <w:r>
              <w:rPr>
                <w:sz w:val="19"/>
              </w:rPr>
              <w:t>Generative AI, prompt engineering and AI-assisted coding, analysis, documentation, SQL, prototyping and enterprise AI adoption strategy.</w:t>
            </w:r>
          </w:p>
        </w:tc>
      </w:tr>
    </w:tbl>
    <w:p>
      <w:pPr>
        <w:spacing w:after="0"/>
      </w:pPr>
    </w:p>
    <w:p>
      <w:pPr>
        <w:pStyle w:val="Heading2"/>
      </w:pPr>
      <w:r>
        <w:t>Awards and governance appointments</w:t>
      </w:r>
    </w:p>
    <w:p>
      <w:pPr>
        <w:pStyle w:val="ListBullet"/>
      </w:pPr>
      <w:r>
        <w:t>Two ITIDA award-winning solutions during the Keyframe period, including Yashfeen with a award-recognized solution</w:t>
      </w:r>
    </w:p>
    <w:p>
      <w:pPr>
        <w:pStyle w:val="ListBullet"/>
      </w:pPr>
      <w:r>
        <w:t>Sultan Qaboos Award received by the Oman Ministry of Education Recruitment System</w:t>
      </w:r>
    </w:p>
    <w:p>
      <w:pPr>
        <w:pStyle w:val="ListBullet"/>
      </w:pPr>
      <w:r>
        <w:t>Digital Transformation Committee Member - World Bank Group B-READY Egypt Assessment (2025-2026)</w:t>
      </w:r>
    </w:p>
    <w:p>
      <w:pPr>
        <w:pStyle w:val="ListBullet"/>
      </w:pPr>
      <w:r>
        <w:t>Board Member - National Blood Operations Oversight (2021-2024)</w:t>
      </w:r>
    </w:p>
    <w:p>
      <w:pPr>
        <w:pStyle w:val="ListBullet"/>
      </w:pPr>
      <w:r>
        <w:t>Governance Lead - National Pharmaceutical Track &amp; Trace Program (2021-2024)</w:t>
      </w:r>
    </w:p>
    <w:p>
      <w:pPr>
        <w:pStyle w:val="Heading2"/>
      </w:pPr>
      <w:r>
        <w:t>Education &amp; languages</w:t>
      </w:r>
    </w:p>
    <w:p>
      <w:r>
        <w:t>B.Sc. in Computer Science, Faculty of Computers &amp; Informatics, Zagazig University | 2003–2007</w:t>
      </w:r>
    </w:p>
    <w:p>
      <w:r>
        <w:t>Arabic: Native  |  English: Professional working proficiency</w:t>
      </w:r>
    </w:p>
    <w:p>
      <w:pPr>
        <w:pStyle w:val="Heading2"/>
      </w:pPr>
      <w:r>
        <w:t>Contact</w:t>
      </w:r>
    </w:p>
    <w:tbl>
      <w:tblPr>
        <w:tblW w:type="auto" w:w="0"/>
        <w:jc w:val="center"/>
        <w:tblLook w:firstColumn="1" w:firstRow="1" w:lastColumn="0" w:lastRow="0" w:noHBand="0" w:noVBand="1" w:val="04A0"/>
      </w:tblPr>
      <w:tblGrid>
        <w:gridCol w:w="4997"/>
        <w:gridCol w:w="4997"/>
      </w:tblGrid>
      <w:tr>
        <w:tc>
          <w:tcPr>
            <w:tcW w:type="dxa" w:w="4997"/>
            <w:shd w:fill="F5F8F9"/>
            <w:tcMar>
              <w:top w:w="120" w:type="dxa"/>
              <w:start w:w="140" w:type="dxa"/>
              <w:bottom w:w="120" w:type="dxa"/>
              <w:end w:w="140" w:type="dxa"/>
            </w:tcMar>
          </w:tcPr>
          <w:p>
            <w:r>
              <w:rPr>
                <w:b/>
                <w:color w:val="0B6B72"/>
                <w:sz w:val="16"/>
              </w:rPr>
              <w:t>EMAIL</w:t>
            </w:r>
          </w:p>
          <w:p>
            <w:r>
              <w:t>ma7moud.salamaaa@gmail.com</w:t>
            </w:r>
          </w:p>
        </w:tc>
        <w:tc>
          <w:tcPr>
            <w:tcW w:type="dxa" w:w="4997"/>
            <w:shd w:fill="E8F1F3"/>
            <w:tcMar>
              <w:top w:w="120" w:type="dxa"/>
              <w:start w:w="140" w:type="dxa"/>
              <w:bottom w:w="120" w:type="dxa"/>
              <w:end w:w="140" w:type="dxa"/>
            </w:tcMar>
          </w:tcPr>
          <w:p>
            <w:r>
              <w:rPr>
                <w:b/>
                <w:color w:val="0B6B72"/>
                <w:sz w:val="16"/>
              </w:rPr>
              <w:t>PHONE</w:t>
            </w:r>
          </w:p>
          <w:p>
            <w:r>
              <w:t>+20 122 015 6077</w:t>
            </w:r>
          </w:p>
        </w:tc>
      </w:tr>
      <w:tr>
        <w:tc>
          <w:tcPr>
            <w:tcW w:type="dxa" w:w="4997"/>
            <w:shd w:fill="F5F8F9"/>
            <w:tcMar>
              <w:top w:w="120" w:type="dxa"/>
              <w:start w:w="140" w:type="dxa"/>
              <w:bottom w:w="120" w:type="dxa"/>
              <w:end w:w="140" w:type="dxa"/>
            </w:tcMar>
          </w:tcPr>
          <w:p>
            <w:r>
              <w:rPr>
                <w:b/>
                <w:color w:val="0B6B72"/>
                <w:sz w:val="16"/>
              </w:rPr>
              <w:t>WEBSITE</w:t>
            </w:r>
          </w:p>
          <w:p>
            <w:hyperlink r:id="rId12">
              <w:r>
                <w:rPr>
                  <w:color w:val="2E74B5"/>
                  <w:u w:val="single"/>
                </w:rPr>
                <w:t>mahmoud-salama.vercel.app</w:t>
              </w:r>
            </w:hyperlink>
          </w:p>
        </w:tc>
        <w:tc>
          <w:tcPr>
            <w:tcW w:type="dxa" w:w="4997"/>
            <w:shd w:fill="E8F1F3"/>
            <w:tcMar>
              <w:top w:w="120" w:type="dxa"/>
              <w:start w:w="140" w:type="dxa"/>
              <w:bottom w:w="120" w:type="dxa"/>
              <w:end w:w="140" w:type="dxa"/>
            </w:tcMar>
          </w:tcPr>
          <w:p>
            <w:r>
              <w:rPr>
                <w:b/>
                <w:color w:val="0B6B72"/>
                <w:sz w:val="16"/>
              </w:rPr>
              <w:t>LINKEDIN</w:t>
            </w:r>
          </w:p>
          <w:p>
            <w:hyperlink r:id="rId13">
              <w:r>
                <w:rPr>
                  <w:color w:val="2E74B5"/>
                  <w:u w:val="single"/>
                </w:rPr>
                <w:t>www.linkedin.com/in/mahmoud-salama-30249b34</w:t>
              </w:r>
            </w:hyperlink>
          </w:p>
        </w:tc>
      </w:tr>
    </w:tbl>
    <w:p>
      <w:pPr>
        <w:jc w:val="center"/>
      </w:pPr>
      <w:r>
        <w:rPr>
          <w:color w:val="5E6874"/>
          <w:sz w:val="16"/>
        </w:rPr>
        <w:t>Prepared August 2026  •  Verified selected portfolio  •  Confidential identifiers and unsupported claims intentionally omitted</w:t>
      </w:r>
    </w:p>
    <w:sectPr w:rsidR="00FC693F" w:rsidRPr="0006063C" w:rsidSect="00034616">
      <w:headerReference w:type="default" r:id="rId9"/>
      <w:footerReference w:type="default" r:id="rId10"/>
      <w:pgSz w:w="12240" w:h="15840"/>
      <w:pgMar w:top="1037" w:right="1123" w:bottom="936" w:left="1123" w:header="490"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584"/>
    </w:tblGrid>
    <w:tr>
      <w:tc>
        <w:tcPr>
          <w:tcW w:type="dxa" w:w="4968"/>
          <w:tcMar>
            <w:top w:w="0" w:type="dxa"/>
            <w:start w:w="0" w:type="dxa"/>
            <w:bottom w:w="0" w:type="dxa"/>
            <w:end w:w="0" w:type="dxa"/>
          </w:tcMar>
          <w:tcBorders>
            <w:top w:val="nil"/>
            <w:bottom w:val="nil"/>
            <w:start w:val="nil"/>
            <w:end w:val="nil"/>
          </w:tcBorders>
        </w:tcPr>
        <w:p>
          <w:r>
            <w:rPr>
              <w:color w:val="5E6874"/>
              <w:sz w:val="16"/>
            </w:rPr>
            <w:t>mahmoud-salama.vercel.app  •  ma7moud.salamaaa@gmail.com</w:t>
          </w:r>
        </w:p>
      </w:tc>
      <w:tc>
        <w:tcPr>
          <w:tcW w:type="dxa" w:w="4968"/>
          <w:tcMar>
            <w:top w:w="0" w:type="dxa"/>
            <w:start w:w="0" w:type="dxa"/>
            <w:bottom w:w="0" w:type="dxa"/>
            <w:end w:w="0" w:type="dxa"/>
          </w:tcMar>
          <w:tcBorders>
            <w:top w:val="nil"/>
            <w:bottom w:val="nil"/>
            <w:start w:val="nil"/>
            <w:end w:val="nil"/>
          </w:tcBorders>
        </w:tcPr>
        <w:p>
          <w:pPr>
            <w:jc w:val="right"/>
          </w:pPr>
          <w:r>
            <w:rPr>
              <w:color w:val="5E687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C8D9DE"/>
      </w:pBdr>
    </w:pPr>
    <w:r>
      <w:rPr>
        <w:b/>
        <w:color w:val="123D4A"/>
        <w:sz w:val="17"/>
      </w:rPr>
      <w:t>MAHMOUD SALAMA</w:t>
    </w:r>
    <w:r>
      <w:rPr>
        <w:color w:val="5E6874"/>
      </w:rPr>
      <w:t xml:space="preserve">  |  EXECUTIVE TECHNOLOGY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23D4A"/>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B6B72"/>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Calibri" w:hAnsi="Calibri"/>
      <w:b/>
      <w:color w:val="123D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8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4" w:lineRule="auto"/>
      <w:contextualSpacing/>
    </w:pPr>
    <w:rPr>
      <w:rFonts w:ascii="Calibri" w:hAnsi="Calibri"/>
      <w:color w:val="1F2933"/>
      <w:sz w:val="20"/>
    </w:rPr>
  </w:style>
  <w:style w:type="paragraph" w:styleId="ListBullet2">
    <w:name w:val="List Bullet 2"/>
    <w:basedOn w:val="Normal"/>
    <w:uiPriority w:val="99"/>
    <w:unhideWhenUsed/>
    <w:rsid w:val="00326F90"/>
    <w:pPr>
      <w:numPr>
        <w:numId w:val="2"/>
      </w:numPr>
      <w:spacing w:after="70" w:line="264" w:lineRule="auto"/>
      <w:contextualSpacing/>
    </w:pPr>
    <w:rPr>
      <w:rFonts w:ascii="Calibri" w:hAnsi="Calibri"/>
      <w:color w:val="1F293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hmoud-salama.vercel.app" TargetMode="External"/><Relationship Id="rId13" Type="http://schemas.openxmlformats.org/officeDocument/2006/relationships/hyperlink" Target="https://www.linkedin.com/in/mahmoud-salama-30249b34" TargetMode="External"/><Relationship Id="rId14" Type="http://schemas.openxmlformats.org/officeDocument/2006/relationships/hyperlink" Target="https://github.com/MahmoudSalama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Executive Technology Portfolio</dc:title>
  <dc:subject>Selected verified technology leadership and project portfolio</dc:subject>
  <dc:creator>Mahmoud Salama</dc:creator>
  <cp:keywords>technology executive, digital transformation, enterprise systems, architecture, software delivery, portfolio</cp:keywords>
  <dc:description>Prepared from the verified career source of truth; unsupported and confidential claims are omitted.</dc:description>
  <cp:lastModifiedBy/>
  <cp:revision>1</cp:revision>
  <dcterms:created xsi:type="dcterms:W3CDTF">2013-12-23T23:15:00Z</dcterms:created>
  <dcterms:modified xsi:type="dcterms:W3CDTF">2013-12-23T23:15:00Z</dcterms:modified>
  <cp:category/>
</cp:coreProperties>
</file>