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  <w:jc w:val="center"/>
      </w:pPr>
      <w:r>
        <w:rPr>
          <w:rFonts w:ascii="Arial" w:hAnsi="Arial" w:eastAsia="Arial"/>
          <w:b/>
          <w:color w:val="123B4A"/>
          <w:sz w:val="39"/>
        </w:rPr>
        <w:t>MAHMOUD SALAMA</w:t>
      </w:r>
    </w:p>
    <w:p>
      <w:pPr>
        <w:keepNext/>
        <w:spacing w:before="0" w:after="16" w:line="240" w:lineRule="auto"/>
        <w:jc w:val="center"/>
      </w:pPr>
      <w:r>
        <w:rPr>
          <w:rFonts w:ascii="Arial" w:hAnsi="Arial" w:eastAsia="Arial"/>
          <w:b/>
          <w:color w:val="123B4A"/>
          <w:sz w:val="21"/>
        </w:rPr>
        <w:t>CTO / IT DIRECTOR | TECHNOLOGY STRATEGY, ENTERPRISE SYSTEMS &amp; DIGITAL OPERATIONS</w:t>
      </w:r>
    </w:p>
    <w:p>
      <w:pPr>
        <w:keepNext/>
        <w:spacing w:before="0" w:after="22" w:line="240" w:lineRule="auto"/>
        <w:jc w:val="center"/>
      </w:pPr>
      <w:r>
        <w:rPr>
          <w:rFonts w:ascii="Arial" w:hAnsi="Arial" w:eastAsia="Arial"/>
          <w:b w:val="0"/>
          <w:color w:val="5A6570"/>
          <w:sz w:val="17"/>
        </w:rPr>
        <w:t>Technology Strategy | IT Operating Model | Enterprise Architecture | Applications, Data, Risk, Continuity &amp; Third-Party Coordination</w:t>
      </w:r>
    </w:p>
    <w:p>
      <w:pPr>
        <w:spacing w:before="0" w:after="12" w:line="240" w:lineRule="auto"/>
        <w:jc w:val="center"/>
      </w:pPr>
      <w:r>
        <w:rPr>
          <w:rFonts w:ascii="Arial" w:hAnsi="Arial" w:eastAsia="Arial"/>
          <w:b w:val="0"/>
          <w:color w:val="111111"/>
          <w:sz w:val="16"/>
        </w:rPr>
        <w:t>+20 122 015 6077 | ma7moud.salamaaa@gmail.com | Cairo, Egypt</w:t>
      </w:r>
    </w:p>
    <w:p>
      <w:pPr>
        <w:spacing w:before="0" w:after="50" w:line="240" w:lineRule="auto"/>
        <w:jc w:val="center"/>
      </w:pPr>
      <w:r>
        <w:rPr>
          <w:rFonts w:ascii="Arial" w:hAnsi="Arial" w:eastAsia="Arial"/>
          <w:b w:val="0"/>
          <w:color w:val="5A6570"/>
          <w:sz w:val="16"/>
        </w:rPr>
        <w:t>linkedin.com/in/mahmoud-salama-30249b34 | mahmoud-salama.vercel.app | github.com/MahmoudSalamaaa</w:t>
      </w:r>
    </w:p>
    <w:p>
      <w:pPr>
        <w:keepNext/>
        <w:spacing w:before="60" w:after="26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PROFILE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11111"/>
          <w:sz w:val="18"/>
        </w:rPr>
        <w:t>Technology executive and software-engineering leader with 18+ years of experience spanning hands-on C#/.NET development, enterprise applications, solution and enterprise architecture, digital transformation, information-systems leadership, and large-scale service delivery across Egypt and the GCC. Leads a 54-person technology organization across four major functions with seven direct reports. Combines engineering depth with operating-model design, portfolio governance and third-party coordination, modernization, data and integration, service operations, risk/continuity oversight, and executive stakeholder leadership.</w:t>
      </w:r>
    </w:p>
    <w:p>
      <w:pPr>
        <w:keepNext/>
        <w:spacing w:before="60" w:after="22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8"/>
        </w:rPr>
        <w:t>CORE LEADERSHIP AREAS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23B4A"/>
          <w:sz w:val="18"/>
        </w:rPr>
        <w:t>Technology Strategy &amp; Operating Model | Enterprise Architecture &amp; Systems | Portfolio Governance &amp; Third-Party Coordination | Software &amp; Platform Leadership | Data, Integration &amp; Analytics | Service Management | Risk, Security &amp; Continuity Governance</w:t>
      </w:r>
    </w:p>
    <w:p>
      <w:pPr>
        <w:keepNext/>
        <w:spacing w:before="60" w:after="22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8"/>
        </w:rPr>
        <w:t>SELECTED CAREER IMPACT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Lead a 54-person technology organization across four major functions with 7 direct reports.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Own a unified national procurement platform serving ~60K users, ~90K facilities/entities, ~300 suppliers, and ~1M transactions/month.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Lead a ~20-person technical support and customer-service operation with service desk, internal call-center services, CRM-supported case handling, SLAs, onboarding, and training.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Delivered national-scale government platforms in Oman, including the ~1M-user Educational Portal and the Ministry of Education Recruitment System.</w:t>
      </w:r>
      <w:r>
        <w:rPr>
          <w:rFonts w:ascii="Arial" w:hAnsi="Arial" w:eastAsia="Arial"/>
          <w:color w:val="111111"/>
          <w:sz w:val="18"/>
        </w:rPr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Built, delivered or governed roughly 150 major and smaller websites, portals, enterprise applications and digital-service engagements across public and commercial sectors.</w:t>
      </w:r>
      <w:r>
        <w:rPr>
          <w:rFonts w:ascii="Arial" w:hAnsi="Arial" w:eastAsia="Arial"/>
          <w:color w:val="111111"/>
          <w:sz w:val="18"/>
        </w:rPr>
      </w:r>
    </w:p>
    <w:p>
      <w:pPr>
        <w:keepNext/>
        <w:spacing w:before="60" w:after="26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EXPERIENCE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05/2025 - Present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Head of the Central Administration for Information Systems &amp; Digital Transformation</w:t>
      </w:r>
    </w:p>
    <w:p>
      <w:pPr>
        <w:keepNext/>
        <w:spacing w:before="0" w:after="23" w:line="240" w:lineRule="auto"/>
      </w:pPr>
      <w:r>
        <w:rPr>
          <w:rFonts w:ascii="Arial" w:hAnsi="Arial" w:eastAsia="Arial"/>
          <w:b w:val="0"/>
          <w:i/>
          <w:color w:val="5A6570"/>
          <w:sz w:val="17"/>
        </w:rPr>
        <w:t>Scope: Technology Strategy | Enterprise Systems &amp; Architecture | Portfolio, Risk, Service Governance &amp; Third-Party Coordination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Lead a 54-person technology organization across four major functions with seven direct reports, spanning software development, systems/applications, business analysis, QA/reporting, technical support, customer service, architecture, data, and delivery governance.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Own the evolution of a unified national enterprise procurement platform covering demand consolidation, approvals, tendering, supplier evaluation, award/contracting, purchase orders, delivery/receipt, reporting, auditability, and support at national scale.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Govern enterprise and solution architecture across multi-tenant, configurable, modular, and API-first platform capabilities, including RBAC, workflow/rules, document management, audit trails, CMS/electronic publishing, data quality, integration patterns, security, performance, and resilience.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Direct end-to-end SDLC, portfolio delivery, architecture reviews, release governance, production readiness, incident/RCA practices, third-party coordination, change management, and continuous modernization.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Lead service operations for ~60K users through a ~20-person support/customer-service function covering service desk, internal call-center services, CRM-supported case handling, SLAs/escalation, onboarding, training, feedback, and adoption.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Drive technology strategy, operating-model improvements, engineering standards, data governance, security controls, executive reporting, technology KPIs, and enterprise AI adoption strategy with controlled, validated use of AI-assisted tools and clear technology accountability.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10/2020 - 05/2025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General Manager - Systems, Applications &amp; Technical Support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Directed applications, systems, technical support, and customer-service delivery across procurement, medical-supply, inventory, reporting, CMS/publishing, enterprise workflows, and stakeholder-service capabilities.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Built and modernized configurable digital workflows that replaced large volumes of manual, paper-, Excel-, and email-based processes, improving turnaround, traceability, governance, and operational efficiency.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Strengthened engineering and service delivery through clearer ownership, technical standards, design/code reviews, QA/release gates, documentation, incident/RCA practices, knowledge transfer, and repeatable support procedures.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Coordinated complex multi-agency initiatives and nationwide onboarding, training, support, issue escalation, feedback, and adoption across public-sector stakeholders.</w:t>
      </w:r>
    </w:p>
    <w:p>
      <w:r>
        <w:br w:type="page"/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Integral Solutions LLC | Muscat, Oman</w:t>
      </w:r>
      <w:r>
        <w:rPr>
          <w:rFonts w:ascii="Arial" w:hAnsi="Arial" w:eastAsia="Arial"/>
          <w:b/>
          <w:color w:val="5A6570"/>
          <w:sz w:val="18"/>
        </w:rPr>
        <w:tab/>
        <w:t>05/2016 - 10/2020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Government Client Assignments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Worked hands-on on Oman Ministry of Education's national Educational Portal, serving approximately 1 million users, contributing across application development, database/reporting work, testing, deployment, rollout and production support.</w:t>
      </w:r>
      <w:r>
        <w:rPr>
          <w:rFonts w:ascii="Arial" w:hAnsi="Arial" w:eastAsia="Arial"/>
          <w:color w:val="111111"/>
          <w:sz w:val="18"/>
        </w:rPr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Contributed extensively to the large-scale Maktabi / Morasalat electronic correspondence platform for Omani government entities, working hands-on on correspondence creation, routing, forwarding and tracking, reports, database components, functional testing, defect investigation, production deployment and release/application support.</w:t>
      </w:r>
      <w:r>
        <w:rPr>
          <w:rFonts w:ascii="Arial" w:hAnsi="Arial" w:eastAsia="Arial"/>
          <w:color w:val="111111"/>
          <w:sz w:val="18"/>
        </w:rPr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Contributed substantially to Ministry of Education Recruitment, International Schools, Crisis and Asset Management systems; also worked across Ministry of Agriculture portal delivery spanning development, integrations, reporting, deployment, training and support.</w:t>
      </w:r>
      <w:r>
        <w:rPr>
          <w:rFonts w:ascii="Arial" w:hAnsi="Arial" w:eastAsia="Arial"/>
          <w:color w:val="111111"/>
          <w:sz w:val="18"/>
        </w:rPr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Worked across full-cycle government-system delivery using C#/.NET, ASP.NET, SQL Server/MySQL, JavaScript, REST/SOAP services, workflow/RBAC, reporting, integrations, testing, deployment and production-support practices.</w:t>
      </w:r>
      <w:r>
        <w:rPr>
          <w:rFonts w:ascii="Arial" w:hAnsi="Arial" w:eastAsia="Arial"/>
          <w:color w:val="111111"/>
          <w:sz w:val="18"/>
        </w:rPr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Keyframe Egypt | Cairo, Egypt</w:t>
      </w:r>
      <w:r>
        <w:rPr>
          <w:rFonts w:ascii="Arial" w:hAnsi="Arial" w:eastAsia="Arial"/>
          <w:b/>
          <w:color w:val="5A6570"/>
          <w:sz w:val="18"/>
        </w:rPr>
        <w:tab/>
        <w:t>04/2011 - 05/2016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Later Development Team Lead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Delivered across roughly 150 major and smaller web, portal and enterprise-system engagements spanning government, healthcare, education, construction, automotive, events and commercial sectors, with substantial hands-on and independent end-to-end implementation.</w:t>
      </w:r>
      <w:r>
        <w:rPr>
          <w:rFonts w:ascii="Arial" w:hAnsi="Arial" w:eastAsia="Arial"/>
          <w:color w:val="111111"/>
          <w:sz w:val="18"/>
        </w:rPr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>• Delivered public-sector and enterprise solutions spanning Ministry of Health work, conference platforms, education and HR systems, support desks and integrations, covering analysis, C#/.NET development, databases, reporting, testing, deployment and support.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Built and customized CMS/electronic-publishing solutions, including a custom .NET CMS plus hands-on Umbraco and Kentico work, with multilingual/RTL publishing, workflows, versioning, archiving, permissions, search, SEO, analytics, and integrations.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Egyptian Armed Forces | Egypt</w:t>
      </w:r>
      <w:r>
        <w:rPr>
          <w:rFonts w:ascii="Arial" w:hAnsi="Arial" w:eastAsia="Arial"/>
          <w:b/>
          <w:color w:val="5A6570"/>
          <w:sz w:val="18"/>
        </w:rPr>
        <w:tab/>
        <w:t>04/2008 - 10/2010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Linux Systems &amp; Web Developer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60" w:after="22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8"/>
        </w:rPr>
        <w:t>LEADERSHIP APPOINTMENTS &amp; GOVERNANCE CONTRIBUTIONS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Digital Transformation Committee Member - World Bank Group B-READY Egypt Assessment (2025-2026): contributed technical input supporting private-sector digitization, public-service modernization, and national competitiveness.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Board Member - National Blood Operations Oversight (2021-2024), appointed by Egypt's Minister of Health: oversaw digital governance, data integrity, and technology standards for the national blood-supply system.</w:t>
      </w:r>
    </w:p>
    <w:p>
      <w:pPr>
        <w:spacing w:before="0" w:after="25" w:line="240" w:lineRule="auto"/>
        <w:ind w:left="230" w:hanging="173"/>
      </w:pPr>
      <w:r>
        <w:rPr>
          <w:rFonts w:ascii="Arial" w:hAnsi="Arial" w:eastAsia="Arial"/>
          <w:b/>
          <w:color w:val="0F5C67"/>
          <w:sz w:val="18"/>
        </w:rPr>
        <w:t xml:space="preserve">• </w:t>
      </w:r>
      <w:r>
        <w:rPr>
          <w:rFonts w:ascii="Arial" w:hAnsi="Arial" w:eastAsia="Arial"/>
          <w:color w:val="111111"/>
          <w:sz w:val="18"/>
        </w:rPr>
        <w:t>Governance Lead - National Pharmaceutical Track &amp; Trace Program (2021-2024): shaped the vision, governance framework, compliance model, stakeholder coordination, and technology roadmap across UPA, EDA, and Ministry of Health stakeholders.</w:t>
      </w:r>
    </w:p>
    <w:p>
      <w:pPr>
        <w:keepNext/>
        <w:spacing w:before="60" w:after="22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8"/>
        </w:rPr>
        <w:t>SELECTED ENTERPRISE PLATFORMS &amp; PROGRAMS</w:t>
      </w:r>
    </w:p>
    <w:p>
      <w:pPr>
        <w:keepNext/>
        <w:spacing w:before="20" w:after="6" w:line="240" w:lineRule="auto"/>
      </w:pPr>
      <w:r>
        <w:rPr>
          <w:rFonts w:ascii="Arial" w:hAnsi="Arial" w:eastAsia="Arial"/>
          <w:b/>
          <w:color w:val="123B4A"/>
          <w:sz w:val="18"/>
        </w:rPr>
        <w:t>UPA Unified Enterprise Procurement Platform</w:t>
      </w:r>
    </w:p>
    <w:p>
      <w:pPr>
        <w:spacing w:before="0" w:after="36" w:line="240" w:lineRule="auto"/>
      </w:pPr>
      <w:r>
        <w:rPr>
          <w:rFonts w:ascii="Arial" w:hAnsi="Arial" w:eastAsia="Arial"/>
          <w:color w:val="111111"/>
          <w:sz w:val="18"/>
        </w:rPr>
        <w:t>End-to-end national procurement lifecycle with configurable workflows, auditability, supplier services, reporting, support, and shared enterprise capabilities at ~1M transactions/month.</w:t>
      </w:r>
    </w:p>
    <w:p>
      <w:pPr>
        <w:keepNext/>
        <w:spacing w:before="20" w:after="6" w:line="240" w:lineRule="auto"/>
      </w:pPr>
      <w:r>
        <w:rPr>
          <w:rFonts w:ascii="Arial" w:hAnsi="Arial" w:eastAsia="Arial"/>
          <w:b/>
          <w:color w:val="123B4A"/>
          <w:sz w:val="18"/>
        </w:rPr>
        <w:t>Shared Platform &amp; Service Capabilities</w:t>
      </w:r>
    </w:p>
    <w:p>
      <w:pPr>
        <w:spacing w:before="0" w:after="36" w:line="240" w:lineRule="auto"/>
      </w:pPr>
      <w:r>
        <w:rPr>
          <w:rFonts w:ascii="Arial" w:hAnsi="Arial" w:eastAsia="Arial"/>
          <w:color w:val="111111"/>
          <w:sz w:val="18"/>
        </w:rPr>
        <w:t>RBAC, workflow/rules, notifications, DMS/archiving, audit trails, search, reporting/export, CMS/electronic publishing, customer service/support, REST/SOAP, JSON, database/file integrations, and external e-signature integration where required.</w:t>
      </w:r>
    </w:p>
    <w:p>
      <w:pPr>
        <w:keepNext/>
        <w:spacing w:before="20" w:after="6" w:line="240" w:lineRule="auto"/>
      </w:pPr>
      <w:r>
        <w:rPr>
          <w:rFonts w:ascii="Arial" w:hAnsi="Arial" w:eastAsia="Arial"/>
          <w:b/>
          <w:color w:val="123B4A"/>
          <w:sz w:val="18"/>
        </w:rPr>
        <w:t>Oman &amp; Egypt Government Platforms</w:t>
      </w:r>
    </w:p>
    <w:p>
      <w:pPr>
        <w:spacing w:before="0" w:after="36" w:line="240" w:lineRule="auto"/>
      </w:pPr>
      <w:r>
        <w:rPr>
          <w:rFonts w:ascii="Arial" w:hAnsi="Arial" w:eastAsia="Arial"/>
          <w:color w:val="111111"/>
          <w:sz w:val="18"/>
        </w:rPr>
        <w:t>Oman Educational Portal, Recruitment, International Schools, Crisis, Asset and Maktabi/Morasalat Electronic Correspondence, Ministry of Agriculture portal, and Egypt Ministry of Health portal.</w:t>
      </w:r>
    </w:p>
    <w:p>
      <w:pPr>
        <w:keepNext/>
        <w:spacing w:before="60" w:after="22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8"/>
        </w:rPr>
        <w:t>TECHNICAL &amp; MANAGEMENT CAPABILITIES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7"/>
        </w:rPr>
        <w:t>Executive &amp; Governance: Technology Strategy, IT Operating Model, Organization Design, Portfolio/Roadmaps, Executive Stakeholders, Third-Party Coordination, Service Governance, Risk/Controls, Business Continuity/DR Oversight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7"/>
        </w:rPr>
        <w:t>Architecture &amp; Engineering: Enterprise/Solution Architecture, N-Tier/Layered, Modular Monolith, Distributed Integration Patterns, API-First, Multi-Tenant, Configurable/Metadata-Driven Platforms, C#, ASP.NET Web Forms/Core/Web API, .NET, React, JavaScript, SQL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7"/>
        </w:rPr>
        <w:t xml:space="preserve">Enterprise Platforms &amp; Operations: </w:t>
      </w:r>
      <w:r>
        <w:rPr>
          <w:rFonts w:ascii="Arial" w:hAnsi="Arial" w:eastAsia="Arial"/>
          <w:color w:val="111111"/>
          <w:sz w:val="17"/>
        </w:rPr>
        <w:t>E-Procurement, Workflow/BPM, CMS/Electronic Publishing, DMS/Archiving, RBAC/Audit, Technical Support &amp; Customer Service, Service Desk/Call Center, SLA/Incident/RCA, Training/Adoption, Data Governance &amp; Reporting Architecture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7"/>
        </w:rPr>
        <w:t xml:space="preserve">Tools &amp; AI: </w:t>
      </w:r>
      <w:r>
        <w:rPr>
          <w:rFonts w:ascii="Arial" w:hAnsi="Arial" w:eastAsia="Arial"/>
          <w:color w:val="111111"/>
          <w:sz w:val="17"/>
        </w:rPr>
        <w:t>PostgreSQL, SQL Server, MySQL, Redis, Git/TFS, Jenkins, Postman, Swagger/OpenAPI, Visual Studio/VS Code/Rider, Docker (working exposure), Generative AI, Prompt Engineering, AI-Assisted Development/Analysis, No-Code Prototyping</w:t>
      </w:r>
    </w:p>
    <w:p>
      <w:pPr>
        <w:keepNext/>
        <w:spacing w:before="60" w:after="22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8"/>
        </w:rPr>
        <w:t>EDUCATION &amp; LANGUAGES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7"/>
        </w:rPr>
        <w:t xml:space="preserve">Education: </w:t>
      </w:r>
      <w:r>
        <w:rPr>
          <w:rFonts w:ascii="Arial" w:hAnsi="Arial" w:eastAsia="Arial"/>
          <w:color w:val="111111"/>
          <w:sz w:val="17"/>
        </w:rPr>
        <w:t>B.Sc. in Computer Science, Faculty of Computers &amp; Informatics, Zagazig University | 2003-2007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7"/>
        </w:rPr>
        <w:t xml:space="preserve">Languages: </w:t>
      </w:r>
      <w:r>
        <w:rPr>
          <w:rFonts w:ascii="Arial" w:hAnsi="Arial" w:eastAsia="Arial"/>
          <w:color w:val="111111"/>
          <w:sz w:val="17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