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 w:line="240" w:lineRule="auto"/>
        <w:jc w:val="center"/>
      </w:pPr>
      <w:r>
        <w:rPr>
          <w:rFonts w:ascii="Arial" w:hAnsi="Arial" w:eastAsia="Arial"/>
          <w:b/>
          <w:color w:val="123B4A"/>
          <w:sz w:val="39"/>
        </w:rPr>
        <w:t>MAHMOUD SALAMA</w:t>
      </w:r>
    </w:p>
    <w:p>
      <w:pPr>
        <w:keepNext/>
        <w:spacing w:before="0" w:after="16" w:line="240" w:lineRule="auto"/>
        <w:jc w:val="center"/>
      </w:pPr>
      <w:r>
        <w:rPr>
          <w:rFonts w:ascii="Arial" w:hAnsi="Arial" w:eastAsia="Arial"/>
          <w:b/>
          <w:color w:val="123B4A"/>
          <w:sz w:val="21"/>
        </w:rPr>
        <w:t>ENTERPRISE ARCHITECT | ENTERPRISE PLATFORMS, INTEGRATION &amp; ARCHITECTURE GOVERNANCE</w:t>
      </w:r>
    </w:p>
    <w:p>
      <w:pPr>
        <w:keepNext/>
        <w:spacing w:before="0" w:after="22" w:line="240" w:lineRule="auto"/>
        <w:jc w:val="center"/>
      </w:pPr>
      <w:r>
        <w:rPr>
          <w:rFonts w:ascii="Arial" w:hAnsi="Arial" w:eastAsia="Arial"/>
          <w:b w:val="0"/>
          <w:color w:val="5A6570"/>
          <w:sz w:val="18"/>
        </w:rPr>
        <w:t>Capability Alignment | Target State | Principles &amp; Standards | Application, Data, Integration, Security &amp; NFRs</w:t>
      </w:r>
    </w:p>
    <w:p>
      <w:pPr>
        <w:spacing w:before="0" w:after="12" w:line="240" w:lineRule="auto"/>
        <w:jc w:val="center"/>
      </w:pPr>
      <w:r>
        <w:rPr>
          <w:rFonts w:ascii="Arial" w:hAnsi="Arial" w:eastAsia="Arial"/>
          <w:b w:val="0"/>
          <w:color w:val="111111"/>
          <w:sz w:val="17"/>
        </w:rPr>
        <w:t>+20 122 015 6077 | ma7moud.salamaaa@gmail.com | Cairo, Egypt</w:t>
      </w:r>
    </w:p>
    <w:p>
      <w:pPr>
        <w:spacing w:before="0" w:after="50" w:line="240" w:lineRule="auto"/>
        <w:jc w:val="center"/>
      </w:pPr>
      <w:r>
        <w:rPr>
          <w:rFonts w:ascii="Arial" w:hAnsi="Arial" w:eastAsia="Arial"/>
          <w:b w:val="0"/>
          <w:color w:val="5A6570"/>
          <w:sz w:val="17"/>
        </w:rPr>
        <w:t>linkedin.com/in/mahmoud-salama-30249b34 | mahmoud-salama.vercel.app | github.com/MahmoudSalamaaa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PROFESSIONAL PROFILE</w:t>
      </w:r>
    </w:p>
    <w:p>
      <w:pPr>
        <w:spacing w:before="0" w:after="36" w:line="240" w:lineRule="auto"/>
      </w:pPr>
      <w:r>
        <w:rPr>
          <w:rFonts w:ascii="Arial" w:hAnsi="Arial" w:eastAsia="Arial"/>
          <w:i w:val="0"/>
          <w:color w:val="111111"/>
          <w:sz w:val="18"/>
        </w:rPr>
        <w:t>Enterprise and solution architecture leader with 18+ years of experience connecting business capabilities, operating priorities, enterprise applications, data, integration, security, and delivery into practical target-state roadmaps. Combines hands-on C#/.NET engineering with architecture governance, platform modernization, multi-tenant/configurable design, shared services, API/integration standards, data governance, NFRs, and portfolio-level technology decision support across large government ecosystems in Egypt and Oman.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CORE LEADERSHIP AREAS</w:t>
      </w:r>
    </w:p>
    <w:p>
      <w:pPr>
        <w:spacing w:before="0" w:after="36" w:line="240" w:lineRule="auto"/>
      </w:pPr>
      <w:r>
        <w:rPr>
          <w:rFonts w:ascii="Arial" w:hAnsi="Arial" w:eastAsia="Arial"/>
          <w:i w:val="0"/>
          <w:color w:val="123B4A"/>
          <w:sz w:val="18"/>
        </w:rPr>
        <w:t>Enterprise Architecture | Capability &amp; Target-State Alignment | Architecture Principles &amp; Standards | Application Portfolio | Integration &amp; API Architecture | Data Architecture &amp; Governance | Security / NFRs / Resilience | Architecture Governance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SELECTED CAREER IMPACT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Architecture governance for a unified national platform serving ~60K users and ~90K facilities/entities.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Platform and data environments handling ~1M transactions/month with databases up to ~400GB and millions of records.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Designed and delivered national-scale government platforms in Oman, including an approximately 1M-user Educational Portal.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Delivered or governed roughly 150 major and smaller digital-solution engagements across public and commercial sectors.</w:t>
      </w:r>
      <w:r>
        <w:rPr>
          <w:rFonts w:ascii="Arial" w:hAnsi="Arial" w:eastAsia="Arial"/>
          <w:color w:val="111111"/>
          <w:sz w:val="19"/>
        </w:rPr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PROFESSIONAL EXPERIENCE</w:t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The Egyptian Authority for Unified Procurement, Medical Supply and Management of Medical Technology (UPA) | Cairo, Egypt</w:t>
      </w:r>
      <w:r>
        <w:rPr>
          <w:rFonts w:ascii="Arial" w:hAnsi="Arial" w:eastAsia="Arial"/>
          <w:b/>
          <w:color w:val="5A6570"/>
          <w:sz w:val="18"/>
        </w:rPr>
        <w:tab/>
        <w:t>05/2025 - Present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Head of the Central Administration for Information Systems &amp; Digital Transformation</w:t>
      </w:r>
    </w:p>
    <w:p>
      <w:pPr>
        <w:keepNext/>
        <w:spacing w:before="0" w:after="23" w:line="240" w:lineRule="auto"/>
      </w:pPr>
      <w:r>
        <w:rPr>
          <w:rFonts w:ascii="Arial" w:hAnsi="Arial" w:eastAsia="Arial"/>
          <w:b w:val="0"/>
          <w:i/>
          <w:color w:val="5A6570"/>
          <w:sz w:val="18"/>
        </w:rPr>
        <w:t>Scope: Enterprise Architecture | Target-State Roadmaps | Platform, Data, Integration &amp; Governance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Translate enterprise priorities and business capabilities into target-state application, data, integration, security, and platform roadmaps for a unified national procurement environment.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Govern architecture across multi-tenant, configurable, modular, and API-first capabilities, including shared platform services, RBAC, workflow/rules, DMS/archiving, auditability, CMS/electronic publishing, reporting, and support services.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Define and review architecture principles, application boundaries, integration patterns, API contracts, data mappings, dependency decisions, NFRs, security controls, performance, resilience, operational monitoring/visibility, and service-transition expectations.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Lead architecture reviews and modernization decisions covering reuse versus customization, compatibility, deprecation, technical debt, data governance, operational impact, and phased evolution without disrupting critical services.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Align business stakeholders, engineering, analysis, QA, infrastructure/security, support, and third parties around architecture decisions, ownership, standards, and implementation guardrails.</w:t>
      </w:r>
    </w:p>
    <w:p>
      <w:r>
        <w:br w:type="page"/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The Egyptian Authority for Unified Procurement, Medical Supply and Management of Medical Technology (UPA) | Cairo, Egypt</w:t>
      </w:r>
      <w:r>
        <w:rPr>
          <w:rFonts w:ascii="Arial" w:hAnsi="Arial" w:eastAsia="Arial"/>
          <w:b/>
          <w:color w:val="5A6570"/>
          <w:sz w:val="18"/>
        </w:rPr>
        <w:tab/>
        <w:t>10/2020 - 05/2025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General Manager - Systems, Applications &amp; Technical Support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Applied architecture and systems-analysis practices to modernize procurement, medical-supply, inventory, reporting, CMS/publishing, and enterprise workflow capabilities.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Converted manual processes into configurable digital workflows with clearer rules, approvals, auditability, role/data-level access, data controls, and support ownership.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Established stronger technical standards, design reviews, documentation, integration discipline, QA/release gates, and production-support practices.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Coordinated architecture, data, compliance, rollout, and operational-readiness decisions across multi-agency national initiatives.</w:t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Integral Solutions LLC | Muscat, Oman</w:t>
      </w:r>
      <w:r>
        <w:rPr>
          <w:rFonts w:ascii="Arial" w:hAnsi="Arial" w:eastAsia="Arial"/>
          <w:b/>
          <w:color w:val="5A6570"/>
          <w:sz w:val="18"/>
        </w:rPr>
        <w:tab/>
        <w:t>05/2016 - 10/2020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Senior Full-Stack Developer | Government Client Assignments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Worked hands-on on Oman Ministry of Education's national Educational Portal, serving approximately 1 million users, contributing across application development, database/reporting work, testing, deployment, rollout and production support.</w:t>
      </w:r>
      <w:r>
        <w:rPr>
          <w:rFonts w:ascii="Arial" w:hAnsi="Arial" w:eastAsia="Arial"/>
          <w:color w:val="111111"/>
          <w:sz w:val="19"/>
        </w:rPr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Contributed extensively to the large-scale Maktabi / Morasalat electronic correspondence platform for Omani government entities, working hands-on on correspondence creation, routing, forwarding and tracking, reports, database components, functional testing, defect investigation, production deployment and release/application support.</w:t>
      </w:r>
      <w:r>
        <w:rPr>
          <w:rFonts w:ascii="Arial" w:hAnsi="Arial" w:eastAsia="Arial"/>
          <w:color w:val="111111"/>
          <w:sz w:val="19"/>
        </w:rPr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Delivered the Ministry of Education Recruitment System and contributed to International Schools, Crisis and Asset Management systems; also designed and delivered the Ministry of Agriculture portal across architecture, development, integrations, reporting, deployment, training and support.</w:t>
      </w:r>
      <w:r>
        <w:rPr>
          <w:rFonts w:ascii="Arial" w:hAnsi="Arial" w:eastAsia="Arial"/>
          <w:color w:val="111111"/>
          <w:sz w:val="19"/>
        </w:rPr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Keyframe Egypt | Cairo, Egypt</w:t>
      </w:r>
      <w:r>
        <w:rPr>
          <w:rFonts w:ascii="Arial" w:hAnsi="Arial" w:eastAsia="Arial"/>
          <w:b/>
          <w:color w:val="5A6570"/>
          <w:sz w:val="18"/>
        </w:rPr>
        <w:tab/>
        <w:t>04/2011 - 05/2016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Senior Full-Stack Developer | Later Development Team Lead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Delivered across roughly 150 major and smaller web, portal and enterprise-system engagements spanning government, healthcare, education, construction, automotive, events and commercial sectors, with substantial hands-on and independent end-to-end implementation.</w:t>
      </w:r>
      <w:r>
        <w:rPr>
          <w:rFonts w:ascii="Arial" w:hAnsi="Arial" w:eastAsia="Arial"/>
          <w:color w:val="111111"/>
          <w:sz w:val="19"/>
        </w:rPr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Delivered public-sector and enterprise solutions spanning Ministry of Health work, conference platforms, education and HR systems, support desks and integrations, covering analysis, C#/.NET development, databases, reporting, testing, deployment and support.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Built and customized CMS/electronic-publishing solutions, including a custom .NET CMS plus hands-on Umbraco and Kentico work, with multilingual/RTL publishing, workflows, versioning, archiving, permissions, search, SEO, analytics, and integrations.</w:t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Egyptian Armed Forces | Egypt</w:t>
      </w:r>
      <w:r>
        <w:rPr>
          <w:rFonts w:ascii="Arial" w:hAnsi="Arial" w:eastAsia="Arial"/>
          <w:b/>
          <w:color w:val="5A6570"/>
          <w:sz w:val="18"/>
        </w:rPr>
        <w:tab/>
        <w:t>04/2008 - 10/2010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Linux Systems &amp; Web Developer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Contributed to Egypt's first Linux distribution, working on Linux from Scratch builds, kernel modules, optimization, and platform hardening; also built secure internal ASP.NET/SQL Server applications.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LEADERSHIP APPOINTMENTS &amp; GOVERNANCE CONTRIBUTIONS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Digital Transformation Committee Member - World Bank Group B-READY Egypt Assessment (2025-2026): contributed technical input supporting private-sector digitization, public-service modernization, and national competitiveness.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Board Member - National Blood Operations Oversight (2021-2024), appointed by Egypt's Minister of Health: oversaw digital governance, data integrity, and technology standards for the national blood-supply system.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TECHNICAL &amp; MANAGEMENT CAPABILITIES</w:t>
      </w:r>
    </w:p>
    <w:p>
      <w:pPr>
        <w:spacing w:before="0" w:after="22" w:line="240" w:lineRule="auto"/>
      </w:pPr>
      <w:r>
        <w:rPr>
          <w:rFonts w:ascii="Arial" w:hAnsi="Arial" w:eastAsia="Arial"/>
          <w:b/>
          <w:color w:val="123B4A"/>
          <w:sz w:val="18"/>
        </w:rPr>
        <w:t>Enterprise Architecture: Capability Alignment, Current/Target State, Architecture Principles, Standards, Reusable Architecture Patterns, Application Portfolio/Rationalization, Architecture Review &amp; Governance</w:t>
      </w:r>
    </w:p>
    <w:p>
      <w:pPr>
        <w:spacing w:before="0" w:after="22" w:line="240" w:lineRule="auto"/>
      </w:pPr>
      <w:r>
        <w:rPr>
          <w:rFonts w:ascii="Arial" w:hAnsi="Arial" w:eastAsia="Arial"/>
          <w:b/>
          <w:color w:val="123B4A"/>
          <w:sz w:val="18"/>
        </w:rPr>
        <w:t>Solution &amp; Platform Architecture: N-Tier/Layered, Modular Monolith, API-First, Multi-Tenant, Configurable/Metadata-Driven Platforms, Shared Services, Workflow/RBAC/DMS/CMS, integration-centric architecture patterns</w:t>
      </w:r>
    </w:p>
    <w:p>
      <w:pPr>
        <w:spacing w:before="0" w:after="22" w:line="240" w:lineRule="auto"/>
      </w:pPr>
      <w:r>
        <w:rPr>
          <w:rFonts w:ascii="Arial" w:hAnsi="Arial" w:eastAsia="Arial"/>
          <w:b/>
          <w:color w:val="123B4A"/>
          <w:sz w:val="18"/>
        </w:rPr>
        <w:t>Data, Integration &amp; NFRs: Data Architecture/Governance, MDM/Reference Data, Data Quality, REST/SOAP, JSON, API Contracts, Security, Performance, Resilience, Operational Monitoring / Visibility, Continuity/DR Oversight</w:t>
      </w:r>
    </w:p>
    <w:p>
      <w:pPr>
        <w:spacing w:before="0" w:after="22" w:line="240" w:lineRule="auto"/>
      </w:pPr>
      <w:r>
        <w:rPr>
          <w:rFonts w:ascii="Arial" w:hAnsi="Arial" w:eastAsia="Arial"/>
          <w:b/>
          <w:color w:val="123B4A"/>
          <w:sz w:val="18"/>
        </w:rPr>
        <w:t xml:space="preserve">Engineering Foundation: </w:t>
      </w:r>
      <w:r>
        <w:rPr>
          <w:rFonts w:ascii="Arial" w:hAnsi="Arial" w:eastAsia="Arial"/>
          <w:color w:val="111111"/>
          <w:sz w:val="18"/>
        </w:rPr>
        <w:t>C#, ASP.NET Web Forms/Core/Web API, .NET, React/JavaScript, SQL Server/PostgreSQL/MySQL, Git/TFS, Jenkins, Postman/Swagger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EDUCATION &amp; LANGUAGES</w:t>
      </w:r>
    </w:p>
    <w:p>
      <w:pPr>
        <w:spacing w:before="0" w:after="14" w:line="247" w:lineRule="auto"/>
      </w:pPr>
      <w:r>
        <w:rPr>
          <w:rFonts w:ascii="Arial" w:hAnsi="Arial" w:eastAsia="Arial"/>
          <w:b/>
          <w:color w:val="123B4A"/>
          <w:sz w:val="18"/>
        </w:rPr>
        <w:t xml:space="preserve">Education: </w:t>
      </w:r>
      <w:r>
        <w:rPr>
          <w:rFonts w:ascii="Arial" w:hAnsi="Arial" w:eastAsia="Arial"/>
          <w:color w:val="111111"/>
          <w:sz w:val="18"/>
        </w:rPr>
        <w:t>B.Sc. in Computer Science, Faculty of Computers &amp; Informatics, Zagazig University | 2003-2007</w:t>
      </w:r>
    </w:p>
    <w:p>
      <w:pPr>
        <w:spacing w:before="0" w:after="14" w:line="247" w:lineRule="auto"/>
      </w:pPr>
      <w:r>
        <w:rPr>
          <w:rFonts w:ascii="Arial" w:hAnsi="Arial" w:eastAsia="Arial"/>
          <w:b/>
          <w:color w:val="123B4A"/>
          <w:sz w:val="18"/>
        </w:rPr>
        <w:t xml:space="preserve">Languages: </w:t>
      </w:r>
      <w:r>
        <w:rPr>
          <w:rFonts w:ascii="Arial" w:hAnsi="Arial" w:eastAsia="Arial"/>
          <w:color w:val="111111"/>
          <w:sz w:val="18"/>
        </w:rPr>
        <w:t>Arabic (Native) | English (Professional Working Proficiency)</w:t>
      </w:r>
    </w:p>
    <w:sectPr w:rsidR="00FC693F" w:rsidRPr="0006063C" w:rsidSect="00034616">
      <w:footerReference w:type="default" r:id="rId9"/>
      <w:pgSz w:w="12240" w:h="15840"/>
      <w:pgMar w:top="691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