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20" w:line="240" w:lineRule="auto"/>
        <w:jc w:val="center"/>
      </w:pPr>
      <w:r>
        <w:rPr>
          <w:rFonts w:ascii="Arial" w:hAnsi="Arial" w:eastAsia="Arial"/>
          <w:b/>
          <w:color w:val="123B4A"/>
          <w:sz w:val="39"/>
        </w:rPr>
        <w:t>MAHMOUD SALAMA</w:t>
      </w:r>
    </w:p>
    <w:p>
      <w:pPr>
        <w:keepNext/>
        <w:spacing w:before="0" w:after="16" w:line="240" w:lineRule="auto"/>
        <w:jc w:val="center"/>
      </w:pPr>
      <w:r>
        <w:rPr>
          <w:rFonts w:ascii="Arial" w:hAnsi="Arial" w:eastAsia="Arial"/>
          <w:b/>
          <w:color w:val="123B4A"/>
          <w:sz w:val="21"/>
        </w:rPr>
        <w:t>PRODUCT DELIVERY MANAGER | ENTERPRISE PLATFORMS &amp; DIGITAL PRODUCT OPERATIONS</w:t>
      </w:r>
    </w:p>
    <w:p>
      <w:pPr>
        <w:keepNext/>
        <w:spacing w:before="0" w:after="22" w:line="240" w:lineRule="auto"/>
        <w:jc w:val="center"/>
      </w:pPr>
      <w:r>
        <w:rPr>
          <w:rFonts w:ascii="Arial" w:hAnsi="Arial" w:eastAsia="Arial"/>
          <w:b w:val="0"/>
          <w:color w:val="5A6570"/>
          <w:sz w:val="18"/>
        </w:rPr>
        <w:t>Roadmaps &amp; Prioritization | Backlog | Cross-Functional Delivery | Release | Adoption | Service Outcomes</w:t>
      </w:r>
    </w:p>
    <w:p>
      <w:pPr>
        <w:spacing w:before="0" w:after="12" w:line="240" w:lineRule="auto"/>
        <w:jc w:val="center"/>
      </w:pPr>
      <w:r>
        <w:rPr>
          <w:rFonts w:ascii="Arial" w:hAnsi="Arial" w:eastAsia="Arial"/>
          <w:b w:val="0"/>
          <w:color w:val="111111"/>
          <w:sz w:val="17"/>
        </w:rPr>
        <w:t>+20 122 015 6077 | ma7moud.salamaaa@gmail.com | Cairo, Egypt</w:t>
      </w:r>
    </w:p>
    <w:p>
      <w:pPr>
        <w:spacing w:before="0" w:after="50" w:line="240" w:lineRule="auto"/>
        <w:jc w:val="center"/>
      </w:pPr>
      <w:r>
        <w:rPr>
          <w:rFonts w:ascii="Arial" w:hAnsi="Arial" w:eastAsia="Arial"/>
          <w:b w:val="0"/>
          <w:color w:val="5A6570"/>
          <w:sz w:val="17"/>
        </w:rPr>
        <w:t>linkedin.com/in/mahmoud-salama-30249b34 | mahmoud-salama.vercel.app | github.com/MahmoudSalamaaa</w:t>
      </w:r>
    </w:p>
    <w:p>
      <w:pPr>
        <w:keepNext/>
        <w:spacing w:before="60" w:after="25" w:line="240" w:lineRule="auto"/>
        <w:pBdr>
          <w:bottom w:val="single" w:sz="5" w:space="1" w:color="C7D6DB"/>
        </w:pBdr>
      </w:pPr>
      <w:r>
        <w:rPr>
          <w:rFonts w:ascii="Arial" w:hAnsi="Arial" w:eastAsia="Arial"/>
          <w:b/>
          <w:color w:val="0F5C67"/>
          <w:sz w:val="19"/>
        </w:rPr>
        <w:t>PROFESSIONAL PROFILE</w:t>
      </w:r>
    </w:p>
    <w:p>
      <w:pPr>
        <w:spacing w:before="0" w:after="36" w:line="240" w:lineRule="auto"/>
      </w:pPr>
      <w:r>
        <w:rPr>
          <w:rFonts w:ascii="Arial" w:hAnsi="Arial" w:eastAsia="Arial"/>
          <w:i w:val="0"/>
          <w:color w:val="111111"/>
          <w:sz w:val="18"/>
        </w:rPr>
        <w:t>Enterprise platform-delivery leader with 18+ years of experience taking complex digital services from discovery and prioritization through architecture, engineering, QA/UAT, release, adoption, support, and continuous improvement. Brings substantial product-style delivery responsibility in enterprise and public-sector environments, combining roadmap and priority management, stakeholder alignment, workflow/platform design, service feedback, data/reporting, and cross-functional technology leadership across national-scale systems in Egypt and Oman.</w:t>
      </w:r>
    </w:p>
    <w:p>
      <w:pPr>
        <w:keepNext/>
        <w:spacing w:before="60" w:after="25" w:line="240" w:lineRule="auto"/>
        <w:pBdr>
          <w:bottom w:val="single" w:sz="5" w:space="1" w:color="C7D6DB"/>
        </w:pBdr>
      </w:pPr>
      <w:r>
        <w:rPr>
          <w:rFonts w:ascii="Arial" w:hAnsi="Arial" w:eastAsia="Arial"/>
          <w:b/>
          <w:color w:val="0F5C67"/>
          <w:sz w:val="19"/>
        </w:rPr>
        <w:t>CORE LEADERSHIP AREAS</w:t>
      </w:r>
    </w:p>
    <w:p>
      <w:pPr>
        <w:spacing w:before="0" w:after="36" w:line="240" w:lineRule="auto"/>
      </w:pPr>
      <w:r>
        <w:rPr>
          <w:rFonts w:ascii="Arial" w:hAnsi="Arial" w:eastAsia="Arial"/>
          <w:i w:val="0"/>
          <w:color w:val="123B4A"/>
          <w:sz w:val="18"/>
        </w:rPr>
        <w:t>Enterprise Platform Roadmaps | Prioritization &amp; Backlog | Discovery &amp; Requirements | Cross-Functional Delivery | Release &amp; Go-Live | Adoption &amp; Service Outcomes | Platform Operations | Stakeholder &amp; Third-Party Alignment</w:t>
      </w:r>
    </w:p>
    <w:p>
      <w:pPr>
        <w:keepNext/>
        <w:spacing w:before="60" w:after="25" w:line="240" w:lineRule="auto"/>
        <w:pBdr>
          <w:bottom w:val="single" w:sz="5" w:space="1" w:color="C7D6DB"/>
        </w:pBdr>
      </w:pPr>
      <w:r>
        <w:rPr>
          <w:rFonts w:ascii="Arial" w:hAnsi="Arial" w:eastAsia="Arial"/>
          <w:b/>
          <w:color w:val="0F5C67"/>
          <w:sz w:val="19"/>
        </w:rPr>
        <w:t>SELECTED CAREER IMPACT</w:t>
      </w:r>
    </w:p>
    <w:p>
      <w:pPr>
        <w:spacing w:before="0" w:after="31" w:line="240" w:lineRule="auto"/>
        <w:ind w:left="230" w:hanging="173"/>
      </w:pPr>
      <w:r>
        <w:rPr>
          <w:rFonts w:ascii="Arial" w:hAnsi="Arial" w:eastAsia="Arial"/>
          <w:b/>
          <w:color w:val="0F5C67"/>
          <w:sz w:val="19"/>
        </w:rPr>
        <w:t xml:space="preserve">• </w:t>
      </w:r>
      <w:r>
        <w:rPr>
          <w:rFonts w:ascii="Arial" w:hAnsi="Arial" w:eastAsia="Arial"/>
          <w:color w:val="111111"/>
          <w:sz w:val="19"/>
        </w:rPr>
        <w:t>Platform delivery for ~60K users, ~90K facilities/entities, ~300 suppliers, and ~1M transactions/month.</w:t>
      </w:r>
    </w:p>
    <w:p>
      <w:pPr>
        <w:spacing w:before="0" w:after="31" w:line="240" w:lineRule="auto"/>
        <w:ind w:left="230" w:hanging="173"/>
      </w:pPr>
      <w:r>
        <w:rPr>
          <w:rFonts w:ascii="Arial" w:hAnsi="Arial" w:eastAsia="Arial"/>
          <w:b/>
          <w:color w:val="0F5C67"/>
          <w:sz w:val="19"/>
        </w:rPr>
        <w:t xml:space="preserve">• </w:t>
      </w:r>
      <w:r>
        <w:rPr>
          <w:rFonts w:ascii="Arial" w:hAnsi="Arial" w:eastAsia="Arial"/>
          <w:color w:val="111111"/>
          <w:sz w:val="19"/>
        </w:rPr>
        <w:t>Product/service feedback loop supported by a ~20-person technical support and customer-service operation.</w:t>
      </w:r>
    </w:p>
    <w:p>
      <w:pPr>
        <w:spacing w:before="0" w:after="31" w:line="240" w:lineRule="auto"/>
        <w:ind w:left="230" w:hanging="173"/>
      </w:pPr>
      <w:r>
        <w:rPr>
          <w:rFonts w:ascii="Arial" w:hAnsi="Arial" w:eastAsia="Arial"/>
          <w:b/>
          <w:color w:val="0F5C67"/>
          <w:sz w:val="19"/>
        </w:rPr>
        <w:t>• National-scale Oman Educational Portal serving approximately 1 million users and the Ministry of Education Recruitment System.</w:t>
      </w:r>
      <w:r>
        <w:rPr>
          <w:rFonts w:ascii="Arial" w:hAnsi="Arial" w:eastAsia="Arial"/>
          <w:color w:val="111111"/>
          <w:sz w:val="19"/>
        </w:rPr>
      </w:r>
    </w:p>
    <w:p>
      <w:pPr>
        <w:spacing w:before="0" w:after="31" w:line="240" w:lineRule="auto"/>
        <w:ind w:left="230" w:hanging="173"/>
      </w:pPr>
      <w:r>
        <w:rPr>
          <w:rFonts w:ascii="Arial" w:hAnsi="Arial" w:eastAsia="Arial"/>
          <w:b/>
          <w:color w:val="0F5C67"/>
          <w:sz w:val="19"/>
        </w:rPr>
        <w:t>• Roughly 150 major and smaller digital-solution engagements across government, healthcare, education and commercial sectors.</w:t>
      </w:r>
      <w:r>
        <w:rPr>
          <w:rFonts w:ascii="Arial" w:hAnsi="Arial" w:eastAsia="Arial"/>
          <w:color w:val="111111"/>
          <w:sz w:val="19"/>
        </w:rPr>
      </w:r>
    </w:p>
    <w:p>
      <w:pPr>
        <w:keepNext/>
        <w:spacing w:before="60" w:after="25" w:line="240" w:lineRule="auto"/>
        <w:pBdr>
          <w:bottom w:val="single" w:sz="5" w:space="1" w:color="C7D6DB"/>
        </w:pBdr>
      </w:pPr>
      <w:r>
        <w:rPr>
          <w:rFonts w:ascii="Arial" w:hAnsi="Arial" w:eastAsia="Arial"/>
          <w:b/>
          <w:color w:val="0F5C67"/>
          <w:sz w:val="19"/>
        </w:rPr>
        <w:t>PROFESSIONAL EXPERIENCE</w:t>
      </w:r>
    </w:p>
    <w:p>
      <w:pPr>
        <w:keepNext/>
        <w:tabs>
          <w:tab w:pos="10440" w:val="right"/>
        </w:tabs>
        <w:spacing w:before="50" w:after="10" w:line="240" w:lineRule="auto"/>
      </w:pPr>
      <w:r>
        <w:rPr>
          <w:rFonts w:ascii="Arial" w:hAnsi="Arial" w:eastAsia="Arial"/>
          <w:b/>
          <w:color w:val="123B4A"/>
          <w:sz w:val="18"/>
        </w:rPr>
        <w:t>The Egyptian Authority for Unified Procurement, Medical Supply and Management of Medical Technology (UPA) | Cairo, Egypt</w:t>
      </w:r>
      <w:r>
        <w:rPr>
          <w:rFonts w:ascii="Arial" w:hAnsi="Arial" w:eastAsia="Arial"/>
          <w:b/>
          <w:color w:val="5A6570"/>
          <w:sz w:val="18"/>
        </w:rPr>
        <w:tab/>
        <w:t>05/2025 - Present</w:t>
      </w:r>
    </w:p>
    <w:p>
      <w:pPr>
        <w:keepNext/>
        <w:spacing w:before="0" w:after="11" w:line="240" w:lineRule="auto"/>
      </w:pPr>
      <w:r>
        <w:rPr>
          <w:rFonts w:ascii="Arial" w:hAnsi="Arial" w:eastAsia="Arial"/>
          <w:b/>
          <w:color w:val="111111"/>
          <w:sz w:val="18"/>
        </w:rPr>
        <w:t>Head of the Central Administration for Information Systems &amp; Digital Transformation</w:t>
      </w:r>
    </w:p>
    <w:p>
      <w:pPr>
        <w:keepNext/>
        <w:spacing w:before="0" w:after="23" w:line="240" w:lineRule="auto"/>
      </w:pPr>
      <w:r>
        <w:rPr>
          <w:rFonts w:ascii="Arial" w:hAnsi="Arial" w:eastAsia="Arial"/>
          <w:b w:val="0"/>
          <w:i/>
          <w:color w:val="5A6570"/>
          <w:sz w:val="18"/>
        </w:rPr>
        <w:t>Scope: Enterprise Product Delivery | Roadmaps, Prioritization, Release, Adoption &amp; Service Improvement</w:t>
      </w:r>
    </w:p>
    <w:p>
      <w:pPr>
        <w:spacing w:before="0" w:after="31" w:line="240" w:lineRule="auto"/>
        <w:ind w:left="230" w:hanging="173"/>
      </w:pPr>
      <w:r>
        <w:rPr>
          <w:rFonts w:ascii="Arial" w:hAnsi="Arial" w:eastAsia="Arial"/>
          <w:b/>
          <w:color w:val="0F5C67"/>
          <w:sz w:val="19"/>
        </w:rPr>
        <w:t xml:space="preserve">• </w:t>
      </w:r>
      <w:r>
        <w:rPr>
          <w:rFonts w:ascii="Arial" w:hAnsi="Arial" w:eastAsia="Arial"/>
          <w:color w:val="111111"/>
          <w:sz w:val="19"/>
        </w:rPr>
        <w:t>Own platform evolution and delivery priorities for a unified national procurement product spanning demand, approvals, tendering, supplier evaluation, contracting, purchase orders, delivery/receipt, reporting, auditability, and support.</w:t>
      </w:r>
    </w:p>
    <w:p>
      <w:pPr>
        <w:spacing w:before="0" w:after="31" w:line="240" w:lineRule="auto"/>
        <w:ind w:left="230" w:hanging="173"/>
      </w:pPr>
      <w:r>
        <w:rPr>
          <w:rFonts w:ascii="Arial" w:hAnsi="Arial" w:eastAsia="Arial"/>
          <w:b/>
          <w:color w:val="0F5C67"/>
          <w:sz w:val="19"/>
        </w:rPr>
        <w:t xml:space="preserve">• </w:t>
      </w:r>
      <w:r>
        <w:rPr>
          <w:rFonts w:ascii="Arial" w:hAnsi="Arial" w:eastAsia="Arial"/>
          <w:color w:val="111111"/>
          <w:sz w:val="19"/>
        </w:rPr>
        <w:t>Translate stakeholder needs, service evidence, operational pain points, architecture constraints, and strategic priorities into roadmaps, prioritized workstreams, delivery scope, and platform capabilities.</w:t>
      </w:r>
    </w:p>
    <w:p>
      <w:pPr>
        <w:spacing w:before="0" w:after="31" w:line="240" w:lineRule="auto"/>
        <w:ind w:left="230" w:hanging="173"/>
      </w:pPr>
      <w:r>
        <w:rPr>
          <w:rFonts w:ascii="Arial" w:hAnsi="Arial" w:eastAsia="Arial"/>
          <w:b/>
          <w:color w:val="0F5C67"/>
          <w:sz w:val="19"/>
        </w:rPr>
        <w:t xml:space="preserve">• </w:t>
      </w:r>
      <w:r>
        <w:rPr>
          <w:rFonts w:ascii="Arial" w:hAnsi="Arial" w:eastAsia="Arial"/>
          <w:color w:val="111111"/>
          <w:sz w:val="19"/>
        </w:rPr>
        <w:t>Lead cross-functional delivery across analysis, architecture, engineering, QA/reporting, data, support/customer service, and delivery governance from discovery through release, adoption, support, and improvement.</w:t>
      </w:r>
    </w:p>
    <w:p>
      <w:pPr>
        <w:spacing w:before="0" w:after="31" w:line="240" w:lineRule="auto"/>
        <w:ind w:left="230" w:hanging="173"/>
      </w:pPr>
      <w:r>
        <w:rPr>
          <w:rFonts w:ascii="Arial" w:hAnsi="Arial" w:eastAsia="Arial"/>
          <w:b/>
          <w:color w:val="0F5C67"/>
          <w:sz w:val="19"/>
        </w:rPr>
        <w:t xml:space="preserve">• </w:t>
      </w:r>
      <w:r>
        <w:rPr>
          <w:rFonts w:ascii="Arial" w:hAnsi="Arial" w:eastAsia="Arial"/>
          <w:color w:val="111111"/>
          <w:sz w:val="19"/>
        </w:rPr>
        <w:t>Use feedback from ~60K users, CRM/service cases, onboarding, training, escalations, and production issues to refine workflows, prioritize enhancements, and improve usability, reliability, and adoption.</w:t>
      </w:r>
    </w:p>
    <w:p>
      <w:pPr>
        <w:spacing w:before="0" w:after="31" w:line="240" w:lineRule="auto"/>
        <w:ind w:left="230" w:hanging="173"/>
      </w:pPr>
      <w:r>
        <w:rPr>
          <w:rFonts w:ascii="Arial" w:hAnsi="Arial" w:eastAsia="Arial"/>
          <w:b/>
          <w:color w:val="0F5C67"/>
          <w:sz w:val="19"/>
        </w:rPr>
        <w:t xml:space="preserve">• </w:t>
      </w:r>
      <w:r>
        <w:rPr>
          <w:rFonts w:ascii="Arial" w:hAnsi="Arial" w:eastAsia="Arial"/>
          <w:color w:val="111111"/>
          <w:sz w:val="19"/>
        </w:rPr>
        <w:t>Balance reuse, customization, delivery speed, technical debt, security, data quality, operational readiness, and supportability across a configurable, multi-tenant enterprise platform.</w:t>
      </w:r>
    </w:p>
    <w:p>
      <w:r>
        <w:br w:type="page"/>
      </w:r>
    </w:p>
    <w:p>
      <w:pPr>
        <w:keepNext/>
        <w:tabs>
          <w:tab w:pos="10440" w:val="right"/>
        </w:tabs>
        <w:spacing w:before="50" w:after="10" w:line="240" w:lineRule="auto"/>
      </w:pPr>
      <w:r>
        <w:rPr>
          <w:rFonts w:ascii="Arial" w:hAnsi="Arial" w:eastAsia="Arial"/>
          <w:b/>
          <w:color w:val="123B4A"/>
          <w:sz w:val="18"/>
        </w:rPr>
        <w:t>The Egyptian Authority for Unified Procurement, Medical Supply and Management of Medical Technology (UPA) | Cairo, Egypt</w:t>
      </w:r>
      <w:r>
        <w:rPr>
          <w:rFonts w:ascii="Arial" w:hAnsi="Arial" w:eastAsia="Arial"/>
          <w:b/>
          <w:color w:val="5A6570"/>
          <w:sz w:val="18"/>
        </w:rPr>
        <w:tab/>
        <w:t>10/2020 - 05/2025</w:t>
      </w:r>
    </w:p>
    <w:p>
      <w:pPr>
        <w:keepNext/>
        <w:spacing w:before="0" w:after="11" w:line="240" w:lineRule="auto"/>
      </w:pPr>
      <w:r>
        <w:rPr>
          <w:rFonts w:ascii="Arial" w:hAnsi="Arial" w:eastAsia="Arial"/>
          <w:b/>
          <w:color w:val="111111"/>
          <w:sz w:val="18"/>
        </w:rPr>
        <w:t>General Manager - Systems, Applications &amp; Technical Support</w:t>
      </w:r>
    </w:p>
    <w:p>
      <w:pPr>
        <w:spacing w:before="0" w:after="31" w:line="240" w:lineRule="auto"/>
        <w:ind w:left="230" w:hanging="173"/>
      </w:pPr>
      <w:r>
        <w:rPr>
          <w:rFonts w:ascii="Arial" w:hAnsi="Arial" w:eastAsia="Arial"/>
          <w:b/>
          <w:color w:val="0F5C67"/>
          <w:sz w:val="19"/>
        </w:rPr>
        <w:t xml:space="preserve">• </w:t>
      </w:r>
      <w:r>
        <w:rPr>
          <w:rFonts w:ascii="Arial" w:hAnsi="Arial" w:eastAsia="Arial"/>
          <w:color w:val="111111"/>
          <w:sz w:val="19"/>
        </w:rPr>
        <w:t>Managed ongoing delivery and improvement across procurement, medical-supply, inventory, reporting, CMS/publishing, workflow, and stakeholder-service capabilities.</w:t>
      </w:r>
    </w:p>
    <w:p>
      <w:pPr>
        <w:spacing w:before="0" w:after="31" w:line="240" w:lineRule="auto"/>
        <w:ind w:left="230" w:hanging="173"/>
      </w:pPr>
      <w:r>
        <w:rPr>
          <w:rFonts w:ascii="Arial" w:hAnsi="Arial" w:eastAsia="Arial"/>
          <w:b/>
          <w:color w:val="0F5C67"/>
          <w:sz w:val="19"/>
        </w:rPr>
        <w:t xml:space="preserve">• </w:t>
      </w:r>
      <w:r>
        <w:rPr>
          <w:rFonts w:ascii="Arial" w:hAnsi="Arial" w:eastAsia="Arial"/>
          <w:color w:val="111111"/>
          <w:sz w:val="19"/>
        </w:rPr>
        <w:t>Converted manual processes into configurable digital workflows and coordinated requirements, development, QA, rollout, support, training, and user adoption.</w:t>
      </w:r>
    </w:p>
    <w:p>
      <w:pPr>
        <w:spacing w:before="0" w:after="31" w:line="240" w:lineRule="auto"/>
        <w:ind w:left="230" w:hanging="173"/>
      </w:pPr>
      <w:r>
        <w:rPr>
          <w:rFonts w:ascii="Arial" w:hAnsi="Arial" w:eastAsia="Arial"/>
          <w:b/>
          <w:color w:val="0F5C67"/>
          <w:sz w:val="19"/>
        </w:rPr>
        <w:t xml:space="preserve">• </w:t>
      </w:r>
      <w:r>
        <w:rPr>
          <w:rFonts w:ascii="Arial" w:hAnsi="Arial" w:eastAsia="Arial"/>
          <w:color w:val="111111"/>
          <w:sz w:val="19"/>
        </w:rPr>
        <w:t>Used support feedback, issue trends, stakeholder priorities, and operational evidence to drive enhancement priorities and service improvements.</w:t>
      </w:r>
    </w:p>
    <w:p>
      <w:pPr>
        <w:spacing w:before="0" w:after="31" w:line="240" w:lineRule="auto"/>
        <w:ind w:left="230" w:hanging="173"/>
      </w:pPr>
      <w:r>
        <w:rPr>
          <w:rFonts w:ascii="Arial" w:hAnsi="Arial" w:eastAsia="Arial"/>
          <w:b/>
          <w:color w:val="0F5C67"/>
          <w:sz w:val="19"/>
        </w:rPr>
        <w:t xml:space="preserve">• </w:t>
      </w:r>
      <w:r>
        <w:rPr>
          <w:rFonts w:ascii="Arial" w:hAnsi="Arial" w:eastAsia="Arial"/>
          <w:color w:val="111111"/>
          <w:sz w:val="19"/>
        </w:rPr>
        <w:t>Strengthened delivery quality through clearer ownership, design/code reviews, QA/release gates, documentation, knowledge transfer, and repeatable support procedures.</w:t>
      </w:r>
    </w:p>
    <w:p>
      <w:pPr>
        <w:keepNext/>
        <w:tabs>
          <w:tab w:pos="10440" w:val="right"/>
        </w:tabs>
        <w:spacing w:before="50" w:after="10" w:line="240" w:lineRule="auto"/>
      </w:pPr>
      <w:r>
        <w:rPr>
          <w:rFonts w:ascii="Arial" w:hAnsi="Arial" w:eastAsia="Arial"/>
          <w:b/>
          <w:color w:val="123B4A"/>
          <w:sz w:val="18"/>
        </w:rPr>
        <w:t>Integral Solutions LLC | Muscat, Oman</w:t>
      </w:r>
      <w:r>
        <w:rPr>
          <w:rFonts w:ascii="Arial" w:hAnsi="Arial" w:eastAsia="Arial"/>
          <w:b/>
          <w:color w:val="5A6570"/>
          <w:sz w:val="18"/>
        </w:rPr>
        <w:tab/>
        <w:t>05/2016 - 10/2020</w:t>
      </w:r>
    </w:p>
    <w:p>
      <w:pPr>
        <w:keepNext/>
        <w:spacing w:before="0" w:after="11" w:line="240" w:lineRule="auto"/>
      </w:pPr>
      <w:r>
        <w:rPr>
          <w:rFonts w:ascii="Arial" w:hAnsi="Arial" w:eastAsia="Arial"/>
          <w:b/>
          <w:color w:val="111111"/>
          <w:sz w:val="18"/>
        </w:rPr>
        <w:t>Senior Full-Stack Developer | Government Client Assignments</w:t>
      </w:r>
    </w:p>
    <w:p>
      <w:pPr>
        <w:spacing w:before="0" w:after="31" w:line="240" w:lineRule="auto"/>
        <w:ind w:left="230" w:hanging="173"/>
      </w:pPr>
      <w:r>
        <w:rPr>
          <w:rFonts w:ascii="Arial" w:hAnsi="Arial" w:eastAsia="Arial"/>
          <w:b/>
          <w:color w:val="0F5C67"/>
          <w:sz w:val="19"/>
        </w:rPr>
        <w:t>• Worked hands-on on Oman Ministry of Education's national Educational Portal, serving approximately 1 million users, contributing across application development, database/reporting work, testing, deployment, rollout and production support.</w:t>
      </w:r>
      <w:r>
        <w:rPr>
          <w:rFonts w:ascii="Arial" w:hAnsi="Arial" w:eastAsia="Arial"/>
          <w:color w:val="111111"/>
          <w:sz w:val="19"/>
        </w:rPr>
      </w:r>
    </w:p>
    <w:p>
      <w:pPr>
        <w:spacing w:before="0" w:after="31" w:line="240" w:lineRule="auto"/>
        <w:ind w:left="230" w:hanging="173"/>
      </w:pPr>
      <w:r>
        <w:rPr>
          <w:rFonts w:ascii="Arial" w:hAnsi="Arial" w:eastAsia="Arial"/>
          <w:b/>
          <w:color w:val="0F5C67"/>
          <w:sz w:val="19"/>
        </w:rPr>
        <w:t>• Contributed extensively to the large-scale Maktabi / Morasalat electronic correspondence platform for Omani government entities, working hands-on on correspondence creation, routing, forwarding and tracking, reports, database components, functional testing, defect investigation, production deployment and release/application support.</w:t>
      </w:r>
      <w:r>
        <w:rPr>
          <w:rFonts w:ascii="Arial" w:hAnsi="Arial" w:eastAsia="Arial"/>
          <w:color w:val="111111"/>
          <w:sz w:val="19"/>
        </w:rPr>
      </w:r>
    </w:p>
    <w:p>
      <w:pPr>
        <w:spacing w:before="0" w:after="31" w:line="240" w:lineRule="auto"/>
        <w:ind w:left="230" w:hanging="173"/>
      </w:pPr>
      <w:r>
        <w:rPr>
          <w:rFonts w:ascii="Arial" w:hAnsi="Arial" w:eastAsia="Arial"/>
          <w:b/>
          <w:color w:val="0F5C67"/>
          <w:sz w:val="19"/>
        </w:rPr>
        <w:t>• Delivered the Ministry of Education Recruitment System and contributed to International Schools, Crisis and Asset Management systems; also designed and delivered the Ministry of Agriculture portal across development, integrations, reporting, deployment, training and support.</w:t>
      </w:r>
      <w:r>
        <w:rPr>
          <w:rFonts w:ascii="Arial" w:hAnsi="Arial" w:eastAsia="Arial"/>
          <w:color w:val="111111"/>
          <w:sz w:val="19"/>
        </w:rPr>
      </w:r>
    </w:p>
    <w:p>
      <w:pPr>
        <w:keepNext/>
        <w:tabs>
          <w:tab w:pos="10440" w:val="right"/>
        </w:tabs>
        <w:spacing w:before="50" w:after="10" w:line="240" w:lineRule="auto"/>
      </w:pPr>
      <w:r>
        <w:rPr>
          <w:rFonts w:ascii="Arial" w:hAnsi="Arial" w:eastAsia="Arial"/>
          <w:b/>
          <w:color w:val="123B4A"/>
          <w:sz w:val="18"/>
        </w:rPr>
        <w:t>Keyframe Egypt | Cairo, Egypt</w:t>
      </w:r>
      <w:r>
        <w:rPr>
          <w:rFonts w:ascii="Arial" w:hAnsi="Arial" w:eastAsia="Arial"/>
          <w:b/>
          <w:color w:val="5A6570"/>
          <w:sz w:val="18"/>
        </w:rPr>
        <w:tab/>
        <w:t>04/2011 - 05/2016</w:t>
      </w:r>
    </w:p>
    <w:p>
      <w:pPr>
        <w:keepNext/>
        <w:spacing w:before="0" w:after="11" w:line="240" w:lineRule="auto"/>
      </w:pPr>
      <w:r>
        <w:rPr>
          <w:rFonts w:ascii="Arial" w:hAnsi="Arial" w:eastAsia="Arial"/>
          <w:b/>
          <w:color w:val="111111"/>
          <w:sz w:val="18"/>
        </w:rPr>
        <w:t>Senior Full-Stack Developer | Later Development Team Lead</w:t>
      </w:r>
    </w:p>
    <w:p>
      <w:pPr>
        <w:spacing w:before="0" w:after="31" w:line="240" w:lineRule="auto"/>
        <w:ind w:left="230" w:hanging="173"/>
      </w:pPr>
      <w:r>
        <w:rPr>
          <w:rFonts w:ascii="Arial" w:hAnsi="Arial" w:eastAsia="Arial"/>
          <w:b/>
          <w:color w:val="0F5C67"/>
          <w:sz w:val="19"/>
        </w:rPr>
        <w:t>• Delivered across roughly 150 major and smaller web, portal and enterprise-system engagements spanning government, healthcare, education, construction, automotive, events and commercial sectors, with substantial hands-on and independent end-to-end implementation.</w:t>
      </w:r>
      <w:r>
        <w:rPr>
          <w:rFonts w:ascii="Arial" w:hAnsi="Arial" w:eastAsia="Arial"/>
          <w:color w:val="111111"/>
          <w:sz w:val="19"/>
        </w:rPr>
      </w:r>
    </w:p>
    <w:p>
      <w:pPr>
        <w:spacing w:before="0" w:after="31" w:line="240" w:lineRule="auto"/>
        <w:ind w:left="230" w:hanging="173"/>
      </w:pPr>
      <w:r>
        <w:rPr>
          <w:rFonts w:ascii="Arial" w:hAnsi="Arial" w:eastAsia="Arial"/>
          <w:b/>
          <w:color w:val="0F5C67"/>
          <w:sz w:val="19"/>
        </w:rPr>
        <w:t>• Delivered public-sector and enterprise solutions spanning Ministry of Health work, conference platforms, education and HR systems, support desks and integrations, covering analysis, C#/.NET development, databases, reporting, testing, deployment and support.</w:t>
      </w:r>
    </w:p>
    <w:p>
      <w:pPr>
        <w:keepNext/>
        <w:tabs>
          <w:tab w:pos="10440" w:val="right"/>
        </w:tabs>
        <w:spacing w:before="50" w:after="10" w:line="240" w:lineRule="auto"/>
      </w:pPr>
      <w:r>
        <w:rPr>
          <w:rFonts w:ascii="Arial" w:hAnsi="Arial" w:eastAsia="Arial"/>
          <w:b/>
          <w:color w:val="123B4A"/>
          <w:sz w:val="18"/>
        </w:rPr>
        <w:t>Egyptian Armed Forces | Egypt</w:t>
      </w:r>
      <w:r>
        <w:rPr>
          <w:rFonts w:ascii="Arial" w:hAnsi="Arial" w:eastAsia="Arial"/>
          <w:b/>
          <w:color w:val="5A6570"/>
          <w:sz w:val="18"/>
        </w:rPr>
        <w:tab/>
        <w:t>04/2008 - 10/2010</w:t>
      </w:r>
    </w:p>
    <w:p>
      <w:pPr>
        <w:keepNext/>
        <w:spacing w:before="0" w:after="11" w:line="240" w:lineRule="auto"/>
      </w:pPr>
      <w:r>
        <w:rPr>
          <w:rFonts w:ascii="Arial" w:hAnsi="Arial" w:eastAsia="Arial"/>
          <w:b/>
          <w:color w:val="111111"/>
          <w:sz w:val="18"/>
        </w:rPr>
        <w:t>Linux Systems &amp; Web Developer</w:t>
      </w:r>
    </w:p>
    <w:p>
      <w:pPr>
        <w:spacing w:before="0" w:after="31" w:line="240" w:lineRule="auto"/>
        <w:ind w:left="230" w:hanging="173"/>
      </w:pPr>
      <w:r>
        <w:rPr>
          <w:rFonts w:ascii="Arial" w:hAnsi="Arial" w:eastAsia="Arial"/>
          <w:b/>
          <w:color w:val="0F5C67"/>
          <w:sz w:val="19"/>
        </w:rPr>
        <w:t xml:space="preserve">• </w:t>
      </w:r>
      <w:r>
        <w:rPr>
          <w:rFonts w:ascii="Arial" w:hAnsi="Arial" w:eastAsia="Arial"/>
          <w:color w:val="111111"/>
          <w:sz w:val="19"/>
        </w:rPr>
        <w:t>Contributed to Egypt's first Linux distribution, working on Linux from Scratch builds, kernel modules, optimization, and platform hardening; also built secure internal ASP.NET/SQL Server applications.</w:t>
      </w:r>
    </w:p>
    <w:p>
      <w:pPr>
        <w:keepNext/>
        <w:spacing w:before="60" w:after="25" w:line="240" w:lineRule="auto"/>
        <w:pBdr>
          <w:bottom w:val="single" w:sz="5" w:space="1" w:color="C7D6DB"/>
        </w:pBdr>
      </w:pPr>
      <w:r>
        <w:rPr>
          <w:rFonts w:ascii="Arial" w:hAnsi="Arial" w:eastAsia="Arial"/>
          <w:b/>
          <w:color w:val="0F5C67"/>
          <w:sz w:val="19"/>
        </w:rPr>
        <w:t>TECHNICAL &amp; MANAGEMENT CAPABILITIES</w:t>
      </w:r>
    </w:p>
    <w:p>
      <w:pPr>
        <w:spacing w:before="0" w:after="36" w:line="240" w:lineRule="auto"/>
      </w:pPr>
      <w:r>
        <w:rPr>
          <w:rFonts w:ascii="Arial" w:hAnsi="Arial" w:eastAsia="Arial"/>
          <w:b/>
          <w:color w:val="123B4A"/>
          <w:sz w:val="18"/>
        </w:rPr>
        <w:t>Platform Delivery: Enterprise Platform Roadmaps, Prioritization, Backlog, Discovery, Requirements, Incremental Delivery, Release/Go-Live, Adoption, Platform Operations, Service Improvement</w:t>
      </w:r>
    </w:p>
    <w:p>
      <w:pPr>
        <w:spacing w:before="0" w:after="22" w:line="240" w:lineRule="auto"/>
      </w:pPr>
      <w:r>
        <w:rPr>
          <w:rFonts w:ascii="Arial" w:hAnsi="Arial" w:eastAsia="Arial"/>
          <w:b/>
          <w:color w:val="123B4A"/>
          <w:sz w:val="18"/>
        </w:rPr>
        <w:t>Cross-Functional Governance: Stakeholder Alignment, Business Analysis, Architecture Reviews, QA/UAT, Data/Reporting, Support/Customer Service, Third-Party Coordination, Risk/Change, Operational Readiness</w:t>
      </w:r>
    </w:p>
    <w:p>
      <w:pPr>
        <w:spacing w:before="0" w:after="22" w:line="240" w:lineRule="auto"/>
      </w:pPr>
      <w:r>
        <w:rPr>
          <w:rFonts w:ascii="Arial" w:hAnsi="Arial" w:eastAsia="Arial"/>
          <w:b/>
          <w:color w:val="123B4A"/>
          <w:sz w:val="18"/>
        </w:rPr>
        <w:t xml:space="preserve">Platform &amp; Technical Fluency: </w:t>
      </w:r>
      <w:r>
        <w:rPr>
          <w:rFonts w:ascii="Arial" w:hAnsi="Arial" w:eastAsia="Arial"/>
          <w:color w:val="111111"/>
          <w:sz w:val="18"/>
        </w:rPr>
        <w:t>Workflow/BPM, CMS/DMS, RBAC/Audit, REST/SOAP, Data Governance, C#/.NET, React/JavaScript, SQL Server/PostgreSQL/MySQL, Git/TFS, Jenkins, Postman/Swagger</w:t>
      </w:r>
    </w:p>
    <w:p>
      <w:pPr>
        <w:spacing w:before="0" w:after="22" w:line="240" w:lineRule="auto"/>
      </w:pPr>
      <w:r>
        <w:rPr>
          <w:rFonts w:ascii="Arial" w:hAnsi="Arial" w:eastAsia="Arial"/>
          <w:b/>
          <w:color w:val="123B4A"/>
          <w:sz w:val="18"/>
        </w:rPr>
        <w:t xml:space="preserve">AI: </w:t>
      </w:r>
      <w:r>
        <w:rPr>
          <w:rFonts w:ascii="Arial" w:hAnsi="Arial" w:eastAsia="Arial"/>
          <w:color w:val="111111"/>
          <w:sz w:val="18"/>
        </w:rPr>
        <w:t>Generative AI, Prompt Engineering, AI-Assisted Analysis/Documentation/SQL/Prototyping, No-Code Prototyping, Enterprise AI Adoption Strategy</w:t>
      </w:r>
    </w:p>
    <w:p>
      <w:pPr>
        <w:keepNext/>
        <w:spacing w:before="60" w:after="25" w:line="240" w:lineRule="auto"/>
        <w:pBdr>
          <w:bottom w:val="single" w:sz="5" w:space="1" w:color="C7D6DB"/>
        </w:pBdr>
      </w:pPr>
      <w:r>
        <w:rPr>
          <w:rFonts w:ascii="Arial" w:hAnsi="Arial" w:eastAsia="Arial"/>
          <w:b/>
          <w:color w:val="0F5C67"/>
          <w:sz w:val="19"/>
        </w:rPr>
        <w:t>EDUCATION &amp; LANGUAGES</w:t>
      </w:r>
    </w:p>
    <w:p>
      <w:pPr>
        <w:spacing w:before="0" w:after="14" w:line="247" w:lineRule="auto"/>
      </w:pPr>
      <w:r>
        <w:rPr>
          <w:rFonts w:ascii="Arial" w:hAnsi="Arial" w:eastAsia="Arial"/>
          <w:b/>
          <w:color w:val="123B4A"/>
          <w:sz w:val="18"/>
        </w:rPr>
        <w:t xml:space="preserve">Education: </w:t>
      </w:r>
      <w:r>
        <w:rPr>
          <w:rFonts w:ascii="Arial" w:hAnsi="Arial" w:eastAsia="Arial"/>
          <w:color w:val="111111"/>
          <w:sz w:val="18"/>
        </w:rPr>
        <w:t>B.Sc. in Computer Science, Faculty of Computers &amp; Informatics, Zagazig University | 2003-2007</w:t>
      </w:r>
    </w:p>
    <w:p>
      <w:pPr>
        <w:spacing w:before="0" w:after="14" w:line="247" w:lineRule="auto"/>
      </w:pPr>
      <w:r>
        <w:rPr>
          <w:rFonts w:ascii="Arial" w:hAnsi="Arial" w:eastAsia="Arial"/>
          <w:b/>
          <w:color w:val="123B4A"/>
          <w:sz w:val="18"/>
        </w:rPr>
        <w:t xml:space="preserve">Languages: </w:t>
      </w:r>
      <w:r>
        <w:rPr>
          <w:rFonts w:ascii="Arial" w:hAnsi="Arial" w:eastAsia="Arial"/>
          <w:color w:val="111111"/>
          <w:sz w:val="18"/>
        </w:rPr>
        <w:t>Arabic (Native) | English (Professional Working Proficiency)</w:t>
      </w:r>
    </w:p>
    <w:sectPr w:rsidR="00FC693F" w:rsidRPr="0006063C" w:rsidSect="00034616">
      <w:footerReference w:type="default" r:id="rId9"/>
      <w:pgSz w:w="12240" w:h="15840"/>
      <w:pgMar w:top="691" w:right="835" w:bottom="648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