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  <w:jc w:val="center"/>
      </w:pPr>
      <w:r>
        <w:rPr>
          <w:rFonts w:ascii="Arial" w:hAnsi="Arial" w:eastAsia="Arial"/>
          <w:b/>
          <w:color w:val="123B4A"/>
          <w:sz w:val="39"/>
        </w:rPr>
        <w:t>MAHMOUD SALAMA</w:t>
      </w:r>
    </w:p>
    <w:p>
      <w:pPr>
        <w:keepNext/>
        <w:spacing w:before="0" w:after="16" w:line="240" w:lineRule="auto"/>
        <w:jc w:val="center"/>
      </w:pPr>
      <w:r>
        <w:rPr>
          <w:rFonts w:ascii="Arial" w:hAnsi="Arial" w:eastAsia="Arial"/>
          <w:b/>
          <w:color w:val="123B4A"/>
          <w:sz w:val="21"/>
        </w:rPr>
        <w:t>SENIOR TECHNOLOGY EXECUTIVE | DIGITAL TRANSFORMATION | ENTERPRISE SYSTEMS | SOFTWARE &amp; ARCHITECTURE</w:t>
      </w:r>
    </w:p>
    <w:p>
      <w:pPr>
        <w:keepNext/>
        <w:spacing w:before="0" w:after="22" w:line="240" w:lineRule="auto"/>
        <w:jc w:val="center"/>
      </w:pPr>
      <w:r>
        <w:rPr>
          <w:rFonts w:ascii="Arial" w:hAnsi="Arial" w:eastAsia="Arial"/>
          <w:b w:val="0"/>
          <w:color w:val="5A6570"/>
          <w:sz w:val="17"/>
        </w:rPr>
        <w:t>Technology Strategy | Operating Model | Information Systems | Engineering | Architecture | Data &amp; Integration | Service Governance</w:t>
      </w:r>
    </w:p>
    <w:p>
      <w:pPr>
        <w:spacing w:before="0" w:after="12" w:line="240" w:lineRule="auto"/>
        <w:jc w:val="center"/>
      </w:pPr>
      <w:r>
        <w:rPr>
          <w:rFonts w:ascii="Arial" w:hAnsi="Arial" w:eastAsia="Arial"/>
          <w:b w:val="0"/>
          <w:color w:val="111111"/>
          <w:sz w:val="16"/>
        </w:rPr>
        <w:t>+20 122 015 6077 | ma7moud.salamaaa@gmail.com | Cairo, Egypt</w:t>
      </w:r>
    </w:p>
    <w:p>
      <w:pPr>
        <w:spacing w:before="0" w:after="50" w:line="240" w:lineRule="auto"/>
        <w:jc w:val="center"/>
      </w:pPr>
      <w:r>
        <w:rPr>
          <w:rFonts w:ascii="Arial" w:hAnsi="Arial" w:eastAsia="Arial"/>
          <w:b w:val="0"/>
          <w:color w:val="5A6570"/>
          <w:sz w:val="16"/>
        </w:rPr>
        <w:t>linkedin.com/in/mahmoud-salama-30249b34 | mahmoud-salama.vercel.app | github.com/MahmoudSalamaaa</w:t>
      </w:r>
    </w:p>
    <w:p>
      <w:pPr>
        <w:keepNext/>
        <w:spacing w:before="60" w:after="26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PROFILE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11111"/>
          <w:sz w:val="18"/>
        </w:rPr>
        <w:t>Senior technology leader with 18+ years of progressive experience from hands-on Linux/web and full-stack C#/.NET development to engineering leadership, enterprise applications, enterprise/solution architecture, digital transformation, information systems, service delivery, and executive technology management across Egypt and the GCC. Leads a 54-person technology organization across four major functions with seven direct reports, combining software credibility with platform strategy, operating-model design, architecture governance, data/integration, support/customer service, modernization, security, quality, and executive stakeholder leadership.</w:t>
      </w:r>
    </w:p>
    <w:p>
      <w:pPr>
        <w:keepNext/>
        <w:spacing w:before="60" w:after="22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8"/>
        </w:rPr>
        <w:t>CORE LEADERSHIP AREAS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23B4A"/>
          <w:sz w:val="18"/>
        </w:rPr>
        <w:t>Technology &amp; Digital Strategy | IT / Information Systems Leadership | Software Development &amp; Delivery | Enterprise &amp; Solution Architecture | Data &amp; Integration | Technical Programs | Service Governance | Portfolio Leadership &amp; Third-Party Coordination</w:t>
      </w:r>
    </w:p>
    <w:p>
      <w:pPr>
        <w:keepNext/>
        <w:spacing w:before="60" w:after="22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8"/>
        </w:rPr>
        <w:t>SELECTED CAREER IMPACT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Lead a 54-person technology organization across four major functions with 7 direct reports.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Own national-scale platform evolution for ~60K users, ~90K facilities/entities, ~300 suppliers, and ~1M transactions/month.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Lead a ~20-person technical support/customer-service operation and end-to-end technology delivery from discovery through production support.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Databases scale to ~400GB and millions of records across enterprise reporting, integration, and operational workloads.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>• Delivered and supported Oman government platforms including an approximately 1M-user Educational Portal, Recruitment, electronic correspondence, reporting and other public-sector services.</w:t>
      </w:r>
      <w:r>
        <w:rPr>
          <w:rFonts w:ascii="Arial" w:hAnsi="Arial" w:eastAsia="Arial"/>
          <w:color w:val="111111"/>
          <w:sz w:val="18"/>
        </w:rPr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>• Delivered or governed roughly 150 major and smaller websites, portals, enterprise applications and electronic-system engagements.</w:t>
      </w:r>
      <w:r>
        <w:rPr>
          <w:rFonts w:ascii="Arial" w:hAnsi="Arial" w:eastAsia="Arial"/>
          <w:color w:val="111111"/>
          <w:sz w:val="18"/>
        </w:rPr>
      </w:r>
    </w:p>
    <w:p>
      <w:pPr>
        <w:keepNext/>
        <w:spacing w:before="60" w:after="26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EXPERIENCE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05/2025 - Present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Head of the Central Administration for Information Systems &amp; Digital Transformation</w:t>
      </w:r>
    </w:p>
    <w:p>
      <w:pPr>
        <w:keepNext/>
        <w:spacing w:before="0" w:after="23" w:line="240" w:lineRule="auto"/>
      </w:pPr>
      <w:r>
        <w:rPr>
          <w:rFonts w:ascii="Arial" w:hAnsi="Arial" w:eastAsia="Arial"/>
          <w:b w:val="0"/>
          <w:i/>
          <w:color w:val="5A6570"/>
          <w:sz w:val="17"/>
        </w:rPr>
        <w:t>Scope: Technology Strategy | Information Systems | Software Delivery | Enterprise Architecture | Data &amp; Integration | Programs &amp; Governance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Lead enterprise technology strategy and transformation for a unified national platform spanning end-to-end procurement, inventory/warehousing, supplier services, workflows, documents, CMS/publishing, data, reporting, technical support, customer service, and government operations.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Direct a 54-person technology organization across four functions with seven direct reports, aligning software development, systems/applications, analysis, QA/reporting, support/customer service, architecture, data, and delivery governance.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Own platform evolution for ~60K users, ~90K facilities/entities, ~300 suppliers and ~1M transactions/month, translating business priorities into roadmaps, architecture, modernization, service ownership, operational controls, and measurable outcomes.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Govern enterprise/solution architecture across multi-tenant, configurable, modular, and API-first platform capabilities, including shared services, RBAC, workflow/rules, DMS/archiving, auditability, CMS/electronic publishing, data governance, security, performance, and resilience.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Lead end-to-end SDLC and multi-program delivery from discovery, requirements and architecture through engineering, QA/UAT, release, deployment, adoption, support, RCA, change management, knowledge transfer, and continuous improvement.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Lead a ~20-person technical support/customer-service operation and drive operating-model improvements, technology KPIs, risk/controls, executive reporting, and enterprise AI adoption strategy; use Generative AI and prompt engineering extensively across coding, analysis, documentation, SQL, and prototyping.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10/2020 - 05/2025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General Manager - Systems, Applications &amp; Technical Support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Directed applications, systems, technical support, and customer-service delivery across procurement, medical-supply, inventory, reporting, CMS/publishing, workflow, and stakeholder-service capabilities.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Built and modernized configurable digital workflows that replaced large volumes of manual, paper-, Excel-, and email-based processes, improving turnaround, data consistency, traceability, governance, and resource efficiency.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Strengthened engineering and service delivery through clearer ownership, technical standards, design/code reviews, QA/release gates, documentation, incident/RCA practices, knowledge transfer, and repeatable support procedures.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Coordinated complex multi-agency initiatives and nationwide onboarding, training, support, issue escalation, feedback, and adoption.</w:t>
      </w:r>
    </w:p>
    <w:p>
      <w:r>
        <w:br w:type="page"/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Integral Solutions LLC | Muscat, Oman</w:t>
      </w:r>
      <w:r>
        <w:rPr>
          <w:rFonts w:ascii="Arial" w:hAnsi="Arial" w:eastAsia="Arial"/>
          <w:b/>
          <w:color w:val="5A6570"/>
          <w:sz w:val="18"/>
        </w:rPr>
        <w:tab/>
        <w:t>05/2016 - 10/2020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Government Client Assignments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>• Worked hands-on on Oman Ministry of Education's national Educational Portal, serving approximately 1 million users, contributing across application development, database/reporting work, testing, deployment, rollout and production support.</w:t>
      </w:r>
      <w:r>
        <w:rPr>
          <w:rFonts w:ascii="Arial" w:hAnsi="Arial" w:eastAsia="Arial"/>
          <w:color w:val="111111"/>
          <w:sz w:val="18"/>
        </w:rPr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>• Contributed extensively to Maktabi / Morasalat electronic correspondence, including workflows, reports, database components, testing, deployment, release and application support.</w:t>
      </w:r>
      <w:r>
        <w:rPr>
          <w:rFonts w:ascii="Arial" w:hAnsi="Arial" w:eastAsia="Arial"/>
          <w:color w:val="111111"/>
          <w:sz w:val="18"/>
        </w:rPr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>• Contributed substantially to Ministry of Education Recruitment, International Schools, Crisis and Asset Management systems; also worked across Ministry of Agriculture portal delivery spanning development, integrations, reporting, deployment, training and support.</w:t>
      </w:r>
      <w:r>
        <w:rPr>
          <w:rFonts w:ascii="Arial" w:hAnsi="Arial" w:eastAsia="Arial"/>
          <w:color w:val="111111"/>
          <w:sz w:val="18"/>
        </w:rPr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>• Worked across full-cycle government-system delivery using C#/.NET, ASP.NET, SQL Server/MySQL, JavaScript, REST/SOAP services, workflow/RBAC, reporting, integrations, testing, deployment and production-support practices.</w:t>
      </w:r>
      <w:r>
        <w:rPr>
          <w:rFonts w:ascii="Arial" w:hAnsi="Arial" w:eastAsia="Arial"/>
          <w:color w:val="111111"/>
          <w:sz w:val="18"/>
        </w:rPr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Keyframe Egypt | Cairo, Egypt</w:t>
      </w:r>
      <w:r>
        <w:rPr>
          <w:rFonts w:ascii="Arial" w:hAnsi="Arial" w:eastAsia="Arial"/>
          <w:b/>
          <w:color w:val="5A6570"/>
          <w:sz w:val="18"/>
        </w:rPr>
        <w:tab/>
        <w:t>04/2011 - 05/2016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Later Development Team Lead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>• Delivered across a portfolio of roughly 150 major and smaller web, portal and enterprise engagements across government and commercial sectors, with substantial hands-on and independent end-to-end implementation.</w:t>
      </w:r>
      <w:r>
        <w:rPr>
          <w:rFonts w:ascii="Arial" w:hAnsi="Arial" w:eastAsia="Arial"/>
          <w:color w:val="111111"/>
          <w:sz w:val="18"/>
        </w:rPr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>• Delivered public-sector portals and enterprise solutions spanning CMS, workflow, reporting, integrations, testing, deployment and support.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Built and customized CMS/electronic-publishing solutions, including a custom .NET CMS plus hands-on Umbraco and Kentico work, with multilingual/RTL publishing, workflows, versioning, archiving, permissions, search, SEO, analytics, and integrations.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Mentored developers and established reusable components, coding/documentation standards, testing/release practices, performance/security reviews, and structured handover/support across a high-volume delivery portfolio.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Egyptian Armed Forces | Egypt</w:t>
      </w:r>
      <w:r>
        <w:rPr>
          <w:rFonts w:ascii="Arial" w:hAnsi="Arial" w:eastAsia="Arial"/>
          <w:b/>
          <w:color w:val="5A6570"/>
          <w:sz w:val="18"/>
        </w:rPr>
        <w:tab/>
        <w:t>04/2008 - 10/2010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Linux Systems &amp; Web Developer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Contributed to Egypt's first Linux distribution, working on Linux from Scratch builds, kernel modules, optimization, and platform hardening; also built secure internal ASP.NET/SQL Server applications.</w:t>
      </w:r>
    </w:p>
    <w:p>
      <w:pPr>
        <w:keepNext/>
        <w:spacing w:before="60" w:after="22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8"/>
        </w:rPr>
        <w:t>LEADERSHIP APPOINTMENTS &amp; GOVERNANCE CONTRIBUTIONS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Digital Transformation Committee Member - World Bank Group B-READY Egypt Assessment (2025-2026): contributed technical input supporting private-sector digitization, public-service modernization, and national competitiveness.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Board Member - National Blood Operations Oversight (2021-2024), appointed by Egypt's Minister of Health: oversaw digital governance, data integrity, and technology standards for the national blood-supply system.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Governance Lead - National Pharmaceutical Track &amp; Trace Program (2021-2024): shaped the vision, governance framework, compliance model, stakeholder coordination, and technology roadmap across UPA, EDA, and Ministry of Health stakeholders.</w:t>
      </w:r>
    </w:p>
    <w:p>
      <w:pPr>
        <w:keepNext/>
        <w:spacing w:before="60" w:after="22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8"/>
        </w:rPr>
        <w:t>SELECTED ENTERPRISE PLATFORMS &amp; PROGRAMS</w:t>
      </w:r>
    </w:p>
    <w:p>
      <w:pPr>
        <w:keepNext/>
        <w:spacing w:before="20" w:after="6" w:line="240" w:lineRule="auto"/>
      </w:pPr>
      <w:r>
        <w:rPr>
          <w:rFonts w:ascii="Arial" w:hAnsi="Arial" w:eastAsia="Arial"/>
          <w:b/>
          <w:color w:val="123B4A"/>
          <w:sz w:val="18"/>
        </w:rPr>
        <w:t>UPA Unified Enterprise Procurement Platform</w:t>
      </w:r>
    </w:p>
    <w:p>
      <w:pPr>
        <w:spacing w:before="0" w:after="36" w:line="240" w:lineRule="auto"/>
      </w:pPr>
      <w:r>
        <w:rPr>
          <w:rFonts w:ascii="Arial" w:hAnsi="Arial" w:eastAsia="Arial"/>
          <w:color w:val="111111"/>
          <w:sz w:val="18"/>
        </w:rPr>
        <w:t>Unified national platform covering the full procurement lifecycle from demand consolidation and approvals through tendering, supplier evaluation, award/contracting, purchase orders, delivery/receipt, reporting, support, and auditability.</w:t>
      </w:r>
    </w:p>
    <w:p>
      <w:pPr>
        <w:keepNext/>
        <w:spacing w:before="20" w:after="6" w:line="240" w:lineRule="auto"/>
      </w:pPr>
      <w:r>
        <w:rPr>
          <w:rFonts w:ascii="Arial" w:hAnsi="Arial" w:eastAsia="Arial"/>
          <w:b/>
          <w:color w:val="123B4A"/>
          <w:sz w:val="18"/>
        </w:rPr>
        <w:t>Workflow, Governance &amp; Service Operations</w:t>
      </w:r>
    </w:p>
    <w:p>
      <w:pPr>
        <w:spacing w:before="0" w:after="36" w:line="240" w:lineRule="auto"/>
      </w:pPr>
      <w:r>
        <w:rPr>
          <w:rFonts w:ascii="Arial" w:hAnsi="Arial" w:eastAsia="Arial"/>
          <w:color w:val="111111"/>
          <w:sz w:val="18"/>
        </w:rPr>
        <w:t>Configurable multi-level approvals, committees, evaluation, contracts, routing, escalation, SLA timers, maker-checker controls, audit history, role/data-level permissions, support, customer service, call-center operations, CRM case handling, training, and adoption.</w:t>
      </w:r>
    </w:p>
    <w:p>
      <w:pPr>
        <w:keepNext/>
        <w:spacing w:before="20" w:after="6" w:line="240" w:lineRule="auto"/>
      </w:pPr>
      <w:r>
        <w:rPr>
          <w:rFonts w:ascii="Arial" w:hAnsi="Arial" w:eastAsia="Arial"/>
          <w:b/>
          <w:color w:val="123B4A"/>
          <w:sz w:val="18"/>
        </w:rPr>
        <w:t>Shared Platform, Data &amp; Integration Services</w:t>
      </w:r>
    </w:p>
    <w:p>
      <w:pPr>
        <w:spacing w:before="0" w:after="36" w:line="240" w:lineRule="auto"/>
      </w:pPr>
      <w:r>
        <w:rPr>
          <w:rFonts w:ascii="Arial" w:hAnsi="Arial" w:eastAsia="Arial"/>
          <w:color w:val="111111"/>
          <w:sz w:val="18"/>
        </w:rPr>
        <w:t>Users/RBAC, workflow/rules, notifications, documents/archiving, audit trails, search, reporting/export, CMS/electronic publishing, REST/SOAP, JSON, database/file integrations, data governance, and external e-signature integration where required.</w:t>
      </w:r>
    </w:p>
    <w:p>
      <w:pPr>
        <w:keepNext/>
        <w:spacing w:before="20" w:after="6" w:line="240" w:lineRule="auto"/>
      </w:pPr>
      <w:r>
        <w:rPr>
          <w:rFonts w:ascii="Arial" w:hAnsi="Arial" w:eastAsia="Arial"/>
          <w:b/>
          <w:color w:val="123B4A"/>
          <w:sz w:val="18"/>
        </w:rPr>
        <w:t>Oman &amp; Egypt Government / Education Platforms</w:t>
      </w:r>
    </w:p>
    <w:p>
      <w:pPr>
        <w:spacing w:before="0" w:after="36" w:line="240" w:lineRule="auto"/>
      </w:pPr>
      <w:r>
        <w:rPr>
          <w:rFonts w:ascii="Arial" w:hAnsi="Arial" w:eastAsia="Arial"/>
          <w:color w:val="111111"/>
          <w:sz w:val="18"/>
        </w:rPr>
        <w:t>Oman Educational Portal (~1M users), Recruitment, International Schools Management, Crisis Management, Asset Management, Maktabi/Morasalat Electronic Correspondence, Ministry of Agriculture portal, and Egypt Ministry of Health portal.</w:t>
      </w:r>
    </w:p>
    <w:p>
      <w:pPr>
        <w:keepNext/>
        <w:spacing w:before="60" w:after="22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8"/>
        </w:rPr>
        <w:t>TECHNICAL &amp; MANAGEMENT CAPABILITIES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7"/>
        </w:rPr>
        <w:t xml:space="preserve">Strategy, Governance &amp; Architecture: </w:t>
      </w:r>
      <w:r>
        <w:rPr>
          <w:rFonts w:ascii="Arial" w:hAnsi="Arial" w:eastAsia="Arial"/>
          <w:color w:val="111111"/>
          <w:sz w:val="17"/>
        </w:rPr>
        <w:t>Technology Strategy, Digital Transformation, IT Operating Model/Organization Design, Portfolio/Roadmaps, Executive Stakeholders, Enterprise/Solution Architecture, Multi-Tenant/Configurable Platforms, API-First, Risk/Controls and NFRs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7"/>
        </w:rPr>
        <w:t xml:space="preserve">Engineering, Product &amp; Delivery: </w:t>
      </w:r>
      <w:r>
        <w:rPr>
          <w:rFonts w:ascii="Arial" w:hAnsi="Arial" w:eastAsia="Arial"/>
          <w:color w:val="111111"/>
          <w:sz w:val="17"/>
        </w:rPr>
        <w:t>C#, ASP.NET Web Forms/Core/Web API, .NET, EF/ADO.NET/LINQ, React/JavaScript, Kendo, SQL Server/PostgreSQL/MySQL, Workflow/BPM, CMS/DMS, Secure SDLC, Agile/Scrum/Hybrid, Requirements/BPMN/UML, QA/UAT, Release/Go-Live, Product Roadmaps/MVP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7"/>
        </w:rPr>
        <w:t xml:space="preserve">Service, Data &amp; Integration: </w:t>
      </w:r>
      <w:r>
        <w:rPr>
          <w:rFonts w:ascii="Arial" w:hAnsi="Arial" w:eastAsia="Arial"/>
          <w:color w:val="111111"/>
          <w:sz w:val="17"/>
        </w:rPr>
        <w:t>Technical Support/Customer Service, Service Desk/Call Center, SLA/RCA, Training/Adoption, Data Architecture/Governance, MDM, Data Quality, Reporting Architecture, REST/SOAP, JSON, API Contracts, External Integrations, Business Continuity/DR Oversight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7"/>
        </w:rPr>
        <w:t xml:space="preserve">Tools &amp; AI: </w:t>
      </w:r>
      <w:r>
        <w:rPr>
          <w:rFonts w:ascii="Arial" w:hAnsi="Arial" w:eastAsia="Arial"/>
          <w:color w:val="111111"/>
          <w:sz w:val="17"/>
        </w:rPr>
        <w:t>Visual Studio/VS Code/Rider, Git/TFS, Jenkins, Postman/Swagger, SSMS/DBeaver/DataGrip, Docker (working exposure), Generative AI, Prompt Engineering, AI-Assisted Coding/Analysis/Documentation/SQL/Prototyping, No-Code Solutions, Enterprise AI Adoption Strategy</w:t>
      </w:r>
    </w:p>
    <w:p>
      <w:pPr>
        <w:keepNext/>
        <w:spacing w:before="60" w:after="22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8"/>
        </w:rPr>
        <w:t>EDUCATION &amp; LANGUAGES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7"/>
        </w:rPr>
        <w:t xml:space="preserve">Education: </w:t>
      </w:r>
      <w:r>
        <w:rPr>
          <w:rFonts w:ascii="Arial" w:hAnsi="Arial" w:eastAsia="Arial"/>
          <w:color w:val="111111"/>
          <w:sz w:val="17"/>
        </w:rPr>
        <w:t>B.Sc. in Computer Science, Faculty of Computers &amp; Informatics, Zagazig University | 2003-2007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7"/>
        </w:rPr>
        <w:t xml:space="preserve">Languages: </w:t>
      </w:r>
      <w:r>
        <w:rPr>
          <w:rFonts w:ascii="Arial" w:hAnsi="Arial" w:eastAsia="Arial"/>
          <w:color w:val="111111"/>
          <w:sz w:val="17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