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6D28D9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ENTERPRISE ARCHITECT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Enterprise Architect opportunities where enterprise architecture, target-state design, integration, data and governance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My current scope includes enterprise and solution architecture for national-scale platforms, with responsibility for architecture governance, integration, data, non-functional requirements, delivery alignment and operational supportability. I work across configurable platforms, workflow/RBAC, APIs, enterprise data and service operations.</w:t>
      </w:r>
    </w:p>
    <w:p>
      <w:pPr>
        <w:spacing w:after="140" w:line="259" w:lineRule="auto"/>
      </w:pPr>
      <w:r>
        <w:t>I also bring substantial hands-on engineering history from government platforms in Oman and Egypt, including C#/.NET, databases, APIs, reporting, workflow systems, testing and deployment. That background helps me produce architecture that is both strategically coherent and implementable.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6D28D9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