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5" w:lineRule="auto"/>
        <w:jc w:val="left"/>
      </w:pPr>
      <w:r>
        <w:rPr>
          <w:rFonts w:ascii="Aptos Display" w:hAnsi="Aptos Display" w:eastAsia="Arial"/>
          <w:b/>
          <w:color w:val="0F5F5B"/>
          <w:sz w:val="44"/>
        </w:rPr>
        <w:t>MAHMOUD SALAMA</w:t>
      </w:r>
    </w:p>
    <w:p>
      <w:pPr>
        <w:keepNext/>
        <w:spacing w:before="0" w:after="40" w:line="245" w:lineRule="auto"/>
        <w:ind w:left="144"/>
        <w:jc w:val="center"/>
        <w:shd w:fill="EAF7F5"/>
        <w:pBdr>
          <w:left w:val="single" w:sz="18" w:space="3" w:color="19A59B"/>
        </w:pBdr>
      </w:pPr>
      <w:r>
        <w:rPr>
          <w:rFonts w:ascii="Aptos Display" w:hAnsi="Aptos Display" w:eastAsia="Arial"/>
          <w:b/>
          <w:color w:val="0F5F5B"/>
          <w:sz w:val="25"/>
        </w:rPr>
        <w:t>DIGITAL TRANSFORMATION DIRECTOR | ENTERPRISE MODERNIZATION &amp; CHANGE LEADERSHIP</w:t>
      </w:r>
    </w:p>
    <w:p>
      <w:pPr>
        <w:keepNext/>
        <w:spacing w:before="0" w:after="40" w:line="245" w:lineRule="auto"/>
        <w:jc w:val="center"/>
      </w:pPr>
      <w:r>
        <w:rPr>
          <w:rFonts w:ascii="Arial" w:hAnsi="Arial" w:eastAsia="Arial"/>
          <w:b/>
          <w:color w:val="19A59B"/>
          <w:sz w:val="16"/>
        </w:rPr>
        <w:t>Digital Strategy | Business &amp; Process Transformation | Change &amp; Adoption | Data Governance | Operational Outcomes &amp; Adoption</w:t>
      </w:r>
    </w:p>
    <w:p>
      <w:pPr>
        <w:spacing w:before="0" w:after="40" w:line="245" w:lineRule="auto"/>
        <w:jc w:val="center"/>
      </w:pPr>
      <w:r>
        <w:rPr>
          <w:rFonts w:ascii="Arial" w:hAnsi="Arial" w:eastAsia="Arial"/>
          <w:b w:val="0"/>
          <w:color w:val="53616A"/>
          <w:sz w:val="15"/>
        </w:rPr>
        <w:t>+20 122 015 6077 | ma7moud.salamaaa@gmail.com | Cairo, Egypt</w:t>
      </w:r>
    </w:p>
    <w:p>
      <w:pPr>
        <w:spacing w:before="0" w:after="40" w:line="245" w:lineRule="auto"/>
        <w:jc w:val="center"/>
      </w:pPr>
      <w:r>
        <w:rPr>
          <w:rFonts w:ascii="Arial" w:hAnsi="Arial" w:eastAsia="Arial"/>
          <w:b w:val="0"/>
          <w:color w:val="5A6570"/>
          <w:sz w:val="16"/>
        </w:rPr>
        <w:t>linkedin.com/in/mahmoud-salama-30249b34 | mahmoud-salama.vercel.app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2" w:space="3" w:color="19A59B"/>
        </w:pBdr>
        <w:keepLines/>
        <w:shd w:fill="EAF7F5"/>
        <w:ind w:left="86"/>
      </w:pPr>
      <w:r>
        <w:rPr>
          <w:rFonts w:ascii="Aptos Display" w:hAnsi="Aptos Display" w:eastAsia="Arial"/>
          <w:b/>
          <w:color w:val="0F5F5B"/>
          <w:sz w:val="18"/>
        </w:rPr>
        <w:t>PROFESSIONAL PROFILE</w:t>
      </w:r>
    </w:p>
    <w:p>
      <w:pPr>
        <w:spacing w:before="0" w:after="40" w:line="245" w:lineRule="auto"/>
      </w:pPr>
      <w:r>
        <w:rPr>
          <w:rFonts w:ascii="Arial" w:hAnsi="Arial" w:eastAsia="Arial"/>
          <w:i w:val="0"/>
          <w:color w:val="111111"/>
          <w:sz w:val="16"/>
        </w:rPr>
        <w:t>Digital transformation and technology leader with 18+ years of experience modernizing enterprise platforms and high-volume government services across Egypt and the GCC. Combines hands-on software and architecture depth with digital strategy, As-Is/To-Be analysis, process redesign, operating-model transformation, program governance, change management, data governance, stakeholder leadership, outcome tracking and measurable service improvement.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2" w:space="3" w:color="19A59B"/>
        </w:pBdr>
        <w:keepLines/>
        <w:shd w:fill="EAF7F5"/>
        <w:ind w:left="86"/>
      </w:pPr>
      <w:r>
        <w:rPr>
          <w:rFonts w:ascii="Aptos Display" w:hAnsi="Aptos Display" w:eastAsia="Arial"/>
          <w:b/>
          <w:color w:val="0F5F5B"/>
          <w:sz w:val="18"/>
        </w:rPr>
        <w:t>CORE LEADERSHIP AREAS</w:t>
      </w:r>
    </w:p>
    <w:p>
      <w:pPr>
        <w:spacing w:before="0" w:after="40" w:line="245" w:lineRule="auto"/>
      </w:pPr>
      <w:r>
        <w:rPr>
          <w:rFonts w:ascii="Arial" w:hAnsi="Arial" w:eastAsia="Arial"/>
          <w:i w:val="0"/>
          <w:color w:val="123B4A"/>
          <w:sz w:val="16"/>
        </w:rPr>
        <w:t>Digital Strategy &amp; Transformation Roadmaps | As-Is/To-Be &amp; Process Redesign | Operating Model &amp; Platform Modernization | Program/Portfolio Governance | Change Management &amp; Adoption | Data Governance | Operational Outcomes &amp; Adoption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2" w:space="3" w:color="19A59B"/>
        </w:pBdr>
        <w:keepLines/>
        <w:shd w:fill="EAF7F5"/>
        <w:ind w:left="86"/>
      </w:pPr>
      <w:r>
        <w:rPr>
          <w:rFonts w:ascii="Aptos Display" w:hAnsi="Aptos Display" w:eastAsia="Arial"/>
          <w:b/>
          <w:color w:val="0F5F5B"/>
          <w:sz w:val="18"/>
        </w:rPr>
        <w:t>SELECTED CAREER IMPACT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Lead modernization of core workflows across a national procurement ecosystem serving ~60K users and ~90K facilities/entities at ~1M transactions/month, replacing fragmented manual processes with governed digital workflows and clearer operational ownership.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Modernized procurement, medical-supply and inventory/warehouse operations through governed digital workflows and MediQ capabilities, strengthening traceability, auditability, service consistency and operational control.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Shaped governance and technology direction for the National Pharmaceutical Track &amp; Trace Program across UPA, the Egyptian Drug Authority and Ministry of Health stakeholders, aligning compliance, interoperability, data integrity and delivery.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Led delivery across 15+ enterprise/e-government platforms in Oman, including the ~1M-user National Educational Portal and the Sultan Qaboos Award-winning Ministry of Education Recruitment System.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2" w:space="3" w:color="19A59B"/>
        </w:pBdr>
        <w:keepLines/>
        <w:shd w:fill="EAF7F5"/>
        <w:ind w:left="86"/>
      </w:pPr>
      <w:r>
        <w:rPr>
          <w:rFonts w:ascii="Aptos Display" w:hAnsi="Aptos Display" w:eastAsia="Arial"/>
          <w:b/>
          <w:color w:val="0F5F5B"/>
          <w:sz w:val="18"/>
        </w:rPr>
        <w:t>PROFESSIONAL EXPERIENCE</w:t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0F5F5B"/>
          <w:sz w:val="17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0F5F5B"/>
          <w:sz w:val="17"/>
        </w:rPr>
        <w:tab/>
        <w:t>05/2025 - Present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19A59B"/>
          <w:sz w:val="17"/>
        </w:rPr>
        <w:t>Head of the Central Administration for Information Systems &amp; Digital Transformation</w:t>
      </w:r>
    </w:p>
    <w:p>
      <w:pPr>
        <w:keepNext/>
        <w:spacing w:before="0" w:after="40" w:line="245" w:lineRule="auto"/>
      </w:pPr>
      <w:r>
        <w:rPr>
          <w:rFonts w:ascii="Arial" w:hAnsi="Arial" w:eastAsia="Arial"/>
          <w:b w:val="0"/>
          <w:i/>
          <w:color w:val="5E6B72"/>
          <w:sz w:val="15"/>
        </w:rPr>
        <w:t>Scope: Digital Transformation Strategy | Enterprise Modernization | Program Governance, Change &amp; Adoption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Lead digital strategy and transformation-roadmap execution for a unified national procurement platform spanning demand, approvals, tendering, supplier evaluation, contracting, purchase orders, delivery/receipt, reporting, auditability and support.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Translate As-Is pain points into To-Be processes, prioritized workstreams, platform and data/integration requirements, governance models, stakeholder plans, outcome measures and service outcomes.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Direct cross-functional business and technology transformation across a 54-person organization, aligning analysis, architecture, engineering, QA/reporting, data, service operations and delivery governance.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Drive process digitization through configurable workflows, shared services, role/data-level access, document/archiving, publishing, reporting and integrations while maintaining security, resilience and operational ownership.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Lead change management and nationwide adoption through stakeholder engagement, onboarding, training, support, CRM/service feedback, escalation and service-readiness controls; use operational evidence to drive continuous improvement.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Advance data governance, executive reporting, transformation KPIs, outcome-tracking and service-performance visibility, and controlled enterprise AI adoption as part of institutional modernization.</w:t>
      </w:r>
      <w:r>
        <w:rPr>
          <w:rFonts w:ascii="Arial" w:hAnsi="Arial" w:eastAsia="Arial"/>
          <w:color w:val="111111"/>
          <w:sz w:val="16"/>
        </w:rPr>
      </w:r>
    </w:p>
    <w:p>
      <w:pPr>
        <w:spacing w:line="245" w:lineRule="auto" w:after="40"/>
      </w:pPr>
      <w:r>
        <w:rPr>
          <w:sz w:val="16"/>
        </w:rPr>
        <w:br w:type="page"/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0F5F5B"/>
          <w:sz w:val="17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0F5F5B"/>
          <w:sz w:val="17"/>
        </w:rPr>
        <w:tab/>
        <w:t>10/2020 - 05/2025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19A59B"/>
          <w:sz w:val="17"/>
        </w:rPr>
        <w:t>General Manager - Systems, Applications &amp; Technical Support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Modernized procurement, medical-supply, inventory, reporting, CMS/publishing, workflow, and stakeholder-service processes while maintaining operational continuity.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Converted high-volume manual, paper-, Excel-, and email-based processes into configurable digital workflows with stronger traceability, consistency, approvals, auditability, and governance.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Improved adoption and delivery readiness through stakeholder engagement, training, support, documentation, QA/release controls, escalation, and structured feedback loops.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Coordinated multi-agency transformation initiatives, aligning requirements, technology decisions, data, compliance, rollout, and operational readiness.</w:t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0F5F5B"/>
          <w:sz w:val="17"/>
        </w:rPr>
        <w:t>Integral Solutions LLC | Muscat, Oman</w:t>
      </w:r>
      <w:r>
        <w:rPr>
          <w:rFonts w:ascii="Arial" w:hAnsi="Arial" w:eastAsia="Arial"/>
          <w:b/>
          <w:color w:val="0F5F5B"/>
          <w:sz w:val="17"/>
        </w:rPr>
        <w:tab/>
        <w:t>05/2016 - 10/2020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19A59B"/>
          <w:sz w:val="17"/>
        </w:rPr>
        <w:t>Development Team Leader &amp; Senior Full-Stack Developer | Government Client Assignments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Led a 10+ developer team while remaining hands-on in analysis, C#/.NET development, database/reporting, testing, deployment and production support across 15+ enterprise/e-government platforms, including Oman Ministry of Education’s ~1M-user National Educational Portal.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Delivered the Ministry of Education Recruitment System — recipient of the Sultan Qaboos Award — plus International Schools, Crisis Management and Asset Management systems; also contributed to Ministry of Agriculture delivery and Al Wahat Club Management System for Royal Court Affairs.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0F5F5B"/>
          <w:sz w:val="17"/>
        </w:rPr>
        <w:t>Keyframe Egypt | Cairo, Egypt</w:t>
      </w:r>
      <w:r>
        <w:rPr>
          <w:rFonts w:ascii="Arial" w:hAnsi="Arial" w:eastAsia="Arial"/>
          <w:b/>
          <w:color w:val="0F5F5B"/>
          <w:sz w:val="17"/>
        </w:rPr>
        <w:tab/>
        <w:t>04/2011 - 05/2016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19A59B"/>
          <w:sz w:val="17"/>
        </w:rPr>
        <w:t>Development Team Leader &amp; Senior Full-Stack Developer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Led a 6-person development team while remaining deeply hands-on across 150+ major and mid-sized projects, excluding small engagements, across government, healthcare, education, construction, automotive, events and commercial sectors.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spacing w:line="245" w:lineRule="auto" w:after="24"/>
        <w:ind w:left="202" w:hanging="144"/>
        <w:keepLines/>
      </w:pPr>
      <w:r>
        <w:rPr>
          <w:color w:val="19A59B"/>
          <w:sz w:val="16"/>
        </w:rPr>
        <w:t>• Delivered multiple award-winning digital solutions, including Yashfeen, an ITIDA competition-winning healthcare portal.</w:t>
      </w:r>
    </w:p>
    <CT_P/>
    <w:p>
      <w:pPr>
        <w:keepNext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0F5F5B"/>
          <w:sz w:val="17"/>
        </w:rPr>
        <w:t>Egyptian Armed Forces | Egypt</w:t>
      </w:r>
      <w:r>
        <w:rPr>
          <w:rFonts w:ascii="Arial" w:hAnsi="Arial" w:eastAsia="Arial"/>
          <w:b/>
          <w:color w:val="0F5F5B"/>
          <w:sz w:val="17"/>
        </w:rPr>
        <w:tab/>
        <w:t>04/2008 - 10/2010</w:t>
      </w:r>
    </w:p>
    <w:p>
      <w:pPr>
        <w:keepNext/>
        <w:spacing w:before="0" w:after="20" w:line="245" w:lineRule="auto"/>
        <w:keepLines/>
      </w:pPr>
      <w:r>
        <w:rPr>
          <w:rFonts w:ascii="Arial" w:hAnsi="Arial" w:eastAsia="Arial"/>
          <w:b/>
          <w:color w:val="19A59B"/>
          <w:sz w:val="17"/>
        </w:rPr>
        <w:t>Linux Systems &amp; Web Developer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2" w:space="3" w:color="19A59B"/>
        </w:pBdr>
        <w:keepLines/>
        <w:shd w:fill="EAF7F5"/>
        <w:ind w:left="86"/>
      </w:pPr>
      <w:r>
        <w:rPr>
          <w:rFonts w:ascii="Aptos Display" w:hAnsi="Aptos Display" w:eastAsia="Arial"/>
          <w:b/>
          <w:color w:val="0F5F5B"/>
          <w:sz w:val="18"/>
        </w:rPr>
        <w:t>LEADERSHIP APPOINTMENTS &amp; GOVERNANCE CONTRIBUTIONS</w:t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>• Member, Egypt Digital Transformation Committee supporting the World Bank Group B-READY Assessment (2025-2026): contributed technical input on private-sector digitization, public-service modernization and national competitiveness.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19A59B"/>
          <w:sz w:val="16"/>
        </w:rPr>
        <w:t xml:space="preserve">• </w:t>
      </w:r>
      <w:r>
        <w:rPr>
          <w:rFonts w:ascii="Arial" w:hAnsi="Arial" w:eastAsia="Arial"/>
          <w:color w:val="111111"/>
          <w:sz w:val="16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spacing w:line="245" w:lineRule="auto" w:after="24"/>
        <w:ind w:left="202" w:hanging="144"/>
        <w:keepLines/>
      </w:pPr>
      <w:r>
        <w:rPr>
          <w:color w:val="19A59B"/>
          <w:sz w:val="16"/>
        </w:rPr>
        <w:t>• Governance Lead - National Pharmaceutical Track &amp; Trace Program (2021-2024): shaped the vision, governance framework, compliance model, stakeholder coordination and technology roadmap across UPA, EDA and Ministry of Health stakeholders.</w:t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2" w:space="3" w:color="19A59B"/>
        </w:pBdr>
        <w:keepLines/>
        <w:shd w:fill="EAF7F5"/>
        <w:ind w:left="86"/>
      </w:pPr>
      <w:r>
        <w:rPr>
          <w:rFonts w:ascii="Aptos Display" w:hAnsi="Aptos Display" w:eastAsia="Arial"/>
          <w:b/>
          <w:color w:val="0F5F5B"/>
          <w:sz w:val="18"/>
        </w:rPr>
        <w:t>TECHNICAL &amp; MANAGEMENT CAPABILITIES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Transformation: Digital Strategy, Transformation Roadmaps, As-Is/To-Be, Business Process Redesign, Operating Model Transformation, Program/Portfolio Governance, Change Management, Stakeholder Management, Adoption &amp; Operational Improvement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Platforms &amp; Data: Enterprise Platforms, Workflow/BPM, CMS/DMS, Data Governance, MDM/Reference Data, Data Quality, Reporting &amp; Analytics, API/Enterprise Integration, RBAC/Audit</w:t>
      </w:r>
      <w:r>
        <w:rPr>
          <w:rFonts w:ascii="Arial" w:hAnsi="Arial" w:eastAsia="Arial"/>
          <w:color w:val="111111"/>
          <w:sz w:val="16"/>
        </w:rPr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Delivery &amp; Governance: Requirements, Program Delivery, Architecture Reviews, QA/UAT, Release/Go-Live, Training &amp; Adoption, SLA/RCA, Vendor/Third-Party Coordination, Risk &amp; Controls, Business Continuity/DR Oversight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Technology &amp; AI: C#/.NET, ASP.NET, APIs/Integrations, SQL Server/PostgreSQL/MySQL, Git/TFS, Jenkins, Postman/Swagger, Applied AI &amp; Enterprise AI Governance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spacing w:before="120" w:after="40" w:line="245" w:lineRule="auto"/>
        <w:pBdr>
          <w:bottom w:val="single" w:sz="5" w:space="1" w:color="C7D6DB"/>
          <w:left w:val="single" w:sz="12" w:space="3" w:color="19A59B"/>
        </w:pBdr>
        <w:keepLines/>
        <w:shd w:fill="EAF7F5"/>
        <w:ind w:left="86"/>
      </w:pPr>
      <w:r>
        <w:rPr>
          <w:rFonts w:ascii="Aptos Display" w:hAnsi="Aptos Display" w:eastAsia="Arial"/>
          <w:b/>
          <w:color w:val="0F5F5B"/>
          <w:sz w:val="18"/>
        </w:rPr>
        <w:t>EDUCATION &amp; LANGUAGES</w:t>
      </w:r>
    </w:p>
    <w:p>
      <w:pPr>
        <w:spacing w:before="0" w:after="40" w:line="245" w:lineRule="auto"/>
      </w:pPr>
      <w:r>
        <w:rPr>
          <w:sz w:val="16"/>
        </w:rPr>
        <w:t>Education: B.Sc. in Computer Science, Faculty of Computers &amp; Informatics, Zagazig University | 2003-2007</w:t>
      </w:r>
    </w:p>
    <w:p>
      <w:pPr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 xml:space="preserve">Languages: </w:t>
      </w:r>
      <w:r>
        <w:rPr>
          <w:rFonts w:ascii="Arial" w:hAnsi="Arial" w:eastAsia="Arial"/>
          <w:color w:val="111111"/>
          <w:sz w:val="16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color w:val="0F5F5B"/>
        <w:sz w:val="13"/>
      </w:rPr>
      <w:t>Mahmoud Salama | Digital Transformation Director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632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