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45" w:lineRule="auto"/>
        <w:ind w:left="144"/>
        <w:jc w:val="left"/>
        <w:pBdr>
          <w:left w:val="single" w:sz="20" w:space="4" w:color="7D64A5"/>
        </w:pBdr>
      </w:pPr>
      <w:r>
        <w:rPr>
          <w:rFonts w:ascii="Aptos Display" w:hAnsi="Aptos Display" w:eastAsia="Arial"/>
          <w:b/>
          <w:color w:val="49356D"/>
          <w:sz w:val="44"/>
        </w:rPr>
        <w:t>MAHMOUD SALAMA</w:t>
      </w:r>
    </w:p>
    <w:p>
      <w:pPr>
        <w:keepNext/>
        <w:spacing w:before="0" w:after="40" w:line="245" w:lineRule="auto"/>
        <w:ind w:left="144"/>
        <w:jc w:val="center"/>
        <w:pBdr>
          <w:left w:val="single" w:sz="20" w:space="4" w:color="7D64A5"/>
        </w:pBdr>
      </w:pPr>
      <w:r>
        <w:rPr>
          <w:rFonts w:ascii="Aptos Display" w:hAnsi="Aptos Display" w:eastAsia="Arial"/>
          <w:b/>
          <w:color w:val="49356D"/>
          <w:sz w:val="25"/>
        </w:rPr>
        <w:t>ENTERPRISE ARCHITECT | ENTERPRISE &amp; SOLUTION ARCHITECTURE | PLATFORM, DATA &amp; INTEGRATION GOVERNANCE</w:t>
      </w:r>
    </w:p>
    <w:p>
      <w:pPr>
        <w:keepNext/>
        <w:spacing w:before="0" w:after="40" w:line="245" w:lineRule="auto"/>
        <w:ind w:left="144"/>
        <w:jc w:val="center"/>
        <w:pBdr>
          <w:left w:val="single" w:sz="20" w:space="4" w:color="7D64A5"/>
        </w:pBdr>
      </w:pPr>
      <w:r>
        <w:rPr>
          <w:rFonts w:ascii="Arial" w:hAnsi="Arial" w:eastAsia="Arial"/>
          <w:b/>
          <w:color w:val="7D64A5"/>
          <w:sz w:val="16"/>
        </w:rPr>
        <w:t>Business &amp; Capability Alignment | Current/Target State | Architecture Principles &amp; Standards | Applications, Data, Integration, Security &amp; NFRs</w:t>
      </w:r>
    </w:p>
    <w:p>
      <w:pPr>
        <w:spacing w:before="0" w:after="40" w:line="245" w:lineRule="auto"/>
        <w:jc w:val="center"/>
      </w:pPr>
      <w:r>
        <w:rPr>
          <w:rFonts w:ascii="Arial" w:hAnsi="Arial" w:eastAsia="Arial"/>
          <w:b w:val="0"/>
          <w:color w:val="53616A"/>
          <w:sz w:val="15"/>
        </w:rPr>
        <w:t>+20 122 015 6077 | ma7moud.salamaaa@gmail.com | Cairo, Egypt</w:t>
      </w:r>
    </w:p>
    <w:p>
      <w:pPr>
        <w:spacing w:before="0" w:after="40" w:line="245" w:lineRule="auto"/>
        <w:jc w:val="center"/>
      </w:pPr>
      <w:r>
        <w:rPr>
          <w:rFonts w:ascii="Arial" w:hAnsi="Arial" w:eastAsia="Arial"/>
          <w:b w:val="0"/>
          <w:color w:val="5A6570"/>
          <w:sz w:val="16"/>
        </w:rPr>
        <w:t>linkedin.com/in/mahmoud-salama-30249b34 | mahmoud-salama.vercel.app</w:t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6" w:space="3" w:color="7D64A5"/>
        </w:pBdr>
        <w:keepLines/>
        <w:ind w:left="101"/>
      </w:pPr>
      <w:r>
        <w:rPr>
          <w:rFonts w:ascii="Aptos Display" w:hAnsi="Aptos Display" w:eastAsia="Arial"/>
          <w:b/>
          <w:color w:val="49356D"/>
          <w:sz w:val="18"/>
        </w:rPr>
        <w:t>PROFESSIONAL PROFILE</w:t>
      </w:r>
    </w:p>
    <w:p>
      <w:pPr>
        <w:spacing w:before="0" w:after="40" w:line="245" w:lineRule="auto"/>
      </w:pPr>
      <w:r>
        <w:rPr>
          <w:rFonts w:ascii="Arial" w:hAnsi="Arial" w:eastAsia="Arial"/>
          <w:i w:val="0"/>
          <w:color w:val="111111"/>
          <w:sz w:val="16"/>
        </w:rPr>
        <w:t>Enterprise and solution architecture leader with 18+ years connecting business capabilities, operating priorities, applications, data, integration, security and delivery into practical current-to-target-state roadmaps. Combines hands-on C#/.NET engineering with architecture governance, platform modernization, multi-tenant/configurable design, shared services, API/integration standards, data governance, NFRs and enterprise technology decision support across national-scale government ecosystems in Egypt and Oman.</w:t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6" w:space="3" w:color="7D64A5"/>
        </w:pBdr>
        <w:keepLines/>
        <w:ind w:left="101"/>
      </w:pPr>
      <w:r>
        <w:rPr>
          <w:rFonts w:ascii="Aptos Display" w:hAnsi="Aptos Display" w:eastAsia="Arial"/>
          <w:b/>
          <w:color w:val="49356D"/>
          <w:sz w:val="18"/>
        </w:rPr>
        <w:t>CORE LEADERSHIP AREAS</w:t>
      </w:r>
    </w:p>
    <w:p>
      <w:pPr>
        <w:spacing w:before="0" w:after="40" w:line="245" w:lineRule="auto"/>
      </w:pPr>
      <w:r>
        <w:rPr>
          <w:rFonts w:ascii="Arial" w:hAnsi="Arial" w:eastAsia="Arial"/>
          <w:i w:val="0"/>
          <w:color w:val="123B4A"/>
          <w:sz w:val="16"/>
        </w:rPr>
        <w:t>Enterprise Architecture Strategy | Solution Architecture | Target-State Architecture | Architecture Governance | Application &amp; Platform Modernization | API &amp; Integration Architecture | Data Architecture &amp; Governance | Security, Resilience &amp; IT Risk</w:t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6" w:space="3" w:color="7D64A5"/>
        </w:pBdr>
        <w:keepLines/>
        <w:ind w:left="101"/>
      </w:pPr>
      <w:r>
        <w:rPr>
          <w:rFonts w:ascii="Aptos Display" w:hAnsi="Aptos Display" w:eastAsia="Arial"/>
          <w:b/>
          <w:color w:val="49356D"/>
          <w:sz w:val="18"/>
        </w:rPr>
        <w:t>SELECTED CAREER IMPACT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Govern enterprise and solution architecture for a national procurement ecosystem serving ~60K users, ~90K facilities/entities and ~300 suppliers, strengthening consistency across applications, data, integrations and governance.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Shape current-to-target-state architecture for core procurement operations at ~1M transactions/month, aligning platform, data, reporting, integration, validation, security and resilience requirements.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Led delivery and contributed hands-on across 15+ enterprise/e-government platforms in Oman, including the National Educational Portal serving ~1M users and Sultan Qaboos Award-winning Ministry of Education Recruitment System.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Standardized reusable application, integration, data and governance patterns across a broad delivery portfolio, strengthening consistency, interoperability, auditability and maintainability.</w:t>
      </w:r>
      <w:r>
        <w:rPr>
          <w:rFonts w:ascii="Arial" w:hAnsi="Arial" w:eastAsia="Arial"/>
          <w:color w:val="111111"/>
          <w:sz w:val="16"/>
        </w:rPr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6" w:space="3" w:color="7D64A5"/>
        </w:pBdr>
        <w:keepLines/>
        <w:ind w:left="101"/>
      </w:pPr>
      <w:r>
        <w:rPr>
          <w:rFonts w:ascii="Aptos Display" w:hAnsi="Aptos Display" w:eastAsia="Arial"/>
          <w:b/>
          <w:color w:val="49356D"/>
          <w:sz w:val="18"/>
        </w:rPr>
        <w:t>PROFESSIONAL EXPERIENCE</w:t>
      </w:r>
    </w:p>
    <w:p>
      <w:pPr>
        <w:keepNext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49356D"/>
          <w:sz w:val="17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49356D"/>
          <w:sz w:val="17"/>
        </w:rPr>
        <w:tab/>
        <w:t>05/2025 - Present</w:t>
      </w:r>
    </w:p>
    <w:p>
      <w:pPr>
        <w:keepNext/>
        <w:spacing w:before="0" w:after="20" w:line="245" w:lineRule="auto"/>
        <w:keepLines/>
      </w:pPr>
      <w:r>
        <w:rPr>
          <w:rFonts w:ascii="Arial" w:hAnsi="Arial" w:eastAsia="Arial"/>
          <w:b/>
          <w:color w:val="7D64A5"/>
          <w:sz w:val="17"/>
        </w:rPr>
        <w:t>Head of the Central Administration for Information Systems &amp; Digital Transformation</w:t>
      </w:r>
    </w:p>
    <w:p>
      <w:pPr>
        <w:keepNext/>
        <w:spacing w:before="0" w:after="40" w:line="245" w:lineRule="auto"/>
      </w:pPr>
      <w:r>
        <w:rPr>
          <w:rFonts w:ascii="Arial" w:hAnsi="Arial" w:eastAsia="Arial"/>
          <w:b w:val="0"/>
          <w:i/>
          <w:color w:val="5E6B72"/>
          <w:sz w:val="15"/>
        </w:rPr>
        <w:t>Scope: Enterprise Architecture | Target-State Roadmaps | Platform, Data, Integration &amp; Governance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Translate enterprise priorities and business capabilities into current/target-state application, data, integration, security and platform roadmaps for a unified national procurement environment.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Govern architecture across configurable, modular and API-first platform capabilities, including shared services, RBAC, workflow/rules, DMS/archiving, auditability, publishing, reporting and support services.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Define and review architecture principles, standards, application boundaries, integration patterns/API contracts, data mappings, NFRs, security controls, performance, resilience, observability and service-transition expectations.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Lead architecture reviews and decision governance across the SDLC, translating requirements into solution boundaries, data structures, integration contracts, release controls, transition roadmaps and modernization decisions.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Align business stakeholders, engineering, analysis, QA, infrastructure/security, support, vendors and implementation partners around architecture decisions, ownership, standards and implementation guardrails.</w:t>
      </w:r>
    </w:p>
    <w:p>
      <w:pPr>
        <w:spacing w:line="245" w:lineRule="auto" w:after="40"/>
      </w:pPr>
      <w:r>
        <w:rPr>
          <w:sz w:val="16"/>
        </w:rPr>
        <w:br w:type="page"/>
      </w:r>
    </w:p>
    <w:p>
      <w:pPr>
        <w:keepNext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49356D"/>
          <w:sz w:val="17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49356D"/>
          <w:sz w:val="17"/>
        </w:rPr>
        <w:tab/>
        <w:t>10/2020 - 05/2025</w:t>
      </w:r>
    </w:p>
    <w:p>
      <w:pPr>
        <w:keepNext/>
        <w:spacing w:before="0" w:after="20" w:line="245" w:lineRule="auto"/>
        <w:keepLines/>
      </w:pPr>
      <w:r>
        <w:rPr>
          <w:rFonts w:ascii="Arial" w:hAnsi="Arial" w:eastAsia="Arial"/>
          <w:b/>
          <w:color w:val="7D64A5"/>
          <w:sz w:val="17"/>
        </w:rPr>
        <w:t>General Manager - Systems, Applications &amp; Technical Support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Applied architecture and systems-analysis practices to modernize procurement, medical-supply, inventory, reporting, CMS/publishing and enterprise workflow capabilities while maintaining operational continuity.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Converted manual processes into configurable digital workflows with clearer rules, approvals, auditability, role/data-level access, data controls and support ownership.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Strengthened architecture and engineering standards, design reviews, documentation, integration discipline, QA/release gates and production-support practices.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Coordinated architecture, data, integration, compliance, rollout and operational-readiness decisions across initiatives involving multiple agencies, including National Pharmaceutical Track &amp; Trace.</w:t>
      </w:r>
      <w:r>
        <w:rPr>
          <w:rFonts w:ascii="Arial" w:hAnsi="Arial" w:eastAsia="Arial"/>
          <w:color w:val="111111"/>
          <w:sz w:val="16"/>
        </w:rPr>
      </w:r>
    </w:p>
    <w:p>
      <w:pPr>
        <w:keepNext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49356D"/>
          <w:sz w:val="17"/>
        </w:rPr>
        <w:t>Integral Solutions LLC | Muscat, Oman</w:t>
      </w:r>
      <w:r>
        <w:rPr>
          <w:rFonts w:ascii="Arial" w:hAnsi="Arial" w:eastAsia="Arial"/>
          <w:b/>
          <w:color w:val="49356D"/>
          <w:sz w:val="17"/>
        </w:rPr>
        <w:tab/>
        <w:t>05/2016 - 10/2020</w:t>
      </w:r>
    </w:p>
    <w:p>
      <w:pPr>
        <w:keepNext/>
        <w:spacing w:before="0" w:after="20" w:line="245" w:lineRule="auto"/>
        <w:keepLines/>
      </w:pPr>
      <w:r>
        <w:rPr>
          <w:rFonts w:ascii="Arial" w:hAnsi="Arial" w:eastAsia="Arial"/>
          <w:b/>
          <w:color w:val="7D64A5"/>
          <w:sz w:val="17"/>
        </w:rPr>
        <w:t>Development Team Leader &amp; Senior Full-Stack Developer | Government Client Assignments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Led a 10+ developer team while remaining hands-on across 15+ enterprise/e-government platforms in Oman, including the National Educational Portal serving ~1M users, Maktabi/Morasalat Electronic Correspondence and Sultan Qaboos Award-winning Ministry of Education Recruitment System.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Contributed deeply to Maktabi/Morasalat across correspondence workflows, routing/tracking, database/reporting components, testing, defect investigation, deployment and production/application support.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Delivered/contributed to International Schools, Crisis Management, Asset Management, Ministry of Agriculture and Al Wahat Club Management System for Royal Court Affairs, spanning architecture, development, integrations, reporting, deployment, training and support.</w:t>
      </w:r>
      <w:r>
        <w:rPr>
          <w:rFonts w:ascii="Arial" w:hAnsi="Arial" w:eastAsia="Arial"/>
          <w:color w:val="111111"/>
          <w:sz w:val="16"/>
        </w:rPr>
      </w:r>
    </w:p>
    <w:p>
      <w:pPr>
        <w:keepNext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49356D"/>
          <w:sz w:val="17"/>
        </w:rPr>
        <w:t>Keyframe Egypt | Cairo, Egypt</w:t>
      </w:r>
      <w:r>
        <w:rPr>
          <w:rFonts w:ascii="Arial" w:hAnsi="Arial" w:eastAsia="Arial"/>
          <w:b/>
          <w:color w:val="49356D"/>
          <w:sz w:val="17"/>
        </w:rPr>
        <w:tab/>
        <w:t>04/2011 - 05/2016</w:t>
      </w:r>
    </w:p>
    <w:p>
      <w:pPr>
        <w:keepNext/>
        <w:spacing w:before="0" w:after="20" w:line="245" w:lineRule="auto"/>
        <w:keepLines/>
      </w:pPr>
      <w:r>
        <w:rPr>
          <w:rFonts w:ascii="Arial" w:hAnsi="Arial" w:eastAsia="Arial"/>
          <w:b/>
          <w:color w:val="7D64A5"/>
          <w:sz w:val="17"/>
        </w:rPr>
        <w:t>Development Team Leader &amp; Senior Full-Stack Developer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Led a 6-person development team while remaining deeply hands-on across 150+ major and mid-sized projects, excluding small engagements, shaping application structure, reusable components, database/reporting approaches, integrations, testing and deployment.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Delivered public-sector and enterprise solutions spanning Ministry of Health work, conference platforms, education and HR systems, support desks and integrations, covering analysis, C#/.NET development, databases, reporting, testing, deployment and support.</w:t>
      </w:r>
    </w:p>
    <w:p>
      <w:pPr>
        <w:spacing w:line="245" w:lineRule="auto" w:after="24"/>
        <w:ind w:left="202" w:hanging="144"/>
        <w:keepLines/>
      </w:pPr>
      <w:r>
        <w:rPr>
          <w:color w:val="7D64A5"/>
          <w:sz w:val="16"/>
        </w:rPr>
        <w:t>• Delivered multiple award-winning digital solutions, including Yashfeen, an ITIDA competition-winning healthcare portal.</w:t>
      </w:r>
    </w:p>
    <CT_P/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 xml:space="preserve">• </w:t>
      </w:r>
      <w:r>
        <w:rPr>
          <w:rFonts w:ascii="Arial" w:hAnsi="Arial" w:eastAsia="Arial"/>
          <w:color w:val="111111"/>
          <w:sz w:val="16"/>
        </w:rPr>
        <w:t>Built and customized CMS/electronic-publishing solutions, including a custom .NET CMS and reusable electronic-publishing solutions, with multilingual/RTL publishing, workflows, versioning, archiving, permissions, search, SEO, analytics, and integrations.</w:t>
      </w:r>
    </w:p>
    <w:p>
      <w:pPr>
        <w:keepNext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49356D"/>
          <w:sz w:val="17"/>
        </w:rPr>
        <w:t>Egyptian Armed Forces | Egypt</w:t>
      </w:r>
      <w:r>
        <w:rPr>
          <w:rFonts w:ascii="Arial" w:hAnsi="Arial" w:eastAsia="Arial"/>
          <w:b/>
          <w:color w:val="49356D"/>
          <w:sz w:val="17"/>
        </w:rPr>
        <w:tab/>
        <w:t>04/2008 - 10/2010</w:t>
      </w:r>
    </w:p>
    <w:p>
      <w:pPr>
        <w:keepNext/>
        <w:spacing w:before="0" w:after="20" w:line="245" w:lineRule="auto"/>
        <w:keepLines/>
      </w:pPr>
      <w:r>
        <w:rPr>
          <w:rFonts w:ascii="Arial" w:hAnsi="Arial" w:eastAsia="Arial"/>
          <w:b/>
          <w:color w:val="7D64A5"/>
          <w:sz w:val="17"/>
        </w:rPr>
        <w:t>Linux Systems &amp; Web Developer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 xml:space="preserve">• </w:t>
      </w:r>
      <w:r>
        <w:rPr>
          <w:rFonts w:ascii="Arial" w:hAnsi="Arial" w:eastAsia="Arial"/>
          <w:color w:val="111111"/>
          <w:sz w:val="16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6" w:space="3" w:color="7D64A5"/>
        </w:pBdr>
        <w:keepLines/>
        <w:ind w:left="101"/>
      </w:pPr>
      <w:r>
        <w:rPr>
          <w:rFonts w:ascii="Aptos Display" w:hAnsi="Aptos Display" w:eastAsia="Arial"/>
          <w:b/>
          <w:color w:val="49356D"/>
          <w:sz w:val="18"/>
        </w:rPr>
        <w:t>LEADERSHIP APPOINTMENTS &amp; GOVERNANCE CONTRIBUTIONS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Member, Egypt Digital Transformation Committee supporting the World Bank Group B-READY Assessment (2025-2026): contributed technical input on digitization, modernization and national competitiveness.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7D64A5"/>
          <w:sz w:val="16"/>
        </w:rPr>
        <w:t>• Board Member - National Blood Operations Oversight (2021-2024), appointed by Egypt’s Minister of Health: oversaw digital governance, data integrity and technology standards for the national blood-supply system.</w:t>
      </w:r>
      <w:r>
        <w:rPr>
          <w:rFonts w:ascii="Arial" w:hAnsi="Arial" w:eastAsia="Arial"/>
          <w:color w:val="111111"/>
          <w:sz w:val="16"/>
        </w:rPr>
      </w:r>
    </w:p>
    <w:p>
      <w:pPr>
        <w:spacing w:line="245" w:lineRule="auto" w:after="24"/>
        <w:ind w:left="202" w:hanging="144"/>
        <w:keepLines/>
      </w:pPr>
      <w:r>
        <w:rPr>
          <w:color w:val="7D64A5"/>
          <w:sz w:val="16"/>
        </w:rPr>
        <w:t>• Governance Lead - National Pharmaceutical Track &amp; Trace Program (2021-2024): shaped governance, compliance, interoperability, data integrity and technology roadmap across UPA, EDA and Ministry of Health stakeholders.</w:t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6" w:space="3" w:color="7D64A5"/>
        </w:pBdr>
        <w:keepLines/>
        <w:ind w:left="101"/>
      </w:pPr>
      <w:r>
        <w:rPr>
          <w:rFonts w:ascii="Aptos Display" w:hAnsi="Aptos Display" w:eastAsia="Arial"/>
          <w:b/>
          <w:color w:val="49356D"/>
          <w:sz w:val="18"/>
        </w:rPr>
        <w:t>TECHNICAL &amp; MANAGEMENT CAPABILITIES</w:t>
      </w:r>
    </w:p>
    <w:p>
      <w:pPr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>Enterprise Architecture: Business/Capability Alignment, Current/Target State, Principles &amp; Standards, Reference Patterns, Decision Governance, Portfolio Modernization, Transition Roadmaps</w:t>
      </w:r>
    </w:p>
    <w:p>
      <w:pPr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>Solution &amp; Platform: Application Architecture, API-First/Integration Architecture, Configurable Platforms, Shared Services, Workflow/RBAC/DMS/CMS, Security &amp; Resilience</w:t>
      </w:r>
    </w:p>
    <w:p>
      <w:pPr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>Data &amp; Integration: Data Architecture/Governance, MDM, Data Quality, REST/SOAP, GraphQL, JSON, API Contracts, Dynamics 365 Connectivity | NFRs: Security, Performance, Resilience, Observability, Continuity/DR</w:t>
      </w:r>
    </w:p>
    <w:p>
      <w:pPr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>Engineering Foundation: C#, .NET/ASP.NET, EF/LINQ, JavaScript, React, Node.js, SQL Server/PostgreSQL/MySQL, Redis, Umbraco/Kentico, Telerik/Kendo/Infragistics, Git/TFS, Jenkins, Docker, Postman/Swagger, Rider, DataGrip</w:t>
      </w:r>
      <w:r>
        <w:rPr>
          <w:rFonts w:ascii="Arial" w:hAnsi="Arial" w:eastAsia="Arial"/>
          <w:color w:val="111111"/>
          <w:sz w:val="16"/>
        </w:rPr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6" w:space="3" w:color="7D64A5"/>
        </w:pBdr>
        <w:keepLines/>
        <w:ind w:left="101"/>
      </w:pPr>
      <w:r>
        <w:rPr>
          <w:rFonts w:ascii="Aptos Display" w:hAnsi="Aptos Display" w:eastAsia="Arial"/>
          <w:b/>
          <w:color w:val="49356D"/>
          <w:sz w:val="18"/>
        </w:rPr>
        <w:t>EDUCATION &amp; LANGUAGES</w:t>
      </w:r>
    </w:p>
    <w:p>
      <w:pPr>
        <w:spacing w:before="0" w:after="40" w:line="245" w:lineRule="auto"/>
      </w:pPr>
      <w:r>
        <w:rPr>
          <w:sz w:val="16"/>
        </w:rPr>
        <w:t>Education: B.Sc. in Computer Science, Faculty of Computers &amp; Informatics, Zagazig University | 2003-2007</w:t>
      </w:r>
    </w:p>
    <w:p>
      <w:pPr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 xml:space="preserve">Languages: </w:t>
      </w:r>
      <w:r>
        <w:rPr>
          <w:rFonts w:ascii="Arial" w:hAnsi="Arial" w:eastAsia="Arial"/>
          <w:color w:val="111111"/>
          <w:sz w:val="16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ptos" w:hAnsi="Aptos"/>
        <w:color w:val="49356D"/>
        <w:sz w:val="13"/>
      </w:rPr>
      <w:t>Mahmoud Salama | Enterprise Architect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632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