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1AC36" w14:textId="77777777" w:rsidR="00012895" w:rsidRDefault="00012895">
      <w:pPr>
        <w:spacing w:before="600"/>
      </w:pPr>
    </w:p>
    <w:p w14:paraId="15187D0B" w14:textId="1B380DBE" w:rsidR="00012895" w:rsidRDefault="00105D91">
      <w:pPr>
        <w:spacing w:after="80"/>
        <w:jc w:val="center"/>
      </w:pPr>
      <w:r>
        <w:rPr>
          <w:rFonts w:ascii="Segoe UI Symbol" w:hAnsi="Segoe UI Symbol" w:cs="Segoe UI Symbol"/>
          <w:b/>
          <w:bCs/>
          <w:color w:val="C9A84C"/>
          <w:sz w:val="20"/>
          <w:szCs w:val="20"/>
        </w:rPr>
        <w:t>★</w:t>
      </w:r>
      <w:r>
        <w:rPr>
          <w:b/>
          <w:bCs/>
          <w:color w:val="C9A84C"/>
          <w:sz w:val="20"/>
          <w:szCs w:val="20"/>
        </w:rPr>
        <w:t xml:space="preserve"> DEPI FINAL PROJECT PROPOSAL </w:t>
      </w:r>
      <w:r>
        <w:rPr>
          <w:rFonts w:ascii="Segoe UI Symbol" w:hAnsi="Segoe UI Symbol" w:cs="Segoe UI Symbol"/>
          <w:b/>
          <w:bCs/>
          <w:color w:val="C9A84C"/>
          <w:sz w:val="20"/>
          <w:szCs w:val="20"/>
        </w:rPr>
        <w:t>★</w:t>
      </w:r>
    </w:p>
    <w:p w14:paraId="6781D846" w14:textId="77777777" w:rsidR="00012895" w:rsidRPr="00AB2DC9" w:rsidRDefault="00000000">
      <w:pPr>
        <w:spacing w:after="240"/>
        <w:jc w:val="center"/>
        <w:rPr>
          <w:sz w:val="20"/>
          <w:szCs w:val="20"/>
        </w:rPr>
      </w:pPr>
      <w:r w:rsidRPr="00AB2DC9">
        <w:rPr>
          <w:b/>
          <w:bCs/>
          <w:color w:val="1F4E79"/>
          <w:sz w:val="48"/>
          <w:szCs w:val="48"/>
        </w:rPr>
        <w:t>Gold as a Financial Instrument in Egypt</w:t>
      </w:r>
    </w:p>
    <w:p w14:paraId="7B52E7FE" w14:textId="77777777" w:rsidR="00012895" w:rsidRDefault="00000000">
      <w:pPr>
        <w:spacing w:after="480"/>
        <w:jc w:val="center"/>
      </w:pPr>
      <w:r>
        <w:rPr>
          <w:i/>
          <w:iCs/>
          <w:color w:val="C9A84C"/>
          <w:sz w:val="28"/>
          <w:szCs w:val="28"/>
        </w:rPr>
        <w:t>Fair Value Decomposition, Crisis Analysis &amp; Retail Investor Decision Framework</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6"/>
        <w:gridCol w:w="4934"/>
      </w:tblGrid>
      <w:tr w:rsidR="00012895" w14:paraId="42F792DC" w14:textId="77777777" w:rsidTr="00505AB7">
        <w:trPr>
          <w:jc w:val="center"/>
        </w:trPr>
        <w:tc>
          <w:tcPr>
            <w:tcW w:w="2266"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60" w:type="dxa"/>
              <w:bottom w:w="100" w:type="dxa"/>
              <w:right w:w="160" w:type="dxa"/>
            </w:tcMar>
            <w:vAlign w:val="center"/>
          </w:tcPr>
          <w:p w14:paraId="369AF110" w14:textId="77777777" w:rsidR="00012895" w:rsidRDefault="00000000">
            <w:r>
              <w:rPr>
                <w:b/>
                <w:bCs/>
                <w:color w:val="FFFFFF"/>
                <w:sz w:val="20"/>
                <w:szCs w:val="20"/>
              </w:rPr>
              <w:t>Program</w:t>
            </w:r>
          </w:p>
        </w:tc>
        <w:tc>
          <w:tcPr>
            <w:tcW w:w="4934"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60" w:type="dxa"/>
              <w:bottom w:w="100" w:type="dxa"/>
              <w:right w:w="160" w:type="dxa"/>
            </w:tcMar>
            <w:vAlign w:val="center"/>
          </w:tcPr>
          <w:p w14:paraId="711EBAF7" w14:textId="77777777" w:rsidR="00012895" w:rsidRDefault="00000000">
            <w:r>
              <w:rPr>
                <w:sz w:val="20"/>
                <w:szCs w:val="20"/>
              </w:rPr>
              <w:t>Digital Egypt Pioneers Initiative (DEPI)</w:t>
            </w:r>
          </w:p>
        </w:tc>
      </w:tr>
      <w:tr w:rsidR="00012895" w14:paraId="2F76DCBD" w14:textId="77777777" w:rsidTr="00505AB7">
        <w:trPr>
          <w:jc w:val="center"/>
        </w:trPr>
        <w:tc>
          <w:tcPr>
            <w:tcW w:w="2266"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60" w:type="dxa"/>
              <w:bottom w:w="100" w:type="dxa"/>
              <w:right w:w="160" w:type="dxa"/>
            </w:tcMar>
            <w:vAlign w:val="center"/>
          </w:tcPr>
          <w:p w14:paraId="2EC9E8F3" w14:textId="77777777" w:rsidR="00012895" w:rsidRDefault="00000000">
            <w:r>
              <w:rPr>
                <w:b/>
                <w:bCs/>
                <w:color w:val="FFFFFF"/>
                <w:sz w:val="20"/>
                <w:szCs w:val="20"/>
              </w:rPr>
              <w:t>Track</w:t>
            </w:r>
          </w:p>
        </w:tc>
        <w:tc>
          <w:tcPr>
            <w:tcW w:w="4934"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60" w:type="dxa"/>
              <w:bottom w:w="100" w:type="dxa"/>
              <w:right w:w="160" w:type="dxa"/>
            </w:tcMar>
            <w:vAlign w:val="center"/>
          </w:tcPr>
          <w:p w14:paraId="12FA82C1" w14:textId="77777777" w:rsidR="00012895" w:rsidRDefault="00000000">
            <w:r>
              <w:rPr>
                <w:sz w:val="20"/>
                <w:szCs w:val="20"/>
              </w:rPr>
              <w:t>Data Analysis</w:t>
            </w:r>
          </w:p>
        </w:tc>
      </w:tr>
      <w:tr w:rsidR="00012895" w14:paraId="13779C25" w14:textId="77777777" w:rsidTr="00505AB7">
        <w:trPr>
          <w:jc w:val="center"/>
        </w:trPr>
        <w:tc>
          <w:tcPr>
            <w:tcW w:w="2266"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60" w:type="dxa"/>
              <w:bottom w:w="100" w:type="dxa"/>
              <w:right w:w="160" w:type="dxa"/>
            </w:tcMar>
            <w:vAlign w:val="center"/>
          </w:tcPr>
          <w:p w14:paraId="7DFF0218" w14:textId="77777777" w:rsidR="00012895" w:rsidRDefault="00000000">
            <w:r>
              <w:rPr>
                <w:b/>
                <w:bCs/>
                <w:color w:val="FFFFFF"/>
                <w:sz w:val="20"/>
                <w:szCs w:val="20"/>
              </w:rPr>
              <w:t>Project Type</w:t>
            </w:r>
          </w:p>
        </w:tc>
        <w:tc>
          <w:tcPr>
            <w:tcW w:w="4934"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60" w:type="dxa"/>
              <w:bottom w:w="100" w:type="dxa"/>
              <w:right w:w="160" w:type="dxa"/>
            </w:tcMar>
            <w:vAlign w:val="center"/>
          </w:tcPr>
          <w:p w14:paraId="3B003ED7" w14:textId="77777777" w:rsidR="00012895" w:rsidRDefault="00000000">
            <w:r>
              <w:rPr>
                <w:sz w:val="20"/>
                <w:szCs w:val="20"/>
              </w:rPr>
              <w:t>Financial Data Science Project</w:t>
            </w:r>
          </w:p>
        </w:tc>
      </w:tr>
      <w:tr w:rsidR="00012895" w14:paraId="7685D7BA" w14:textId="77777777" w:rsidTr="00505AB7">
        <w:trPr>
          <w:jc w:val="center"/>
        </w:trPr>
        <w:tc>
          <w:tcPr>
            <w:tcW w:w="2266"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60" w:type="dxa"/>
              <w:bottom w:w="100" w:type="dxa"/>
              <w:right w:w="160" w:type="dxa"/>
            </w:tcMar>
            <w:vAlign w:val="center"/>
          </w:tcPr>
          <w:p w14:paraId="3D8BB5CE" w14:textId="77777777" w:rsidR="00012895" w:rsidRDefault="00000000">
            <w:r>
              <w:rPr>
                <w:b/>
                <w:bCs/>
                <w:color w:val="FFFFFF"/>
                <w:sz w:val="20"/>
                <w:szCs w:val="20"/>
              </w:rPr>
              <w:t>Year</w:t>
            </w:r>
          </w:p>
        </w:tc>
        <w:tc>
          <w:tcPr>
            <w:tcW w:w="4934"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60" w:type="dxa"/>
              <w:bottom w:w="100" w:type="dxa"/>
              <w:right w:w="160" w:type="dxa"/>
            </w:tcMar>
            <w:vAlign w:val="center"/>
          </w:tcPr>
          <w:p w14:paraId="33CA64B2" w14:textId="77777777" w:rsidR="00012895" w:rsidRDefault="00000000">
            <w:r>
              <w:rPr>
                <w:sz w:val="20"/>
                <w:szCs w:val="20"/>
              </w:rPr>
              <w:t>2026</w:t>
            </w:r>
          </w:p>
        </w:tc>
      </w:tr>
      <w:tr w:rsidR="00012895" w14:paraId="63CD907C" w14:textId="77777777" w:rsidTr="00505AB7">
        <w:trPr>
          <w:jc w:val="center"/>
        </w:trPr>
        <w:tc>
          <w:tcPr>
            <w:tcW w:w="2266" w:type="dxa"/>
            <w:tcBorders>
              <w:top w:val="single" w:sz="1" w:space="0" w:color="C0C0C0"/>
              <w:left w:val="single" w:sz="1" w:space="0" w:color="C0C0C0"/>
              <w:bottom w:val="single" w:sz="1" w:space="0" w:color="C0C0C0"/>
              <w:right w:val="single" w:sz="1" w:space="0" w:color="C0C0C0"/>
            </w:tcBorders>
            <w:shd w:val="clear" w:color="auto" w:fill="1F4E79"/>
            <w:tcMar>
              <w:top w:w="100" w:type="dxa"/>
              <w:left w:w="160" w:type="dxa"/>
              <w:bottom w:w="100" w:type="dxa"/>
              <w:right w:w="160" w:type="dxa"/>
            </w:tcMar>
            <w:vAlign w:val="center"/>
          </w:tcPr>
          <w:p w14:paraId="07B1FD53" w14:textId="77777777" w:rsidR="00012895" w:rsidRDefault="00000000">
            <w:r>
              <w:rPr>
                <w:b/>
                <w:bCs/>
                <w:color w:val="FFFFFF"/>
                <w:sz w:val="20"/>
                <w:szCs w:val="20"/>
              </w:rPr>
              <w:t>Tools Used</w:t>
            </w:r>
          </w:p>
        </w:tc>
        <w:tc>
          <w:tcPr>
            <w:tcW w:w="4934" w:type="dxa"/>
            <w:tcBorders>
              <w:top w:val="single" w:sz="1" w:space="0" w:color="C0C0C0"/>
              <w:left w:val="single" w:sz="1" w:space="0" w:color="C0C0C0"/>
              <w:bottom w:val="single" w:sz="1" w:space="0" w:color="C0C0C0"/>
              <w:right w:val="single" w:sz="1" w:space="0" w:color="C0C0C0"/>
            </w:tcBorders>
            <w:shd w:val="clear" w:color="auto" w:fill="D6E4F0"/>
            <w:tcMar>
              <w:top w:w="100" w:type="dxa"/>
              <w:left w:w="160" w:type="dxa"/>
              <w:bottom w:w="100" w:type="dxa"/>
              <w:right w:w="160" w:type="dxa"/>
            </w:tcMar>
            <w:vAlign w:val="center"/>
          </w:tcPr>
          <w:p w14:paraId="52500B47" w14:textId="77777777" w:rsidR="00012895" w:rsidRDefault="00000000">
            <w:r>
              <w:rPr>
                <w:sz w:val="20"/>
                <w:szCs w:val="20"/>
              </w:rPr>
              <w:t xml:space="preserve">Python • </w:t>
            </w:r>
            <w:proofErr w:type="spellStart"/>
            <w:r>
              <w:rPr>
                <w:sz w:val="20"/>
                <w:szCs w:val="20"/>
              </w:rPr>
              <w:t>Streamlit</w:t>
            </w:r>
            <w:proofErr w:type="spellEnd"/>
            <w:r>
              <w:rPr>
                <w:sz w:val="20"/>
                <w:szCs w:val="20"/>
              </w:rPr>
              <w:t xml:space="preserve"> • </w:t>
            </w:r>
            <w:proofErr w:type="spellStart"/>
            <w:r>
              <w:rPr>
                <w:sz w:val="20"/>
                <w:szCs w:val="20"/>
              </w:rPr>
              <w:t>Plotly</w:t>
            </w:r>
            <w:proofErr w:type="spellEnd"/>
            <w:r>
              <w:rPr>
                <w:sz w:val="20"/>
                <w:szCs w:val="20"/>
              </w:rPr>
              <w:t xml:space="preserve"> • Yahoo Finance API • pandas • </w:t>
            </w:r>
            <w:proofErr w:type="spellStart"/>
            <w:r>
              <w:rPr>
                <w:sz w:val="20"/>
                <w:szCs w:val="20"/>
              </w:rPr>
              <w:t>numpy</w:t>
            </w:r>
            <w:proofErr w:type="spellEnd"/>
            <w:r>
              <w:rPr>
                <w:sz w:val="20"/>
                <w:szCs w:val="20"/>
              </w:rPr>
              <w:t xml:space="preserve"> • </w:t>
            </w:r>
            <w:proofErr w:type="spellStart"/>
            <w:r>
              <w:rPr>
                <w:sz w:val="20"/>
                <w:szCs w:val="20"/>
              </w:rPr>
              <w:t>statsmodels</w:t>
            </w:r>
            <w:proofErr w:type="spellEnd"/>
            <w:r>
              <w:rPr>
                <w:sz w:val="20"/>
                <w:szCs w:val="20"/>
              </w:rPr>
              <w:t xml:space="preserve"> • Prophet</w:t>
            </w:r>
          </w:p>
        </w:tc>
      </w:tr>
    </w:tbl>
    <w:p w14:paraId="602CE240" w14:textId="77777777" w:rsidR="00012895" w:rsidRDefault="00012895">
      <w:pPr>
        <w:spacing w:before="200"/>
      </w:pPr>
    </w:p>
    <w:p w14:paraId="34F09F19" w14:textId="77777777" w:rsidR="00012895" w:rsidRDefault="00000000">
      <w:pPr>
        <w:jc w:val="center"/>
      </w:pPr>
      <w:r>
        <w:rPr>
          <w:i/>
          <w:iCs/>
          <w:color w:val="555555"/>
          <w:sz w:val="20"/>
          <w:szCs w:val="20"/>
        </w:rPr>
        <w:t>January 2020 – Present</w:t>
      </w:r>
    </w:p>
    <w:p w14:paraId="0E144080" w14:textId="77777777" w:rsidR="00012895" w:rsidRDefault="00000000">
      <w:r>
        <w:br w:type="page"/>
      </w:r>
    </w:p>
    <w:p w14:paraId="39FB2DBD" w14:textId="77777777" w:rsidR="00012895" w:rsidRDefault="00000000">
      <w:pPr>
        <w:pStyle w:val="Heading1"/>
        <w:pBdr>
          <w:bottom w:val="single" w:sz="8" w:space="6" w:color="C9A84C"/>
        </w:pBdr>
      </w:pPr>
      <w:r>
        <w:lastRenderedPageBreak/>
        <w:t>1. Introduction &amp; Background</w:t>
      </w:r>
    </w:p>
    <w:p w14:paraId="7416912F" w14:textId="77777777" w:rsidR="00012895" w:rsidRDefault="00000000">
      <w:pPr>
        <w:spacing w:before="60" w:after="100"/>
        <w:jc w:val="both"/>
      </w:pPr>
      <w:r>
        <w:t>Gold represents one of the most important investment and savings instruments in Egypt, particularly during periods of economic instability, currency depreciation, and geopolitical uncertainty. As a store of value, gold has historically served Egyptian households and investors alike as a financial hedge against systemic risks.</w:t>
      </w:r>
    </w:p>
    <w:p w14:paraId="20CCBD00" w14:textId="77777777" w:rsidR="00012895" w:rsidRDefault="00012895">
      <w:pPr>
        <w:spacing w:before="80"/>
      </w:pPr>
    </w:p>
    <w:p w14:paraId="697B6577" w14:textId="77777777" w:rsidR="00012895" w:rsidRDefault="00000000">
      <w:pPr>
        <w:spacing w:before="60" w:after="100"/>
        <w:jc w:val="both"/>
      </w:pPr>
      <w:r>
        <w:t>Since January 2020, Egypt has experienced a series of major economic shocks that significantly impacted local gold prices:</w:t>
      </w:r>
    </w:p>
    <w:p w14:paraId="3DF07679" w14:textId="77777777" w:rsidR="00012895" w:rsidRDefault="00000000">
      <w:pPr>
        <w:pStyle w:val="ListParagraph"/>
        <w:numPr>
          <w:ilvl w:val="0"/>
          <w:numId w:val="2"/>
        </w:numPr>
        <w:spacing w:before="40" w:after="60"/>
      </w:pPr>
      <w:r>
        <w:t>COVID-19 global disruption and its financial aftermath</w:t>
      </w:r>
    </w:p>
    <w:p w14:paraId="4CFDDD8B" w14:textId="77777777" w:rsidR="00012895" w:rsidRDefault="00000000">
      <w:pPr>
        <w:pStyle w:val="ListParagraph"/>
        <w:numPr>
          <w:ilvl w:val="0"/>
          <w:numId w:val="2"/>
        </w:numPr>
        <w:spacing w:before="40" w:after="60"/>
      </w:pPr>
      <w:r>
        <w:t>Exchange rate floatation events (2022 and beyond)</w:t>
      </w:r>
    </w:p>
    <w:p w14:paraId="4228F251" w14:textId="77777777" w:rsidR="00012895" w:rsidRDefault="00000000">
      <w:pPr>
        <w:pStyle w:val="ListParagraph"/>
        <w:numPr>
          <w:ilvl w:val="0"/>
          <w:numId w:val="2"/>
        </w:numPr>
        <w:spacing w:before="40" w:after="60"/>
      </w:pPr>
      <w:r>
        <w:t>The Russia–Ukraine war and its commodity market effects</w:t>
      </w:r>
    </w:p>
    <w:p w14:paraId="37E4D894" w14:textId="77777777" w:rsidR="00012895" w:rsidRDefault="00000000">
      <w:pPr>
        <w:pStyle w:val="ListParagraph"/>
        <w:numPr>
          <w:ilvl w:val="0"/>
          <w:numId w:val="2"/>
        </w:numPr>
        <w:spacing w:before="40" w:after="60"/>
      </w:pPr>
      <w:r>
        <w:t>Inflation waves, monetary tightening cycles, and USD/EGP volatility</w:t>
      </w:r>
    </w:p>
    <w:p w14:paraId="615586B9" w14:textId="77777777" w:rsidR="00012895" w:rsidRDefault="00012895">
      <w:pPr>
        <w:spacing w:before="80"/>
      </w:pPr>
    </w:p>
    <w:p w14:paraId="291E42B2" w14:textId="77777777" w:rsidR="00012895" w:rsidRDefault="00000000">
      <w:pPr>
        <w:spacing w:before="60" w:after="100"/>
        <w:jc w:val="both"/>
      </w:pPr>
      <w:r>
        <w:t>During these periods, local gold prices surged significantly. However, a critical analytical gap remains: Is the rise in Egyptian gold prices driven by real global value appreciation, or is it primarily a reflection of exchange rate depreciation and local market distortions?</w:t>
      </w:r>
    </w:p>
    <w:p w14:paraId="08F17831" w14:textId="77777777" w:rsidR="00012895" w:rsidRDefault="00012895">
      <w:pPr>
        <w:spacing w:before="80"/>
      </w:pPr>
    </w:p>
    <w:p w14:paraId="329C94E4" w14:textId="77777777" w:rsidR="00012895" w:rsidRDefault="00000000">
      <w:pPr>
        <w:spacing w:before="60" w:after="100"/>
        <w:jc w:val="both"/>
      </w:pPr>
      <w:r>
        <w:t>Most existing analyses treat gold as a simple price series. This project instead treats gold as a financial instrument influenced by global, macroeconomic, and geopolitical variables — providing a more rigorous and actionable analytical lens.</w:t>
      </w:r>
    </w:p>
    <w:p w14:paraId="3C08C54C" w14:textId="77777777" w:rsidR="00012895" w:rsidRDefault="00000000">
      <w:pPr>
        <w:pStyle w:val="Heading1"/>
        <w:pBdr>
          <w:bottom w:val="single" w:sz="8" w:space="6" w:color="C9A84C"/>
        </w:pBdr>
      </w:pPr>
      <w:r>
        <w:t>2. Problem Statement</w:t>
      </w:r>
    </w:p>
    <w:p w14:paraId="3785BF9D" w14:textId="77777777" w:rsidR="00012895" w:rsidRDefault="00000000">
      <w:pPr>
        <w:spacing w:before="60" w:after="100"/>
        <w:jc w:val="both"/>
      </w:pPr>
      <w:r>
        <w:t>Retail investors in Egypt often rush to buy gold during periods of economic uncertainty. However, they fundamentally lack the analytical tools necessary to determine whether current gold prices reflect true global value, currency-driven distortions, or local market panic premiums.</w:t>
      </w:r>
    </w:p>
    <w:p w14:paraId="2114BD0F" w14:textId="77777777" w:rsidR="00012895" w:rsidRDefault="00012895">
      <w:pPr>
        <w:spacing w:before="80"/>
      </w:pPr>
    </w:p>
    <w:p w14:paraId="33A5A5D1" w14:textId="77777777" w:rsidR="00012895" w:rsidRDefault="00000000">
      <w:pPr>
        <w:spacing w:before="60" w:after="100"/>
        <w:jc w:val="both"/>
      </w:pPr>
      <w:r>
        <w:t>The central research question guiding this project is:</w:t>
      </w:r>
    </w:p>
    <w:p w14:paraId="74D713B2" w14:textId="77777777" w:rsidR="00012895" w:rsidRDefault="00012895">
      <w:pPr>
        <w:spacing w:before="60"/>
      </w:pPr>
    </w:p>
    <w:p w14:paraId="7A1B8C85" w14:textId="77777777" w:rsidR="00012895" w:rsidRDefault="00000000">
      <w:pPr>
        <w:pBdr>
          <w:top w:val="single" w:sz="4" w:space="6" w:color="C9A84C"/>
          <w:left w:val="thick" w:sz="16" w:space="8" w:color="1F4E79"/>
          <w:bottom w:val="single" w:sz="4" w:space="6" w:color="C9A84C"/>
        </w:pBdr>
        <w:spacing w:before="80" w:after="80"/>
        <w:ind w:left="720" w:right="720"/>
      </w:pPr>
      <w:r>
        <w:rPr>
          <w:i/>
          <w:iCs/>
          <w:color w:val="1F4E79"/>
        </w:rPr>
        <w:t>Can we decompose Egyptian gold price movements into global value, currency impact, and local premium components — and build a data-driven model that supports retail investors in distinguishing fair value from panic-driven pricing?</w:t>
      </w:r>
    </w:p>
    <w:p w14:paraId="0DEACA13" w14:textId="77777777" w:rsidR="00012895" w:rsidRDefault="00000000">
      <w:pPr>
        <w:pStyle w:val="Heading1"/>
        <w:pBdr>
          <w:bottom w:val="single" w:sz="8" w:space="6" w:color="C9A84C"/>
        </w:pBdr>
      </w:pPr>
      <w:r>
        <w:t>3. Research Questions</w:t>
      </w:r>
    </w:p>
    <w:p w14:paraId="0356E2D8" w14:textId="77777777" w:rsidR="00012895" w:rsidRDefault="00000000">
      <w:pPr>
        <w:pStyle w:val="ListParagraph"/>
        <w:numPr>
          <w:ilvl w:val="0"/>
          <w:numId w:val="3"/>
        </w:numPr>
        <w:spacing w:before="40" w:after="60"/>
      </w:pPr>
      <w:r>
        <w:t>How much of Egyptian gold price movement is explained by global gold prices vs. USD/EGP exchange rate?</w:t>
      </w:r>
    </w:p>
    <w:p w14:paraId="374924D4" w14:textId="77777777" w:rsidR="00012895" w:rsidRDefault="00000000">
      <w:pPr>
        <w:pStyle w:val="ListParagraph"/>
        <w:numPr>
          <w:ilvl w:val="0"/>
          <w:numId w:val="3"/>
        </w:numPr>
        <w:spacing w:before="40" w:after="60"/>
      </w:pPr>
      <w:r>
        <w:t>What is the theoretical fair value of gold in Egypt at any given time?</w:t>
      </w:r>
    </w:p>
    <w:p w14:paraId="0C16A0E0" w14:textId="77777777" w:rsidR="00012895" w:rsidRDefault="00000000">
      <w:pPr>
        <w:pStyle w:val="ListParagraph"/>
        <w:numPr>
          <w:ilvl w:val="0"/>
          <w:numId w:val="3"/>
        </w:numPr>
        <w:spacing w:before="40" w:after="60"/>
      </w:pPr>
      <w:r>
        <w:t>Does the Egyptian market sometimes exhibit a significant price premium (bubble component)?</w:t>
      </w:r>
    </w:p>
    <w:p w14:paraId="5B266C44" w14:textId="77777777" w:rsidR="00012895" w:rsidRDefault="00000000">
      <w:pPr>
        <w:pStyle w:val="ListParagraph"/>
        <w:numPr>
          <w:ilvl w:val="0"/>
          <w:numId w:val="3"/>
        </w:numPr>
        <w:spacing w:before="40" w:after="60"/>
      </w:pPr>
      <w:r>
        <w:t>Which macroeconomic variable has the strongest statistical impact on local gold prices?</w:t>
      </w:r>
    </w:p>
    <w:p w14:paraId="6C146410" w14:textId="77777777" w:rsidR="00012895" w:rsidRDefault="00000000">
      <w:pPr>
        <w:pStyle w:val="ListParagraph"/>
        <w:numPr>
          <w:ilvl w:val="0"/>
          <w:numId w:val="3"/>
        </w:numPr>
        <w:spacing w:before="40" w:after="60"/>
      </w:pPr>
      <w:r>
        <w:lastRenderedPageBreak/>
        <w:t>How did gold behave during specific crisis windows (COVID-19, war, currency floatation)?</w:t>
      </w:r>
    </w:p>
    <w:p w14:paraId="654FA136" w14:textId="77777777" w:rsidR="00012895" w:rsidRDefault="00000000">
      <w:pPr>
        <w:pStyle w:val="ListParagraph"/>
        <w:numPr>
          <w:ilvl w:val="0"/>
          <w:numId w:val="3"/>
        </w:numPr>
        <w:spacing w:before="40" w:after="60"/>
      </w:pPr>
      <w:r>
        <w:t xml:space="preserve">Which investment </w:t>
      </w:r>
      <w:proofErr w:type="gramStart"/>
      <w:r>
        <w:t>performed</w:t>
      </w:r>
      <w:proofErr w:type="gramEnd"/>
      <w:r>
        <w:t xml:space="preserve"> best since January 2020: gold (21K/24K/18K), USD, or cash?</w:t>
      </w:r>
    </w:p>
    <w:p w14:paraId="3AE887EF" w14:textId="77777777" w:rsidR="00012895" w:rsidRDefault="00000000">
      <w:pPr>
        <w:pStyle w:val="ListParagraph"/>
        <w:numPr>
          <w:ilvl w:val="0"/>
          <w:numId w:val="3"/>
        </w:numPr>
        <w:spacing w:before="40" w:after="60"/>
      </w:pPr>
      <w:r>
        <w:t>Can statistical and machine-learning models reliably forecast Egyptian gold prices?</w:t>
      </w:r>
    </w:p>
    <w:p w14:paraId="05B3A435" w14:textId="77777777" w:rsidR="00012895" w:rsidRDefault="00000000">
      <w:pPr>
        <w:pStyle w:val="Heading1"/>
        <w:pBdr>
          <w:bottom w:val="single" w:sz="8" w:space="6" w:color="C9A84C"/>
        </w:pBdr>
      </w:pPr>
      <w:r>
        <w:t>4. Project Objectives</w:t>
      </w:r>
    </w:p>
    <w:p w14:paraId="57AF4A90" w14:textId="77777777" w:rsidR="00012895" w:rsidRDefault="00000000">
      <w:pPr>
        <w:spacing w:before="60" w:after="100"/>
        <w:jc w:val="both"/>
      </w:pPr>
      <w:r>
        <w:t>This project aims to accomplish the following:</w:t>
      </w:r>
    </w:p>
    <w:p w14:paraId="7ACC50D3" w14:textId="77777777" w:rsidR="00012895" w:rsidRDefault="00012895">
      <w:pPr>
        <w:spacing w:before="60"/>
      </w:pPr>
    </w:p>
    <w:p w14:paraId="0B4598AE" w14:textId="77777777" w:rsidR="00012895" w:rsidRDefault="00000000">
      <w:pPr>
        <w:spacing w:before="200" w:after="80"/>
      </w:pPr>
      <w:r>
        <w:rPr>
          <w:b/>
          <w:bCs/>
          <w:color w:val="2E6DA4"/>
        </w:rPr>
        <w:t>4.1 Relationship Analysis</w:t>
      </w:r>
    </w:p>
    <w:p w14:paraId="07FEFF97" w14:textId="77777777" w:rsidR="00012895" w:rsidRDefault="00000000">
      <w:pPr>
        <w:pStyle w:val="ListParagraph"/>
        <w:numPr>
          <w:ilvl w:val="0"/>
          <w:numId w:val="2"/>
        </w:numPr>
        <w:spacing w:before="40" w:after="60"/>
      </w:pPr>
      <w:r>
        <w:t>Global gold prices (GC=F) vs. local 21K/24K/18K prices</w:t>
      </w:r>
    </w:p>
    <w:p w14:paraId="5C9FF60E" w14:textId="77777777" w:rsidR="00012895" w:rsidRDefault="00000000">
      <w:pPr>
        <w:pStyle w:val="ListParagraph"/>
        <w:numPr>
          <w:ilvl w:val="0"/>
          <w:numId w:val="2"/>
        </w:numPr>
        <w:spacing w:before="40" w:after="60"/>
      </w:pPr>
      <w:r>
        <w:t>USD/EGP exchange rate impact on local prices</w:t>
      </w:r>
    </w:p>
    <w:p w14:paraId="7FAF6BBF" w14:textId="77777777" w:rsidR="00012895" w:rsidRDefault="00000000">
      <w:pPr>
        <w:pStyle w:val="ListParagraph"/>
        <w:numPr>
          <w:ilvl w:val="0"/>
          <w:numId w:val="2"/>
        </w:numPr>
        <w:spacing w:before="40" w:after="60"/>
      </w:pPr>
      <w:r>
        <w:t>Inflation rate and interest rate correlations</w:t>
      </w:r>
    </w:p>
    <w:p w14:paraId="07C57779" w14:textId="77777777" w:rsidR="00012895" w:rsidRDefault="00000000">
      <w:pPr>
        <w:pStyle w:val="ListParagraph"/>
        <w:numPr>
          <w:ilvl w:val="0"/>
          <w:numId w:val="2"/>
        </w:numPr>
        <w:spacing w:before="40" w:after="60"/>
      </w:pPr>
      <w:r>
        <w:t xml:space="preserve">Major crisis event </w:t>
      </w:r>
      <w:proofErr w:type="gramStart"/>
      <w:r>
        <w:t>effects on</w:t>
      </w:r>
      <w:proofErr w:type="gramEnd"/>
      <w:r>
        <w:t xml:space="preserve"> gold behavior</w:t>
      </w:r>
    </w:p>
    <w:p w14:paraId="3D8524D0" w14:textId="77777777" w:rsidR="00012895" w:rsidRDefault="00012895">
      <w:pPr>
        <w:spacing w:before="80"/>
      </w:pPr>
    </w:p>
    <w:p w14:paraId="37E220D2" w14:textId="77777777" w:rsidR="00012895" w:rsidRDefault="00000000">
      <w:pPr>
        <w:spacing w:before="200" w:after="80"/>
      </w:pPr>
      <w:r>
        <w:rPr>
          <w:b/>
          <w:bCs/>
          <w:color w:val="2E6DA4"/>
        </w:rPr>
        <w:t>4.2 Price Decomposition</w:t>
      </w:r>
    </w:p>
    <w:p w14:paraId="7911E949" w14:textId="77777777" w:rsidR="00012895" w:rsidRDefault="00000000">
      <w:pPr>
        <w:pStyle w:val="ListParagraph"/>
        <w:numPr>
          <w:ilvl w:val="0"/>
          <w:numId w:val="2"/>
        </w:numPr>
        <w:spacing w:before="40" w:after="60"/>
      </w:pPr>
      <w:r>
        <w:t>Global value component (real international appreciation)</w:t>
      </w:r>
    </w:p>
    <w:p w14:paraId="3F2F7CEC" w14:textId="77777777" w:rsidR="00012895" w:rsidRDefault="00000000">
      <w:pPr>
        <w:pStyle w:val="ListParagraph"/>
        <w:numPr>
          <w:ilvl w:val="0"/>
          <w:numId w:val="2"/>
        </w:numPr>
        <w:spacing w:before="40" w:after="60"/>
      </w:pPr>
      <w:r>
        <w:t>Exchange rate component (currency depreciation effect)</w:t>
      </w:r>
    </w:p>
    <w:p w14:paraId="1BD836B0" w14:textId="77777777" w:rsidR="00012895" w:rsidRDefault="00000000">
      <w:pPr>
        <w:pStyle w:val="ListParagraph"/>
        <w:numPr>
          <w:ilvl w:val="0"/>
          <w:numId w:val="2"/>
        </w:numPr>
        <w:spacing w:before="40" w:after="60"/>
      </w:pPr>
      <w:r>
        <w:t>Local premium component (market distortion or speculation)</w:t>
      </w:r>
    </w:p>
    <w:p w14:paraId="50B6C651" w14:textId="77777777" w:rsidR="00012895" w:rsidRDefault="00012895">
      <w:pPr>
        <w:spacing w:before="80"/>
      </w:pPr>
    </w:p>
    <w:p w14:paraId="0EE2FD1A" w14:textId="77777777" w:rsidR="00012895" w:rsidRDefault="00000000">
      <w:pPr>
        <w:spacing w:before="200" w:after="80"/>
      </w:pPr>
      <w:r>
        <w:rPr>
          <w:b/>
          <w:bCs/>
          <w:color w:val="2E6DA4"/>
        </w:rPr>
        <w:t>4.3 Gold as a Store of Value</w:t>
      </w:r>
    </w:p>
    <w:p w14:paraId="35148299" w14:textId="77777777" w:rsidR="00012895" w:rsidRDefault="00000000">
      <w:pPr>
        <w:pStyle w:val="ListParagraph"/>
        <w:numPr>
          <w:ilvl w:val="0"/>
          <w:numId w:val="2"/>
        </w:numPr>
        <w:spacing w:before="40" w:after="60"/>
      </w:pPr>
      <w:r>
        <w:t>Evaluate gold as a hedge against inflation</w:t>
      </w:r>
    </w:p>
    <w:p w14:paraId="6EE2EB3D" w14:textId="77777777" w:rsidR="00012895" w:rsidRDefault="00000000">
      <w:pPr>
        <w:pStyle w:val="ListParagraph"/>
        <w:numPr>
          <w:ilvl w:val="0"/>
          <w:numId w:val="2"/>
        </w:numPr>
        <w:spacing w:before="40" w:after="60"/>
      </w:pPr>
      <w:proofErr w:type="gramStart"/>
      <w:r>
        <w:t>Assess</w:t>
      </w:r>
      <w:proofErr w:type="gramEnd"/>
      <w:r>
        <w:t xml:space="preserve"> gold as </w:t>
      </w:r>
      <w:proofErr w:type="gramStart"/>
      <w:r>
        <w:t>a safe haven</w:t>
      </w:r>
      <w:proofErr w:type="gramEnd"/>
      <w:r>
        <w:t xml:space="preserve"> during crises</w:t>
      </w:r>
    </w:p>
    <w:p w14:paraId="12678431" w14:textId="77777777" w:rsidR="00012895" w:rsidRDefault="00000000">
      <w:pPr>
        <w:pStyle w:val="ListParagraph"/>
        <w:numPr>
          <w:ilvl w:val="0"/>
          <w:numId w:val="2"/>
        </w:numPr>
        <w:spacing w:before="40" w:after="60"/>
      </w:pPr>
      <w:r>
        <w:t>Compare gold to USD and cash as stores of value</w:t>
      </w:r>
    </w:p>
    <w:p w14:paraId="2846F730" w14:textId="77777777" w:rsidR="00012895" w:rsidRDefault="00012895">
      <w:pPr>
        <w:spacing w:before="80"/>
      </w:pPr>
    </w:p>
    <w:p w14:paraId="4585A66F" w14:textId="77777777" w:rsidR="00012895" w:rsidRDefault="00000000">
      <w:pPr>
        <w:spacing w:before="200" w:after="80"/>
      </w:pPr>
      <w:r>
        <w:rPr>
          <w:b/>
          <w:bCs/>
          <w:color w:val="2E6DA4"/>
        </w:rPr>
        <w:t>4.4 Forecasting &amp; Decision Support</w:t>
      </w:r>
    </w:p>
    <w:p w14:paraId="334EBA6E" w14:textId="77777777" w:rsidR="00012895" w:rsidRDefault="00000000">
      <w:pPr>
        <w:pStyle w:val="ListParagraph"/>
        <w:numPr>
          <w:ilvl w:val="0"/>
          <w:numId w:val="2"/>
        </w:numPr>
        <w:spacing w:before="40" w:after="60"/>
      </w:pPr>
      <w:r>
        <w:t>Develop forecasting models for 6-month and 1-year horizons</w:t>
      </w:r>
    </w:p>
    <w:p w14:paraId="6E52DA16" w14:textId="77777777" w:rsidR="00012895" w:rsidRDefault="00000000">
      <w:pPr>
        <w:pStyle w:val="ListParagraph"/>
        <w:numPr>
          <w:ilvl w:val="0"/>
          <w:numId w:val="2"/>
        </w:numPr>
        <w:spacing w:before="40" w:after="60"/>
      </w:pPr>
      <w:r>
        <w:t>Build a Fair Value Index and decision-support dashboard for retail investors</w:t>
      </w:r>
    </w:p>
    <w:p w14:paraId="7B856CCF" w14:textId="77777777" w:rsidR="00012895" w:rsidRDefault="00000000">
      <w:pPr>
        <w:pStyle w:val="Heading1"/>
        <w:pBdr>
          <w:bottom w:val="single" w:sz="8" w:space="6" w:color="C9A84C"/>
        </w:pBdr>
      </w:pPr>
      <w:r>
        <w:t>5. Data Scope (January 2020 – Present)</w:t>
      </w:r>
    </w:p>
    <w:p w14:paraId="48AC33EA" w14:textId="77777777" w:rsidR="00012895" w:rsidRDefault="00000000">
      <w:pPr>
        <w:spacing w:before="60" w:after="100"/>
        <w:jc w:val="both"/>
      </w:pPr>
      <w:r>
        <w:t>The dataset covers January 2020 to present and includes the following data sources, standardized to consistent frequency (daily for dashboard analysis, monthly for econometric modeling):</w:t>
      </w:r>
    </w:p>
    <w:p w14:paraId="11507572" w14:textId="77777777" w:rsidR="00012895" w:rsidRDefault="000128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012895" w14:paraId="5E97F191"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14:paraId="56B65D4C" w14:textId="77777777" w:rsidR="00012895" w:rsidRDefault="00000000">
            <w:r>
              <w:rPr>
                <w:b/>
                <w:bCs/>
                <w:color w:val="FFFFFF"/>
                <w:sz w:val="20"/>
                <w:szCs w:val="20"/>
              </w:rPr>
              <w:t>Data Source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14:paraId="2D260002" w14:textId="77777777" w:rsidR="00012895" w:rsidRDefault="00000000">
            <w:r>
              <w:rPr>
                <w:b/>
                <w:bCs/>
                <w:color w:val="FFFFFF"/>
                <w:sz w:val="20"/>
                <w:szCs w:val="20"/>
              </w:rPr>
              <w:t>Variable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100" w:type="dxa"/>
              <w:left w:w="140" w:type="dxa"/>
              <w:bottom w:w="100" w:type="dxa"/>
              <w:right w:w="140" w:type="dxa"/>
            </w:tcMar>
          </w:tcPr>
          <w:p w14:paraId="25DB0693" w14:textId="77777777" w:rsidR="00012895" w:rsidRDefault="00000000">
            <w:r>
              <w:rPr>
                <w:b/>
                <w:bCs/>
                <w:color w:val="FFFFFF"/>
                <w:sz w:val="20"/>
                <w:szCs w:val="20"/>
              </w:rPr>
              <w:t>Purpose</w:t>
            </w:r>
          </w:p>
        </w:tc>
      </w:tr>
      <w:tr w:rsidR="00012895" w14:paraId="1E8D8C32" w14:textId="77777777">
        <w:tc>
          <w:tcPr>
            <w:tcW w:w="3200" w:type="dxa"/>
            <w:tcBorders>
              <w:top w:val="single" w:sz="1" w:space="0" w:color="D0D0D0"/>
              <w:left w:val="single" w:sz="1" w:space="0" w:color="D0D0D0"/>
              <w:bottom w:val="single" w:sz="1" w:space="0" w:color="D0D0D0"/>
              <w:right w:val="single" w:sz="1" w:space="0" w:color="D0D0D0"/>
            </w:tcBorders>
            <w:shd w:val="clear" w:color="auto" w:fill="D6E4F0"/>
            <w:tcMar>
              <w:top w:w="80" w:type="dxa"/>
              <w:left w:w="140" w:type="dxa"/>
              <w:bottom w:w="80" w:type="dxa"/>
              <w:right w:w="140" w:type="dxa"/>
            </w:tcMar>
          </w:tcPr>
          <w:p w14:paraId="061B426A" w14:textId="77777777" w:rsidR="00012895" w:rsidRDefault="00000000">
            <w:r>
              <w:rPr>
                <w:sz w:val="20"/>
                <w:szCs w:val="20"/>
              </w:rPr>
              <w:t>Yahoo Finance (GC=F)</w:t>
            </w:r>
          </w:p>
        </w:tc>
        <w:tc>
          <w:tcPr>
            <w:tcW w:w="3080" w:type="dxa"/>
            <w:tcBorders>
              <w:top w:val="single" w:sz="1" w:space="0" w:color="D0D0D0"/>
              <w:left w:val="single" w:sz="1" w:space="0" w:color="D0D0D0"/>
              <w:bottom w:val="single" w:sz="1" w:space="0" w:color="D0D0D0"/>
              <w:right w:val="single" w:sz="1" w:space="0" w:color="D0D0D0"/>
            </w:tcBorders>
            <w:shd w:val="clear" w:color="auto" w:fill="D6E4F0"/>
            <w:tcMar>
              <w:top w:w="80" w:type="dxa"/>
              <w:left w:w="140" w:type="dxa"/>
              <w:bottom w:w="80" w:type="dxa"/>
              <w:right w:w="140" w:type="dxa"/>
            </w:tcMar>
          </w:tcPr>
          <w:p w14:paraId="5ECF7DD9" w14:textId="77777777" w:rsidR="00012895" w:rsidRDefault="00000000">
            <w:r>
              <w:rPr>
                <w:sz w:val="20"/>
                <w:szCs w:val="20"/>
              </w:rPr>
              <w:t>Global Gold Futures Price</w:t>
            </w:r>
          </w:p>
        </w:tc>
        <w:tc>
          <w:tcPr>
            <w:tcW w:w="3080" w:type="dxa"/>
            <w:tcBorders>
              <w:top w:val="single" w:sz="1" w:space="0" w:color="D0D0D0"/>
              <w:left w:val="single" w:sz="1" w:space="0" w:color="D0D0D0"/>
              <w:bottom w:val="single" w:sz="1" w:space="0" w:color="D0D0D0"/>
              <w:right w:val="single" w:sz="1" w:space="0" w:color="D0D0D0"/>
            </w:tcBorders>
            <w:shd w:val="clear" w:color="auto" w:fill="D6E4F0"/>
            <w:tcMar>
              <w:top w:w="80" w:type="dxa"/>
              <w:left w:w="140" w:type="dxa"/>
              <w:bottom w:w="80" w:type="dxa"/>
              <w:right w:w="140" w:type="dxa"/>
            </w:tcMar>
          </w:tcPr>
          <w:p w14:paraId="591BE784" w14:textId="77777777" w:rsidR="00012895" w:rsidRDefault="00000000">
            <w:r>
              <w:rPr>
                <w:sz w:val="20"/>
                <w:szCs w:val="20"/>
              </w:rPr>
              <w:t>Core global benchmark</w:t>
            </w:r>
          </w:p>
        </w:tc>
      </w:tr>
      <w:tr w:rsidR="00012895" w14:paraId="5763327A" w14:textId="77777777">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7481A74" w14:textId="77777777" w:rsidR="00012895" w:rsidRDefault="00000000">
            <w:r>
              <w:rPr>
                <w:sz w:val="20"/>
                <w:szCs w:val="20"/>
              </w:rPr>
              <w:t>Yahoo Finance</w:t>
            </w:r>
          </w:p>
        </w:tc>
        <w:tc>
          <w:tcPr>
            <w:tcW w:w="3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42BA822" w14:textId="77777777" w:rsidR="00012895" w:rsidRDefault="00000000">
            <w:r>
              <w:rPr>
                <w:sz w:val="20"/>
                <w:szCs w:val="20"/>
              </w:rPr>
              <w:t>USD/EGP Exchange Rate</w:t>
            </w:r>
          </w:p>
        </w:tc>
        <w:tc>
          <w:tcPr>
            <w:tcW w:w="3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79DE11F1" w14:textId="77777777" w:rsidR="00012895" w:rsidRDefault="00000000">
            <w:r>
              <w:rPr>
                <w:sz w:val="20"/>
                <w:szCs w:val="20"/>
              </w:rPr>
              <w:t>Currency impact analysis</w:t>
            </w:r>
          </w:p>
        </w:tc>
      </w:tr>
      <w:tr w:rsidR="00012895" w14:paraId="5BD3B9E9" w14:textId="77777777">
        <w:tc>
          <w:tcPr>
            <w:tcW w:w="3200" w:type="dxa"/>
            <w:tcBorders>
              <w:top w:val="single" w:sz="1" w:space="0" w:color="D0D0D0"/>
              <w:left w:val="single" w:sz="1" w:space="0" w:color="D0D0D0"/>
              <w:bottom w:val="single" w:sz="1" w:space="0" w:color="D0D0D0"/>
              <w:right w:val="single" w:sz="1" w:space="0" w:color="D0D0D0"/>
            </w:tcBorders>
            <w:shd w:val="clear" w:color="auto" w:fill="D6E4F0"/>
            <w:tcMar>
              <w:top w:w="80" w:type="dxa"/>
              <w:left w:w="140" w:type="dxa"/>
              <w:bottom w:w="80" w:type="dxa"/>
              <w:right w:w="140" w:type="dxa"/>
            </w:tcMar>
          </w:tcPr>
          <w:p w14:paraId="139449C4" w14:textId="77777777" w:rsidR="00012895" w:rsidRDefault="00000000">
            <w:r>
              <w:rPr>
                <w:sz w:val="20"/>
                <w:szCs w:val="20"/>
              </w:rPr>
              <w:t>Market Data</w:t>
            </w:r>
          </w:p>
        </w:tc>
        <w:tc>
          <w:tcPr>
            <w:tcW w:w="3080" w:type="dxa"/>
            <w:tcBorders>
              <w:top w:val="single" w:sz="1" w:space="0" w:color="D0D0D0"/>
              <w:left w:val="single" w:sz="1" w:space="0" w:color="D0D0D0"/>
              <w:bottom w:val="single" w:sz="1" w:space="0" w:color="D0D0D0"/>
              <w:right w:val="single" w:sz="1" w:space="0" w:color="D0D0D0"/>
            </w:tcBorders>
            <w:shd w:val="clear" w:color="auto" w:fill="D6E4F0"/>
            <w:tcMar>
              <w:top w:w="80" w:type="dxa"/>
              <w:left w:w="140" w:type="dxa"/>
              <w:bottom w:w="80" w:type="dxa"/>
              <w:right w:w="140" w:type="dxa"/>
            </w:tcMar>
          </w:tcPr>
          <w:p w14:paraId="3ADE96B5" w14:textId="77777777" w:rsidR="00012895" w:rsidRDefault="00000000">
            <w:r>
              <w:rPr>
                <w:sz w:val="20"/>
                <w:szCs w:val="20"/>
              </w:rPr>
              <w:t>21K / 24K / 18K Local Gold</w:t>
            </w:r>
          </w:p>
        </w:tc>
        <w:tc>
          <w:tcPr>
            <w:tcW w:w="3080" w:type="dxa"/>
            <w:tcBorders>
              <w:top w:val="single" w:sz="1" w:space="0" w:color="D0D0D0"/>
              <w:left w:val="single" w:sz="1" w:space="0" w:color="D0D0D0"/>
              <w:bottom w:val="single" w:sz="1" w:space="0" w:color="D0D0D0"/>
              <w:right w:val="single" w:sz="1" w:space="0" w:color="D0D0D0"/>
            </w:tcBorders>
            <w:shd w:val="clear" w:color="auto" w:fill="D6E4F0"/>
            <w:tcMar>
              <w:top w:w="80" w:type="dxa"/>
              <w:left w:w="140" w:type="dxa"/>
              <w:bottom w:w="80" w:type="dxa"/>
              <w:right w:w="140" w:type="dxa"/>
            </w:tcMar>
          </w:tcPr>
          <w:p w14:paraId="08486191" w14:textId="77777777" w:rsidR="00012895" w:rsidRDefault="00000000">
            <w:r>
              <w:rPr>
                <w:sz w:val="20"/>
                <w:szCs w:val="20"/>
              </w:rPr>
              <w:t>Local price tracking</w:t>
            </w:r>
          </w:p>
        </w:tc>
      </w:tr>
      <w:tr w:rsidR="00012895" w14:paraId="7C25763A" w14:textId="77777777">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4900F5C" w14:textId="77777777" w:rsidR="00012895" w:rsidRDefault="00000000">
            <w:r>
              <w:rPr>
                <w:sz w:val="20"/>
                <w:szCs w:val="20"/>
              </w:rPr>
              <w:lastRenderedPageBreak/>
              <w:t>Yahoo Finance</w:t>
            </w:r>
          </w:p>
        </w:tc>
        <w:tc>
          <w:tcPr>
            <w:tcW w:w="3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5AA35F6" w14:textId="77777777" w:rsidR="00012895" w:rsidRDefault="00000000">
            <w:r>
              <w:rPr>
                <w:sz w:val="20"/>
                <w:szCs w:val="20"/>
              </w:rPr>
              <w:t>Oil Prices (CL=F)</w:t>
            </w:r>
          </w:p>
        </w:tc>
        <w:tc>
          <w:tcPr>
            <w:tcW w:w="3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6DE4C34E" w14:textId="77777777" w:rsidR="00012895" w:rsidRDefault="00000000">
            <w:r>
              <w:rPr>
                <w:sz w:val="20"/>
                <w:szCs w:val="20"/>
              </w:rPr>
              <w:t>Macro indicator</w:t>
            </w:r>
          </w:p>
        </w:tc>
      </w:tr>
      <w:tr w:rsidR="00012895" w14:paraId="2DE49004" w14:textId="77777777">
        <w:tc>
          <w:tcPr>
            <w:tcW w:w="3200" w:type="dxa"/>
            <w:tcBorders>
              <w:top w:val="single" w:sz="1" w:space="0" w:color="D0D0D0"/>
              <w:left w:val="single" w:sz="1" w:space="0" w:color="D0D0D0"/>
              <w:bottom w:val="single" w:sz="1" w:space="0" w:color="D0D0D0"/>
              <w:right w:val="single" w:sz="1" w:space="0" w:color="D0D0D0"/>
            </w:tcBorders>
            <w:shd w:val="clear" w:color="auto" w:fill="D6E4F0"/>
            <w:tcMar>
              <w:top w:w="80" w:type="dxa"/>
              <w:left w:w="140" w:type="dxa"/>
              <w:bottom w:w="80" w:type="dxa"/>
              <w:right w:w="140" w:type="dxa"/>
            </w:tcMar>
          </w:tcPr>
          <w:p w14:paraId="443588AE" w14:textId="77777777" w:rsidR="00012895" w:rsidRDefault="00000000">
            <w:r>
              <w:rPr>
                <w:sz w:val="20"/>
                <w:szCs w:val="20"/>
              </w:rPr>
              <w:t>FRED / Yahoo</w:t>
            </w:r>
          </w:p>
        </w:tc>
        <w:tc>
          <w:tcPr>
            <w:tcW w:w="3080" w:type="dxa"/>
            <w:tcBorders>
              <w:top w:val="single" w:sz="1" w:space="0" w:color="D0D0D0"/>
              <w:left w:val="single" w:sz="1" w:space="0" w:color="D0D0D0"/>
              <w:bottom w:val="single" w:sz="1" w:space="0" w:color="D0D0D0"/>
              <w:right w:val="single" w:sz="1" w:space="0" w:color="D0D0D0"/>
            </w:tcBorders>
            <w:shd w:val="clear" w:color="auto" w:fill="D6E4F0"/>
            <w:tcMar>
              <w:top w:w="80" w:type="dxa"/>
              <w:left w:w="140" w:type="dxa"/>
              <w:bottom w:w="80" w:type="dxa"/>
              <w:right w:w="140" w:type="dxa"/>
            </w:tcMar>
          </w:tcPr>
          <w:p w14:paraId="54C94D8E" w14:textId="77777777" w:rsidR="00012895" w:rsidRDefault="00000000">
            <w:r>
              <w:rPr>
                <w:sz w:val="20"/>
                <w:szCs w:val="20"/>
              </w:rPr>
              <w:t>US Treasury Yields</w:t>
            </w:r>
          </w:p>
        </w:tc>
        <w:tc>
          <w:tcPr>
            <w:tcW w:w="3080" w:type="dxa"/>
            <w:tcBorders>
              <w:top w:val="single" w:sz="1" w:space="0" w:color="D0D0D0"/>
              <w:left w:val="single" w:sz="1" w:space="0" w:color="D0D0D0"/>
              <w:bottom w:val="single" w:sz="1" w:space="0" w:color="D0D0D0"/>
              <w:right w:val="single" w:sz="1" w:space="0" w:color="D0D0D0"/>
            </w:tcBorders>
            <w:shd w:val="clear" w:color="auto" w:fill="D6E4F0"/>
            <w:tcMar>
              <w:top w:w="80" w:type="dxa"/>
              <w:left w:w="140" w:type="dxa"/>
              <w:bottom w:w="80" w:type="dxa"/>
              <w:right w:w="140" w:type="dxa"/>
            </w:tcMar>
          </w:tcPr>
          <w:p w14:paraId="49B13254" w14:textId="77777777" w:rsidR="00012895" w:rsidRDefault="00000000">
            <w:proofErr w:type="gramStart"/>
            <w:r>
              <w:rPr>
                <w:sz w:val="20"/>
                <w:szCs w:val="20"/>
              </w:rPr>
              <w:t>Safe haven</w:t>
            </w:r>
            <w:proofErr w:type="gramEnd"/>
            <w:r>
              <w:rPr>
                <w:sz w:val="20"/>
                <w:szCs w:val="20"/>
              </w:rPr>
              <w:t xml:space="preserve"> comparison</w:t>
            </w:r>
          </w:p>
        </w:tc>
      </w:tr>
      <w:tr w:rsidR="00012895" w14:paraId="003CD713" w14:textId="77777777">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475B894" w14:textId="77777777" w:rsidR="00012895" w:rsidRDefault="00000000">
            <w:r>
              <w:rPr>
                <w:sz w:val="20"/>
                <w:szCs w:val="20"/>
              </w:rPr>
              <w:t>Yahoo Finance</w:t>
            </w:r>
          </w:p>
        </w:tc>
        <w:tc>
          <w:tcPr>
            <w:tcW w:w="3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2336D86A" w14:textId="77777777" w:rsidR="00012895" w:rsidRDefault="00000000">
            <w:r>
              <w:rPr>
                <w:sz w:val="20"/>
                <w:szCs w:val="20"/>
              </w:rPr>
              <w:t>S&amp;P 500 Index</w:t>
            </w:r>
          </w:p>
        </w:tc>
        <w:tc>
          <w:tcPr>
            <w:tcW w:w="3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0A191B66" w14:textId="77777777" w:rsidR="00012895" w:rsidRDefault="00000000">
            <w:r>
              <w:rPr>
                <w:sz w:val="20"/>
                <w:szCs w:val="20"/>
              </w:rPr>
              <w:t>Risk-on/off proxy</w:t>
            </w:r>
          </w:p>
        </w:tc>
      </w:tr>
      <w:tr w:rsidR="00012895" w14:paraId="3BC3A6B9" w14:textId="77777777">
        <w:tc>
          <w:tcPr>
            <w:tcW w:w="3200" w:type="dxa"/>
            <w:tcBorders>
              <w:top w:val="single" w:sz="1" w:space="0" w:color="D0D0D0"/>
              <w:left w:val="single" w:sz="1" w:space="0" w:color="D0D0D0"/>
              <w:bottom w:val="single" w:sz="1" w:space="0" w:color="D0D0D0"/>
              <w:right w:val="single" w:sz="1" w:space="0" w:color="D0D0D0"/>
            </w:tcBorders>
            <w:shd w:val="clear" w:color="auto" w:fill="D6E4F0"/>
            <w:tcMar>
              <w:top w:w="80" w:type="dxa"/>
              <w:left w:w="140" w:type="dxa"/>
              <w:bottom w:w="80" w:type="dxa"/>
              <w:right w:w="140" w:type="dxa"/>
            </w:tcMar>
          </w:tcPr>
          <w:p w14:paraId="39139E2A" w14:textId="77777777" w:rsidR="00012895" w:rsidRDefault="00000000">
            <w:r>
              <w:rPr>
                <w:sz w:val="20"/>
                <w:szCs w:val="20"/>
              </w:rPr>
              <w:t>Custom</w:t>
            </w:r>
          </w:p>
        </w:tc>
        <w:tc>
          <w:tcPr>
            <w:tcW w:w="3080" w:type="dxa"/>
            <w:tcBorders>
              <w:top w:val="single" w:sz="1" w:space="0" w:color="D0D0D0"/>
              <w:left w:val="single" w:sz="1" w:space="0" w:color="D0D0D0"/>
              <w:bottom w:val="single" w:sz="1" w:space="0" w:color="D0D0D0"/>
              <w:right w:val="single" w:sz="1" w:space="0" w:color="D0D0D0"/>
            </w:tcBorders>
            <w:shd w:val="clear" w:color="auto" w:fill="D6E4F0"/>
            <w:tcMar>
              <w:top w:w="80" w:type="dxa"/>
              <w:left w:w="140" w:type="dxa"/>
              <w:bottom w:w="80" w:type="dxa"/>
              <w:right w:w="140" w:type="dxa"/>
            </w:tcMar>
          </w:tcPr>
          <w:p w14:paraId="40A775D2" w14:textId="77777777" w:rsidR="00012895" w:rsidRDefault="00000000">
            <w:r>
              <w:rPr>
                <w:sz w:val="20"/>
                <w:szCs w:val="20"/>
              </w:rPr>
              <w:t>Crisis Event Markers</w:t>
            </w:r>
          </w:p>
        </w:tc>
        <w:tc>
          <w:tcPr>
            <w:tcW w:w="3080" w:type="dxa"/>
            <w:tcBorders>
              <w:top w:val="single" w:sz="1" w:space="0" w:color="D0D0D0"/>
              <w:left w:val="single" w:sz="1" w:space="0" w:color="D0D0D0"/>
              <w:bottom w:val="single" w:sz="1" w:space="0" w:color="D0D0D0"/>
              <w:right w:val="single" w:sz="1" w:space="0" w:color="D0D0D0"/>
            </w:tcBorders>
            <w:shd w:val="clear" w:color="auto" w:fill="D6E4F0"/>
            <w:tcMar>
              <w:top w:w="80" w:type="dxa"/>
              <w:left w:w="140" w:type="dxa"/>
              <w:bottom w:w="80" w:type="dxa"/>
              <w:right w:w="140" w:type="dxa"/>
            </w:tcMar>
          </w:tcPr>
          <w:p w14:paraId="735FC2DE" w14:textId="77777777" w:rsidR="00012895" w:rsidRDefault="00000000">
            <w:r>
              <w:rPr>
                <w:sz w:val="20"/>
                <w:szCs w:val="20"/>
              </w:rPr>
              <w:t>Structural break analysis</w:t>
            </w:r>
          </w:p>
        </w:tc>
      </w:tr>
      <w:tr w:rsidR="00012895" w14:paraId="122A4010" w14:textId="77777777">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5BDFEC95" w14:textId="77777777" w:rsidR="00012895" w:rsidRDefault="00000000">
            <w:r>
              <w:rPr>
                <w:sz w:val="20"/>
                <w:szCs w:val="20"/>
              </w:rPr>
              <w:t>CBE / IMF</w:t>
            </w:r>
          </w:p>
        </w:tc>
        <w:tc>
          <w:tcPr>
            <w:tcW w:w="3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884071E" w14:textId="77777777" w:rsidR="00012895" w:rsidRDefault="00000000">
            <w:r>
              <w:rPr>
                <w:sz w:val="20"/>
                <w:szCs w:val="20"/>
              </w:rPr>
              <w:t>Inflation &amp; Interest Rates</w:t>
            </w:r>
          </w:p>
        </w:tc>
        <w:tc>
          <w:tcPr>
            <w:tcW w:w="30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40" w:type="dxa"/>
              <w:bottom w:w="80" w:type="dxa"/>
              <w:right w:w="140" w:type="dxa"/>
            </w:tcMar>
          </w:tcPr>
          <w:p w14:paraId="3C11CE75" w14:textId="77777777" w:rsidR="00012895" w:rsidRDefault="00000000">
            <w:r>
              <w:rPr>
                <w:sz w:val="20"/>
                <w:szCs w:val="20"/>
              </w:rPr>
              <w:t>Econometric modeling</w:t>
            </w:r>
          </w:p>
        </w:tc>
      </w:tr>
    </w:tbl>
    <w:p w14:paraId="79E86C51" w14:textId="77777777" w:rsidR="00012895" w:rsidRDefault="00000000">
      <w:pPr>
        <w:pStyle w:val="Heading1"/>
        <w:pBdr>
          <w:bottom w:val="single" w:sz="8" w:space="6" w:color="C9A84C"/>
        </w:pBdr>
      </w:pPr>
      <w:r>
        <w:t>6. Methodology</w:t>
      </w:r>
    </w:p>
    <w:p w14:paraId="64905CB4" w14:textId="77777777" w:rsidR="00012895" w:rsidRDefault="00000000">
      <w:pPr>
        <w:spacing w:before="60" w:after="100"/>
        <w:jc w:val="both"/>
      </w:pPr>
      <w:r>
        <w:t xml:space="preserve">The project is structured into six analytical phases, each building upon the </w:t>
      </w:r>
      <w:proofErr w:type="gramStart"/>
      <w:r>
        <w:t>previous to</w:t>
      </w:r>
      <w:proofErr w:type="gramEnd"/>
      <w:r>
        <w:t xml:space="preserve"> form a comprehensive financial data science pipeline:</w:t>
      </w:r>
    </w:p>
    <w:p w14:paraId="11415A35" w14:textId="77777777" w:rsidR="00012895" w:rsidRDefault="000128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012895" w14:paraId="561887B4" w14:textId="77777777">
        <w:tc>
          <w:tcPr>
            <w:tcW w:w="0" w:type="auto"/>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132E5D8D" w14:textId="77777777" w:rsidR="00012895" w:rsidRDefault="00000000">
            <w:pPr>
              <w:jc w:val="center"/>
            </w:pPr>
            <w:r>
              <w:rPr>
                <w:b/>
                <w:bCs/>
                <w:color w:val="FFFFFF"/>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74C7A9D5" w14:textId="77777777" w:rsidR="00012895" w:rsidRDefault="00000000">
            <w:r>
              <w:rPr>
                <w:b/>
                <w:bCs/>
                <w:color w:val="FFFFFF"/>
                <w:sz w:val="20"/>
                <w:szCs w:val="20"/>
              </w:rPr>
              <w:t>Phase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2ACB58C0" w14:textId="77777777" w:rsidR="00012895" w:rsidRDefault="00000000">
            <w:r>
              <w:rPr>
                <w:b/>
                <w:bCs/>
                <w:color w:val="FFFFFF"/>
                <w:sz w:val="20"/>
                <w:szCs w:val="20"/>
              </w:rPr>
              <w:t>Key Activities</w:t>
            </w:r>
          </w:p>
        </w:tc>
      </w:tr>
      <w:tr w:rsidR="00012895" w14:paraId="389377C0" w14:textId="77777777">
        <w:tc>
          <w:tcPr>
            <w:tcW w:w="1200" w:type="dxa"/>
            <w:tcBorders>
              <w:top w:val="single" w:sz="1" w:space="0" w:color="D0D0D0"/>
              <w:left w:val="single" w:sz="1" w:space="0" w:color="D0D0D0"/>
              <w:bottom w:val="single" w:sz="1" w:space="0" w:color="D0D0D0"/>
              <w:right w:val="single" w:sz="1" w:space="0" w:color="D0D0D0"/>
            </w:tcBorders>
            <w:shd w:val="clear" w:color="auto" w:fill="C9A84C"/>
            <w:tcMar>
              <w:top w:w="120" w:type="dxa"/>
              <w:left w:w="160" w:type="dxa"/>
              <w:bottom w:w="120" w:type="dxa"/>
              <w:right w:w="160" w:type="dxa"/>
            </w:tcMar>
            <w:vAlign w:val="center"/>
          </w:tcPr>
          <w:p w14:paraId="061AE8F3" w14:textId="77777777" w:rsidR="00012895" w:rsidRDefault="00000000">
            <w:pPr>
              <w:jc w:val="center"/>
            </w:pPr>
            <w:r>
              <w:rPr>
                <w:b/>
                <w:bCs/>
                <w:color w:val="FFFFFF"/>
                <w:sz w:val="24"/>
                <w:szCs w:val="24"/>
              </w:rPr>
              <w:t>1</w:t>
            </w:r>
          </w:p>
        </w:tc>
        <w:tc>
          <w:tcPr>
            <w:tcW w:w="2800" w:type="dxa"/>
            <w:tcBorders>
              <w:top w:val="single" w:sz="1" w:space="0" w:color="D0D0D0"/>
              <w:left w:val="single" w:sz="1" w:space="0" w:color="D0D0D0"/>
              <w:bottom w:val="single" w:sz="1" w:space="0" w:color="D0D0D0"/>
              <w:right w:val="single" w:sz="1" w:space="0" w:color="D0D0D0"/>
            </w:tcBorders>
            <w:shd w:val="clear" w:color="auto" w:fill="1F4E79"/>
            <w:tcMar>
              <w:top w:w="120" w:type="dxa"/>
              <w:left w:w="160" w:type="dxa"/>
              <w:bottom w:w="120" w:type="dxa"/>
              <w:right w:w="160" w:type="dxa"/>
            </w:tcMar>
            <w:vAlign w:val="center"/>
          </w:tcPr>
          <w:p w14:paraId="51675C9C" w14:textId="77777777" w:rsidR="00012895" w:rsidRDefault="00000000">
            <w:r>
              <w:rPr>
                <w:b/>
                <w:bCs/>
                <w:color w:val="FFFFFF"/>
                <w:sz w:val="21"/>
                <w:szCs w:val="21"/>
              </w:rPr>
              <w:t>Data Engineering &amp; Preprocessing</w:t>
            </w:r>
          </w:p>
        </w:tc>
        <w:tc>
          <w:tcPr>
            <w:tcW w:w="5360" w:type="dxa"/>
            <w:tcBorders>
              <w:top w:val="single" w:sz="1" w:space="0" w:color="D0D0D0"/>
              <w:left w:val="single" w:sz="1" w:space="0" w:color="D0D0D0"/>
              <w:bottom w:val="single" w:sz="1" w:space="0" w:color="D0D0D0"/>
              <w:right w:val="single" w:sz="1" w:space="0" w:color="D0D0D0"/>
            </w:tcBorders>
            <w:shd w:val="clear" w:color="auto" w:fill="D6E4F0"/>
            <w:tcMar>
              <w:top w:w="120" w:type="dxa"/>
              <w:left w:w="160" w:type="dxa"/>
              <w:bottom w:w="120" w:type="dxa"/>
              <w:right w:w="160" w:type="dxa"/>
            </w:tcMar>
            <w:vAlign w:val="center"/>
          </w:tcPr>
          <w:p w14:paraId="0558BE91" w14:textId="77777777" w:rsidR="00012895" w:rsidRDefault="00000000">
            <w:r>
              <w:rPr>
                <w:sz w:val="20"/>
                <w:szCs w:val="20"/>
              </w:rPr>
              <w:t>Data cleaning, missing value handling, outlier detection, time-series alignment, feature engineering (returns, volatility, rolling averages), SQL-based data modeling</w:t>
            </w:r>
          </w:p>
        </w:tc>
      </w:tr>
      <w:tr w:rsidR="00012895" w14:paraId="22FA3540" w14:textId="77777777">
        <w:tc>
          <w:tcPr>
            <w:tcW w:w="1200" w:type="dxa"/>
            <w:tcBorders>
              <w:top w:val="single" w:sz="1" w:space="0" w:color="D0D0D0"/>
              <w:left w:val="single" w:sz="1" w:space="0" w:color="D0D0D0"/>
              <w:bottom w:val="single" w:sz="1" w:space="0" w:color="D0D0D0"/>
              <w:right w:val="single" w:sz="1" w:space="0" w:color="D0D0D0"/>
            </w:tcBorders>
            <w:shd w:val="clear" w:color="auto" w:fill="C9A84C"/>
            <w:tcMar>
              <w:top w:w="120" w:type="dxa"/>
              <w:left w:w="160" w:type="dxa"/>
              <w:bottom w:w="120" w:type="dxa"/>
              <w:right w:w="160" w:type="dxa"/>
            </w:tcMar>
            <w:vAlign w:val="center"/>
          </w:tcPr>
          <w:p w14:paraId="0C65C7A3" w14:textId="77777777" w:rsidR="00012895" w:rsidRDefault="00000000">
            <w:pPr>
              <w:jc w:val="center"/>
            </w:pPr>
            <w:r>
              <w:rPr>
                <w:b/>
                <w:bCs/>
                <w:color w:val="FFFFFF"/>
                <w:sz w:val="24"/>
                <w:szCs w:val="24"/>
              </w:rPr>
              <w:t>2</w:t>
            </w:r>
          </w:p>
        </w:tc>
        <w:tc>
          <w:tcPr>
            <w:tcW w:w="2800" w:type="dxa"/>
            <w:tcBorders>
              <w:top w:val="single" w:sz="1" w:space="0" w:color="D0D0D0"/>
              <w:left w:val="single" w:sz="1" w:space="0" w:color="D0D0D0"/>
              <w:bottom w:val="single" w:sz="1" w:space="0" w:color="D0D0D0"/>
              <w:right w:val="single" w:sz="1" w:space="0" w:color="D0D0D0"/>
            </w:tcBorders>
            <w:shd w:val="clear" w:color="auto" w:fill="1F4E79"/>
            <w:tcMar>
              <w:top w:w="120" w:type="dxa"/>
              <w:left w:w="160" w:type="dxa"/>
              <w:bottom w:w="120" w:type="dxa"/>
              <w:right w:w="160" w:type="dxa"/>
            </w:tcMar>
            <w:vAlign w:val="center"/>
          </w:tcPr>
          <w:p w14:paraId="37A8653F" w14:textId="77777777" w:rsidR="00012895" w:rsidRDefault="00000000">
            <w:r>
              <w:rPr>
                <w:b/>
                <w:bCs/>
                <w:color w:val="FFFFFF"/>
                <w:sz w:val="21"/>
                <w:szCs w:val="21"/>
              </w:rPr>
              <w:t>Fair Value Decomposition</w:t>
            </w:r>
          </w:p>
        </w:tc>
        <w:tc>
          <w:tcPr>
            <w:tcW w:w="5360" w:type="dxa"/>
            <w:tcBorders>
              <w:top w:val="single" w:sz="1" w:space="0" w:color="D0D0D0"/>
              <w:left w:val="single" w:sz="1" w:space="0" w:color="D0D0D0"/>
              <w:bottom w:val="single" w:sz="1" w:space="0" w:color="D0D0D0"/>
              <w:right w:val="single" w:sz="1" w:space="0" w:color="D0D0D0"/>
            </w:tcBorders>
            <w:shd w:val="clear" w:color="auto" w:fill="FFF8E7"/>
            <w:tcMar>
              <w:top w:w="120" w:type="dxa"/>
              <w:left w:w="160" w:type="dxa"/>
              <w:bottom w:w="120" w:type="dxa"/>
              <w:right w:w="160" w:type="dxa"/>
            </w:tcMar>
            <w:vAlign w:val="center"/>
          </w:tcPr>
          <w:p w14:paraId="52410218" w14:textId="77777777" w:rsidR="00012895" w:rsidRDefault="00000000">
            <w:proofErr w:type="gramStart"/>
            <w:r>
              <w:rPr>
                <w:sz w:val="20"/>
                <w:szCs w:val="20"/>
              </w:rPr>
              <w:t>Compute</w:t>
            </w:r>
            <w:proofErr w:type="gramEnd"/>
            <w:r>
              <w:rPr>
                <w:sz w:val="20"/>
                <w:szCs w:val="20"/>
              </w:rPr>
              <w:t xml:space="preserve"> theoretical price = (Global Gold × USD/EGP) ÷ 31.1. Calculate local premium = Actual − Theoretical. Separate global vs. currency vs. local distortion components.</w:t>
            </w:r>
          </w:p>
        </w:tc>
      </w:tr>
      <w:tr w:rsidR="00012895" w14:paraId="18C4AF1F" w14:textId="77777777">
        <w:tc>
          <w:tcPr>
            <w:tcW w:w="1200" w:type="dxa"/>
            <w:tcBorders>
              <w:top w:val="single" w:sz="1" w:space="0" w:color="D0D0D0"/>
              <w:left w:val="single" w:sz="1" w:space="0" w:color="D0D0D0"/>
              <w:bottom w:val="single" w:sz="1" w:space="0" w:color="D0D0D0"/>
              <w:right w:val="single" w:sz="1" w:space="0" w:color="D0D0D0"/>
            </w:tcBorders>
            <w:shd w:val="clear" w:color="auto" w:fill="C9A84C"/>
            <w:tcMar>
              <w:top w:w="120" w:type="dxa"/>
              <w:left w:w="160" w:type="dxa"/>
              <w:bottom w:w="120" w:type="dxa"/>
              <w:right w:w="160" w:type="dxa"/>
            </w:tcMar>
            <w:vAlign w:val="center"/>
          </w:tcPr>
          <w:p w14:paraId="73D9AC9E" w14:textId="77777777" w:rsidR="00012895" w:rsidRDefault="00000000">
            <w:pPr>
              <w:jc w:val="center"/>
            </w:pPr>
            <w:r>
              <w:rPr>
                <w:b/>
                <w:bCs/>
                <w:color w:val="FFFFFF"/>
                <w:sz w:val="24"/>
                <w:szCs w:val="24"/>
              </w:rPr>
              <w:t>3</w:t>
            </w:r>
          </w:p>
        </w:tc>
        <w:tc>
          <w:tcPr>
            <w:tcW w:w="2800" w:type="dxa"/>
            <w:tcBorders>
              <w:top w:val="single" w:sz="1" w:space="0" w:color="D0D0D0"/>
              <w:left w:val="single" w:sz="1" w:space="0" w:color="D0D0D0"/>
              <w:bottom w:val="single" w:sz="1" w:space="0" w:color="D0D0D0"/>
              <w:right w:val="single" w:sz="1" w:space="0" w:color="D0D0D0"/>
            </w:tcBorders>
            <w:shd w:val="clear" w:color="auto" w:fill="1F4E79"/>
            <w:tcMar>
              <w:top w:w="120" w:type="dxa"/>
              <w:left w:w="160" w:type="dxa"/>
              <w:bottom w:w="120" w:type="dxa"/>
              <w:right w:w="160" w:type="dxa"/>
            </w:tcMar>
            <w:vAlign w:val="center"/>
          </w:tcPr>
          <w:p w14:paraId="00C01779" w14:textId="77777777" w:rsidR="00012895" w:rsidRDefault="00000000">
            <w:r>
              <w:rPr>
                <w:b/>
                <w:bCs/>
                <w:color w:val="FFFFFF"/>
                <w:sz w:val="21"/>
                <w:szCs w:val="21"/>
              </w:rPr>
              <w:t>Econometric &amp; Crisis Analysis</w:t>
            </w:r>
          </w:p>
        </w:tc>
        <w:tc>
          <w:tcPr>
            <w:tcW w:w="5360" w:type="dxa"/>
            <w:tcBorders>
              <w:top w:val="single" w:sz="1" w:space="0" w:color="D0D0D0"/>
              <w:left w:val="single" w:sz="1" w:space="0" w:color="D0D0D0"/>
              <w:bottom w:val="single" w:sz="1" w:space="0" w:color="D0D0D0"/>
              <w:right w:val="single" w:sz="1" w:space="0" w:color="D0D0D0"/>
            </w:tcBorders>
            <w:shd w:val="clear" w:color="auto" w:fill="D6E4F0"/>
            <w:tcMar>
              <w:top w:w="120" w:type="dxa"/>
              <w:left w:w="160" w:type="dxa"/>
              <w:bottom w:w="120" w:type="dxa"/>
              <w:right w:w="160" w:type="dxa"/>
            </w:tcMar>
            <w:vAlign w:val="center"/>
          </w:tcPr>
          <w:p w14:paraId="645129FD" w14:textId="77777777" w:rsidR="00012895" w:rsidRDefault="00000000">
            <w:r>
              <w:rPr>
                <w:sz w:val="20"/>
                <w:szCs w:val="20"/>
              </w:rPr>
              <w:t>Correlation matrix, trend &amp; volatility analysis, multiple linear regression, crisis window comparative analysis</w:t>
            </w:r>
          </w:p>
        </w:tc>
      </w:tr>
      <w:tr w:rsidR="00012895" w14:paraId="1CCAC4D7" w14:textId="77777777">
        <w:tc>
          <w:tcPr>
            <w:tcW w:w="1200" w:type="dxa"/>
            <w:tcBorders>
              <w:top w:val="single" w:sz="1" w:space="0" w:color="D0D0D0"/>
              <w:left w:val="single" w:sz="1" w:space="0" w:color="D0D0D0"/>
              <w:bottom w:val="single" w:sz="1" w:space="0" w:color="D0D0D0"/>
              <w:right w:val="single" w:sz="1" w:space="0" w:color="D0D0D0"/>
            </w:tcBorders>
            <w:shd w:val="clear" w:color="auto" w:fill="C9A84C"/>
            <w:tcMar>
              <w:top w:w="120" w:type="dxa"/>
              <w:left w:w="160" w:type="dxa"/>
              <w:bottom w:w="120" w:type="dxa"/>
              <w:right w:w="160" w:type="dxa"/>
            </w:tcMar>
            <w:vAlign w:val="center"/>
          </w:tcPr>
          <w:p w14:paraId="4C7EFFE5" w14:textId="77777777" w:rsidR="00012895" w:rsidRDefault="00000000">
            <w:pPr>
              <w:jc w:val="center"/>
            </w:pPr>
            <w:r>
              <w:rPr>
                <w:b/>
                <w:bCs/>
                <w:color w:val="FFFFFF"/>
                <w:sz w:val="24"/>
                <w:szCs w:val="24"/>
              </w:rPr>
              <w:t>4</w:t>
            </w:r>
          </w:p>
        </w:tc>
        <w:tc>
          <w:tcPr>
            <w:tcW w:w="2800" w:type="dxa"/>
            <w:tcBorders>
              <w:top w:val="single" w:sz="1" w:space="0" w:color="D0D0D0"/>
              <w:left w:val="single" w:sz="1" w:space="0" w:color="D0D0D0"/>
              <w:bottom w:val="single" w:sz="1" w:space="0" w:color="D0D0D0"/>
              <w:right w:val="single" w:sz="1" w:space="0" w:color="D0D0D0"/>
            </w:tcBorders>
            <w:shd w:val="clear" w:color="auto" w:fill="1F4E79"/>
            <w:tcMar>
              <w:top w:w="120" w:type="dxa"/>
              <w:left w:w="160" w:type="dxa"/>
              <w:bottom w:w="120" w:type="dxa"/>
              <w:right w:w="160" w:type="dxa"/>
            </w:tcMar>
            <w:vAlign w:val="center"/>
          </w:tcPr>
          <w:p w14:paraId="3F2BC08B" w14:textId="77777777" w:rsidR="00012895" w:rsidRDefault="00000000">
            <w:r>
              <w:rPr>
                <w:b/>
                <w:bCs/>
                <w:color w:val="FFFFFF"/>
                <w:sz w:val="21"/>
                <w:szCs w:val="21"/>
              </w:rPr>
              <w:t>Investment Performance Simulation</w:t>
            </w:r>
          </w:p>
        </w:tc>
        <w:tc>
          <w:tcPr>
            <w:tcW w:w="5360" w:type="dxa"/>
            <w:tcBorders>
              <w:top w:val="single" w:sz="1" w:space="0" w:color="D0D0D0"/>
              <w:left w:val="single" w:sz="1" w:space="0" w:color="D0D0D0"/>
              <w:bottom w:val="single" w:sz="1" w:space="0" w:color="D0D0D0"/>
              <w:right w:val="single" w:sz="1" w:space="0" w:color="D0D0D0"/>
            </w:tcBorders>
            <w:shd w:val="clear" w:color="auto" w:fill="FFF8E7"/>
            <w:tcMar>
              <w:top w:w="120" w:type="dxa"/>
              <w:left w:w="160" w:type="dxa"/>
              <w:bottom w:w="120" w:type="dxa"/>
              <w:right w:w="160" w:type="dxa"/>
            </w:tcMar>
            <w:vAlign w:val="center"/>
          </w:tcPr>
          <w:p w14:paraId="0C8671DC" w14:textId="77777777" w:rsidR="00012895" w:rsidRDefault="00000000">
            <w:r>
              <w:rPr>
                <w:sz w:val="20"/>
                <w:szCs w:val="20"/>
              </w:rPr>
              <w:t xml:space="preserve">Simulate 100,000 EGP invested in Gold 21K/24K/18K, USD, and Cash from Jan 2020. Compute nominal/real return, volatility, max drawdown, Sharpe ratio, </w:t>
            </w:r>
            <w:proofErr w:type="spellStart"/>
            <w:r>
              <w:rPr>
                <w:sz w:val="20"/>
                <w:szCs w:val="20"/>
              </w:rPr>
              <w:t>VaR.</w:t>
            </w:r>
            <w:proofErr w:type="spellEnd"/>
          </w:p>
        </w:tc>
      </w:tr>
      <w:tr w:rsidR="00012895" w14:paraId="4E118B39" w14:textId="77777777">
        <w:tc>
          <w:tcPr>
            <w:tcW w:w="1200" w:type="dxa"/>
            <w:tcBorders>
              <w:top w:val="single" w:sz="1" w:space="0" w:color="D0D0D0"/>
              <w:left w:val="single" w:sz="1" w:space="0" w:color="D0D0D0"/>
              <w:bottom w:val="single" w:sz="1" w:space="0" w:color="D0D0D0"/>
              <w:right w:val="single" w:sz="1" w:space="0" w:color="D0D0D0"/>
            </w:tcBorders>
            <w:shd w:val="clear" w:color="auto" w:fill="C9A84C"/>
            <w:tcMar>
              <w:top w:w="120" w:type="dxa"/>
              <w:left w:w="160" w:type="dxa"/>
              <w:bottom w:w="120" w:type="dxa"/>
              <w:right w:w="160" w:type="dxa"/>
            </w:tcMar>
            <w:vAlign w:val="center"/>
          </w:tcPr>
          <w:p w14:paraId="29EE1D43" w14:textId="77777777" w:rsidR="00012895" w:rsidRDefault="00000000">
            <w:pPr>
              <w:jc w:val="center"/>
            </w:pPr>
            <w:r>
              <w:rPr>
                <w:b/>
                <w:bCs/>
                <w:color w:val="FFFFFF"/>
                <w:sz w:val="24"/>
                <w:szCs w:val="24"/>
              </w:rPr>
              <w:t>5</w:t>
            </w:r>
          </w:p>
        </w:tc>
        <w:tc>
          <w:tcPr>
            <w:tcW w:w="2800" w:type="dxa"/>
            <w:tcBorders>
              <w:top w:val="single" w:sz="1" w:space="0" w:color="D0D0D0"/>
              <w:left w:val="single" w:sz="1" w:space="0" w:color="D0D0D0"/>
              <w:bottom w:val="single" w:sz="1" w:space="0" w:color="D0D0D0"/>
              <w:right w:val="single" w:sz="1" w:space="0" w:color="D0D0D0"/>
            </w:tcBorders>
            <w:shd w:val="clear" w:color="auto" w:fill="1F4E79"/>
            <w:tcMar>
              <w:top w:w="120" w:type="dxa"/>
              <w:left w:w="160" w:type="dxa"/>
              <w:bottom w:w="120" w:type="dxa"/>
              <w:right w:w="160" w:type="dxa"/>
            </w:tcMar>
            <w:vAlign w:val="center"/>
          </w:tcPr>
          <w:p w14:paraId="2EE54CD0" w14:textId="77777777" w:rsidR="00012895" w:rsidRDefault="00000000">
            <w:r>
              <w:rPr>
                <w:b/>
                <w:bCs/>
                <w:color w:val="FFFFFF"/>
                <w:sz w:val="21"/>
                <w:szCs w:val="21"/>
              </w:rPr>
              <w:t>Forecasting Models</w:t>
            </w:r>
          </w:p>
        </w:tc>
        <w:tc>
          <w:tcPr>
            <w:tcW w:w="5360" w:type="dxa"/>
            <w:tcBorders>
              <w:top w:val="single" w:sz="1" w:space="0" w:color="D0D0D0"/>
              <w:left w:val="single" w:sz="1" w:space="0" w:color="D0D0D0"/>
              <w:bottom w:val="single" w:sz="1" w:space="0" w:color="D0D0D0"/>
              <w:right w:val="single" w:sz="1" w:space="0" w:color="D0D0D0"/>
            </w:tcBorders>
            <w:shd w:val="clear" w:color="auto" w:fill="D6E4F0"/>
            <w:tcMar>
              <w:top w:w="120" w:type="dxa"/>
              <w:left w:w="160" w:type="dxa"/>
              <w:bottom w:w="120" w:type="dxa"/>
              <w:right w:w="160" w:type="dxa"/>
            </w:tcMar>
            <w:vAlign w:val="center"/>
          </w:tcPr>
          <w:p w14:paraId="2DC08741" w14:textId="77777777" w:rsidR="00012895" w:rsidRDefault="00000000">
            <w:r>
              <w:rPr>
                <w:sz w:val="20"/>
                <w:szCs w:val="20"/>
              </w:rPr>
              <w:t>Moving Average, ARIMA, Prophet. Evaluate with MAE, RMSE. 6-month and 1-year forecast horizons.</w:t>
            </w:r>
          </w:p>
        </w:tc>
      </w:tr>
      <w:tr w:rsidR="00012895" w14:paraId="56D1CF03" w14:textId="77777777">
        <w:tc>
          <w:tcPr>
            <w:tcW w:w="1200" w:type="dxa"/>
            <w:tcBorders>
              <w:top w:val="single" w:sz="1" w:space="0" w:color="D0D0D0"/>
              <w:left w:val="single" w:sz="1" w:space="0" w:color="D0D0D0"/>
              <w:bottom w:val="single" w:sz="1" w:space="0" w:color="D0D0D0"/>
              <w:right w:val="single" w:sz="1" w:space="0" w:color="D0D0D0"/>
            </w:tcBorders>
            <w:shd w:val="clear" w:color="auto" w:fill="C9A84C"/>
            <w:tcMar>
              <w:top w:w="120" w:type="dxa"/>
              <w:left w:w="160" w:type="dxa"/>
              <w:bottom w:w="120" w:type="dxa"/>
              <w:right w:w="160" w:type="dxa"/>
            </w:tcMar>
            <w:vAlign w:val="center"/>
          </w:tcPr>
          <w:p w14:paraId="1216F5E8" w14:textId="77777777" w:rsidR="00012895" w:rsidRDefault="00000000">
            <w:pPr>
              <w:jc w:val="center"/>
            </w:pPr>
            <w:r>
              <w:rPr>
                <w:b/>
                <w:bCs/>
                <w:color w:val="FFFFFF"/>
                <w:sz w:val="24"/>
                <w:szCs w:val="24"/>
              </w:rPr>
              <w:t>6</w:t>
            </w:r>
          </w:p>
        </w:tc>
        <w:tc>
          <w:tcPr>
            <w:tcW w:w="2800" w:type="dxa"/>
            <w:tcBorders>
              <w:top w:val="single" w:sz="1" w:space="0" w:color="D0D0D0"/>
              <w:left w:val="single" w:sz="1" w:space="0" w:color="D0D0D0"/>
              <w:bottom w:val="single" w:sz="1" w:space="0" w:color="D0D0D0"/>
              <w:right w:val="single" w:sz="1" w:space="0" w:color="D0D0D0"/>
            </w:tcBorders>
            <w:shd w:val="clear" w:color="auto" w:fill="1F4E79"/>
            <w:tcMar>
              <w:top w:w="120" w:type="dxa"/>
              <w:left w:w="160" w:type="dxa"/>
              <w:bottom w:w="120" w:type="dxa"/>
              <w:right w:w="160" w:type="dxa"/>
            </w:tcMar>
            <w:vAlign w:val="center"/>
          </w:tcPr>
          <w:p w14:paraId="15E483D9" w14:textId="77777777" w:rsidR="00012895" w:rsidRDefault="00000000">
            <w:r>
              <w:rPr>
                <w:b/>
                <w:bCs/>
                <w:color w:val="FFFFFF"/>
                <w:sz w:val="21"/>
                <w:szCs w:val="21"/>
              </w:rPr>
              <w:t>Decision Support Framework</w:t>
            </w:r>
          </w:p>
        </w:tc>
        <w:tc>
          <w:tcPr>
            <w:tcW w:w="5360" w:type="dxa"/>
            <w:tcBorders>
              <w:top w:val="single" w:sz="1" w:space="0" w:color="D0D0D0"/>
              <w:left w:val="single" w:sz="1" w:space="0" w:color="D0D0D0"/>
              <w:bottom w:val="single" w:sz="1" w:space="0" w:color="D0D0D0"/>
              <w:right w:val="single" w:sz="1" w:space="0" w:color="D0D0D0"/>
            </w:tcBorders>
            <w:shd w:val="clear" w:color="auto" w:fill="FFF8E7"/>
            <w:tcMar>
              <w:top w:w="120" w:type="dxa"/>
              <w:left w:w="160" w:type="dxa"/>
              <w:bottom w:w="120" w:type="dxa"/>
              <w:right w:w="160" w:type="dxa"/>
            </w:tcMar>
            <w:vAlign w:val="center"/>
          </w:tcPr>
          <w:p w14:paraId="7AA2E901" w14:textId="77777777" w:rsidR="00012895" w:rsidRDefault="00000000">
            <w:r>
              <w:rPr>
                <w:sz w:val="20"/>
                <w:szCs w:val="20"/>
              </w:rPr>
              <w:t>Build Fair Value Index (Actual/Theoretical), RSI &amp; MA crossover signals, crisis sensitivity indicator. Output: Buy / Hold / Overpriced / High Risk signal.</w:t>
            </w:r>
          </w:p>
        </w:tc>
      </w:tr>
    </w:tbl>
    <w:p w14:paraId="49FF8579" w14:textId="77777777" w:rsidR="00012895" w:rsidRDefault="00012895">
      <w:pPr>
        <w:spacing w:before="160"/>
      </w:pPr>
    </w:p>
    <w:p w14:paraId="6AB0558F" w14:textId="77777777" w:rsidR="00012895" w:rsidRDefault="00000000">
      <w:pPr>
        <w:pStyle w:val="Heading2"/>
      </w:pPr>
      <w:r>
        <w:t>6.1 Core Decomposition Formula</w:t>
      </w:r>
    </w:p>
    <w:p w14:paraId="09CF50A7" w14:textId="77777777" w:rsidR="00012895" w:rsidRDefault="00000000">
      <w:pPr>
        <w:pBdr>
          <w:top w:val="single" w:sz="4" w:space="6" w:color="1F4E79"/>
          <w:bottom w:val="single" w:sz="4" w:space="6" w:color="1F4E79"/>
        </w:pBdr>
        <w:shd w:val="clear" w:color="auto" w:fill="D6E4F0"/>
        <w:spacing w:before="120" w:after="120"/>
        <w:jc w:val="center"/>
      </w:pPr>
      <w:r>
        <w:rPr>
          <w:rFonts w:ascii="Courier New" w:eastAsia="Courier New" w:hAnsi="Courier New" w:cs="Courier New"/>
          <w:b/>
          <w:bCs/>
          <w:color w:val="1F4E79"/>
        </w:rPr>
        <w:t>Theoretical Price (EGP/gram) = (Global Gold Price USD/oz × USD/EGP Rate) ÷ 31.1</w:t>
      </w:r>
    </w:p>
    <w:p w14:paraId="7155DA40" w14:textId="77777777" w:rsidR="00012895" w:rsidRDefault="00000000">
      <w:pPr>
        <w:spacing w:before="80" w:after="120"/>
        <w:jc w:val="center"/>
      </w:pPr>
      <w:r>
        <w:rPr>
          <w:rFonts w:ascii="Courier New" w:eastAsia="Courier New" w:hAnsi="Courier New" w:cs="Courier New"/>
          <w:b/>
          <w:bCs/>
          <w:color w:val="C0392B"/>
        </w:rPr>
        <w:t>Local Premium (Bubble Component) = Actual Local Price − Theoretical Price</w:t>
      </w:r>
    </w:p>
    <w:p w14:paraId="05A2C350" w14:textId="77777777" w:rsidR="00012895" w:rsidRDefault="00000000">
      <w:pPr>
        <w:pStyle w:val="Heading1"/>
        <w:pBdr>
          <w:bottom w:val="single" w:sz="8" w:space="6" w:color="C9A84C"/>
        </w:pBdr>
      </w:pPr>
      <w:r>
        <w:lastRenderedPageBreak/>
        <w:t>7. System Architecture &amp; Technology Stack</w:t>
      </w:r>
    </w:p>
    <w:p w14:paraId="502B837E" w14:textId="77777777" w:rsidR="00012895" w:rsidRDefault="00000000">
      <w:pPr>
        <w:spacing w:before="60" w:after="100"/>
        <w:jc w:val="both"/>
      </w:pPr>
      <w:r>
        <w:t>The project is built as a three-layer data science application:</w:t>
      </w:r>
    </w:p>
    <w:p w14:paraId="306051CA" w14:textId="77777777" w:rsidR="00012895" w:rsidRDefault="0001289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12895" w14:paraId="57B90E96" w14:textId="77777777">
        <w:tc>
          <w:tcPr>
            <w:tcW w:w="2400" w:type="dxa"/>
            <w:tcBorders>
              <w:top w:val="single" w:sz="1" w:space="0" w:color="C0C0C0"/>
              <w:left w:val="single" w:sz="1" w:space="0" w:color="C0C0C0"/>
              <w:bottom w:val="single" w:sz="1" w:space="0" w:color="C0C0C0"/>
              <w:right w:val="single" w:sz="1" w:space="0" w:color="C0C0C0"/>
            </w:tcBorders>
            <w:shd w:val="clear" w:color="auto" w:fill="1F4E79"/>
            <w:tcMar>
              <w:top w:w="120" w:type="dxa"/>
              <w:left w:w="160" w:type="dxa"/>
              <w:bottom w:w="120" w:type="dxa"/>
              <w:right w:w="160" w:type="dxa"/>
            </w:tcMar>
            <w:vAlign w:val="center"/>
          </w:tcPr>
          <w:p w14:paraId="7A2E8420" w14:textId="77777777" w:rsidR="00012895" w:rsidRDefault="00000000">
            <w:r>
              <w:rPr>
                <w:b/>
                <w:bCs/>
                <w:color w:val="FFFFFF"/>
                <w:sz w:val="21"/>
                <w:szCs w:val="21"/>
              </w:rPr>
              <w:t>Data Layer</w:t>
            </w:r>
          </w:p>
        </w:tc>
        <w:tc>
          <w:tcPr>
            <w:tcW w:w="6960" w:type="dxa"/>
            <w:tcBorders>
              <w:top w:val="single" w:sz="1" w:space="0" w:color="C0C0C0"/>
              <w:left w:val="single" w:sz="1" w:space="0" w:color="C0C0C0"/>
              <w:bottom w:val="single" w:sz="1" w:space="0" w:color="C0C0C0"/>
              <w:right w:val="single" w:sz="1" w:space="0" w:color="C0C0C0"/>
            </w:tcBorders>
            <w:shd w:val="clear" w:color="auto" w:fill="D6E4F0"/>
            <w:tcMar>
              <w:top w:w="120" w:type="dxa"/>
              <w:left w:w="160" w:type="dxa"/>
              <w:bottom w:w="120" w:type="dxa"/>
              <w:right w:w="160" w:type="dxa"/>
            </w:tcMar>
          </w:tcPr>
          <w:p w14:paraId="658FC658" w14:textId="77777777" w:rsidR="00012895" w:rsidRDefault="00000000">
            <w:r>
              <w:rPr>
                <w:sz w:val="20"/>
                <w:szCs w:val="20"/>
              </w:rPr>
              <w:t>Python • Yahoo Finance API • Web Scraping • SQL-based data model</w:t>
            </w:r>
          </w:p>
        </w:tc>
      </w:tr>
      <w:tr w:rsidR="00012895" w14:paraId="6CA0085B" w14:textId="77777777">
        <w:tc>
          <w:tcPr>
            <w:tcW w:w="2400" w:type="dxa"/>
            <w:tcBorders>
              <w:top w:val="single" w:sz="1" w:space="0" w:color="C0C0C0"/>
              <w:left w:val="single" w:sz="1" w:space="0" w:color="C0C0C0"/>
              <w:bottom w:val="single" w:sz="1" w:space="0" w:color="C0C0C0"/>
              <w:right w:val="single" w:sz="1" w:space="0" w:color="C0C0C0"/>
            </w:tcBorders>
            <w:shd w:val="clear" w:color="auto" w:fill="1F4E79"/>
            <w:tcMar>
              <w:top w:w="120" w:type="dxa"/>
              <w:left w:w="160" w:type="dxa"/>
              <w:bottom w:w="120" w:type="dxa"/>
              <w:right w:w="160" w:type="dxa"/>
            </w:tcMar>
            <w:vAlign w:val="center"/>
          </w:tcPr>
          <w:p w14:paraId="71716A8E" w14:textId="77777777" w:rsidR="00012895" w:rsidRDefault="00000000">
            <w:r>
              <w:rPr>
                <w:b/>
                <w:bCs/>
                <w:color w:val="FFFFFF"/>
                <w:sz w:val="21"/>
                <w:szCs w:val="21"/>
              </w:rPr>
              <w:t>Analytics Layer</w:t>
            </w:r>
          </w:p>
        </w:tc>
        <w:tc>
          <w:tcPr>
            <w:tcW w:w="6960" w:type="dxa"/>
            <w:tcBorders>
              <w:top w:val="single" w:sz="1" w:space="0" w:color="C0C0C0"/>
              <w:left w:val="single" w:sz="1" w:space="0" w:color="C0C0C0"/>
              <w:bottom w:val="single" w:sz="1" w:space="0" w:color="C0C0C0"/>
              <w:right w:val="single" w:sz="1" w:space="0" w:color="C0C0C0"/>
            </w:tcBorders>
            <w:shd w:val="clear" w:color="auto" w:fill="FFFFFF"/>
            <w:tcMar>
              <w:top w:w="120" w:type="dxa"/>
              <w:left w:w="160" w:type="dxa"/>
              <w:bottom w:w="120" w:type="dxa"/>
              <w:right w:w="160" w:type="dxa"/>
            </w:tcMar>
          </w:tcPr>
          <w:p w14:paraId="2711B02A" w14:textId="77777777" w:rsidR="00012895" w:rsidRDefault="00000000">
            <w:r>
              <w:rPr>
                <w:sz w:val="20"/>
                <w:szCs w:val="20"/>
              </w:rPr>
              <w:t xml:space="preserve">pandas • </w:t>
            </w:r>
            <w:proofErr w:type="spellStart"/>
            <w:r>
              <w:rPr>
                <w:sz w:val="20"/>
                <w:szCs w:val="20"/>
              </w:rPr>
              <w:t>numpy</w:t>
            </w:r>
            <w:proofErr w:type="spellEnd"/>
            <w:r>
              <w:rPr>
                <w:sz w:val="20"/>
                <w:szCs w:val="20"/>
              </w:rPr>
              <w:t xml:space="preserve"> • </w:t>
            </w:r>
            <w:proofErr w:type="spellStart"/>
            <w:r>
              <w:rPr>
                <w:sz w:val="20"/>
                <w:szCs w:val="20"/>
              </w:rPr>
              <w:t>statsmodels</w:t>
            </w:r>
            <w:proofErr w:type="spellEnd"/>
            <w:r>
              <w:rPr>
                <w:sz w:val="20"/>
                <w:szCs w:val="20"/>
              </w:rPr>
              <w:t xml:space="preserve"> • scikit-learn • Prophet • Financial time-series analysis</w:t>
            </w:r>
          </w:p>
        </w:tc>
      </w:tr>
      <w:tr w:rsidR="00012895" w14:paraId="64B6EA9E" w14:textId="77777777">
        <w:tc>
          <w:tcPr>
            <w:tcW w:w="2400" w:type="dxa"/>
            <w:tcBorders>
              <w:top w:val="single" w:sz="1" w:space="0" w:color="C0C0C0"/>
              <w:left w:val="single" w:sz="1" w:space="0" w:color="C0C0C0"/>
              <w:bottom w:val="single" w:sz="1" w:space="0" w:color="C0C0C0"/>
              <w:right w:val="single" w:sz="1" w:space="0" w:color="C0C0C0"/>
            </w:tcBorders>
            <w:shd w:val="clear" w:color="auto" w:fill="1F4E79"/>
            <w:tcMar>
              <w:top w:w="120" w:type="dxa"/>
              <w:left w:w="160" w:type="dxa"/>
              <w:bottom w:w="120" w:type="dxa"/>
              <w:right w:w="160" w:type="dxa"/>
            </w:tcMar>
            <w:vAlign w:val="center"/>
          </w:tcPr>
          <w:p w14:paraId="526D87BD" w14:textId="77777777" w:rsidR="00012895" w:rsidRDefault="00000000">
            <w:r>
              <w:rPr>
                <w:b/>
                <w:bCs/>
                <w:color w:val="FFFFFF"/>
                <w:sz w:val="21"/>
                <w:szCs w:val="21"/>
              </w:rPr>
              <w:t>Application Layer</w:t>
            </w:r>
          </w:p>
        </w:tc>
        <w:tc>
          <w:tcPr>
            <w:tcW w:w="6960" w:type="dxa"/>
            <w:tcBorders>
              <w:top w:val="single" w:sz="1" w:space="0" w:color="C0C0C0"/>
              <w:left w:val="single" w:sz="1" w:space="0" w:color="C0C0C0"/>
              <w:bottom w:val="single" w:sz="1" w:space="0" w:color="C0C0C0"/>
              <w:right w:val="single" w:sz="1" w:space="0" w:color="C0C0C0"/>
            </w:tcBorders>
            <w:shd w:val="clear" w:color="auto" w:fill="D6E4F0"/>
            <w:tcMar>
              <w:top w:w="120" w:type="dxa"/>
              <w:left w:w="160" w:type="dxa"/>
              <w:bottom w:w="120" w:type="dxa"/>
              <w:right w:w="160" w:type="dxa"/>
            </w:tcMar>
          </w:tcPr>
          <w:p w14:paraId="4EFD4117" w14:textId="77777777" w:rsidR="00012895" w:rsidRDefault="00000000">
            <w:proofErr w:type="spellStart"/>
            <w:r>
              <w:rPr>
                <w:sz w:val="20"/>
                <w:szCs w:val="20"/>
              </w:rPr>
              <w:t>Streamlit</w:t>
            </w:r>
            <w:proofErr w:type="spellEnd"/>
            <w:r>
              <w:rPr>
                <w:sz w:val="20"/>
                <w:szCs w:val="20"/>
              </w:rPr>
              <w:t xml:space="preserve"> • </w:t>
            </w:r>
            <w:proofErr w:type="spellStart"/>
            <w:r>
              <w:rPr>
                <w:sz w:val="20"/>
                <w:szCs w:val="20"/>
              </w:rPr>
              <w:t>Plotly</w:t>
            </w:r>
            <w:proofErr w:type="spellEnd"/>
            <w:r>
              <w:rPr>
                <w:sz w:val="20"/>
                <w:szCs w:val="20"/>
              </w:rPr>
              <w:t xml:space="preserve"> • Interactive dashboard with Buy/Sell/Hold signal engine</w:t>
            </w:r>
          </w:p>
        </w:tc>
      </w:tr>
    </w:tbl>
    <w:p w14:paraId="58539261" w14:textId="77777777" w:rsidR="00012895" w:rsidRDefault="00000000">
      <w:pPr>
        <w:pStyle w:val="Heading1"/>
        <w:pBdr>
          <w:bottom w:val="single" w:sz="8" w:space="6" w:color="C9A84C"/>
        </w:pBdr>
      </w:pPr>
      <w:r>
        <w:t>8. Final Deliverables</w:t>
      </w:r>
    </w:p>
    <w:p w14:paraId="19236B0F" w14:textId="77777777" w:rsidR="00012895" w:rsidRDefault="00000000">
      <w:pPr>
        <w:spacing w:before="60" w:after="100"/>
        <w:jc w:val="both"/>
      </w:pPr>
      <w:r>
        <w:t>The project will produce the following seven deliverables:</w:t>
      </w:r>
    </w:p>
    <w:p w14:paraId="7ECECD6D" w14:textId="77777777" w:rsidR="00012895" w:rsidRDefault="00012895">
      <w:pPr>
        <w:spacing w:before="80"/>
      </w:pPr>
    </w:p>
    <w:p w14:paraId="5EABCA87" w14:textId="77777777" w:rsidR="00012895" w:rsidRDefault="00000000">
      <w:pPr>
        <w:pStyle w:val="ListParagraph"/>
        <w:numPr>
          <w:ilvl w:val="0"/>
          <w:numId w:val="3"/>
        </w:numPr>
        <w:spacing w:before="40" w:after="60"/>
      </w:pPr>
      <w:r>
        <w:t>Academic Analytical Report — comprehensive research paper with findings and conclusions</w:t>
      </w:r>
    </w:p>
    <w:p w14:paraId="7F8587AA" w14:textId="77777777" w:rsidR="00012895" w:rsidRDefault="00000000">
      <w:pPr>
        <w:pStyle w:val="ListParagraph"/>
        <w:numPr>
          <w:ilvl w:val="0"/>
          <w:numId w:val="3"/>
        </w:numPr>
        <w:spacing w:before="40" w:after="60"/>
      </w:pPr>
      <w:r>
        <w:t>Fair Value Decomposition Model — quantitative framework separating global, currency, and local components</w:t>
      </w:r>
    </w:p>
    <w:p w14:paraId="40B270CE" w14:textId="77777777" w:rsidR="00012895" w:rsidRDefault="00000000">
      <w:pPr>
        <w:pStyle w:val="ListParagraph"/>
        <w:numPr>
          <w:ilvl w:val="0"/>
          <w:numId w:val="3"/>
        </w:numPr>
        <w:spacing w:before="40" w:after="60"/>
      </w:pPr>
      <w:r>
        <w:t>Econometric Analysis Report — regression results, correlation matrices, and crisis window analysis</w:t>
      </w:r>
    </w:p>
    <w:p w14:paraId="189E65FB" w14:textId="77777777" w:rsidR="00012895" w:rsidRDefault="00000000">
      <w:pPr>
        <w:pStyle w:val="ListParagraph"/>
        <w:numPr>
          <w:ilvl w:val="0"/>
          <w:numId w:val="3"/>
        </w:numPr>
        <w:spacing w:before="40" w:after="60"/>
      </w:pPr>
      <w:r>
        <w:t>Investment Performance Simulation — comparative return analysis for gold, USD, and cash (2020–present)</w:t>
      </w:r>
    </w:p>
    <w:p w14:paraId="0FBB0B2E" w14:textId="77777777" w:rsidR="00012895" w:rsidRDefault="00000000">
      <w:pPr>
        <w:pStyle w:val="ListParagraph"/>
        <w:numPr>
          <w:ilvl w:val="0"/>
          <w:numId w:val="3"/>
        </w:numPr>
        <w:spacing w:before="40" w:after="60"/>
      </w:pPr>
      <w:r>
        <w:t>Forecasting Models — Moving Average, ARIMA, and Prophet with accuracy evaluation (MAE, RMSE)</w:t>
      </w:r>
    </w:p>
    <w:p w14:paraId="15A891A5" w14:textId="77777777" w:rsidR="00012895" w:rsidRDefault="00000000">
      <w:pPr>
        <w:pStyle w:val="ListParagraph"/>
        <w:numPr>
          <w:ilvl w:val="0"/>
          <w:numId w:val="3"/>
        </w:numPr>
        <w:spacing w:before="40" w:after="60"/>
      </w:pPr>
      <w:r>
        <w:t xml:space="preserve">Interactive </w:t>
      </w:r>
      <w:proofErr w:type="spellStart"/>
      <w:r>
        <w:t>Streamlit</w:t>
      </w:r>
      <w:proofErr w:type="spellEnd"/>
      <w:r>
        <w:t xml:space="preserve"> Dashboard — including global vs. local price comparison, Fair Value Gap visualization, crisis timeline markers, investment performance charts, forecast panel, and Buy/Sell/Hold signal box</w:t>
      </w:r>
    </w:p>
    <w:p w14:paraId="7EE827AD" w14:textId="77777777" w:rsidR="00012895" w:rsidRDefault="00000000">
      <w:pPr>
        <w:pStyle w:val="ListParagraph"/>
        <w:numPr>
          <w:ilvl w:val="0"/>
          <w:numId w:val="3"/>
        </w:numPr>
        <w:spacing w:before="40" w:after="60"/>
      </w:pPr>
      <w:r>
        <w:t>Clean Dataset — structured, publication-ready financial dataset for academic use</w:t>
      </w:r>
    </w:p>
    <w:p w14:paraId="2B4715A7" w14:textId="77777777" w:rsidR="00012895" w:rsidRDefault="00000000">
      <w:pPr>
        <w:pStyle w:val="Heading1"/>
        <w:pBdr>
          <w:bottom w:val="single" w:sz="8" w:space="6" w:color="C9A84C"/>
        </w:pBdr>
      </w:pPr>
      <w:r>
        <w:t>9. Academic &amp; Social Value</w:t>
      </w:r>
    </w:p>
    <w:p w14:paraId="6116809B" w14:textId="77777777" w:rsidR="00012895" w:rsidRDefault="00000000">
      <w:pPr>
        <w:spacing w:before="60" w:after="100"/>
        <w:jc w:val="both"/>
      </w:pPr>
      <w:r>
        <w:t>This project delivers both academic and practical contributions:</w:t>
      </w:r>
    </w:p>
    <w:p w14:paraId="3750AB73" w14:textId="77777777" w:rsidR="00012895" w:rsidRDefault="00012895">
      <w:pPr>
        <w:spacing w:before="80"/>
      </w:pPr>
    </w:p>
    <w:p w14:paraId="2CCE3F42" w14:textId="77777777" w:rsidR="00012895" w:rsidRDefault="00000000">
      <w:pPr>
        <w:pStyle w:val="ListParagraph"/>
        <w:numPr>
          <w:ilvl w:val="0"/>
          <w:numId w:val="2"/>
        </w:numPr>
        <w:spacing w:before="40" w:after="60"/>
      </w:pPr>
      <w:r>
        <w:t>Provides the first quantitative decomposition of Egyptian gold price drivers into global, exchange rate, and local components</w:t>
      </w:r>
    </w:p>
    <w:p w14:paraId="7F5D90B4" w14:textId="77777777" w:rsidR="00012895" w:rsidRDefault="00000000">
      <w:pPr>
        <w:pStyle w:val="ListParagraph"/>
        <w:numPr>
          <w:ilvl w:val="0"/>
          <w:numId w:val="2"/>
        </w:numPr>
        <w:spacing w:before="40" w:after="60"/>
      </w:pPr>
      <w:r>
        <w:t>Distinguishes real value appreciation from exchange-rate-driven distortions in local pricing</w:t>
      </w:r>
    </w:p>
    <w:p w14:paraId="43853F67" w14:textId="77777777" w:rsidR="00012895" w:rsidRDefault="00000000">
      <w:pPr>
        <w:pStyle w:val="ListParagraph"/>
        <w:numPr>
          <w:ilvl w:val="0"/>
          <w:numId w:val="2"/>
        </w:numPr>
        <w:spacing w:before="40" w:after="60"/>
      </w:pPr>
      <w:r>
        <w:t>Evaluates gold empirically as a hedge against Egyptian inflation and currency depreciation</w:t>
      </w:r>
    </w:p>
    <w:p w14:paraId="69DE2F8D" w14:textId="77777777" w:rsidR="00012895" w:rsidRDefault="00000000">
      <w:pPr>
        <w:pStyle w:val="ListParagraph"/>
        <w:numPr>
          <w:ilvl w:val="0"/>
          <w:numId w:val="2"/>
        </w:numPr>
        <w:spacing w:before="40" w:after="60"/>
      </w:pPr>
      <w:r>
        <w:t>Delivers a practical, data-driven decision-support tool accessible to small retail investors</w:t>
      </w:r>
    </w:p>
    <w:p w14:paraId="0BD32BF6" w14:textId="77777777" w:rsidR="00012895" w:rsidRDefault="00000000">
      <w:pPr>
        <w:pStyle w:val="ListParagraph"/>
        <w:numPr>
          <w:ilvl w:val="0"/>
          <w:numId w:val="2"/>
        </w:numPr>
        <w:spacing w:before="40" w:after="60"/>
      </w:pPr>
      <w:r>
        <w:t>Bridges financial economics with applied data science in the Egyptian market context</w:t>
      </w:r>
    </w:p>
    <w:p w14:paraId="3F4A39E2" w14:textId="77777777" w:rsidR="00012895" w:rsidRDefault="00000000">
      <w:pPr>
        <w:pStyle w:val="ListParagraph"/>
        <w:numPr>
          <w:ilvl w:val="0"/>
          <w:numId w:val="2"/>
        </w:numPr>
        <w:spacing w:before="40" w:after="60"/>
      </w:pPr>
      <w:r>
        <w:t>Contributes an open, clean financial dataset for future academic research</w:t>
      </w:r>
    </w:p>
    <w:p w14:paraId="6F88EB42" w14:textId="77777777" w:rsidR="008656CB" w:rsidRDefault="008656CB" w:rsidP="008656CB">
      <w:pPr>
        <w:spacing w:before="40" w:after="60"/>
        <w:ind w:left="360"/>
      </w:pPr>
    </w:p>
    <w:p w14:paraId="1D9B71D0" w14:textId="77777777" w:rsidR="00012895" w:rsidRDefault="00000000">
      <w:pPr>
        <w:pStyle w:val="Heading1"/>
        <w:pBdr>
          <w:bottom w:val="single" w:sz="8" w:space="6" w:color="C9A84C"/>
        </w:pBdr>
      </w:pPr>
      <w:r>
        <w:lastRenderedPageBreak/>
        <w:t>10. References</w:t>
      </w:r>
    </w:p>
    <w:p w14:paraId="6F6A02D0" w14:textId="77777777" w:rsidR="00012895" w:rsidRDefault="00000000">
      <w:pPr>
        <w:spacing w:before="60" w:after="100"/>
        <w:jc w:val="both"/>
      </w:pPr>
      <w:r>
        <w:t>Baur, D. G., &amp; Lucey, B. M. (2010). Is Gold a Hedge or a Safe Haven? An Analysis of Stocks, Bonds and Gold. — Journal of Financial Economics.</w:t>
      </w:r>
    </w:p>
    <w:p w14:paraId="50FAE5FD" w14:textId="77777777" w:rsidR="00012895" w:rsidRDefault="00012895">
      <w:pPr>
        <w:spacing w:before="60"/>
      </w:pPr>
    </w:p>
    <w:p w14:paraId="445601A3" w14:textId="77777777" w:rsidR="00012895" w:rsidRDefault="00000000">
      <w:pPr>
        <w:spacing w:before="60" w:after="100"/>
        <w:jc w:val="both"/>
      </w:pPr>
      <w:r>
        <w:t>World Gold Council — Annual and Quarterly Gold Demand Trends Reports.</w:t>
      </w:r>
    </w:p>
    <w:p w14:paraId="3289A52E" w14:textId="77777777" w:rsidR="00012895" w:rsidRDefault="00012895">
      <w:pPr>
        <w:spacing w:before="60"/>
      </w:pPr>
    </w:p>
    <w:p w14:paraId="65929CD1" w14:textId="77777777" w:rsidR="00012895" w:rsidRDefault="00000000">
      <w:pPr>
        <w:spacing w:before="60" w:after="100"/>
        <w:jc w:val="both"/>
      </w:pPr>
      <w:r>
        <w:t>Yahoo Finance — Historical Market Data (GC=F, USD/EGP, S&amp;P500, Oil, Treasuries).</w:t>
      </w:r>
    </w:p>
    <w:p w14:paraId="4496E63A" w14:textId="77777777" w:rsidR="00012895" w:rsidRDefault="00012895">
      <w:pPr>
        <w:spacing w:before="60"/>
      </w:pPr>
    </w:p>
    <w:p w14:paraId="6C0B12EA" w14:textId="77777777" w:rsidR="00012895" w:rsidRDefault="00000000">
      <w:pPr>
        <w:spacing w:before="60" w:after="100"/>
        <w:jc w:val="both"/>
      </w:pPr>
      <w:r>
        <w:t>International Monetary Fund (IMF) — Egypt Economic Outlook Reports, 2020–2024.</w:t>
      </w:r>
    </w:p>
    <w:p w14:paraId="7FE17EA9" w14:textId="77777777" w:rsidR="00012895" w:rsidRDefault="00012895">
      <w:pPr>
        <w:spacing w:before="60"/>
      </w:pPr>
    </w:p>
    <w:p w14:paraId="08C509B7" w14:textId="77777777" w:rsidR="00012895" w:rsidRDefault="00000000">
      <w:pPr>
        <w:spacing w:before="60" w:after="100"/>
        <w:jc w:val="both"/>
      </w:pPr>
      <w:r>
        <w:t>Central Bank of Egypt (CBE) — Monetary Policy Statements and Exchange Rate History.</w:t>
      </w:r>
    </w:p>
    <w:p w14:paraId="0A126FC0" w14:textId="77777777" w:rsidR="00012895" w:rsidRDefault="00012895">
      <w:pPr>
        <w:spacing w:before="60"/>
      </w:pPr>
    </w:p>
    <w:p w14:paraId="0055CA0F" w14:textId="77777777" w:rsidR="00012895" w:rsidRDefault="00000000">
      <w:pPr>
        <w:spacing w:before="60" w:after="100"/>
        <w:jc w:val="both"/>
      </w:pPr>
      <w:r>
        <w:t xml:space="preserve">Prophet Documentation — Facebook/Meta </w:t>
      </w:r>
      <w:proofErr w:type="gramStart"/>
      <w:r>
        <w:t>Open Source</w:t>
      </w:r>
      <w:proofErr w:type="gramEnd"/>
      <w:r>
        <w:t xml:space="preserve"> Forecasting Library.</w:t>
      </w:r>
    </w:p>
    <w:sectPr w:rsidR="0001289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2CDE2" w14:textId="77777777" w:rsidR="00DA37C3" w:rsidRDefault="00DA37C3">
      <w:r>
        <w:separator/>
      </w:r>
    </w:p>
  </w:endnote>
  <w:endnote w:type="continuationSeparator" w:id="0">
    <w:p w14:paraId="437A87AF" w14:textId="77777777" w:rsidR="00DA37C3" w:rsidRDefault="00DA3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7DA1" w14:textId="53E61BF2" w:rsidR="00012895" w:rsidRDefault="00000000">
    <w:pPr>
      <w:pBdr>
        <w:top w:val="single" w:sz="4" w:space="4" w:color="1F4E79"/>
      </w:pBdr>
      <w:jc w:val="center"/>
    </w:pPr>
    <w:r>
      <w:rPr>
        <w:color w:val="555555"/>
        <w:sz w:val="16"/>
        <w:szCs w:val="16"/>
      </w:rPr>
      <w:t>Digital Egypt Pioneers Initiative (DEPI) • Data Analysis Track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B17B1" w14:textId="77777777" w:rsidR="00DA37C3" w:rsidRDefault="00DA37C3">
      <w:r>
        <w:separator/>
      </w:r>
    </w:p>
  </w:footnote>
  <w:footnote w:type="continuationSeparator" w:id="0">
    <w:p w14:paraId="529BCA97" w14:textId="77777777" w:rsidR="00DA37C3" w:rsidRDefault="00DA37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78D6" w14:textId="0542D479" w:rsidR="00012895" w:rsidRPr="008656CB" w:rsidRDefault="00000000" w:rsidP="008656CB">
    <w:pPr>
      <w:pBdr>
        <w:bottom w:val="single" w:sz="6" w:space="4" w:color="C9A84C"/>
      </w:pBdr>
      <w:rPr>
        <w:color w:val="555555"/>
        <w:sz w:val="18"/>
        <w:szCs w:val="18"/>
      </w:rPr>
    </w:pPr>
    <w:r>
      <w:rPr>
        <w:color w:val="1F4E79"/>
        <w:sz w:val="18"/>
        <w:szCs w:val="18"/>
      </w:rPr>
      <w:t xml:space="preserve">Gold as a Financial Instrument in </w:t>
    </w:r>
    <w:r w:rsidR="008656CB">
      <w:rPr>
        <w:color w:val="1F4E79"/>
        <w:sz w:val="18"/>
        <w:szCs w:val="18"/>
      </w:rPr>
      <w:t>Egypt</w:t>
    </w:r>
    <w:r w:rsidR="008656CB">
      <w:rPr>
        <w:color w:val="555555"/>
        <w:sz w:val="18"/>
        <w:szCs w:val="18"/>
      </w:rPr>
      <w:t xml:space="preserve"> | DEPI</w:t>
    </w:r>
    <w:r>
      <w:rPr>
        <w:color w:val="555555"/>
        <w:sz w:val="18"/>
        <w:szCs w:val="18"/>
      </w:rPr>
      <w:t xml:space="preserve"> 2026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8656CB">
      <w:rPr>
        <w:noProof/>
        <w:color w:val="555555"/>
        <w:sz w:val="18"/>
        <w:szCs w:val="18"/>
      </w:rPr>
      <w:t>1</w:t>
    </w:r>
    <w:r>
      <w:rPr>
        <w:color w:val="555555"/>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1D33"/>
    <w:multiLevelType w:val="hybridMultilevel"/>
    <w:tmpl w:val="6FF458EC"/>
    <w:lvl w:ilvl="0" w:tplc="B0F09296">
      <w:start w:val="1"/>
      <w:numFmt w:val="bullet"/>
      <w:lvlText w:val="●"/>
      <w:lvlJc w:val="left"/>
      <w:pPr>
        <w:ind w:left="720" w:hanging="360"/>
      </w:pPr>
    </w:lvl>
    <w:lvl w:ilvl="1" w:tplc="185E53A0">
      <w:start w:val="1"/>
      <w:numFmt w:val="bullet"/>
      <w:lvlText w:val="○"/>
      <w:lvlJc w:val="left"/>
      <w:pPr>
        <w:ind w:left="1440" w:hanging="360"/>
      </w:pPr>
    </w:lvl>
    <w:lvl w:ilvl="2" w:tplc="7A2A26F0">
      <w:start w:val="1"/>
      <w:numFmt w:val="bullet"/>
      <w:lvlText w:val="■"/>
      <w:lvlJc w:val="left"/>
      <w:pPr>
        <w:ind w:left="2160" w:hanging="360"/>
      </w:pPr>
    </w:lvl>
    <w:lvl w:ilvl="3" w:tplc="27E874E0">
      <w:start w:val="1"/>
      <w:numFmt w:val="bullet"/>
      <w:lvlText w:val="●"/>
      <w:lvlJc w:val="left"/>
      <w:pPr>
        <w:ind w:left="2880" w:hanging="360"/>
      </w:pPr>
    </w:lvl>
    <w:lvl w:ilvl="4" w:tplc="31B2F540">
      <w:start w:val="1"/>
      <w:numFmt w:val="bullet"/>
      <w:lvlText w:val="○"/>
      <w:lvlJc w:val="left"/>
      <w:pPr>
        <w:ind w:left="3600" w:hanging="360"/>
      </w:pPr>
    </w:lvl>
    <w:lvl w:ilvl="5" w:tplc="58BA63CC">
      <w:start w:val="1"/>
      <w:numFmt w:val="bullet"/>
      <w:lvlText w:val="■"/>
      <w:lvlJc w:val="left"/>
      <w:pPr>
        <w:ind w:left="4320" w:hanging="360"/>
      </w:pPr>
    </w:lvl>
    <w:lvl w:ilvl="6" w:tplc="ECFAD8FE">
      <w:start w:val="1"/>
      <w:numFmt w:val="bullet"/>
      <w:lvlText w:val="●"/>
      <w:lvlJc w:val="left"/>
      <w:pPr>
        <w:ind w:left="5040" w:hanging="360"/>
      </w:pPr>
    </w:lvl>
    <w:lvl w:ilvl="7" w:tplc="11B47640">
      <w:start w:val="1"/>
      <w:numFmt w:val="bullet"/>
      <w:lvlText w:val="●"/>
      <w:lvlJc w:val="left"/>
      <w:pPr>
        <w:ind w:left="5760" w:hanging="360"/>
      </w:pPr>
    </w:lvl>
    <w:lvl w:ilvl="8" w:tplc="FD400FA4">
      <w:start w:val="1"/>
      <w:numFmt w:val="bullet"/>
      <w:lvlText w:val="●"/>
      <w:lvlJc w:val="left"/>
      <w:pPr>
        <w:ind w:left="6480" w:hanging="360"/>
      </w:pPr>
    </w:lvl>
  </w:abstractNum>
  <w:abstractNum w:abstractNumId="1" w15:restartNumberingAfterBreak="0">
    <w:nsid w:val="6721337E"/>
    <w:multiLevelType w:val="hybridMultilevel"/>
    <w:tmpl w:val="6756E8F4"/>
    <w:lvl w:ilvl="0" w:tplc="80942B8C">
      <w:start w:val="1"/>
      <w:numFmt w:val="bullet"/>
      <w:lvlText w:val="•"/>
      <w:lvlJc w:val="left"/>
      <w:pPr>
        <w:ind w:left="720" w:hanging="360"/>
      </w:pPr>
    </w:lvl>
    <w:lvl w:ilvl="1" w:tplc="EE74A184">
      <w:start w:val="1"/>
      <w:numFmt w:val="bullet"/>
      <w:lvlText w:val="◦"/>
      <w:lvlJc w:val="left"/>
      <w:pPr>
        <w:ind w:left="1080" w:hanging="360"/>
      </w:pPr>
    </w:lvl>
    <w:lvl w:ilvl="2" w:tplc="E3C6BA6E">
      <w:numFmt w:val="decimal"/>
      <w:lvlText w:val=""/>
      <w:lvlJc w:val="left"/>
    </w:lvl>
    <w:lvl w:ilvl="3" w:tplc="B1CEB160">
      <w:numFmt w:val="decimal"/>
      <w:lvlText w:val=""/>
      <w:lvlJc w:val="left"/>
    </w:lvl>
    <w:lvl w:ilvl="4" w:tplc="21041874">
      <w:numFmt w:val="decimal"/>
      <w:lvlText w:val=""/>
      <w:lvlJc w:val="left"/>
    </w:lvl>
    <w:lvl w:ilvl="5" w:tplc="67F0B7C2">
      <w:numFmt w:val="decimal"/>
      <w:lvlText w:val=""/>
      <w:lvlJc w:val="left"/>
    </w:lvl>
    <w:lvl w:ilvl="6" w:tplc="33AA7C74">
      <w:numFmt w:val="decimal"/>
      <w:lvlText w:val=""/>
      <w:lvlJc w:val="left"/>
    </w:lvl>
    <w:lvl w:ilvl="7" w:tplc="12E67780">
      <w:numFmt w:val="decimal"/>
      <w:lvlText w:val=""/>
      <w:lvlJc w:val="left"/>
    </w:lvl>
    <w:lvl w:ilvl="8" w:tplc="FA0AF0CC">
      <w:numFmt w:val="decimal"/>
      <w:lvlText w:val=""/>
      <w:lvlJc w:val="left"/>
    </w:lvl>
  </w:abstractNum>
  <w:abstractNum w:abstractNumId="2" w15:restartNumberingAfterBreak="0">
    <w:nsid w:val="6DBD4209"/>
    <w:multiLevelType w:val="hybridMultilevel"/>
    <w:tmpl w:val="34A62F88"/>
    <w:lvl w:ilvl="0" w:tplc="C3DC5D32">
      <w:start w:val="1"/>
      <w:numFmt w:val="decimal"/>
      <w:lvlText w:val="%1."/>
      <w:lvlJc w:val="left"/>
      <w:pPr>
        <w:ind w:left="720" w:hanging="360"/>
      </w:pPr>
    </w:lvl>
    <w:lvl w:ilvl="1" w:tplc="B8AE866E">
      <w:numFmt w:val="decimal"/>
      <w:lvlText w:val=""/>
      <w:lvlJc w:val="left"/>
    </w:lvl>
    <w:lvl w:ilvl="2" w:tplc="A4A0085C">
      <w:numFmt w:val="decimal"/>
      <w:lvlText w:val=""/>
      <w:lvlJc w:val="left"/>
    </w:lvl>
    <w:lvl w:ilvl="3" w:tplc="FA54311C">
      <w:numFmt w:val="decimal"/>
      <w:lvlText w:val=""/>
      <w:lvlJc w:val="left"/>
    </w:lvl>
    <w:lvl w:ilvl="4" w:tplc="8966B3F0">
      <w:numFmt w:val="decimal"/>
      <w:lvlText w:val=""/>
      <w:lvlJc w:val="left"/>
    </w:lvl>
    <w:lvl w:ilvl="5" w:tplc="AD8C544E">
      <w:numFmt w:val="decimal"/>
      <w:lvlText w:val=""/>
      <w:lvlJc w:val="left"/>
    </w:lvl>
    <w:lvl w:ilvl="6" w:tplc="921A9A78">
      <w:numFmt w:val="decimal"/>
      <w:lvlText w:val=""/>
      <w:lvlJc w:val="left"/>
    </w:lvl>
    <w:lvl w:ilvl="7" w:tplc="52108858">
      <w:numFmt w:val="decimal"/>
      <w:lvlText w:val=""/>
      <w:lvlJc w:val="left"/>
    </w:lvl>
    <w:lvl w:ilvl="8" w:tplc="3244CC10">
      <w:numFmt w:val="decimal"/>
      <w:lvlText w:val=""/>
      <w:lvlJc w:val="left"/>
    </w:lvl>
  </w:abstractNum>
  <w:num w:numId="1" w16cid:durableId="1868518879">
    <w:abstractNumId w:val="0"/>
    <w:lvlOverride w:ilvl="0">
      <w:startOverride w:val="1"/>
    </w:lvlOverride>
  </w:num>
  <w:num w:numId="2" w16cid:durableId="680398530">
    <w:abstractNumId w:val="1"/>
    <w:lvlOverride w:ilvl="0">
      <w:startOverride w:val="1"/>
    </w:lvlOverride>
  </w:num>
  <w:num w:numId="3" w16cid:durableId="1118295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895"/>
    <w:rsid w:val="00012895"/>
    <w:rsid w:val="00105D91"/>
    <w:rsid w:val="00505AB7"/>
    <w:rsid w:val="00815CF5"/>
    <w:rsid w:val="008656CB"/>
    <w:rsid w:val="009C0A9B"/>
    <w:rsid w:val="00A7484C"/>
    <w:rsid w:val="00AB2DC9"/>
    <w:rsid w:val="00DA37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B022E"/>
  <w15:docId w15:val="{33BBA1AA-DAA7-4784-9D5C-DF66FB347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0"/>
      <w:szCs w:val="30"/>
    </w:rPr>
  </w:style>
  <w:style w:type="paragraph" w:styleId="Heading2">
    <w:name w:val="heading 2"/>
    <w:uiPriority w:val="9"/>
    <w:unhideWhenUsed/>
    <w:qFormat/>
    <w:pPr>
      <w:spacing w:before="28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656CB"/>
    <w:pPr>
      <w:tabs>
        <w:tab w:val="center" w:pos="4680"/>
        <w:tab w:val="right" w:pos="9360"/>
      </w:tabs>
    </w:pPr>
  </w:style>
  <w:style w:type="character" w:customStyle="1" w:styleId="HeaderChar">
    <w:name w:val="Header Char"/>
    <w:basedOn w:val="DefaultParagraphFont"/>
    <w:link w:val="Header"/>
    <w:uiPriority w:val="99"/>
    <w:rsid w:val="008656CB"/>
  </w:style>
  <w:style w:type="paragraph" w:styleId="Footer">
    <w:name w:val="footer"/>
    <w:basedOn w:val="Normal"/>
    <w:link w:val="FooterChar"/>
    <w:uiPriority w:val="99"/>
    <w:unhideWhenUsed/>
    <w:rsid w:val="008656CB"/>
    <w:pPr>
      <w:tabs>
        <w:tab w:val="center" w:pos="4680"/>
        <w:tab w:val="right" w:pos="9360"/>
      </w:tabs>
    </w:pPr>
  </w:style>
  <w:style w:type="character" w:customStyle="1" w:styleId="FooterChar">
    <w:name w:val="Footer Char"/>
    <w:basedOn w:val="DefaultParagraphFont"/>
    <w:link w:val="Footer"/>
    <w:uiPriority w:val="99"/>
    <w:rsid w:val="008656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1231</Words>
  <Characters>7018</Characters>
  <Application>Microsoft Office Word</Application>
  <DocSecurity>0</DocSecurity>
  <Lines>58</Lines>
  <Paragraphs>16</Paragraphs>
  <ScaleCrop>false</ScaleCrop>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Shamoun</cp:lastModifiedBy>
  <cp:revision>5</cp:revision>
  <dcterms:created xsi:type="dcterms:W3CDTF">2026-03-08T19:13:00Z</dcterms:created>
  <dcterms:modified xsi:type="dcterms:W3CDTF">2026-03-08T19:18:00Z</dcterms:modified>
</cp:coreProperties>
</file>