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60" w:before="600"/>
        <w:jc w:val="center"/>
      </w:pPr>
      <w:r>
        <w:rPr>
          <w:rFonts w:ascii="Arial" w:cs="Arial" w:eastAsia="Arial" w:hAnsi="Arial"/>
          <w:b/>
          <w:bCs/>
          <w:color w:val="FFFFFF"/>
          <w:sz w:val="28"/>
          <w:szCs w:val="28"/>
        </w:rPr>
        <w:t xml:space="preserve">★  DEPI FINAL PROJECT PROPOSAL  ★</w:t>
      </w:r>
    </w:p>
    <w:p>
      <w:pPr>
        <w:shd w:fill="B8860B" w:val="clear"/>
        <w:spacing w:after="40"/>
        <w:jc w:val="center"/>
      </w:pPr>
      <w:r>
        <w:rPr>
          <w:sz w:val="8"/>
          <w:szCs w:val="8"/>
        </w:rPr>
        <w:t xml:space="preserve"> </w:t>
      </w:r>
    </w:p>
    <w:p>
      <w:pPr>
        <w:spacing w:after="60" w:before="280"/>
        <w:jc w:val="center"/>
      </w:pPr>
      <w:r>
        <w:rPr>
          <w:rFonts w:ascii="Arial" w:cs="Arial" w:eastAsia="Arial" w:hAnsi="Arial"/>
          <w:b/>
          <w:bCs/>
          <w:color w:val="1F3864"/>
          <w:sz w:val="48"/>
          <w:szCs w:val="48"/>
        </w:rPr>
        <w:t xml:space="preserve">Gold as a Financial Instrument in Egypt</w:t>
      </w:r>
    </w:p>
    <w:p>
      <w:pPr>
        <w:spacing w:after="40"/>
        <w:jc w:val="center"/>
      </w:pPr>
      <w:r>
        <w:rPr>
          <w:rFonts w:ascii="Arial" w:cs="Arial" w:eastAsia="Arial" w:hAnsi="Arial"/>
          <w:color w:val="2E75B6"/>
          <w:sz w:val="28"/>
          <w:szCs w:val="28"/>
        </w:rPr>
        <w:t xml:space="preserve">Fair Value Decomposition, Crisis Analysis &amp;</w:t>
      </w:r>
    </w:p>
    <w:p>
      <w:pPr>
        <w:spacing w:after="320"/>
        <w:jc w:val="center"/>
      </w:pPr>
      <w:r>
        <w:rPr>
          <w:rFonts w:ascii="Arial" w:cs="Arial" w:eastAsia="Arial" w:hAnsi="Arial"/>
          <w:color w:val="2E75B6"/>
          <w:sz w:val="28"/>
          <w:szCs w:val="28"/>
        </w:rPr>
        <w:t xml:space="preserve">Retail Investor Decision Framework</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single" w:color="AABBD0" w:sz="4"/>
              <w:left w:val="single" w:color="AABBD0" w:sz="4"/>
              <w:bottom w:val="single" w:color="AABBD0" w:sz="4"/>
              <w:right w:val="single" w:color="AABBD0" w:sz="4"/>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Program</w:t>
            </w:r>
          </w:p>
        </w:tc>
        <w:tc>
          <w:tcPr>
            <w:tcW w:type="dxa" w:w="4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Digital Egypt Pioneers Initiative (DEPI)</w:t>
            </w:r>
          </w:p>
        </w:tc>
      </w:tr>
      <w:tr>
        <w:tc>
          <w:tcPr>
            <w:tcW w:type="dxa" w:w="22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Track</w:t>
            </w:r>
          </w:p>
        </w:tc>
        <w:tc>
          <w:tcPr>
            <w:tcW w:type="dxa" w:w="40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Data Analysis</w:t>
            </w:r>
          </w:p>
        </w:tc>
      </w:tr>
      <w:tr>
        <w:tc>
          <w:tcPr>
            <w:tcW w:type="dxa" w:w="2200"/>
            <w:tcBorders>
              <w:top w:val="single" w:color="AABBD0" w:sz="4"/>
              <w:left w:val="single" w:color="AABBD0" w:sz="4"/>
              <w:bottom w:val="single" w:color="AABBD0" w:sz="4"/>
              <w:right w:val="single" w:color="AABBD0" w:sz="4"/>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Project Type</w:t>
            </w:r>
          </w:p>
        </w:tc>
        <w:tc>
          <w:tcPr>
            <w:tcW w:type="dxa" w:w="4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Financial Data Science &amp; Engineering Project</w:t>
            </w:r>
          </w:p>
        </w:tc>
      </w:tr>
      <w:tr>
        <w:tc>
          <w:tcPr>
            <w:tcW w:type="dxa" w:w="22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Year</w:t>
            </w:r>
          </w:p>
        </w:tc>
        <w:tc>
          <w:tcPr>
            <w:tcW w:type="dxa" w:w="40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2026</w:t>
            </w:r>
          </w:p>
        </w:tc>
      </w:tr>
      <w:tr>
        <w:tc>
          <w:tcPr>
            <w:tcW w:type="dxa" w:w="2200"/>
            <w:tcBorders>
              <w:top w:val="single" w:color="AABBD0" w:sz="4"/>
              <w:left w:val="single" w:color="AABBD0" w:sz="4"/>
              <w:bottom w:val="single" w:color="AABBD0" w:sz="4"/>
              <w:right w:val="single" w:color="AABBD0" w:sz="4"/>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Data Baseline</w:t>
            </w:r>
          </w:p>
        </w:tc>
        <w:tc>
          <w:tcPr>
            <w:tcW w:type="dxa" w:w="4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January 2020 – Present</w:t>
            </w:r>
          </w:p>
        </w:tc>
      </w:tr>
      <w:tr>
        <w:tc>
          <w:tcPr>
            <w:tcW w:type="dxa" w:w="22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Tools</w:t>
            </w:r>
          </w:p>
        </w:tc>
        <w:tc>
          <w:tcPr>
            <w:tcW w:type="dxa" w:w="40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Python • SQL • Streamlit • Jupyter Notebook • Power BI • Prophet</w:t>
            </w:r>
          </w:p>
        </w:tc>
      </w:tr>
      <w:tr>
        <w:tc>
          <w:tcPr>
            <w:tcW w:type="dxa" w:w="2200"/>
            <w:tcBorders>
              <w:top w:val="single" w:color="AABBD0" w:sz="4"/>
              <w:left w:val="single" w:color="AABBD0" w:sz="4"/>
              <w:bottom w:val="single" w:color="AABBD0" w:sz="4"/>
              <w:right w:val="single" w:color="AABBD0" w:sz="4"/>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Analyst</w:t>
            </w:r>
          </w:p>
        </w:tc>
        <w:tc>
          <w:tcPr>
            <w:tcW w:type="dxa" w:w="40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Mahmoud Shamoun — Data Analyst Specialist</w:t>
            </w:r>
          </w:p>
        </w:tc>
      </w:tr>
    </w:tbl>
    <w:p>
      <w:r>
        <w:br w:type="page"/>
      </w:r>
    </w:p>
    <w:p>
      <w:pPr>
        <w:pStyle w:val="Heading1"/>
        <w:pBdr>
          <w:bottom w:val="single" w:color="B8860B" w:sz="8" w:space="4"/>
        </w:pBdr>
        <w:spacing w:after="160" w:before="340"/>
      </w:pPr>
      <w:r>
        <w:rPr>
          <w:rFonts w:ascii="Arial" w:cs="Arial" w:eastAsia="Arial" w:hAnsi="Arial"/>
          <w:b/>
          <w:bCs/>
          <w:color w:val="1F3864"/>
          <w:sz w:val="30"/>
          <w:szCs w:val="30"/>
        </w:rPr>
        <w:t xml:space="preserve">1. Introduction &amp; Background</w:t>
      </w:r>
    </w:p>
    <w:p>
      <w:pPr>
        <w:spacing w:after="160"/>
      </w:pPr>
      <w:r>
        <w:rPr>
          <w:rFonts w:ascii="Arial" w:cs="Arial" w:eastAsia="Arial" w:hAnsi="Arial"/>
          <w:color w:val="1A1A2E"/>
          <w:sz w:val="20"/>
          <w:szCs w:val="20"/>
        </w:rPr>
        <w:t xml:space="preserve">Gold has historically served as Egypt’s most resilient store of value, functioning simultaneously as a household savings instrument, an inflation hedge, and a geopolitical risk buffer. Its unique dual nature — anchored to global commodity markets yet priced in a chronically depreciating local currency — makes it a particularly complex financial instrument that demands rigorous, multi-dimensional analytical treatment.</w:t>
      </w:r>
    </w:p>
    <w:p>
      <w:pPr>
        <w:spacing w:after="160"/>
      </w:pPr>
      <w:r>
        <w:rPr>
          <w:rFonts w:ascii="Arial" w:cs="Arial" w:eastAsia="Arial" w:hAnsi="Arial"/>
          <w:color w:val="1A1A2E"/>
          <w:sz w:val="20"/>
          <w:szCs w:val="20"/>
        </w:rPr>
        <w:t xml:space="preserve">Since January 2020, Egypt’s macroeconomic landscape has been subjected to an extraordinary sequence of structural shocks, each leaving a measurable imprint on local gold prices:</w:t>
      </w:r>
    </w:p>
    <w:p>
      <w:pPr>
        <w:pStyle w:val="ListParagraph"/>
        <w:numPr>
          <w:ilvl w:val="0"/>
          <w:numId w:val="2"/>
        </w:numPr>
        <w:spacing w:after="80"/>
      </w:pPr>
      <w:r>
        <w:rPr>
          <w:rFonts w:ascii="Arial" w:cs="Arial" w:eastAsia="Arial" w:hAnsi="Arial"/>
          <w:color w:val="1A1A2E"/>
          <w:sz w:val="20"/>
          <w:szCs w:val="20"/>
        </w:rPr>
        <w:t xml:space="preserve">COVID-19 global disruption (March 2020): A flight-to-safety event drove global spot prices to then-record highs, amplified domestically by supply-chain disruptions.</w:t>
      </w:r>
    </w:p>
    <w:p>
      <w:pPr>
        <w:pStyle w:val="ListParagraph"/>
        <w:numPr>
          <w:ilvl w:val="0"/>
          <w:numId w:val="2"/>
        </w:numPr>
        <w:spacing w:after="80"/>
      </w:pPr>
      <w:r>
        <w:rPr>
          <w:rFonts w:ascii="Arial" w:cs="Arial" w:eastAsia="Arial" w:hAnsi="Arial"/>
          <w:color w:val="1A1A2E"/>
          <w:sz w:val="20"/>
          <w:szCs w:val="20"/>
        </w:rPr>
        <w:t xml:space="preserve">Exchange rate flotation events (March 2022, October 2022, March 2024): The Central Bank of Egypt’s successive managed and free-float devaluation cycles caused the USD/EGP rate to surge from approximately 15.7 in early 2020 to over 50 by mid-2024, transmitting directly into local gold price levels.</w:t>
      </w:r>
    </w:p>
    <w:p>
      <w:pPr>
        <w:pStyle w:val="ListParagraph"/>
        <w:numPr>
          <w:ilvl w:val="0"/>
          <w:numId w:val="2"/>
        </w:numPr>
        <w:spacing w:after="80"/>
      </w:pPr>
      <w:r>
        <w:rPr>
          <w:rFonts w:ascii="Arial" w:cs="Arial" w:eastAsia="Arial" w:hAnsi="Arial"/>
          <w:color w:val="1A1A2E"/>
          <w:sz w:val="20"/>
          <w:szCs w:val="20"/>
        </w:rPr>
        <w:t xml:space="preserve">Russia–Ukraine war (February 2022): Energy price shocks, global inflation surges, and heightened safe-haven demand reinforced upward gold price pressure globally.</w:t>
      </w:r>
    </w:p>
    <w:p>
      <w:pPr>
        <w:pStyle w:val="ListParagraph"/>
        <w:numPr>
          <w:ilvl w:val="0"/>
          <w:numId w:val="2"/>
        </w:numPr>
        <w:spacing w:after="80"/>
      </w:pPr>
      <w:r>
        <w:rPr>
          <w:rFonts w:ascii="Arial" w:cs="Arial" w:eastAsia="Arial" w:hAnsi="Arial"/>
          <w:color w:val="1A1A2E"/>
          <w:sz w:val="20"/>
          <w:szCs w:val="20"/>
        </w:rPr>
        <w:t xml:space="preserve">Gaza conflict escalation (October 2023 – present) and geopolitical risk re-pricing.</w:t>
      </w:r>
    </w:p>
    <w:p>
      <w:pPr>
        <w:pStyle w:val="ListParagraph"/>
        <w:numPr>
          <w:ilvl w:val="0"/>
          <w:numId w:val="2"/>
        </w:numPr>
        <w:spacing w:after="80"/>
      </w:pPr>
      <w:r>
        <w:rPr>
          <w:rFonts w:ascii="Arial" w:cs="Arial" w:eastAsia="Arial" w:hAnsi="Arial"/>
          <w:color w:val="1A1A2E"/>
          <w:sz w:val="20"/>
          <w:szCs w:val="20"/>
        </w:rPr>
        <w:t xml:space="preserve">US Federal Reserve monetary tightening cycle (2022–2024) and subsequent rate-cut pivot (September 2024 onwards): Altering the global opportunity cost of holding non-yielding gold.</w:t>
      </w:r>
    </w:p>
    <w:p>
      <w:pPr>
        <w:pStyle w:val="ListParagraph"/>
        <w:numPr>
          <w:ilvl w:val="0"/>
          <w:numId w:val="2"/>
        </w:numPr>
        <w:spacing w:after="80"/>
      </w:pPr>
      <w:r>
        <w:rPr>
          <w:rFonts w:ascii="Arial" w:cs="Arial" w:eastAsia="Arial" w:hAnsi="Arial"/>
          <w:color w:val="1A1A2E"/>
          <w:sz w:val="20"/>
          <w:szCs w:val="20"/>
        </w:rPr>
        <w:t xml:space="preserve">Trump tariff escalation and gold’s historic breach of $3,500/oz (April 2025).</w:t>
      </w:r>
    </w:p>
    <w:p>
      <w:pPr>
        <w:spacing w:after="40"/>
      </w:pPr>
      <w:r>
        <w:t xml:space="preserve"/>
      </w:r>
    </w:p>
    <w:p>
      <w:pPr>
        <w:spacing w:after="160"/>
      </w:pPr>
      <w:r>
        <w:rPr>
          <w:rFonts w:ascii="Arial" w:cs="Arial" w:eastAsia="Arial" w:hAnsi="Arial"/>
          <w:color w:val="1A1A2E"/>
          <w:sz w:val="20"/>
          <w:szCs w:val="20"/>
        </w:rPr>
        <w:t xml:space="preserve">These events create an analytically rich yet structurally complex dataset that demands a hybrid data science and financial engineering methodology. This project transcends simple price tracking: it treats gold as a multi-factor financial instrument decomposed into its constituent drivers, modelled econometrically, simulated under real-world market frictions, and forecasted using state-of-the-art machine learning — all within a production-grade, multi-stack analytical platform (SQL + Jupyter + Streamlit + Power BI).</w:t>
      </w:r>
    </w:p>
    <w:p>
      <w:pPr>
        <w:spacing w:after="160"/>
      </w:pPr>
      <w:r>
        <w:rPr>
          <w:rFonts w:ascii="Arial" w:cs="Arial" w:eastAsia="Arial" w:hAnsi="Arial"/>
          <w:color w:val="1A1A2E"/>
          <w:sz w:val="20"/>
          <w:szCs w:val="20"/>
        </w:rPr>
        <w:t xml:space="preserve">The January 2020 baseline is deliberately chosen as the analytical anchor, capturing the pre-shock equilibrium against which all structural breaks, currency depreciations, and premium expansions are measured.</w:t>
      </w:r>
    </w:p>
    <w:p>
      <w:r>
        <w:br w:type="page"/>
      </w:r>
    </w:p>
    <w:p>
      <w:pPr>
        <w:pStyle w:val="Heading1"/>
        <w:pBdr>
          <w:bottom w:val="single" w:color="B8860B" w:sz="8" w:space="4"/>
        </w:pBdr>
        <w:spacing w:after="160" w:before="340"/>
      </w:pPr>
      <w:r>
        <w:rPr>
          <w:rFonts w:ascii="Arial" w:cs="Arial" w:eastAsia="Arial" w:hAnsi="Arial"/>
          <w:b/>
          <w:bCs/>
          <w:color w:val="1F3864"/>
          <w:sz w:val="30"/>
          <w:szCs w:val="30"/>
        </w:rPr>
        <w:t xml:space="preserve">2. Problem Statement</w:t>
      </w:r>
    </w:p>
    <w:p>
      <w:pPr>
        <w:spacing w:after="160"/>
      </w:pPr>
      <w:r>
        <w:rPr>
          <w:rFonts w:ascii="Arial" w:cs="Arial" w:eastAsia="Arial" w:hAnsi="Arial"/>
          <w:color w:val="1A1A2E"/>
          <w:sz w:val="20"/>
          <w:szCs w:val="20"/>
        </w:rPr>
        <w:t xml:space="preserve">Retail investors in Egypt represent the primary demand base for physical gold, yet they operate without access to the rigorous quantitative tools available to institutional participants. The critical knowledge gap is not the price of gold, but its price composition:</w:t>
      </w:r>
    </w:p>
    <w:p>
      <w:pPr>
        <w:pStyle w:val="ListParagraph"/>
        <w:numPr>
          <w:ilvl w:val="0"/>
          <w:numId w:val="2"/>
        </w:numPr>
        <w:spacing w:after="80"/>
      </w:pPr>
      <w:r>
        <w:rPr>
          <w:rFonts w:ascii="Arial" w:cs="Arial" w:eastAsia="Arial" w:hAnsi="Arial"/>
          <w:color w:val="1A1A2E"/>
          <w:sz w:val="20"/>
          <w:szCs w:val="20"/>
        </w:rPr>
        <w:t xml:space="preserve">Is the current price driven by genuine global value appreciation (rising international spot prices)?</w:t>
      </w:r>
    </w:p>
    <w:p>
      <w:pPr>
        <w:pStyle w:val="ListParagraph"/>
        <w:numPr>
          <w:ilvl w:val="0"/>
          <w:numId w:val="2"/>
        </w:numPr>
        <w:spacing w:after="80"/>
      </w:pPr>
      <w:r>
        <w:rPr>
          <w:rFonts w:ascii="Arial" w:cs="Arial" w:eastAsia="Arial" w:hAnsi="Arial"/>
          <w:color w:val="1A1A2E"/>
          <w:sz w:val="20"/>
          <w:szCs w:val="20"/>
        </w:rPr>
        <w:t xml:space="preserve">Is it driven by exchange rate depreciation (the EGP losing purchasing power against the USD)?</w:t>
      </w:r>
    </w:p>
    <w:p>
      <w:pPr>
        <w:pStyle w:val="ListParagraph"/>
        <w:numPr>
          <w:ilvl w:val="0"/>
          <w:numId w:val="2"/>
        </w:numPr>
        <w:spacing w:after="80"/>
      </w:pPr>
      <w:r>
        <w:rPr>
          <w:rFonts w:ascii="Arial" w:cs="Arial" w:eastAsia="Arial" w:hAnsi="Arial"/>
          <w:color w:val="1A1A2E"/>
          <w:sz w:val="20"/>
          <w:szCs w:val="20"/>
        </w:rPr>
        <w:t xml:space="preserve">Or is it driven by local market distortions, speculative panic premiums, or illiquidity spreads that create temporary mispricing opportunities or risk traps?</w:t>
      </w:r>
    </w:p>
    <w:p>
      <w:pPr>
        <w:spacing w:after="40"/>
      </w:pPr>
      <w:r>
        <w:t xml:space="preserve"/>
      </w:r>
    </w:p>
    <w:p>
      <w:pPr>
        <w:spacing w:after="160"/>
      </w:pPr>
      <w:r>
        <w:rPr>
          <w:rFonts w:ascii="Arial" w:cs="Arial" w:eastAsia="Arial" w:hAnsi="Arial"/>
          <w:color w:val="1A1A2E"/>
          <w:sz w:val="20"/>
          <w:szCs w:val="20"/>
        </w:rPr>
        <w:t xml:space="preserve">Compounding this structural opacity are real-world transaction frictions that erode retail investor returns yet are systematically absent from academic analyses: making charges (المصنعية) at purchase and bid-ask spreads at liquidation. Without accounting for these costs, simulated investment returns are fundamentally misleading.</w:t>
      </w:r>
    </w:p>
    <w:p>
      <w:pPr>
        <w:spacing w:after="160"/>
      </w:pPr>
      <w:r>
        <w:rPr>
          <w:rFonts w:ascii="Arial" w:cs="Arial" w:eastAsia="Arial" w:hAnsi="Arial"/>
          <w:color w:val="1A1A2E"/>
          <w:sz w:val="20"/>
          <w:szCs w:val="20"/>
        </w:rPr>
        <w:t xml:space="preserve">A further technical dimension concerns forecasting: existing publicly available gold price models for the Egyptian market either use naive univariate approaches or fail to correctly handle the temporal misalignment between calendar-day Prophet forecasting timelines and trading-day data frequencies — a source of systematic alignment crashes and array shape errors in published notebooks.</w:t>
      </w:r>
    </w:p>
    <w:p>
      <w:pPr>
        <w:spacing w:after="160"/>
      </w:pPr>
      <w:r>
        <w:rPr>
          <w:rFonts w:ascii="Arial" w:cs="Arial" w:eastAsia="Arial" w:hAnsi="Arial"/>
          <w:color w:val="1A1A2E"/>
          <w:sz w:val="20"/>
          <w:szCs w:val="20"/>
        </w:rPr>
        <w:t xml:space="preserve">This project addresses all three dimensions: structural price decomposition, friction-adjusted investment simulation, and a robust multi-stage forecasting architecture — deployed across a full hybrid analytical stack (SQL, Jupyter, Streamlit, Power BI) suitable for both academic research and corporate executive consumption.</w:t>
      </w:r>
    </w:p>
    <w:p>
      <w:pPr>
        <w:pStyle w:val="Heading1"/>
        <w:pBdr>
          <w:bottom w:val="single" w:color="B8860B" w:sz="8" w:space="4"/>
        </w:pBdr>
        <w:spacing w:after="160" w:before="340"/>
      </w:pPr>
      <w:r>
        <w:rPr>
          <w:rFonts w:ascii="Arial" w:cs="Arial" w:eastAsia="Arial" w:hAnsi="Arial"/>
          <w:b/>
          <w:bCs/>
          <w:color w:val="1F3864"/>
          <w:sz w:val="30"/>
          <w:szCs w:val="30"/>
        </w:rPr>
        <w:t xml:space="preserve">3. Research Questions</w:t>
      </w:r>
    </w:p>
    <w:p>
      <w:pPr>
        <w:spacing w:after="160"/>
      </w:pPr>
      <w:r>
        <w:rPr>
          <w:rFonts w:ascii="Arial" w:cs="Arial" w:eastAsia="Arial" w:hAnsi="Arial"/>
          <w:color w:val="1A1A2E"/>
          <w:sz w:val="20"/>
          <w:szCs w:val="20"/>
        </w:rPr>
        <w:t xml:space="preserve">This project is guided by the following core research questions:</w:t>
      </w:r>
    </w:p>
    <w:p>
      <w:pPr>
        <w:pStyle w:val="ListParagraph"/>
        <w:numPr>
          <w:ilvl w:val="0"/>
          <w:numId w:val="3"/>
        </w:numPr>
        <w:spacing w:after="80"/>
      </w:pPr>
      <w:r>
        <w:rPr>
          <w:rFonts w:ascii="Arial" w:cs="Arial" w:eastAsia="Arial" w:hAnsi="Arial"/>
          <w:color w:val="1A1A2E"/>
          <w:sz w:val="20"/>
          <w:szCs w:val="20"/>
        </w:rPr>
        <w:t xml:space="preserve">What fraction of Egyptian gold price movement (January 2020–present) is attributable to global spot price appreciation versus USD/EGP exchange rate depreciation versus local market premium expansion?</w:t>
      </w:r>
    </w:p>
    <w:p>
      <w:pPr>
        <w:pStyle w:val="ListParagraph"/>
        <w:numPr>
          <w:ilvl w:val="0"/>
          <w:numId w:val="3"/>
        </w:numPr>
        <w:spacing w:after="80"/>
      </w:pPr>
      <w:r>
        <w:rPr>
          <w:rFonts w:ascii="Arial" w:cs="Arial" w:eastAsia="Arial" w:hAnsi="Arial"/>
          <w:color w:val="1A1A2E"/>
          <w:sz w:val="20"/>
          <w:szCs w:val="20"/>
        </w:rPr>
        <w:t xml:space="preserve">What is the theoretical fair value of gold in Egypt at any given date, and how large is the current deviation from fair value?</w:t>
      </w:r>
    </w:p>
    <w:p>
      <w:pPr>
        <w:pStyle w:val="ListParagraph"/>
        <w:numPr>
          <w:ilvl w:val="0"/>
          <w:numId w:val="3"/>
        </w:numPr>
        <w:spacing w:after="80"/>
      </w:pPr>
      <w:r>
        <w:rPr>
          <w:rFonts w:ascii="Arial" w:cs="Arial" w:eastAsia="Arial" w:hAnsi="Arial"/>
          <w:color w:val="1A1A2E"/>
          <w:sz w:val="20"/>
          <w:szCs w:val="20"/>
        </w:rPr>
        <w:t xml:space="preserve">Does the Egyptian gold market exhibit statistically significant speculative or panic premium bubbles during specific crisis windows?</w:t>
      </w:r>
    </w:p>
    <w:p>
      <w:pPr>
        <w:pStyle w:val="ListParagraph"/>
        <w:numPr>
          <w:ilvl w:val="0"/>
          <w:numId w:val="3"/>
        </w:numPr>
        <w:spacing w:after="80"/>
      </w:pPr>
      <w:r>
        <w:rPr>
          <w:rFonts w:ascii="Arial" w:cs="Arial" w:eastAsia="Arial" w:hAnsi="Arial"/>
          <w:color w:val="1A1A2E"/>
          <w:sz w:val="20"/>
          <w:szCs w:val="20"/>
        </w:rPr>
        <w:t xml:space="preserve">Which macroeconomic regressor (USD/EGP, crude oil, US Treasury yield, S&amp;P 500) holds the highest explanatory power for local gold price variation?</w:t>
      </w:r>
    </w:p>
    <w:p>
      <w:pPr>
        <w:pStyle w:val="ListParagraph"/>
        <w:numPr>
          <w:ilvl w:val="0"/>
          <w:numId w:val="3"/>
        </w:numPr>
        <w:spacing w:after="80"/>
      </w:pPr>
      <w:r>
        <w:rPr>
          <w:rFonts w:ascii="Arial" w:cs="Arial" w:eastAsia="Arial" w:hAnsi="Arial"/>
          <w:color w:val="1A1A2E"/>
          <w:sz w:val="20"/>
          <w:szCs w:val="20"/>
        </w:rPr>
        <w:t xml:space="preserve">How do gold returns (net of making charges and bid-ask spreads) compare to USD and EGP cash positions as stores of value since January 2020?</w:t>
      </w:r>
    </w:p>
    <w:p>
      <w:pPr>
        <w:pStyle w:val="ListParagraph"/>
        <w:numPr>
          <w:ilvl w:val="0"/>
          <w:numId w:val="3"/>
        </w:numPr>
        <w:spacing w:after="80"/>
      </w:pPr>
      <w:r>
        <w:rPr>
          <w:rFonts w:ascii="Arial" w:cs="Arial" w:eastAsia="Arial" w:hAnsi="Arial"/>
          <w:color w:val="1A1A2E"/>
          <w:sz w:val="20"/>
          <w:szCs w:val="20"/>
        </w:rPr>
        <w:t xml:space="preserve">Can a multi-stage Prophet model, using USD/EGP and crude oil as independently-forecasted exogenous regressors, reliably forecast Egyptian gold prices at 6-month and 12-month horizons?</w:t>
      </w:r>
    </w:p>
    <w:p>
      <w:pPr>
        <w:pStyle w:val="ListParagraph"/>
        <w:numPr>
          <w:ilvl w:val="0"/>
          <w:numId w:val="3"/>
        </w:numPr>
        <w:spacing w:after="80"/>
      </w:pPr>
      <w:r>
        <w:rPr>
          <w:rFonts w:ascii="Arial" w:cs="Arial" w:eastAsia="Arial" w:hAnsi="Arial"/>
          <w:color w:val="1A1A2E"/>
          <w:sz w:val="20"/>
          <w:szCs w:val="20"/>
        </w:rPr>
        <w:t xml:space="preserve">What automated technical signal (RSI, MACD crossover, Bollinger Band position) best characterizes the current entry/exit opportunity across gold karat grades?</w:t>
      </w:r>
    </w:p>
    <w:p>
      <w:r>
        <w:br w:type="page"/>
      </w:r>
    </w:p>
    <w:p>
      <w:pPr>
        <w:pStyle w:val="Heading1"/>
        <w:pBdr>
          <w:bottom w:val="single" w:color="B8860B" w:sz="8" w:space="4"/>
        </w:pBdr>
        <w:spacing w:after="160" w:before="340"/>
      </w:pPr>
      <w:r>
        <w:rPr>
          <w:rFonts w:ascii="Arial" w:cs="Arial" w:eastAsia="Arial" w:hAnsi="Arial"/>
          <w:b/>
          <w:bCs/>
          <w:color w:val="1F3864"/>
          <w:sz w:val="30"/>
          <w:szCs w:val="30"/>
        </w:rPr>
        <w:t xml:space="preserve">4. Project Objectives</w:t>
      </w:r>
    </w:p>
    <w:p>
      <w:pPr>
        <w:spacing w:after="160"/>
      </w:pPr>
      <w:r>
        <w:rPr>
          <w:rFonts w:ascii="Arial" w:cs="Arial" w:eastAsia="Arial" w:hAnsi="Arial"/>
          <w:color w:val="1A1A2E"/>
          <w:sz w:val="20"/>
          <w:szCs w:val="20"/>
        </w:rPr>
        <w:t xml:space="preserve">This project is structured around four interconnected analytical objectives that together form a complete financial intelligence framework:</w:t>
      </w:r>
    </w:p>
    <w:p>
      <w:pPr>
        <w:pStyle w:val="Heading2"/>
        <w:spacing w:after="100" w:before="240"/>
      </w:pPr>
      <w:r>
        <w:rPr>
          <w:rFonts w:ascii="Arial" w:cs="Arial" w:eastAsia="Arial" w:hAnsi="Arial"/>
          <w:b/>
          <w:bCs/>
          <w:color w:val="2E75B6"/>
          <w:sz w:val="24"/>
          <w:szCs w:val="24"/>
        </w:rPr>
        <w:t xml:space="preserve">4.1 Macroeconomic Relationship &amp; Correlation Analysis</w:t>
      </w:r>
    </w:p>
    <w:p>
      <w:pPr>
        <w:pStyle w:val="ListParagraph"/>
        <w:numPr>
          <w:ilvl w:val="0"/>
          <w:numId w:val="2"/>
        </w:numPr>
        <w:spacing w:after="80"/>
      </w:pPr>
      <w:r>
        <w:rPr>
          <w:rFonts w:ascii="Arial" w:cs="Arial" w:eastAsia="Arial" w:hAnsi="Arial"/>
          <w:color w:val="1A1A2E"/>
          <w:sz w:val="20"/>
          <w:szCs w:val="20"/>
        </w:rPr>
        <w:t xml:space="preserve">Quantify the linear and rank correlations between global gold futures (GC=F) and local 21K/24K/18K EGP prices across the full Jan 2020–present window.</w:t>
      </w:r>
    </w:p>
    <w:p>
      <w:pPr>
        <w:pStyle w:val="ListParagraph"/>
        <w:numPr>
          <w:ilvl w:val="0"/>
          <w:numId w:val="2"/>
        </w:numPr>
        <w:spacing w:after="80"/>
      </w:pPr>
      <w:r>
        <w:rPr>
          <w:rFonts w:ascii="Arial" w:cs="Arial" w:eastAsia="Arial" w:hAnsi="Arial"/>
          <w:color w:val="1A1A2E"/>
          <w:sz w:val="20"/>
          <w:szCs w:val="20"/>
        </w:rPr>
        <w:t xml:space="preserve">Isolate the marginal contribution of USD/EGP, crude oil, US Treasury yields, and the S&amp;P 500 to local gold price variance via multiple regression (OLS with HAC standard errors).</w:t>
      </w:r>
    </w:p>
    <w:p>
      <w:pPr>
        <w:pStyle w:val="ListParagraph"/>
        <w:numPr>
          <w:ilvl w:val="0"/>
          <w:numId w:val="2"/>
        </w:numPr>
        <w:spacing w:after="80"/>
      </w:pPr>
      <w:r>
        <w:rPr>
          <w:rFonts w:ascii="Arial" w:cs="Arial" w:eastAsia="Arial" w:hAnsi="Arial"/>
          <w:color w:val="1A1A2E"/>
          <w:sz w:val="20"/>
          <w:szCs w:val="20"/>
        </w:rPr>
        <w:t xml:space="preserve">Conduct structural break and crisis window event studies: COVID-19, EGP flotation cycles, Russia-Ukraine, Gaza conflict, Fed pivot, and Trump tariff shock.</w:t>
      </w:r>
    </w:p>
    <w:p>
      <w:pPr>
        <w:pStyle w:val="ListParagraph"/>
        <w:numPr>
          <w:ilvl w:val="0"/>
          <w:numId w:val="2"/>
        </w:numPr>
        <w:spacing w:after="80"/>
      </w:pPr>
      <w:r>
        <w:rPr>
          <w:rFonts w:ascii="Arial" w:cs="Arial" w:eastAsia="Arial" w:hAnsi="Arial"/>
          <w:color w:val="1A1A2E"/>
          <w:sz w:val="20"/>
          <w:szCs w:val="20"/>
        </w:rPr>
        <w:t xml:space="preserve">Produce correlation heatmaps and regression coefficient visualizations validated in both Jupyter and Power BI decomposition trees.</w:t>
      </w:r>
    </w:p>
    <w:p>
      <w:pPr>
        <w:pStyle w:val="Heading2"/>
        <w:spacing w:after="100" w:before="240"/>
      </w:pPr>
      <w:r>
        <w:rPr>
          <w:rFonts w:ascii="Arial" w:cs="Arial" w:eastAsia="Arial" w:hAnsi="Arial"/>
          <w:b/>
          <w:bCs/>
          <w:color w:val="2E75B6"/>
          <w:sz w:val="24"/>
          <w:szCs w:val="24"/>
        </w:rPr>
        <w:t xml:space="preserve">4.2 Price Anatomy &amp; Fair Value Decomposition</w:t>
      </w:r>
    </w:p>
    <w:p>
      <w:pPr>
        <w:pStyle w:val="ListParagraph"/>
        <w:numPr>
          <w:ilvl w:val="0"/>
          <w:numId w:val="2"/>
        </w:numPr>
        <w:spacing w:after="80"/>
      </w:pPr>
      <w:r>
        <w:rPr>
          <w:rFonts w:ascii="Arial" w:cs="Arial" w:eastAsia="Arial" w:hAnsi="Arial"/>
          <w:color w:val="1A1A2E"/>
          <w:sz w:val="20"/>
          <w:szCs w:val="20"/>
        </w:rPr>
        <w:t xml:space="preserve">Engineer the three-component price anatomy: (i) Global Value Component — derived using the Jan 2020 EGP/USD baseline rate of 15.70; (ii) Currency Impact — the appreciation in EGP/gram attributable solely to USD/EGP depreciation since Jan 2020; (iii) Local Inflation &amp; Speculation Premium — the residual delta between actual and theoretical prices, expressed in absolute EGP and as PremPct%.</w:t>
      </w:r>
    </w:p>
    <w:p>
      <w:pPr>
        <w:pStyle w:val="ListParagraph"/>
        <w:numPr>
          <w:ilvl w:val="0"/>
          <w:numId w:val="2"/>
        </w:numPr>
        <w:spacing w:after="80"/>
      </w:pPr>
      <w:r>
        <w:rPr>
          <w:rFonts w:ascii="Arial" w:cs="Arial" w:eastAsia="Arial" w:hAnsi="Arial"/>
          <w:color w:val="1A1A2E"/>
          <w:sz w:val="20"/>
          <w:szCs w:val="20"/>
        </w:rPr>
        <w:t xml:space="preserve">Compute a dynamic Fair Value Index (FVI = Actual Price / Theoretical Price) as a real-time market distortion indicator.</w:t>
      </w:r>
    </w:p>
    <w:p>
      <w:pPr>
        <w:pStyle w:val="ListParagraph"/>
        <w:numPr>
          <w:ilvl w:val="0"/>
          <w:numId w:val="2"/>
        </w:numPr>
        <w:spacing w:after="80"/>
      </w:pPr>
      <w:r>
        <w:rPr>
          <w:rFonts w:ascii="Arial" w:cs="Arial" w:eastAsia="Arial" w:hAnsi="Arial"/>
          <w:color w:val="1A1A2E"/>
          <w:sz w:val="20"/>
          <w:szCs w:val="20"/>
        </w:rPr>
        <w:t xml:space="preserve">Validate decomposition outputs in Power BI with stacked area charts, drill-through tables, and time-sliced premium analysis.</w:t>
      </w:r>
    </w:p>
    <w:p>
      <w:pPr>
        <w:pStyle w:val="Heading2"/>
        <w:spacing w:after="100" w:before="240"/>
      </w:pPr>
      <w:r>
        <w:rPr>
          <w:rFonts w:ascii="Arial" w:cs="Arial" w:eastAsia="Arial" w:hAnsi="Arial"/>
          <w:b/>
          <w:bCs/>
          <w:color w:val="2E75B6"/>
          <w:sz w:val="24"/>
          <w:szCs w:val="24"/>
        </w:rPr>
        <w:t xml:space="preserve">4.3 Net-Return Investment Performance Simulation</w:t>
      </w:r>
    </w:p>
    <w:p>
      <w:pPr>
        <w:pStyle w:val="ListParagraph"/>
        <w:numPr>
          <w:ilvl w:val="0"/>
          <w:numId w:val="2"/>
        </w:numPr>
        <w:spacing w:after="80"/>
      </w:pPr>
      <w:r>
        <w:rPr>
          <w:rFonts w:ascii="Arial" w:cs="Arial" w:eastAsia="Arial" w:hAnsi="Arial"/>
          <w:color w:val="1A1A2E"/>
          <w:sz w:val="20"/>
          <w:szCs w:val="20"/>
        </w:rPr>
        <w:t xml:space="preserve">Simulate a 100,000 EGP investment baseline from January 1, 2020 across five asset classes: gold 24K, 21K, 18K, USD, and EGP cash.</w:t>
      </w:r>
    </w:p>
    <w:p>
      <w:pPr>
        <w:pStyle w:val="ListParagraph"/>
        <w:numPr>
          <w:ilvl w:val="0"/>
          <w:numId w:val="2"/>
        </w:numPr>
        <w:spacing w:after="80"/>
      </w:pPr>
      <w:r>
        <w:rPr>
          <w:rFonts w:ascii="Arial" w:cs="Arial" w:eastAsia="Arial" w:hAnsi="Arial"/>
          <w:color w:val="1A1A2E"/>
          <w:sz w:val="20"/>
          <w:szCs w:val="20"/>
        </w:rPr>
        <w:t xml:space="preserve">Apply real market frictions: making charges at entry (24K: +60 EGP/gram, 21K: +150 EGP/gram, 18K: +220 EGP/gram) and bid-ask sell spread at liquidation (24K: 0.5%, 21K: 1.0%, 18K: 1.5%).</w:t>
      </w:r>
    </w:p>
    <w:p>
      <w:pPr>
        <w:pStyle w:val="ListParagraph"/>
        <w:numPr>
          <w:ilvl w:val="0"/>
          <w:numId w:val="2"/>
        </w:numPr>
        <w:spacing w:after="80"/>
      </w:pPr>
      <w:r>
        <w:rPr>
          <w:rFonts w:ascii="Arial" w:cs="Arial" w:eastAsia="Arial" w:hAnsi="Arial"/>
          <w:color w:val="1A1A2E"/>
          <w:sz w:val="20"/>
          <w:szCs w:val="20"/>
        </w:rPr>
        <w:t xml:space="preserve">Compute and compare: Cumulative Net Return, Annualized Return, Annualized Volatility, Sharpe Ratio (annualized, risk-free = 0), Rolling Maximum Drawdown (peak-to-trough), and Value-at-Risk (VaR 95%).</w:t>
      </w:r>
    </w:p>
    <w:p>
      <w:pPr>
        <w:pStyle w:val="ListParagraph"/>
        <w:numPr>
          <w:ilvl w:val="0"/>
          <w:numId w:val="2"/>
        </w:numPr>
        <w:spacing w:after="80"/>
      </w:pPr>
      <w:r>
        <w:rPr>
          <w:rFonts w:ascii="Arial" w:cs="Arial" w:eastAsia="Arial" w:hAnsi="Arial"/>
          <w:color w:val="1A1A2E"/>
          <w:sz w:val="20"/>
          <w:szCs w:val="20"/>
        </w:rPr>
        <w:t xml:space="preserve">Deliver comparative findings in both the Streamlit interactive simulator and a Power BI portfolio tracker with periodic drill-through.</w:t>
      </w:r>
    </w:p>
    <w:p>
      <w:pPr>
        <w:pStyle w:val="Heading2"/>
        <w:spacing w:after="100" w:before="240"/>
      </w:pPr>
      <w:r>
        <w:rPr>
          <w:rFonts w:ascii="Arial" w:cs="Arial" w:eastAsia="Arial" w:hAnsi="Arial"/>
          <w:b/>
          <w:bCs/>
          <w:color w:val="2E75B6"/>
          <w:sz w:val="24"/>
          <w:szCs w:val="24"/>
        </w:rPr>
        <w:t xml:space="preserve">4.4 Multi-Stage Forecasting &amp; Automated Decision Support</w:t>
      </w:r>
    </w:p>
    <w:p>
      <w:pPr>
        <w:pStyle w:val="ListParagraph"/>
        <w:numPr>
          <w:ilvl w:val="0"/>
          <w:numId w:val="2"/>
        </w:numPr>
        <w:spacing w:after="80"/>
      </w:pPr>
      <w:r>
        <w:rPr>
          <w:rFonts w:ascii="Arial" w:cs="Arial" w:eastAsia="Arial" w:hAnsi="Arial"/>
          <w:color w:val="1A1A2E"/>
          <w:sz w:val="20"/>
          <w:szCs w:val="20"/>
        </w:rPr>
        <w:t xml:space="preserve">Deploy a multi-stage Facebook Prophet pipeline with USD/EGP and crude oil as independently-forecasted exogenous regressors (Historical Date Merge Strategy to prevent calendar/trading-day alignment failures).</w:t>
      </w:r>
    </w:p>
    <w:p>
      <w:pPr>
        <w:pStyle w:val="ListParagraph"/>
        <w:numPr>
          <w:ilvl w:val="0"/>
          <w:numId w:val="2"/>
        </w:numPr>
        <w:spacing w:after="80"/>
      </w:pPr>
      <w:r>
        <w:rPr>
          <w:rFonts w:ascii="Arial" w:cs="Arial" w:eastAsia="Arial" w:hAnsi="Arial"/>
          <w:color w:val="1A1A2E"/>
          <w:sz w:val="20"/>
          <w:szCs w:val="20"/>
        </w:rPr>
        <w:t xml:space="preserve">Generate 30–365-day rolling forecasts with 95% confidence intervals; evaluate with MAE and RMSE on in-sample fit.</w:t>
      </w:r>
    </w:p>
    <w:p>
      <w:pPr>
        <w:pStyle w:val="ListParagraph"/>
        <w:numPr>
          <w:ilvl w:val="0"/>
          <w:numId w:val="2"/>
        </w:numPr>
        <w:spacing w:after="80"/>
      </w:pPr>
      <w:r>
        <w:rPr>
          <w:rFonts w:ascii="Arial" w:cs="Arial" w:eastAsia="Arial" w:hAnsi="Arial"/>
          <w:color w:val="1A1A2E"/>
          <w:sz w:val="20"/>
          <w:szCs w:val="20"/>
        </w:rPr>
        <w:t xml:space="preserve">Construct an automated signal engine: RSI-14 (overbought / oversold), MACD (12,26,9) crossover, and Bollinger Band (20-day, 2σ) position classifier producing BUY / HOLD / SELL composite outputs.</w:t>
      </w:r>
    </w:p>
    <w:p>
      <w:pPr>
        <w:pStyle w:val="ListParagraph"/>
        <w:numPr>
          <w:ilvl w:val="0"/>
          <w:numId w:val="2"/>
        </w:numPr>
        <w:spacing w:after="80"/>
      </w:pPr>
      <w:r>
        <w:rPr>
          <w:rFonts w:ascii="Arial" w:cs="Arial" w:eastAsia="Arial" w:hAnsi="Arial"/>
          <w:color w:val="1A1A2E"/>
          <w:sz w:val="20"/>
          <w:szCs w:val="20"/>
        </w:rPr>
        <w:t xml:space="preserve">Deploy both the forecast panel and signal engine across the Streamlit web application and Power BI executive dashboard.</w:t>
      </w:r>
    </w:p>
    <w:p>
      <w:r>
        <w:br w:type="page"/>
      </w:r>
    </w:p>
    <w:p>
      <w:pPr>
        <w:pStyle w:val="Heading1"/>
        <w:pBdr>
          <w:bottom w:val="single" w:color="B8860B" w:sz="8" w:space="4"/>
        </w:pBdr>
        <w:spacing w:after="160" w:before="340"/>
      </w:pPr>
      <w:r>
        <w:rPr>
          <w:rFonts w:ascii="Arial" w:cs="Arial" w:eastAsia="Arial" w:hAnsi="Arial"/>
          <w:b/>
          <w:bCs/>
          <w:color w:val="1F3864"/>
          <w:sz w:val="30"/>
          <w:szCs w:val="30"/>
        </w:rPr>
        <w:t xml:space="preserve">5. Data Scope (January 2020 – Present)</w:t>
      </w:r>
    </w:p>
    <w:p>
      <w:pPr>
        <w:spacing w:after="160"/>
      </w:pPr>
      <w:r>
        <w:rPr>
          <w:rFonts w:ascii="Arial" w:cs="Arial" w:eastAsia="Arial" w:hAnsi="Arial"/>
          <w:color w:val="1A1A2E"/>
          <w:sz w:val="20"/>
          <w:szCs w:val="20"/>
        </w:rPr>
        <w:t xml:space="preserve">The dataset covers January 2020 to the present, with all historical series anchored to this baseline to capture the pre-shock macroeconomic equilibrium and the full sequence of structural breaks that followed. All data are ingested via the resilient scraper pipeline described in Section 7 and stored in the normalized SQL schema before consumption by the analytics and application layers.</w:t>
      </w:r>
    </w:p>
    <w:p>
      <w:pPr>
        <w:spacing w:after="160"/>
      </w:pPr>
      <w:r>
        <w:rPr>
          <w:rFonts w:ascii="Arial" w:cs="Arial" w:eastAsia="Arial" w:hAnsi="Arial"/>
          <w:color w:val="1A1A2E"/>
          <w:sz w:val="20"/>
          <w:szCs w:val="20"/>
        </w:rPr>
        <w:t xml:space="preserve">Daily frequency is used for all dashboard analytics, technical indicators, and Prophet forecasting. The SQL layer enforces date-index integrity and supports ad-hoc monthly aggregation for econometric modeling.</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760"/>
      </w:tblGrid>
      <w:tr>
        <w:trPr>
          <w:tblHeader/>
        </w:trPr>
        <w:tc>
          <w:tcPr>
            <w:tcW w:type="dxa" w:w="2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Source / API</w:t>
            </w:r>
          </w:p>
        </w:tc>
        <w:tc>
          <w:tcPr>
            <w:tcW w:type="dxa" w:w="2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Variable</w:t>
            </w:r>
          </w:p>
        </w:tc>
        <w:tc>
          <w:tcPr>
            <w:tcW w:type="dxa" w:w="47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Engineering Purpose</w:t>
            </w:r>
          </w:p>
        </w:tc>
      </w:tr>
      <w:tr>
        <w:tc>
          <w:tcPr>
            <w:tcW w:type="dxa" w:w="21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Yahoo Finance (GC=F)</w:t>
            </w:r>
          </w:p>
        </w:tc>
        <w:tc>
          <w:tcPr>
            <w:tcW w:type="dxa" w:w="2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Global Gold Futures (USD/oz)</w:t>
            </w:r>
          </w:p>
        </w:tc>
        <w:tc>
          <w:tcPr>
            <w:tcW w:type="dxa" w:w="476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Core global benchmark; primary regressor for Prophet</w:t>
            </w:r>
          </w:p>
        </w:tc>
      </w:tr>
      <w:tr>
        <w:tc>
          <w:tcPr>
            <w:tcW w:type="dxa" w:w="21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Yahoo Finance (EGP=X)</w:t>
            </w:r>
          </w:p>
        </w:tc>
        <w:tc>
          <w:tcPr>
            <w:tcW w:type="dxa" w:w="25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USD/EGP Official Exchange Rate</w:t>
            </w:r>
          </w:p>
        </w:tc>
        <w:tc>
          <w:tcPr>
            <w:tcW w:type="dxa" w:w="47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Currency impact isolation; exogenous regressor</w:t>
            </w:r>
          </w:p>
        </w:tc>
      </w:tr>
      <w:tr>
        <w:tc>
          <w:tcPr>
            <w:tcW w:type="dxa" w:w="21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Yahoo Finance (CL=F)</w:t>
            </w:r>
          </w:p>
        </w:tc>
        <w:tc>
          <w:tcPr>
            <w:tcW w:type="dxa" w:w="2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Brent/WTI Crude Oil</w:t>
            </w:r>
          </w:p>
        </w:tc>
        <w:tc>
          <w:tcPr>
            <w:tcW w:type="dxa" w:w="476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Macro inflation proxy; Prophet secondary regressor</w:t>
            </w:r>
          </w:p>
        </w:tc>
      </w:tr>
      <w:tr>
        <w:tc>
          <w:tcPr>
            <w:tcW w:type="dxa" w:w="21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Yahoo Finance (^TNX)</w:t>
            </w:r>
          </w:p>
        </w:tc>
        <w:tc>
          <w:tcPr>
            <w:tcW w:type="dxa" w:w="25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US 10-Year Treasury Yield</w:t>
            </w:r>
          </w:p>
        </w:tc>
        <w:tc>
          <w:tcPr>
            <w:tcW w:type="dxa" w:w="47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Safe-haven comparison; risk-free rate proxy</w:t>
            </w:r>
          </w:p>
        </w:tc>
      </w:tr>
      <w:tr>
        <w:tc>
          <w:tcPr>
            <w:tcW w:type="dxa" w:w="21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Yahoo Finance (^GSPC)</w:t>
            </w:r>
          </w:p>
        </w:tc>
        <w:tc>
          <w:tcPr>
            <w:tcW w:type="dxa" w:w="2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S&amp;P 500 Index</w:t>
            </w:r>
          </w:p>
        </w:tc>
        <w:tc>
          <w:tcPr>
            <w:tcW w:type="dxa" w:w="476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Global risk-appetite indicator</w:t>
            </w:r>
          </w:p>
        </w:tc>
      </w:tr>
      <w:tr>
        <w:tc>
          <w:tcPr>
            <w:tcW w:type="dxa" w:w="21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GoldPrice.org API</w:t>
            </w:r>
          </w:p>
        </w:tc>
        <w:tc>
          <w:tcPr>
            <w:tcW w:type="dxa" w:w="25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Live Spot Price (USD/oz)</w:t>
            </w:r>
          </w:p>
        </w:tc>
        <w:tc>
          <w:tcPr>
            <w:tcW w:type="dxa" w:w="47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Primary real-time scraper; feeds SQL ingestion layer</w:t>
            </w:r>
          </w:p>
        </w:tc>
      </w:tr>
      <w:tr>
        <w:tc>
          <w:tcPr>
            <w:tcW w:type="dxa" w:w="21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ExchangeRate-API / Frankfurter</w:t>
            </w:r>
          </w:p>
        </w:tc>
        <w:tc>
          <w:tcPr>
            <w:tcW w:type="dxa" w:w="2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Live USD/EGP Rate</w:t>
            </w:r>
          </w:p>
        </w:tc>
        <w:tc>
          <w:tcPr>
            <w:tcW w:type="dxa" w:w="476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Fallback FX scraper — ensures pipeline high-availability</w:t>
            </w:r>
          </w:p>
        </w:tc>
      </w:tr>
      <w:tr>
        <w:tc>
          <w:tcPr>
            <w:tcW w:type="dxa" w:w="21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Derived / Computed</w:t>
            </w:r>
          </w:p>
        </w:tc>
        <w:tc>
          <w:tcPr>
            <w:tcW w:type="dxa" w:w="25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21K / 24K / 18K Local EGP Prices</w:t>
            </w:r>
          </w:p>
        </w:tc>
        <w:tc>
          <w:tcPr>
            <w:tcW w:type="dxa" w:w="47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Computed via karat factor × Theoretical_24K</w:t>
            </w:r>
          </w:p>
        </w:tc>
      </w:tr>
      <w:tr>
        <w:tc>
          <w:tcPr>
            <w:tcW w:type="dxa" w:w="21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CBE / IMF</w:t>
            </w:r>
          </w:p>
        </w:tc>
        <w:tc>
          <w:tcPr>
            <w:tcW w:type="dxa" w:w="25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Inflation &amp; Policy Rates</w:t>
            </w:r>
          </w:p>
        </w:tc>
        <w:tc>
          <w:tcPr>
            <w:tcW w:type="dxa" w:w="476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Econometric modeling and structural break analysis</w:t>
            </w:r>
          </w:p>
        </w:tc>
      </w:tr>
      <w:tr>
        <w:tc>
          <w:tcPr>
            <w:tcW w:type="dxa" w:w="21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Custom Engineering</w:t>
            </w:r>
          </w:p>
        </w:tc>
        <w:tc>
          <w:tcPr>
            <w:tcW w:type="dxa" w:w="25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Crisis Event Markers &amp; SQL Schema</w:t>
            </w:r>
          </w:p>
        </w:tc>
        <w:tc>
          <w:tcPr>
            <w:tcW w:type="dxa" w:w="47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Structural break flags stored in the relational DB</w:t>
            </w:r>
          </w:p>
        </w:tc>
      </w:tr>
    </w:tbl>
    <w:p>
      <w:pPr>
        <w:spacing w:after="40"/>
      </w:pPr>
      <w:r>
        <w:t xml:space="preserve"/>
      </w:r>
    </w:p>
    <w:p>
      <w:pPr>
        <w:spacing w:after="160"/>
      </w:pPr>
      <w:r>
        <w:rPr>
          <w:rFonts w:ascii="Arial" w:cs="Arial" w:eastAsia="Arial" w:hAnsi="Arial"/>
          <w:color w:val="1A1A2E"/>
          <w:sz w:val="20"/>
          <w:szCs w:val="20"/>
        </w:rPr>
        <w:t xml:space="preserve">All series are forward-filled to handle weekend/public holiday gaps (consistent with financial time-series convention) and back-filled for any leading NaN values prior to SQL insertion. The SQL crisis_events table stores structured records of geopolitical and macroeconomic events with date, label, color-code, and category fields, enabling programmatic overlay generation in both Streamlit and Power BI.</w:t>
      </w:r>
    </w:p>
    <w:p>
      <w:r>
        <w:br w:type="page"/>
      </w:r>
    </w:p>
    <w:p>
      <w:pPr>
        <w:pStyle w:val="Heading1"/>
        <w:pBdr>
          <w:bottom w:val="single" w:color="B8860B" w:sz="8" w:space="4"/>
        </w:pBdr>
        <w:spacing w:after="160" w:before="340"/>
      </w:pPr>
      <w:r>
        <w:rPr>
          <w:rFonts w:ascii="Arial" w:cs="Arial" w:eastAsia="Arial" w:hAnsi="Arial"/>
          <w:b/>
          <w:bCs/>
          <w:color w:val="1F3864"/>
          <w:sz w:val="30"/>
          <w:szCs w:val="30"/>
        </w:rPr>
        <w:t xml:space="preserve">6. Methodology</w:t>
      </w:r>
    </w:p>
    <w:p>
      <w:pPr>
        <w:spacing w:after="160"/>
      </w:pPr>
      <w:r>
        <w:rPr>
          <w:rFonts w:ascii="Arial" w:cs="Arial" w:eastAsia="Arial" w:hAnsi="Arial"/>
          <w:color w:val="1A1A2E"/>
          <w:sz w:val="20"/>
          <w:szCs w:val="20"/>
        </w:rPr>
        <w:t xml:space="preserve">The analytical workflow is structured across six sequential phases, forming a complete data science and financial engineering pipeline. The pipeline flows: SQL ingestion layer → Jupyter research environment → Streamlit production application + Power BI executive reporting layer.</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6800"/>
      </w:tblGrid>
      <w:tr>
        <w:trPr>
          <w:tblHeader/>
        </w:trPr>
        <w:tc>
          <w:tcPr>
            <w:tcW w:type="dxa" w:w="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6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Activities &amp; Engineering Decisions</w:t>
            </w:r>
          </w:p>
        </w:tc>
      </w:tr>
      <w:tr>
        <w:tc>
          <w:tcPr>
            <w:tcW w:type="dxa" w:w="36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1</w:t>
            </w:r>
          </w:p>
        </w:tc>
        <w:tc>
          <w:tcPr>
            <w:tcW w:type="dxa" w:w="220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Resilient Data Engineering &amp; SQL Ingestion</w:t>
            </w:r>
          </w:p>
        </w:tc>
        <w:tc>
          <w:tcPr>
            <w:tcW w:type="dxa" w:w="6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Multi-source scraper (GoldPrice API → ExchangeRate-API → yfinance fallback chain). Automated append/merge logic with date-overlap handling. Cleaned, transformed data stored in a normalized SQL schema (gold_prices, fx_rates, macro_indicators, crisis_events tables). Jupyter Notebook used for EDA, outlier detection, and schema validation.</w:t>
            </w:r>
          </w:p>
        </w:tc>
      </w:tr>
      <w:tr>
        <w:tc>
          <w:tcPr>
            <w:tcW w:type="dxa" w:w="3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2</w:t>
            </w:r>
          </w:p>
        </w:tc>
        <w:tc>
          <w:tcPr>
            <w:tcW w:type="dxa" w:w="22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Price Anatomy &amp; Fair Value Decomposition</w:t>
            </w:r>
          </w:p>
        </w:tc>
        <w:tc>
          <w:tcPr>
            <w:tcW w:type="dxa" w:w="68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Compute Theoretical_24K = (Gold_USD / 31.1035) × USD_EGP. Apply karat factors (24K=1.0, 21K=0.875, 18K=0.75). Isolate Value-Driven Component using Jan 2020 FX baseline (15.70 EGP/USD). Quantify Inflation &amp; Currency Premium as absolute delta and PremPct%. Prototyped in Jupyter; validated in Power BI decomposition visuals.</w:t>
            </w:r>
          </w:p>
        </w:tc>
      </w:tr>
      <w:tr>
        <w:tc>
          <w:tcPr>
            <w:tcW w:type="dxa" w:w="36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3</w:t>
            </w:r>
          </w:p>
        </w:tc>
        <w:tc>
          <w:tcPr>
            <w:tcW w:type="dxa" w:w="220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Econometric &amp; Crisis Analysis</w:t>
            </w:r>
          </w:p>
        </w:tc>
        <w:tc>
          <w:tcPr>
            <w:tcW w:type="dxa" w:w="6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Pearson/Spearman correlation matrices (gold vs. USD/EGP, oil, treasury yields, S&amp;P 500). Multiple linear regression with Newey-West HAC standard errors. Crisis window event studies (COVID-19, EGP floatations 2022/2024, Gaza conflict, Trump tariffs). Power BI executive heatmaps and drill-through crisis dashboards.</w:t>
            </w:r>
          </w:p>
        </w:tc>
      </w:tr>
      <w:tr>
        <w:tc>
          <w:tcPr>
            <w:tcW w:type="dxa" w:w="3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4</w:t>
            </w:r>
          </w:p>
        </w:tc>
        <w:tc>
          <w:tcPr>
            <w:tcW w:type="dxa" w:w="22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Realistic Net-ROI Investment Simulator</w:t>
            </w:r>
          </w:p>
        </w:tc>
        <w:tc>
          <w:tcPr>
            <w:tcW w:type="dxa" w:w="68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100,000 EGP baseline from Jan 2020. Entry cost = Raw Price + Making Charges (24K: +60 EGP, 21K: +150 EGP, 18K: +220 EGP). Net liquidation = Portfolio Value × (1 − Sell Spread) (24K: 0.5%, 21K: 1.0%, 18K: 1.5%). KPIs: Cumulative Return, Annualized Sharpe Ratio, Rolling Max Drawdown, VaR 95%, Annualized Volatility. Benchmarked vs. USD and EGP cash positions. Power BI portfolio tracker with drill-through.</w:t>
            </w:r>
          </w:p>
        </w:tc>
      </w:tr>
      <w:tr>
        <w:tc>
          <w:tcPr>
            <w:tcW w:type="dxa" w:w="36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5</w:t>
            </w:r>
          </w:p>
        </w:tc>
        <w:tc>
          <w:tcPr>
            <w:tcW w:type="dxa" w:w="220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Multi-Stage Prophet Forecasting Pipeline</w:t>
            </w:r>
          </w:p>
        </w:tc>
        <w:tc>
          <w:tcPr>
            <w:tcW w:type="dxa" w:w="68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Stage 1: Independent Prophet models train on USD/EGP and Crude Oil series. Stage 2: Project N-day futures for both regressors. Stage 3: Historical Date Merge Strategy — strict left-join on calendar dates then ffill/bfill to resolve weekend/holiday gaps before main model prediction. Stage 4: Gold Prophet model with USD and OIL as additive regressors. Evaluation: MAE, RMSE, 95% CI bands. Jupyter used for hyperparameter tuning.</w:t>
            </w:r>
          </w:p>
        </w:tc>
      </w:tr>
      <w:tr>
        <w:tc>
          <w:tcPr>
            <w:tcW w:type="dxa" w:w="3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6</w:t>
            </w:r>
          </w:p>
        </w:tc>
        <w:tc>
          <w:tcPr>
            <w:tcW w:type="dxa" w:w="22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Decision Support Framework &amp; BI Deployment</w:t>
            </w:r>
          </w:p>
        </w:tc>
        <w:tc>
          <w:tcPr>
            <w:tcW w:type="dxa" w:w="68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Automated signal engine: RSI-14 (overbought &gt;70 / oversold &lt;30), MACD crossover (12,26,9), Bollinger Bands (20-day, 2σ). Composite BUY / HOLD / SELL output. Fair Value Index = Actual / Theoretical. Streamlit dashboard with Custom CSS/HTML injection, query-parameter state management, Plotly synchronized charts. Power BI executive report with Row-Level Security (RLS) and scheduled refresh.</w:t>
            </w:r>
          </w:p>
        </w:tc>
      </w:tr>
    </w:tbl>
    <w:p>
      <w:pPr>
        <w:spacing w:after="40"/>
      </w:pPr>
      <w:r>
        <w:t xml:space="preserve"/>
      </w:r>
    </w:p>
    <w:p>
      <w:pPr>
        <w:pStyle w:val="Heading2"/>
        <w:spacing w:after="100" w:before="240"/>
      </w:pPr>
      <w:r>
        <w:rPr>
          <w:rFonts w:ascii="Arial" w:cs="Arial" w:eastAsia="Arial" w:hAnsi="Arial"/>
          <w:b/>
          <w:bCs/>
          <w:color w:val="2E75B6"/>
          <w:sz w:val="24"/>
          <w:szCs w:val="24"/>
        </w:rPr>
        <w:t xml:space="preserve">6.1 Core Decomposition Equations</w:t>
      </w:r>
    </w:p>
    <w:p>
      <w:pPr>
        <w:spacing w:after="160"/>
      </w:pPr>
      <w:r>
        <w:rPr>
          <w:rFonts w:ascii="Arial" w:cs="Arial" w:eastAsia="Arial" w:hAnsi="Arial"/>
          <w:color w:val="1A1A2E"/>
          <w:sz w:val="20"/>
          <w:szCs w:val="20"/>
        </w:rPr>
        <w:t xml:space="preserve">The price anatomy framework is built on the following set of mathematical identities, prototyped in Jupyter and deployed to both Streamlit and Power BI:</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Theoretical_24K (EGP/gram)  =  (Global_Gold_USD_per_oz / 31.1035)  ×  USD_EGP_Rate</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Theoretical_Karat (EGP/gram) =  Theoretical_24K  ×  Karat_Factor</w:t>
      </w:r>
    </w:p>
    <w:p>
      <w:pPr>
        <w:spacing w:after="100"/>
        <w:ind w:left="360"/>
      </w:pPr>
      <w:r>
        <w:rPr>
          <w:rFonts w:ascii="Arial" w:cs="Arial" w:eastAsia="Arial" w:hAnsi="Arial"/>
          <w:i/>
          <w:iCs/>
          <w:color w:val="555555"/>
          <w:sz w:val="18"/>
          <w:szCs w:val="18"/>
        </w:rPr>
        <w:t xml:space="preserve">Karat factors: 24K = 1.000,  21K = 0.875,  18K = 0.750</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Value_Driven (EGP/gram)       =  (Global_Gold_USD_per_oz / 31.1035)  ×  15.70</w:t>
      </w:r>
    </w:p>
    <w:p>
      <w:pPr>
        <w:spacing w:after="100"/>
        <w:ind w:left="360"/>
      </w:pPr>
      <w:r>
        <w:rPr>
          <w:rFonts w:ascii="Arial" w:cs="Arial" w:eastAsia="Arial" w:hAnsi="Arial"/>
          <w:i/>
          <w:iCs/>
          <w:color w:val="555555"/>
          <w:sz w:val="18"/>
          <w:szCs w:val="18"/>
        </w:rPr>
        <w:t xml:space="preserve">15.70 EGP/USD is the Jan 2020 baseline rate, anchoring the pre-devaluation purchasing-power reference.</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Currency_and_Inflation_Premium =  Actual_Price  −  Value_Driven_Component</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PremPct (%)                    =  (Currency_and_Inflation_Premium / Actual_Price)  ×  100</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Fair_Value_Index (FVI)          =  Actual_Price / Theoretical_Karat_Price</w:t>
      </w:r>
    </w:p>
    <w:p>
      <w:pPr>
        <w:spacing w:after="40"/>
      </w:pPr>
      <w:r>
        <w:t xml:space="preserve"/>
      </w:r>
    </w:p>
    <w:p>
      <w:pPr>
        <w:spacing w:after="160"/>
      </w:pPr>
      <w:r>
        <w:rPr>
          <w:rFonts w:ascii="Arial" w:cs="Arial" w:eastAsia="Arial" w:hAnsi="Arial"/>
          <w:color w:val="1A1A2E"/>
          <w:sz w:val="20"/>
          <w:szCs w:val="20"/>
        </w:rPr>
        <w:t xml:space="preserve">A FVI substantially above 1.0 signals that the local market is trading at a premium to theoretical parity — indicative of speculative excess, illiquidity, or structural supply constraints. A FVI approaching 1.0 indicates near-theoretical pricing.</w:t>
      </w:r>
    </w:p>
    <w:p>
      <w:pPr>
        <w:pStyle w:val="Heading2"/>
        <w:spacing w:after="100" w:before="240"/>
      </w:pPr>
      <w:r>
        <w:rPr>
          <w:rFonts w:ascii="Arial" w:cs="Arial" w:eastAsia="Arial" w:hAnsi="Arial"/>
          <w:b/>
          <w:bCs/>
          <w:color w:val="2E75B6"/>
          <w:sz w:val="24"/>
          <w:szCs w:val="24"/>
        </w:rPr>
        <w:t xml:space="preserve">6.2 Multi-Stage Prophet Forecasting: Historical Date Merge Strategy</w:t>
      </w:r>
    </w:p>
    <w:p>
      <w:pPr>
        <w:spacing w:after="160"/>
      </w:pPr>
      <w:r>
        <w:rPr>
          <w:rFonts w:ascii="Arial" w:cs="Arial" w:eastAsia="Arial" w:hAnsi="Arial"/>
          <w:color w:val="1A1A2E"/>
          <w:sz w:val="20"/>
          <w:szCs w:val="20"/>
        </w:rPr>
        <w:t xml:space="preserve">The naive approach of concatenating in-sample and out-of-sample regressor series (as seen in most published notebooks) produces array shape mismatches and alignment crashes when Prophet’s internal calendar-day timeline diverges from trading-day data. This project implements the following robust four-step architecture:</w:t>
      </w:r>
    </w:p>
    <w:p>
      <w:pPr>
        <w:pStyle w:val="ListParagraph"/>
        <w:numPr>
          <w:ilvl w:val="0"/>
          <w:numId w:val="3"/>
        </w:numPr>
        <w:spacing w:after="80"/>
      </w:pPr>
      <w:r>
        <w:rPr>
          <w:rFonts w:ascii="Arial" w:cs="Arial" w:eastAsia="Arial" w:hAnsi="Arial"/>
          <w:color w:val="1A1A2E"/>
          <w:sz w:val="20"/>
          <w:szCs w:val="20"/>
        </w:rPr>
        <w:t xml:space="preserve">Train independent Prophet models on the USD/EGP and Crude Oil series and generate their N-day-ahead forecasts independently.</w:t>
      </w:r>
    </w:p>
    <w:p>
      <w:pPr>
        <w:pStyle w:val="ListParagraph"/>
        <w:numPr>
          <w:ilvl w:val="0"/>
          <w:numId w:val="3"/>
        </w:numPr>
        <w:spacing w:after="80"/>
      </w:pPr>
      <w:r>
        <w:rPr>
          <w:rFonts w:ascii="Arial" w:cs="Arial" w:eastAsia="Arial" w:hAnsi="Arial"/>
          <w:color w:val="1A1A2E"/>
          <w:sz w:val="20"/>
          <w:szCs w:val="20"/>
        </w:rPr>
        <w:t xml:space="preserve">Construct the main gold future dataframe using make_future_dataframe(periods=N, freq=’D’), which operates on calendar days.</w:t>
      </w:r>
    </w:p>
    <w:p>
      <w:pPr>
        <w:pStyle w:val="ListParagraph"/>
        <w:numPr>
          <w:ilvl w:val="0"/>
          <w:numId w:val="3"/>
        </w:numPr>
        <w:spacing w:after="80"/>
      </w:pPr>
      <w:r>
        <w:rPr>
          <w:rFonts w:ascii="Arial" w:cs="Arial" w:eastAsia="Arial" w:hAnsi="Arial"/>
          <w:color w:val="1A1A2E"/>
          <w:sz w:val="20"/>
          <w:szCs w:val="20"/>
        </w:rPr>
        <w:t xml:space="preserve">Perform a strict left-join (‘historical date merge’) between the future dataframe and the historical and projected regressor series on the date (ds) key.</w:t>
      </w:r>
    </w:p>
    <w:p>
      <w:pPr>
        <w:pStyle w:val="ListParagraph"/>
        <w:numPr>
          <w:ilvl w:val="0"/>
          <w:numId w:val="3"/>
        </w:numPr>
        <w:spacing w:after="80"/>
      </w:pPr>
      <w:r>
        <w:rPr>
          <w:rFonts w:ascii="Arial" w:cs="Arial" w:eastAsia="Arial" w:hAnsi="Arial"/>
          <w:color w:val="1A1A2E"/>
          <w:sz w:val="20"/>
          <w:szCs w:val="20"/>
        </w:rPr>
        <w:t xml:space="preserve">Apply sequential ffill() → bfill() to resolve all NaN entries created by weekend/holiday gaps before invoking m.predict(future_final).</w:t>
      </w:r>
    </w:p>
    <w:p>
      <w:pPr>
        <w:spacing w:after="160"/>
      </w:pPr>
      <w:r>
        <w:rPr>
          <w:rFonts w:ascii="Arial" w:cs="Arial" w:eastAsia="Arial" w:hAnsi="Arial"/>
          <w:color w:val="1A1A2E"/>
          <w:sz w:val="20"/>
          <w:szCs w:val="20"/>
        </w:rPr>
        <w:t xml:space="preserve">This strategy guarantees complete regressor coverage for every calendar date in the forecast horizon, eliminating the root cause of alignment-related crashes.</w:t>
      </w:r>
    </w:p>
    <w:p>
      <w:pPr>
        <w:pStyle w:val="Heading2"/>
        <w:spacing w:after="100" w:before="240"/>
      </w:pPr>
      <w:r>
        <w:rPr>
          <w:rFonts w:ascii="Arial" w:cs="Arial" w:eastAsia="Arial" w:hAnsi="Arial"/>
          <w:b/>
          <w:bCs/>
          <w:color w:val="2E75B6"/>
          <w:sz w:val="24"/>
          <w:szCs w:val="24"/>
        </w:rPr>
        <w:t xml:space="preserve">6.3 Net Investment Return Calculation</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Entry_Price_Karat   =  Raw_Price_per_gram  +  Making_Charge_Karat</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Grams_Acquired      =  100,000 EGP  /  Entry_Price_Karat</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Net_Portfolio_Value =  (Current_Price_per_gram  ×  Grams_Acquired)  ×  (1  −  Sell_Spread_Karat)</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Cumulative_Return   =  (Net_Portfolio_Value_t  /  100,000)  −  1</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Sharpe_Ratio        =  Annualized_Mean_Return  /  Annualized_Std_Return</w:t>
      </w:r>
    </w:p>
    <w:p>
      <w:pPr>
        <w:pBdr>
          <w:left w:val="single" w:color="B8860B" w:sz="12" w:space="6"/>
        </w:pBdr>
        <w:shd w:fill="FFF8DC" w:val="clear"/>
        <w:spacing w:after="120" w:before="120"/>
        <w:jc w:val="center"/>
      </w:pPr>
      <w:r>
        <w:rPr>
          <w:rFonts w:ascii="Courier New" w:cs="Courier New" w:eastAsia="Courier New" w:hAnsi="Courier New"/>
          <w:i/>
          <w:iCs/>
          <w:color w:val="1A1A2E"/>
          <w:sz w:val="20"/>
          <w:szCs w:val="20"/>
        </w:rPr>
        <w:t xml:space="preserve">Max_Drawdown        =  min[(Net_Portfolio_Value_t / Rolling_Peak_t)  −  1]</w:t>
      </w:r>
    </w:p>
    <w:p>
      <w:r>
        <w:br w:type="page"/>
      </w:r>
    </w:p>
    <w:p>
      <w:pPr>
        <w:pStyle w:val="Heading1"/>
        <w:pBdr>
          <w:bottom w:val="single" w:color="B8860B" w:sz="8" w:space="4"/>
        </w:pBdr>
        <w:spacing w:after="160" w:before="340"/>
      </w:pPr>
      <w:r>
        <w:rPr>
          <w:rFonts w:ascii="Arial" w:cs="Arial" w:eastAsia="Arial" w:hAnsi="Arial"/>
          <w:b/>
          <w:bCs/>
          <w:color w:val="1F3864"/>
          <w:sz w:val="30"/>
          <w:szCs w:val="30"/>
        </w:rPr>
        <w:t xml:space="preserve">7. System Architecture &amp; Technology Stack</w:t>
      </w:r>
    </w:p>
    <w:p>
      <w:pPr>
        <w:spacing w:after="160"/>
      </w:pPr>
      <w:r>
        <w:rPr>
          <w:rFonts w:ascii="Arial" w:cs="Arial" w:eastAsia="Arial" w:hAnsi="Arial"/>
          <w:color w:val="1A1A2E"/>
          <w:sz w:val="20"/>
          <w:szCs w:val="20"/>
        </w:rPr>
        <w:t xml:space="preserve">The system is built as a decoupled three-layer architecture that separates concerns between data persistence, analytical modelling, and user-facing presentation. Each layer is independently scalable and communicates via standardized data contracts (CSV exports from SQL for Jupyter, SQL queries for Power BI Power Query, and cached DataFrames for Streamlit).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Architecture Layer</w:t>
            </w:r>
          </w:p>
        </w:tc>
        <w:tc>
          <w:tcPr>
            <w:tcW w:type="dxa" w:w="47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Components &amp; Engineering Decisions</w:t>
            </w:r>
          </w:p>
        </w:tc>
        <w:tc>
          <w:tcPr>
            <w:tcW w:type="dxa" w:w="2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Technologies</w:t>
            </w:r>
          </w:p>
        </w:tc>
      </w:tr>
      <w:tr>
        <w:tc>
          <w:tcPr>
            <w:tcW w:type="dxa" w:w="200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Data Layer
(Storage &amp; Ingestion)</w:t>
            </w:r>
          </w:p>
        </w:tc>
        <w:tc>
          <w:tcPr>
            <w:tcW w:type="dxa" w:w="476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Multi-source scraper cascade (GoldPrice.org API → ExchangeRate-API → Frankfurter → yfinance). Python requests + yfinance. Automated 6-hour cache refresh. Date-overlap merge logic.
SQL Database: gold_prices, fx_rates, macro_indicators, crisis_events tables. Normalized schema with date-indexed primary keys. Historical baseline: Jan 2020.</w:t>
            </w:r>
          </w:p>
        </w:tc>
        <w:tc>
          <w:tcPr>
            <w:tcW w:type="dxa" w:w="26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Python, requests, yfinance, SQLite / PostgreSQL, pandas</w:t>
            </w:r>
          </w:p>
        </w:tc>
      </w:tr>
      <w:tr>
        <w:tc>
          <w:tcPr>
            <w:tcW w:type="dxa" w:w="2000"/>
            <w:tcBorders>
              <w:top w:val="single" w:color="AABBD0" w:sz="4"/>
              <w:left w:val="single" w:color="AABBD0" w:sz="4"/>
              <w:bottom w:val="single" w:color="AABBD0" w:sz="4"/>
              <w:right w:val="single" w:color="AABBD0" w:sz="4"/>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Analytics &amp; Research Layer
(EDA &amp; Modeling)</w:t>
            </w:r>
          </w:p>
        </w:tc>
        <w:tc>
          <w:tcPr>
            <w:tcW w:type="dxa" w:w="476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Jupyter Notebook: EDA, statistical validation, econometric modeling (OLS regression, correlation matrices, stationarity tests). Prototype and tune Prophet models. Feature engineering (returns, rolling volatility, SMA, BB, MACD, RSI). Cross-validate decomposition logic before Streamlit integration.</w:t>
            </w:r>
          </w:p>
        </w:tc>
        <w:tc>
          <w:tcPr>
            <w:tcW w:type="dxa" w:w="26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Python, Jupyter, pandas, numpy, statsmodels, scikit-learn, Prophet (Meta)</w:t>
            </w:r>
          </w:p>
        </w:tc>
      </w:tr>
      <w:tr>
        <w:tc>
          <w:tcPr>
            <w:tcW w:type="dxa" w:w="20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Application &amp; BI Layer
(Reporting &amp; Deployment)</w:t>
            </w:r>
          </w:p>
        </w:tc>
        <w:tc>
          <w:tcPr>
            <w:tcW w:type="dxa" w:w="476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Streamlit Web App: Custom CSS/HTML-injected cyberpunk dark theme. Five analytical pages navigated via query-parameter state management. Synchronized Plotly charts with crisis event overlays. Automated BUY/SELL/HOLD signal box.
Power BI Executive Dashboard: Corporate interactive reports with slicers, drill-through, KPI cards, decomposition tree, scheduled refresh, and Row-Level Security (RLS). Cross-validates all Streamlit insights at the enterprise level.</w:t>
            </w:r>
          </w:p>
        </w:tc>
        <w:tc>
          <w:tcPr>
            <w:tcW w:type="dxa" w:w="26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Streamlit, Plotly, Custom CSS, HTML
Power BI Desktop / Service, DAX, M (Power Query)</w:t>
            </w:r>
          </w:p>
        </w:tc>
      </w:tr>
    </w:tbl>
    <w:p>
      <w:pPr>
        <w:spacing w:after="40"/>
      </w:pPr>
      <w:r>
        <w:t xml:space="preserve"/>
      </w:r>
    </w:p>
    <w:p>
      <w:pPr>
        <w:pStyle w:val="Heading2"/>
        <w:spacing w:after="100" w:before="240"/>
      </w:pPr>
      <w:r>
        <w:rPr>
          <w:rFonts w:ascii="Arial" w:cs="Arial" w:eastAsia="Arial" w:hAnsi="Arial"/>
          <w:b/>
          <w:bCs/>
          <w:color w:val="2E75B6"/>
          <w:sz w:val="24"/>
          <w:szCs w:val="24"/>
        </w:rPr>
        <w:t xml:space="preserve">7.1 SQL Data Layer: Relational Schema Design</w:t>
      </w:r>
    </w:p>
    <w:p>
      <w:pPr>
        <w:pStyle w:val="ListParagraph"/>
        <w:numPr>
          <w:ilvl w:val="0"/>
          <w:numId w:val="2"/>
        </w:numPr>
        <w:spacing w:after="80"/>
      </w:pPr>
      <w:r>
        <w:rPr>
          <w:rFonts w:ascii="Arial" w:cs="Arial" w:eastAsia="Arial" w:hAnsi="Arial"/>
          <w:color w:val="1A1A2E"/>
          <w:sz w:val="20"/>
          <w:szCs w:val="20"/>
        </w:rPr>
        <w:t xml:space="preserve">gold_prices: date (PK), gold_usd_oz, usd_egp_official, crude_oil, us_10y_treasury, sp500</w:t>
      </w:r>
    </w:p>
    <w:p>
      <w:pPr>
        <w:pStyle w:val="ListParagraph"/>
        <w:numPr>
          <w:ilvl w:val="0"/>
          <w:numId w:val="2"/>
        </w:numPr>
        <w:spacing w:after="80"/>
      </w:pPr>
      <w:r>
        <w:rPr>
          <w:rFonts w:ascii="Arial" w:cs="Arial" w:eastAsia="Arial" w:hAnsi="Arial"/>
          <w:color w:val="1A1A2E"/>
          <w:sz w:val="20"/>
          <w:szCs w:val="20"/>
        </w:rPr>
        <w:t xml:space="preserve">karat_prices: date (FK), price_24k, price_21k, price_18k, theoretical_24k, value_driven_24k, infl_prem_24k, prem_pct_24k (and equivalents for 21K / 18K)</w:t>
      </w:r>
    </w:p>
    <w:p>
      <w:pPr>
        <w:pStyle w:val="ListParagraph"/>
        <w:numPr>
          <w:ilvl w:val="0"/>
          <w:numId w:val="2"/>
        </w:numPr>
        <w:spacing w:after="80"/>
      </w:pPr>
      <w:r>
        <w:rPr>
          <w:rFonts w:ascii="Arial" w:cs="Arial" w:eastAsia="Arial" w:hAnsi="Arial"/>
          <w:color w:val="1A1A2E"/>
          <w:sz w:val="20"/>
          <w:szCs w:val="20"/>
        </w:rPr>
        <w:t xml:space="preserve">technical_indicators: date (FK), sma50_24k, sma200_24k, rsi_24k, macd_24k, bb_upper_24k… (per-karat)</w:t>
      </w:r>
    </w:p>
    <w:p>
      <w:pPr>
        <w:pStyle w:val="ListParagraph"/>
        <w:numPr>
          <w:ilvl w:val="0"/>
          <w:numId w:val="2"/>
        </w:numPr>
        <w:spacing w:after="80"/>
      </w:pPr>
      <w:r>
        <w:rPr>
          <w:rFonts w:ascii="Arial" w:cs="Arial" w:eastAsia="Arial" w:hAnsi="Arial"/>
          <w:color w:val="1A1A2E"/>
          <w:sz w:val="20"/>
          <w:szCs w:val="20"/>
        </w:rPr>
        <w:t xml:space="preserve">portfolio_simulation: date (FK), port_24k_net, port_21k_net, port_18k_net, port_usd, port_cash</w:t>
      </w:r>
    </w:p>
    <w:p>
      <w:pPr>
        <w:pStyle w:val="ListParagraph"/>
        <w:numPr>
          <w:ilvl w:val="0"/>
          <w:numId w:val="2"/>
        </w:numPr>
        <w:spacing w:after="80"/>
      </w:pPr>
      <w:r>
        <w:rPr>
          <w:rFonts w:ascii="Arial" w:cs="Arial" w:eastAsia="Arial" w:hAnsi="Arial"/>
          <w:color w:val="1A1A2E"/>
          <w:sz w:val="20"/>
          <w:szCs w:val="20"/>
        </w:rPr>
        <w:t xml:space="preserve">crisis_events: event_date (PK), label, category, color_hex, fill_rgba</w:t>
      </w:r>
    </w:p>
    <w:p>
      <w:pPr>
        <w:spacing w:after="160"/>
      </w:pPr>
      <w:r>
        <w:rPr>
          <w:rFonts w:ascii="Arial" w:cs="Arial" w:eastAsia="Arial" w:hAnsi="Arial"/>
          <w:color w:val="1A1A2E"/>
          <w:sz w:val="20"/>
          <w:szCs w:val="20"/>
        </w:rPr>
        <w:t xml:space="preserve">The schema enforces referential integrity via foreign key constraints, supports date-range partitioned queries, and is consumed directly by Power BI via Power Query M scripts for scheduled refresh.</w:t>
      </w:r>
    </w:p>
    <w:p>
      <w:pPr>
        <w:pStyle w:val="Heading2"/>
        <w:spacing w:after="100" w:before="240"/>
      </w:pPr>
      <w:r>
        <w:rPr>
          <w:rFonts w:ascii="Arial" w:cs="Arial" w:eastAsia="Arial" w:hAnsi="Arial"/>
          <w:b/>
          <w:bCs/>
          <w:color w:val="2E75B6"/>
          <w:sz w:val="24"/>
          <w:szCs w:val="24"/>
        </w:rPr>
        <w:t xml:space="preserve">7.2 Power BI Executive Dashboard: Key Report Pages</w:t>
      </w:r>
    </w:p>
    <w:p>
      <w:pPr>
        <w:pStyle w:val="ListParagraph"/>
        <w:numPr>
          <w:ilvl w:val="0"/>
          <w:numId w:val="2"/>
        </w:numPr>
        <w:spacing w:after="80"/>
      </w:pPr>
      <w:r>
        <w:rPr>
          <w:rFonts w:ascii="Arial" w:cs="Arial" w:eastAsia="Arial" w:hAnsi="Arial"/>
          <w:color w:val="1A1A2E"/>
          <w:sz w:val="20"/>
          <w:szCs w:val="20"/>
        </w:rPr>
        <w:t xml:space="preserve">Executive KPI Scorecard: Live gold prices (all karats), USD/EGP rate, global spot, cumulative return since 2020, current Sharpe Ratio.</w:t>
      </w:r>
    </w:p>
    <w:p>
      <w:pPr>
        <w:pStyle w:val="ListParagraph"/>
        <w:numPr>
          <w:ilvl w:val="0"/>
          <w:numId w:val="2"/>
        </w:numPr>
        <w:spacing w:after="80"/>
      </w:pPr>
      <w:r>
        <w:rPr>
          <w:rFonts w:ascii="Arial" w:cs="Arial" w:eastAsia="Arial" w:hAnsi="Arial"/>
          <w:color w:val="1A1A2E"/>
          <w:sz w:val="20"/>
          <w:szCs w:val="20"/>
        </w:rPr>
        <w:t xml:space="preserve">Price Anatomy Decomposition: Stacked area visual (Value-Driven vs. Currency &amp; Inflation Premium), FVI time-series, and drill-through premium analysis by crisis period.</w:t>
      </w:r>
    </w:p>
    <w:p>
      <w:pPr>
        <w:pStyle w:val="ListParagraph"/>
        <w:numPr>
          <w:ilvl w:val="0"/>
          <w:numId w:val="2"/>
        </w:numPr>
        <w:spacing w:after="80"/>
      </w:pPr>
      <w:r>
        <w:rPr>
          <w:rFonts w:ascii="Arial" w:cs="Arial" w:eastAsia="Arial" w:hAnsi="Arial"/>
          <w:color w:val="1A1A2E"/>
          <w:sz w:val="20"/>
          <w:szCs w:val="20"/>
        </w:rPr>
        <w:t xml:space="preserve">Portfolio Performance Tracker: Net return waterfall and line chart across all five asset classes (24K/21K/18K gold, USD, EGP cash), with period-over-period KPI badges and benchmark deltas.</w:t>
      </w:r>
    </w:p>
    <w:p>
      <w:pPr>
        <w:pStyle w:val="ListParagraph"/>
        <w:numPr>
          <w:ilvl w:val="0"/>
          <w:numId w:val="2"/>
        </w:numPr>
        <w:spacing w:after="80"/>
      </w:pPr>
      <w:r>
        <w:rPr>
          <w:rFonts w:ascii="Arial" w:cs="Arial" w:eastAsia="Arial" w:hAnsi="Arial"/>
          <w:color w:val="1A1A2E"/>
          <w:sz w:val="20"/>
          <w:szCs w:val="20"/>
        </w:rPr>
        <w:t xml:space="preserve">Crisis Window Analysis: Geopolitical event timeline with pre/during/post return comparison tables and correlation shift heatmaps.</w:t>
      </w:r>
    </w:p>
    <w:p>
      <w:pPr>
        <w:pStyle w:val="ListParagraph"/>
        <w:numPr>
          <w:ilvl w:val="0"/>
          <w:numId w:val="2"/>
        </w:numPr>
        <w:spacing w:after="80"/>
      </w:pPr>
      <w:r>
        <w:rPr>
          <w:rFonts w:ascii="Arial" w:cs="Arial" w:eastAsia="Arial" w:hAnsi="Arial"/>
          <w:color w:val="1A1A2E"/>
          <w:sz w:val="20"/>
          <w:szCs w:val="20"/>
        </w:rPr>
        <w:t xml:space="preserve">Technical Signal Dashboard: RSI gauge, MACD signal status badge, Bollinger Band position indicator, and composite BUY / HOLD / SELL output card.</w:t>
      </w:r>
    </w:p>
    <w:p>
      <w:pPr>
        <w:pStyle w:val="ListParagraph"/>
        <w:numPr>
          <w:ilvl w:val="0"/>
          <w:numId w:val="2"/>
        </w:numPr>
        <w:spacing w:after="80"/>
      </w:pPr>
      <w:r>
        <w:rPr>
          <w:rFonts w:ascii="Arial" w:cs="Arial" w:eastAsia="Arial" w:hAnsi="Arial"/>
          <w:color w:val="1A1A2E"/>
          <w:sz w:val="20"/>
          <w:szCs w:val="20"/>
        </w:rPr>
        <w:t xml:space="preserve">Prophet Forecast Panel: Forecast line with 95% CI ribbon, MAE/RMSE accuracy cards, and adjustable horizon slicer.</w:t>
      </w:r>
    </w:p>
    <w:p>
      <w:r>
        <w:br w:type="page"/>
      </w:r>
    </w:p>
    <w:p>
      <w:pPr>
        <w:pStyle w:val="Heading1"/>
        <w:pBdr>
          <w:bottom w:val="single" w:color="B8860B" w:sz="8" w:space="4"/>
        </w:pBdr>
        <w:spacing w:after="160" w:before="340"/>
      </w:pPr>
      <w:r>
        <w:rPr>
          <w:rFonts w:ascii="Arial" w:cs="Arial" w:eastAsia="Arial" w:hAnsi="Arial"/>
          <w:b/>
          <w:bCs/>
          <w:color w:val="1F3864"/>
          <w:sz w:val="30"/>
          <w:szCs w:val="30"/>
        </w:rPr>
        <w:t xml:space="preserve">8. Final Deliverables</w:t>
      </w:r>
    </w:p>
    <w:p>
      <w:pPr>
        <w:spacing w:after="160"/>
      </w:pPr>
      <w:r>
        <w:rPr>
          <w:rFonts w:ascii="Arial" w:cs="Arial" w:eastAsia="Arial" w:hAnsi="Arial"/>
          <w:color w:val="1A1A2E"/>
          <w:sz w:val="20"/>
          <w:szCs w:val="20"/>
        </w:rPr>
        <w:t xml:space="preserve">The project will produce seven production-grade deliverables spanning academic research, enterprise data engineering, and interactive financial intelligence applications: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6200"/>
      </w:tblGrid>
      <w:tr>
        <w:trPr>
          <w:tblHeader/>
        </w:trPr>
        <w:tc>
          <w:tcPr>
            <w:tcW w:type="dxa" w:w="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w:t>
            </w:r>
          </w:p>
        </w:tc>
        <w:tc>
          <w:tcPr>
            <w:tcW w:type="dxa" w:w="6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6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1</w:t>
            </w:r>
          </w:p>
        </w:tc>
        <w:tc>
          <w:tcPr>
            <w:tcW w:type="dxa" w:w="280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Academic Analytical Research Report</w:t>
            </w:r>
          </w:p>
        </w:tc>
        <w:tc>
          <w:tcPr>
            <w:tcW w:type="dxa" w:w="62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Peer-review-quality paper covering all six analytical phases, statistical findings, decomposition results, regression outputs, and policy implications.</w:t>
            </w:r>
          </w:p>
        </w:tc>
      </w:tr>
      <w:tr>
        <w:tc>
          <w:tcPr>
            <w:tcW w:type="dxa" w:w="3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2</w:t>
            </w:r>
          </w:p>
        </w:tc>
        <w:tc>
          <w:tcPr>
            <w:tcW w:type="dxa" w:w="28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Relational SQL Database Schema &amp; Dataset</w:t>
            </w:r>
          </w:p>
        </w:tc>
        <w:tc>
          <w:tcPr>
            <w:tcW w:type="dxa" w:w="62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Normalized, publication-ready financial database (gold_prices, fx_rates, macro_indicators, crisis_events). Jan 2020–present. Suitable for academic replication and enterprise querying.</w:t>
            </w:r>
          </w:p>
        </w:tc>
      </w:tr>
      <w:tr>
        <w:tc>
          <w:tcPr>
            <w:tcW w:type="dxa" w:w="36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3</w:t>
            </w:r>
          </w:p>
        </w:tc>
        <w:tc>
          <w:tcPr>
            <w:tcW w:type="dxa" w:w="280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Fair Value Decomposition Model</w:t>
            </w:r>
          </w:p>
        </w:tc>
        <w:tc>
          <w:tcPr>
            <w:tcW w:type="dxa" w:w="62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Quantitative framework isolating the Global Value component from the Currency Impact and Local Inflation/Speculation Premium, anchored to the Jan 2020 EGP/USD baseline.</w:t>
            </w:r>
          </w:p>
        </w:tc>
      </w:tr>
      <w:tr>
        <w:tc>
          <w:tcPr>
            <w:tcW w:type="dxa" w:w="3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4</w:t>
            </w:r>
          </w:p>
        </w:tc>
        <w:tc>
          <w:tcPr>
            <w:tcW w:type="dxa" w:w="28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Realistic Investment Performance Simulator</w:t>
            </w:r>
          </w:p>
        </w:tc>
        <w:tc>
          <w:tcPr>
            <w:tcW w:type="dxa" w:w="62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Net-ROI comparative analysis for 24K/21K/18K gold, USD, and EGP cash (2020–present), incorporating making charges and bid-ask spread frictions. KPIs: Sharpe, Max Drawdown, VaR 95%.</w:t>
            </w:r>
          </w:p>
        </w:tc>
      </w:tr>
      <w:tr>
        <w:tc>
          <w:tcPr>
            <w:tcW w:type="dxa" w:w="36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5</w:t>
            </w:r>
          </w:p>
        </w:tc>
        <w:tc>
          <w:tcPr>
            <w:tcW w:type="dxa" w:w="280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Multi-Stage Prophet Forecasting Pipeline</w:t>
            </w:r>
          </w:p>
        </w:tc>
        <w:tc>
          <w:tcPr>
            <w:tcW w:type="dxa" w:w="62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Production-grade forecasting subsystem with independent USD/EGP and Crude Oil regressors feeding a gold price model. Historical Date Merge Strategy for calendar alignment. Evaluation: MAE &amp; RMSE.</w:t>
            </w:r>
          </w:p>
        </w:tc>
      </w:tr>
      <w:tr>
        <w:tc>
          <w:tcPr>
            <w:tcW w:type="dxa" w:w="36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6</w:t>
            </w:r>
          </w:p>
        </w:tc>
        <w:tc>
          <w:tcPr>
            <w:tcW w:type="dxa" w:w="28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Streamlit Predictive Web Application</w:t>
            </w:r>
          </w:p>
        </w:tc>
        <w:tc>
          <w:tcPr>
            <w:tcW w:type="dxa" w:w="6200"/>
            <w:tcBorders>
              <w:top w:val="single" w:color="AABBD0" w:sz="4"/>
              <w:left w:val="single" w:color="AABBD0" w:sz="4"/>
              <w:bottom w:val="single" w:color="AABBD0" w:sz="4"/>
              <w:right w:val="single" w:color="AABBD0" w:sz="4"/>
            </w:tcBorders>
            <w:shd w:fill="EAF0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Five-page, Custom-CSS production dashboard with synchronized Plotly crisis overlays, technical signal engine (RSI/MACD/Bollinger), Prophet forecast panel, and query-parameter state management.</w:t>
            </w:r>
          </w:p>
        </w:tc>
      </w:tr>
      <w:tr>
        <w:tc>
          <w:tcPr>
            <w:tcW w:type="dxa" w:w="36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7</w:t>
            </w:r>
          </w:p>
        </w:tc>
        <w:tc>
          <w:tcPr>
            <w:tcW w:type="dxa" w:w="2800"/>
            <w:tcBorders>
              <w:top w:val="single" w:color="AABBD0" w:sz="4"/>
              <w:left w:val="single" w:color="AABBD0" w:sz="4"/>
              <w:bottom w:val="single" w:color="AABBD0" w:sz="4"/>
              <w:right w:val="single" w:color="AABBD0" w:sz="4"/>
            </w:tcBorders>
            <w:shd w:fill="FFF8DC"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Power BI Executive Intelligence Dashboard</w:t>
            </w:r>
          </w:p>
        </w:tc>
        <w:tc>
          <w:tcPr>
            <w:tcW w:type="dxa" w:w="6200"/>
            <w:tcBorders>
              <w:top w:val="single" w:color="AABBD0" w:sz="4"/>
              <w:left w:val="single" w:color="AABBD0" w:sz="4"/>
              <w:bottom w:val="single" w:color="AABBD0" w:sz="4"/>
              <w:right w:val="single" w:color="AABB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Enterprise-grade corporate BI report with KPI scorecards, decomposition tree, portfolio drill-through, crisis heatmaps, Row-Level Security (RLS), and scheduled dataset refresh via Power BI Service.</w:t>
            </w:r>
          </w:p>
        </w:tc>
      </w:tr>
    </w:tbl>
    <w:p>
      <w:r>
        <w:br w:type="page"/>
      </w:r>
    </w:p>
    <w:p>
      <w:pPr>
        <w:pStyle w:val="Heading1"/>
        <w:pBdr>
          <w:bottom w:val="single" w:color="B8860B" w:sz="8" w:space="4"/>
        </w:pBdr>
        <w:spacing w:after="160" w:before="340"/>
      </w:pPr>
      <w:r>
        <w:rPr>
          <w:rFonts w:ascii="Arial" w:cs="Arial" w:eastAsia="Arial" w:hAnsi="Arial"/>
          <w:b/>
          <w:bCs/>
          <w:color w:val="1F3864"/>
          <w:sz w:val="30"/>
          <w:szCs w:val="30"/>
        </w:rPr>
        <w:t xml:space="preserve">9. Academic &amp; Social Value</w:t>
      </w:r>
    </w:p>
    <w:p>
      <w:pPr>
        <w:pStyle w:val="Heading2"/>
        <w:spacing w:after="100" w:before="240"/>
      </w:pPr>
      <w:r>
        <w:rPr>
          <w:rFonts w:ascii="Arial" w:cs="Arial" w:eastAsia="Arial" w:hAnsi="Arial"/>
          <w:b/>
          <w:bCs/>
          <w:color w:val="2E75B6"/>
          <w:sz w:val="24"/>
          <w:szCs w:val="24"/>
        </w:rPr>
        <w:t xml:space="preserve">9.1 Academic Contributions</w:t>
      </w:r>
    </w:p>
    <w:p>
      <w:pPr>
        <w:pStyle w:val="ListParagraph"/>
        <w:numPr>
          <w:ilvl w:val="0"/>
          <w:numId w:val="2"/>
        </w:numPr>
        <w:spacing w:after="80"/>
      </w:pPr>
      <w:r>
        <w:rPr>
          <w:rFonts w:ascii="Arial" w:cs="Arial" w:eastAsia="Arial" w:hAnsi="Arial"/>
          <w:color w:val="1A1A2E"/>
          <w:sz w:val="20"/>
          <w:szCs w:val="20"/>
        </w:rPr>
        <w:t xml:space="preserve">Provides the first multi-stack quantitative decomposition of Egyptian gold price drivers — isolating Global Value, Currency Impact, and Local Inflation/Speculation Premium within a single unified analytical framework, anchored to the Jan 2020 structural break baseline.</w:t>
      </w:r>
    </w:p>
    <w:p>
      <w:pPr>
        <w:pStyle w:val="ListParagraph"/>
        <w:numPr>
          <w:ilvl w:val="0"/>
          <w:numId w:val="2"/>
        </w:numPr>
        <w:spacing w:after="80"/>
      </w:pPr>
      <w:r>
        <w:rPr>
          <w:rFonts w:ascii="Arial" w:cs="Arial" w:eastAsia="Arial" w:hAnsi="Arial"/>
          <w:color w:val="1A1A2E"/>
          <w:sz w:val="20"/>
          <w:szCs w:val="20"/>
        </w:rPr>
        <w:t xml:space="preserve">Introduces and formally documents the Historical Date Merge Strategy for Prophet multi-regressor models, resolving a systematic calendar/trading-day alignment failure present in existing published gold forecasting notebooks.</w:t>
      </w:r>
    </w:p>
    <w:p>
      <w:pPr>
        <w:pStyle w:val="ListParagraph"/>
        <w:numPr>
          <w:ilvl w:val="0"/>
          <w:numId w:val="2"/>
        </w:numPr>
        <w:spacing w:after="80"/>
      </w:pPr>
      <w:r>
        <w:rPr>
          <w:rFonts w:ascii="Arial" w:cs="Arial" w:eastAsia="Arial" w:hAnsi="Arial"/>
          <w:color w:val="1A1A2E"/>
          <w:sz w:val="20"/>
          <w:szCs w:val="20"/>
        </w:rPr>
        <w:t xml:space="preserve">Contributes a normalized, publication-ready SQL financial database of Egyptian gold and macroeconomic time-series (Jan 2020–present), available for academic replication studies.</w:t>
      </w:r>
    </w:p>
    <w:p>
      <w:pPr>
        <w:pStyle w:val="ListParagraph"/>
        <w:numPr>
          <w:ilvl w:val="0"/>
          <w:numId w:val="2"/>
        </w:numPr>
        <w:spacing w:after="80"/>
      </w:pPr>
      <w:r>
        <w:rPr>
          <w:rFonts w:ascii="Arial" w:cs="Arial" w:eastAsia="Arial" w:hAnsi="Arial"/>
          <w:color w:val="1A1A2E"/>
          <w:sz w:val="20"/>
          <w:szCs w:val="20"/>
        </w:rPr>
        <w:t xml:space="preserve">Advances the literature on gold as a store of value in emerging market contexts, specifically addressing the interaction between EGP devaluation cycles and local gold price distortions.</w:t>
      </w:r>
    </w:p>
    <w:p>
      <w:pPr>
        <w:pStyle w:val="ListParagraph"/>
        <w:numPr>
          <w:ilvl w:val="0"/>
          <w:numId w:val="2"/>
        </w:numPr>
        <w:spacing w:after="80"/>
      </w:pPr>
      <w:r>
        <w:rPr>
          <w:rFonts w:ascii="Arial" w:cs="Arial" w:eastAsia="Arial" w:hAnsi="Arial"/>
          <w:color w:val="1A1A2E"/>
          <w:sz w:val="20"/>
          <w:szCs w:val="20"/>
        </w:rPr>
        <w:t xml:space="preserve">Bridges financial economics, applied econometrics, and production data engineering in a single replicable project framework — a model for DEPI-track capstone work.</w:t>
      </w:r>
    </w:p>
    <w:p>
      <w:pPr>
        <w:pStyle w:val="Heading2"/>
        <w:spacing w:after="100" w:before="240"/>
      </w:pPr>
      <w:r>
        <w:rPr>
          <w:rFonts w:ascii="Arial" w:cs="Arial" w:eastAsia="Arial" w:hAnsi="Arial"/>
          <w:b/>
          <w:bCs/>
          <w:color w:val="2E75B6"/>
          <w:sz w:val="24"/>
          <w:szCs w:val="24"/>
        </w:rPr>
        <w:t xml:space="preserve">9.2 Practical &amp; Social Contributions</w:t>
      </w:r>
    </w:p>
    <w:p>
      <w:pPr>
        <w:pStyle w:val="ListParagraph"/>
        <w:numPr>
          <w:ilvl w:val="0"/>
          <w:numId w:val="2"/>
        </w:numPr>
        <w:spacing w:after="80"/>
      </w:pPr>
      <w:r>
        <w:rPr>
          <w:rFonts w:ascii="Arial" w:cs="Arial" w:eastAsia="Arial" w:hAnsi="Arial"/>
          <w:color w:val="1A1A2E"/>
          <w:sz w:val="20"/>
          <w:szCs w:val="20"/>
        </w:rPr>
        <w:t xml:space="preserve">Delivers a practical, friction-adjusted decision-support tool accessible to small retail investors who constitute the primary gold demand base in Egypt, enabling evidence-based buy/hold/sell decisions rather than panic-driven behaviour.</w:t>
      </w:r>
    </w:p>
    <w:p>
      <w:pPr>
        <w:pStyle w:val="ListParagraph"/>
        <w:numPr>
          <w:ilvl w:val="0"/>
          <w:numId w:val="2"/>
        </w:numPr>
        <w:spacing w:after="80"/>
      </w:pPr>
      <w:r>
        <w:rPr>
          <w:rFonts w:ascii="Arial" w:cs="Arial" w:eastAsia="Arial" w:hAnsi="Arial"/>
          <w:color w:val="1A1A2E"/>
          <w:sz w:val="20"/>
          <w:szCs w:val="20"/>
        </w:rPr>
        <w:t xml:space="preserve">Introduces making charge and bid-ask spread adjustments to investment simulation, correcting the systematic overstatement of retail gold returns in academic and journalistic analyses.</w:t>
      </w:r>
    </w:p>
    <w:p>
      <w:pPr>
        <w:pStyle w:val="ListParagraph"/>
        <w:numPr>
          <w:ilvl w:val="0"/>
          <w:numId w:val="2"/>
        </w:numPr>
        <w:spacing w:after="80"/>
      </w:pPr>
      <w:r>
        <w:rPr>
          <w:rFonts w:ascii="Arial" w:cs="Arial" w:eastAsia="Arial" w:hAnsi="Arial"/>
          <w:color w:val="1A1A2E"/>
          <w:sz w:val="20"/>
          <w:szCs w:val="20"/>
        </w:rPr>
        <w:t xml:space="preserve">The Power BI executive dashboard provides corporate treasuries, wealth management firms, and financial institutions with an enterprise-grade analytical interface for monitoring gold market dynamics and portfolio risk.</w:t>
      </w:r>
    </w:p>
    <w:p>
      <w:pPr>
        <w:pStyle w:val="ListParagraph"/>
        <w:numPr>
          <w:ilvl w:val="0"/>
          <w:numId w:val="2"/>
        </w:numPr>
        <w:spacing w:after="80"/>
      </w:pPr>
      <w:r>
        <w:rPr>
          <w:rFonts w:ascii="Arial" w:cs="Arial" w:eastAsia="Arial" w:hAnsi="Arial"/>
          <w:color w:val="1A1A2E"/>
          <w:sz w:val="20"/>
          <w:szCs w:val="20"/>
        </w:rPr>
        <w:t xml:space="preserve">Supports financial literacy and data-driven investment culture aligned with Egypt’s Vision 2030 digital economy objectives and the DEPI programme mandate.</w:t>
      </w:r>
    </w:p>
    <w:p>
      <w:pPr>
        <w:pStyle w:val="ListParagraph"/>
        <w:numPr>
          <w:ilvl w:val="0"/>
          <w:numId w:val="2"/>
        </w:numPr>
        <w:spacing w:after="80"/>
      </w:pPr>
      <w:r>
        <w:rPr>
          <w:rFonts w:ascii="Arial" w:cs="Arial" w:eastAsia="Arial" w:hAnsi="Arial"/>
          <w:color w:val="1A1A2E"/>
          <w:sz w:val="20"/>
          <w:szCs w:val="20"/>
        </w:rPr>
        <w:t xml:space="preserve">The open SQL dataset and Jupyter notebooks provide a reproducible research platform for future graduate students studying Egyptian capital markets.</w:t>
      </w:r>
    </w:p>
    <w:p>
      <w:r>
        <w:br w:type="page"/>
      </w:r>
    </w:p>
    <w:p>
      <w:pPr>
        <w:pStyle w:val="Heading1"/>
        <w:pBdr>
          <w:bottom w:val="single" w:color="B8860B" w:sz="8" w:space="4"/>
        </w:pBdr>
        <w:spacing w:after="160" w:before="340"/>
      </w:pPr>
      <w:r>
        <w:rPr>
          <w:rFonts w:ascii="Arial" w:cs="Arial" w:eastAsia="Arial" w:hAnsi="Arial"/>
          <w:b/>
          <w:bCs/>
          <w:color w:val="1F3864"/>
          <w:sz w:val="30"/>
          <w:szCs w:val="30"/>
        </w:rPr>
        <w:t xml:space="preserve">10. References</w:t>
      </w:r>
    </w:p>
    <w:p>
      <w:pPr>
        <w:spacing w:after="80"/>
      </w:pPr>
      <w:r>
        <w:rPr>
          <w:rFonts w:ascii="Arial" w:cs="Arial" w:eastAsia="Arial" w:hAnsi="Arial"/>
          <w:color w:val="1A1A2E"/>
          <w:sz w:val="20"/>
          <w:szCs w:val="20"/>
        </w:rPr>
        <w:t xml:space="preserve">Academic Literature</w:t>
      </w:r>
    </w:p>
    <w:p>
      <w:pPr>
        <w:pStyle w:val="ListParagraph"/>
        <w:numPr>
          <w:ilvl w:val="0"/>
          <w:numId w:val="2"/>
        </w:numPr>
        <w:spacing w:after="80"/>
      </w:pPr>
      <w:r>
        <w:rPr>
          <w:rFonts w:ascii="Arial" w:cs="Arial" w:eastAsia="Arial" w:hAnsi="Arial"/>
          <w:color w:val="1A1A2E"/>
          <w:sz w:val="20"/>
          <w:szCs w:val="20"/>
        </w:rPr>
        <w:t xml:space="preserve">Baur, D. G., &amp; Lucey, B. M. (2010). Is Gold a Hedge or a Safe Haven? An Analysis of Stocks, Bonds and Gold. The Financial Review, 45(2), 217–229.</w:t>
      </w:r>
    </w:p>
    <w:p>
      <w:pPr>
        <w:pStyle w:val="ListParagraph"/>
        <w:numPr>
          <w:ilvl w:val="0"/>
          <w:numId w:val="2"/>
        </w:numPr>
        <w:spacing w:after="80"/>
      </w:pPr>
      <w:r>
        <w:rPr>
          <w:rFonts w:ascii="Arial" w:cs="Arial" w:eastAsia="Arial" w:hAnsi="Arial"/>
          <w:color w:val="1A1A2E"/>
          <w:sz w:val="20"/>
          <w:szCs w:val="20"/>
        </w:rPr>
        <w:t xml:space="preserve">Baur, D. G., &amp; McDermott, T. K. (2010). Is gold a safe haven? International evidence. Journal of Banking &amp; Finance, 34(8), 1886–1898.</w:t>
      </w:r>
    </w:p>
    <w:p>
      <w:pPr>
        <w:pStyle w:val="ListParagraph"/>
        <w:numPr>
          <w:ilvl w:val="0"/>
          <w:numId w:val="2"/>
        </w:numPr>
        <w:spacing w:after="80"/>
      </w:pPr>
      <w:r>
        <w:rPr>
          <w:rFonts w:ascii="Arial" w:cs="Arial" w:eastAsia="Arial" w:hAnsi="Arial"/>
          <w:color w:val="1A1A2E"/>
          <w:sz w:val="20"/>
          <w:szCs w:val="20"/>
        </w:rPr>
        <w:t xml:space="preserve">Reboredo, J. C. (2013). Is gold a safe haven or a hedge for the US dollar? Implications for risk management. Journal of Banking &amp; Finance, 37(8), 2665–2676.</w:t>
      </w:r>
    </w:p>
    <w:p>
      <w:pPr>
        <w:pStyle w:val="ListParagraph"/>
        <w:numPr>
          <w:ilvl w:val="0"/>
          <w:numId w:val="2"/>
        </w:numPr>
        <w:spacing w:after="80"/>
      </w:pPr>
      <w:r>
        <w:rPr>
          <w:rFonts w:ascii="Arial" w:cs="Arial" w:eastAsia="Arial" w:hAnsi="Arial"/>
          <w:color w:val="1A1A2E"/>
          <w:sz w:val="20"/>
          <w:szCs w:val="20"/>
        </w:rPr>
        <w:t xml:space="preserve">Taylor, J. B. (1993). Discretion versus Policy Rules in Practice. Carnegie-Rochester Conference Series on Public Policy.</w:t>
      </w:r>
    </w:p>
    <w:p>
      <w:pPr>
        <w:spacing w:after="40"/>
      </w:pPr>
      <w:r>
        <w:t xml:space="preserve"/>
      </w:r>
    </w:p>
    <w:p>
      <w:pPr>
        <w:spacing w:after="80"/>
      </w:pPr>
      <w:r>
        <w:rPr>
          <w:rFonts w:ascii="Arial" w:cs="Arial" w:eastAsia="Arial" w:hAnsi="Arial"/>
          <w:color w:val="1A1A2E"/>
          <w:sz w:val="20"/>
          <w:szCs w:val="20"/>
        </w:rPr>
        <w:t xml:space="preserve">Institutional &amp; Market Data Sources</w:t>
      </w:r>
    </w:p>
    <w:p>
      <w:pPr>
        <w:pStyle w:val="ListParagraph"/>
        <w:numPr>
          <w:ilvl w:val="0"/>
          <w:numId w:val="2"/>
        </w:numPr>
        <w:spacing w:after="80"/>
      </w:pPr>
      <w:r>
        <w:rPr>
          <w:rFonts w:ascii="Arial" w:cs="Arial" w:eastAsia="Arial" w:hAnsi="Arial"/>
          <w:color w:val="1A1A2E"/>
          <w:sz w:val="20"/>
          <w:szCs w:val="20"/>
        </w:rPr>
        <w:t xml:space="preserve">World Gold Council. (2020–2025). Gold Demand Trends: Annual and Quarterly Reports. https://www.gold.org</w:t>
      </w:r>
    </w:p>
    <w:p>
      <w:pPr>
        <w:pStyle w:val="ListParagraph"/>
        <w:numPr>
          <w:ilvl w:val="0"/>
          <w:numId w:val="2"/>
        </w:numPr>
        <w:spacing w:after="80"/>
      </w:pPr>
      <w:r>
        <w:rPr>
          <w:rFonts w:ascii="Arial" w:cs="Arial" w:eastAsia="Arial" w:hAnsi="Arial"/>
          <w:color w:val="1A1A2E"/>
          <w:sz w:val="20"/>
          <w:szCs w:val="20"/>
        </w:rPr>
        <w:t xml:space="preserve">International Monetary Fund (IMF). (2020–2024). Egypt Economic Outlook and Article IV Consultation Reports. https://www.imf.org</w:t>
      </w:r>
    </w:p>
    <w:p>
      <w:pPr>
        <w:pStyle w:val="ListParagraph"/>
        <w:numPr>
          <w:ilvl w:val="0"/>
          <w:numId w:val="2"/>
        </w:numPr>
        <w:spacing w:after="80"/>
      </w:pPr>
      <w:r>
        <w:rPr>
          <w:rFonts w:ascii="Arial" w:cs="Arial" w:eastAsia="Arial" w:hAnsi="Arial"/>
          <w:color w:val="1A1A2E"/>
          <w:sz w:val="20"/>
          <w:szCs w:val="20"/>
        </w:rPr>
        <w:t xml:space="preserve">Central Bank of Egypt (CBE). (2020–2025). Monetary Policy Statements, Exchange Rate Data, and MPC Decisions. https://www.cbe.org.eg</w:t>
      </w:r>
    </w:p>
    <w:p>
      <w:pPr>
        <w:pStyle w:val="ListParagraph"/>
        <w:numPr>
          <w:ilvl w:val="0"/>
          <w:numId w:val="2"/>
        </w:numPr>
        <w:spacing w:after="80"/>
      </w:pPr>
      <w:r>
        <w:rPr>
          <w:rFonts w:ascii="Arial" w:cs="Arial" w:eastAsia="Arial" w:hAnsi="Arial"/>
          <w:color w:val="1A1A2E"/>
          <w:sz w:val="20"/>
          <w:szCs w:val="20"/>
        </w:rPr>
        <w:t xml:space="preserve">Yahoo Finance. Historical Market Data: GC=F (Gold Futures), EGP=X (USD/EGP), CL=F (Crude Oil), ^TNX (US 10Y Treasury), ^GSPC (S&amp;P 500). https://finance.yahoo.com</w:t>
      </w:r>
    </w:p>
    <w:p>
      <w:pPr>
        <w:pStyle w:val="ListParagraph"/>
        <w:numPr>
          <w:ilvl w:val="0"/>
          <w:numId w:val="2"/>
        </w:numPr>
        <w:spacing w:after="80"/>
      </w:pPr>
      <w:r>
        <w:rPr>
          <w:rFonts w:ascii="Arial" w:cs="Arial" w:eastAsia="Arial" w:hAnsi="Arial"/>
          <w:color w:val="1A1A2E"/>
          <w:sz w:val="20"/>
          <w:szCs w:val="20"/>
        </w:rPr>
        <w:t xml:space="preserve">GoldPrice.org. (2025). Real-time Gold Spot Price API. https://goldprice.org</w:t>
      </w:r>
    </w:p>
    <w:p>
      <w:pPr>
        <w:pStyle w:val="ListParagraph"/>
        <w:numPr>
          <w:ilvl w:val="0"/>
          <w:numId w:val="2"/>
        </w:numPr>
        <w:spacing w:after="80"/>
      </w:pPr>
      <w:r>
        <w:rPr>
          <w:rFonts w:ascii="Arial" w:cs="Arial" w:eastAsia="Arial" w:hAnsi="Arial"/>
          <w:color w:val="1A1A2E"/>
          <w:sz w:val="20"/>
          <w:szCs w:val="20"/>
        </w:rPr>
        <w:t xml:space="preserve">ExchangeRate-API. (2025). Live Currency Exchange Rates REST API. https://www.exchangerate-api.com</w:t>
      </w:r>
    </w:p>
    <w:p>
      <w:pPr>
        <w:pStyle w:val="ListParagraph"/>
        <w:numPr>
          <w:ilvl w:val="0"/>
          <w:numId w:val="2"/>
        </w:numPr>
        <w:spacing w:after="80"/>
      </w:pPr>
      <w:r>
        <w:rPr>
          <w:rFonts w:ascii="Arial" w:cs="Arial" w:eastAsia="Arial" w:hAnsi="Arial"/>
          <w:color w:val="1A1A2E"/>
          <w:sz w:val="20"/>
          <w:szCs w:val="20"/>
        </w:rPr>
        <w:t xml:space="preserve">Frankfurter App. (2025). Open-source foreign exchange rates API (ECB data). https://www.frankfurter.app</w:t>
      </w:r>
    </w:p>
    <w:p>
      <w:pPr>
        <w:spacing w:after="40"/>
      </w:pPr>
      <w:r>
        <w:t xml:space="preserve"/>
      </w:r>
    </w:p>
    <w:p>
      <w:pPr>
        <w:spacing w:after="80"/>
      </w:pPr>
      <w:r>
        <w:rPr>
          <w:rFonts w:ascii="Arial" w:cs="Arial" w:eastAsia="Arial" w:hAnsi="Arial"/>
          <w:color w:val="1A1A2E"/>
          <w:sz w:val="20"/>
          <w:szCs w:val="20"/>
        </w:rPr>
        <w:t xml:space="preserve">Technology &amp; Framework Documentation</w:t>
      </w:r>
    </w:p>
    <w:p>
      <w:pPr>
        <w:pStyle w:val="ListParagraph"/>
        <w:numPr>
          <w:ilvl w:val="0"/>
          <w:numId w:val="2"/>
        </w:numPr>
        <w:spacing w:after="80"/>
      </w:pPr>
      <w:r>
        <w:rPr>
          <w:rFonts w:ascii="Arial" w:cs="Arial" w:eastAsia="Arial" w:hAnsi="Arial"/>
          <w:color w:val="1A1A2E"/>
          <w:sz w:val="20"/>
          <w:szCs w:val="20"/>
        </w:rPr>
        <w:t xml:space="preserve">Taylor, S. J., &amp; Letham, B. (2018). Forecasting at Scale. The American Statistician, 72(1), 37–45. (Facebook Prophet) https://doi.org/10.1080/00031305.2017.1380080</w:t>
      </w:r>
    </w:p>
    <w:p>
      <w:pPr>
        <w:pStyle w:val="ListParagraph"/>
        <w:numPr>
          <w:ilvl w:val="0"/>
          <w:numId w:val="2"/>
        </w:numPr>
        <w:spacing w:after="80"/>
      </w:pPr>
      <w:r>
        <w:rPr>
          <w:rFonts w:ascii="Arial" w:cs="Arial" w:eastAsia="Arial" w:hAnsi="Arial"/>
          <w:color w:val="1A1A2E"/>
          <w:sz w:val="20"/>
          <w:szCs w:val="20"/>
        </w:rPr>
        <w:t xml:space="preserve">Meta Open Source. (2025). Prophet: Forecasting at Scale — Documentation and API Reference. https://facebook.github.io/prophet</w:t>
      </w:r>
    </w:p>
    <w:p>
      <w:pPr>
        <w:pStyle w:val="ListParagraph"/>
        <w:numPr>
          <w:ilvl w:val="0"/>
          <w:numId w:val="2"/>
        </w:numPr>
        <w:spacing w:after="80"/>
      </w:pPr>
      <w:r>
        <w:rPr>
          <w:rFonts w:ascii="Arial" w:cs="Arial" w:eastAsia="Arial" w:hAnsi="Arial"/>
          <w:color w:val="1A1A2E"/>
          <w:sz w:val="20"/>
          <w:szCs w:val="20"/>
        </w:rPr>
        <w:t xml:space="preserve">Streamlit Inc. (2025). Streamlit Documentation: Build and Share Data Apps. https://docs.streamlit.io</w:t>
      </w:r>
    </w:p>
    <w:p>
      <w:pPr>
        <w:pStyle w:val="ListParagraph"/>
        <w:numPr>
          <w:ilvl w:val="0"/>
          <w:numId w:val="2"/>
        </w:numPr>
        <w:spacing w:after="80"/>
      </w:pPr>
      <w:r>
        <w:rPr>
          <w:rFonts w:ascii="Arial" w:cs="Arial" w:eastAsia="Arial" w:hAnsi="Arial"/>
          <w:color w:val="1A1A2E"/>
          <w:sz w:val="20"/>
          <w:szCs w:val="20"/>
        </w:rPr>
        <w:t xml:space="preserve">Microsoft Corporation. (2025). Power BI Documentation: Enterprise Analytics and BI. https://learn.microsoft.com/en-us/power-bi</w:t>
      </w:r>
    </w:p>
    <w:p>
      <w:pPr>
        <w:pStyle w:val="ListParagraph"/>
        <w:numPr>
          <w:ilvl w:val="0"/>
          <w:numId w:val="2"/>
        </w:numPr>
        <w:spacing w:after="80"/>
      </w:pPr>
      <w:r>
        <w:rPr>
          <w:rFonts w:ascii="Arial" w:cs="Arial" w:eastAsia="Arial" w:hAnsi="Arial"/>
          <w:color w:val="1A1A2E"/>
          <w:sz w:val="20"/>
          <w:szCs w:val="20"/>
        </w:rPr>
        <w:t xml:space="preserve">Plotly Technologies Inc. (2025). Plotly Python Open Source Graphing Library. https://plotly.com/python</w:t>
      </w:r>
    </w:p>
    <w:p>
      <w:pPr>
        <w:pStyle w:val="ListParagraph"/>
        <w:numPr>
          <w:ilvl w:val="0"/>
          <w:numId w:val="2"/>
        </w:numPr>
        <w:spacing w:after="80"/>
      </w:pPr>
      <w:r>
        <w:rPr>
          <w:rFonts w:ascii="Arial" w:cs="Arial" w:eastAsia="Arial" w:hAnsi="Arial"/>
          <w:color w:val="1A1A2E"/>
          <w:sz w:val="20"/>
          <w:szCs w:val="20"/>
        </w:rPr>
        <w:t xml:space="preserve">McKinney, W. (2010). Data Structures for Statistical Computing in Python. Proceedings of the 9th Python in Science Conference. (pandas) https://pandas.pydata.org</w:t>
      </w:r>
    </w:p>
    <w:p>
      <w:pPr>
        <w:pStyle w:val="ListParagraph"/>
        <w:numPr>
          <w:ilvl w:val="0"/>
          <w:numId w:val="2"/>
        </w:numPr>
        <w:spacing w:after="80"/>
      </w:pPr>
      <w:r>
        <w:rPr>
          <w:rFonts w:ascii="Arial" w:cs="Arial" w:eastAsia="Arial" w:hAnsi="Arial"/>
          <w:color w:val="1A1A2E"/>
          <w:sz w:val="20"/>
          <w:szCs w:val="20"/>
        </w:rPr>
        <w:t xml:space="preserve">Seabold, S., &amp; Perktold, J. (2010). Statsmodels: Econometric and Statistical Modeling with Python. Proceedings of the 9th Python in Science Conference. https://www.statsmodels.org</w:t>
      </w:r>
    </w:p>
    <w:p>
      <w:pPr>
        <w:spacing w:after="40"/>
      </w:pPr>
      <w:r>
        <w:t xml:space="preserve"/>
      </w:r>
    </w:p>
    <w:p>
      <w:pPr>
        <w:spacing w:after="40"/>
      </w:pPr>
      <w:r>
        <w:t xml:space="preserve"/>
      </w:r>
    </w:p>
    <w:p>
      <w:pPr>
        <w:shd w:fill="1F3864" w:val="clear"/>
        <w:spacing w:after="60" w:before="200"/>
        <w:jc w:val="center"/>
      </w:pPr>
      <w:r>
        <w:rPr>
          <w:rFonts w:ascii="Arial" w:cs="Arial" w:eastAsia="Arial" w:hAnsi="Arial"/>
          <w:b/>
          <w:bCs/>
          <w:color w:val="FFFFFF"/>
          <w:sz w:val="20"/>
          <w:szCs w:val="20"/>
        </w:rPr>
        <w:t xml:space="preserve">End of Proposal Document</w:t>
      </w:r>
    </w:p>
    <w:p>
      <w:pPr>
        <w:shd w:fill="B8860B" w:val="clear"/>
        <w:spacing w:after="0"/>
        <w:jc w:val="center"/>
      </w:pPr>
      <w:r>
        <w:rPr>
          <w:rFonts w:ascii="Arial" w:cs="Arial" w:eastAsia="Arial" w:hAnsi="Arial"/>
          <w:b w:val="false"/>
          <w:bCs w:val="false"/>
          <w:color w:val="1F3864"/>
          <w:sz w:val="18"/>
          <w:szCs w:val="18"/>
        </w:rPr>
        <w:t xml:space="preserve">Mahmoud Shamoun  •  Data Analyst Specialist  •  DEPI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jc w:val="center"/>
    </w:pPr>
    <w:r>
      <w:rPr>
        <w:rFonts w:ascii="Arial" w:cs="Arial" w:eastAsia="Arial" w:hAnsi="Arial"/>
        <w:color w:val="888888"/>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2E75B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tabs>
        <w:tab w:val="right" w:pos="9360"/>
      </w:tabs>
      <w:spacing w:after="0"/>
    </w:pPr>
    <w:r>
      <w:rPr>
        <w:rFonts w:ascii="Arial" w:cs="Arial" w:eastAsia="Arial" w:hAnsi="Arial"/>
        <w:color w:val="2E75B6"/>
        <w:sz w:val="16"/>
        <w:szCs w:val="16"/>
      </w:rPr>
      <w:t xml:space="preserve">DEPI Final Project Proposal — Gold as a Financial Instrument in Egypt</w:t>
    </w:r>
    <w:r>
      <w:rPr>
        <w:rFonts w:ascii="Arial" w:cs="Arial" w:eastAsia="Arial" w:hAnsi="Arial"/>
        <w:color w:val="888888"/>
        <w:sz w:val="16"/>
        <w:szCs w:val="16"/>
      </w:rPr>
      <w:t xml:space="preserve">	Mahmoud Shamoun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40"/>
      <w:outlineLvl w:val="0"/>
    </w:pPr>
    <w:rPr>
      <w:rFonts w:ascii="Arial" w:cs="Arial" w:eastAsia="Arial" w:hAnsi="Arial"/>
      <w:b/>
      <w:bCs/>
      <w:color w:val="1F3864"/>
      <w:sz w:val="30"/>
      <w:szCs w:val="30"/>
    </w:rPr>
  </w:style>
  <w:style w:type="paragraph" w:styleId="Heading2">
    <w:name w:val="Heading 2"/>
    <w:basedOn w:val="Normal"/>
    <w:next w:val="Normal"/>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2026-05-27T22:42:26.007Z</dcterms:created>
  <dcterms:modified xsi:type="dcterms:W3CDTF">2026-05-27T22:42:26.007Z</dcterms:modified>
</cp:coreProperties>
</file>

<file path=docProps/custom.xml><?xml version="1.0" encoding="utf-8"?>
<Properties xmlns="http://schemas.openxmlformats.org/officeDocument/2006/custom-properties" xmlns:vt="http://schemas.openxmlformats.org/officeDocument/2006/docPropsVTypes"/>
</file>