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Part V: Cloud and DevOps</w:t>
      </w:r>
    </w:p>
    <w:p>
      <w:r>
        <w:rPr>
          <w:b/>
        </w:rPr>
        <w:t>Primary Writer:</w:t>
      </w:r>
      <w:r>
        <w:t xml:space="preserve"> Cloud and DevOps Team Member</w:t>
      </w:r>
    </w:p>
    <w:p>
      <w:r>
        <w:rPr>
          <w:b/>
        </w:rPr>
        <w:t>Chapters:</w:t>
      </w:r>
      <w:r>
        <w:t xml:space="preserve"> 18 and 19</w:t>
      </w:r>
    </w:p>
    <w:p>
      <w:r>
        <w:rPr>
          <w:b/>
        </w:rPr>
        <w:t>Book Part:</w:t>
      </w:r>
      <w:r>
        <w:t xml:space="preserve"> Part V — Chapters 18–19</w:t>
      </w:r>
    </w:p>
    <w:p>
      <w:pPr>
        <w:pStyle w:val="Quote"/>
      </w:pPr>
      <w:r>
        <w:rPr>
          <w:b/>
        </w:rPr>
        <w:t>Author's Note on Figures:</w:t>
      </w:r>
      <w:r>
        <w:t xml:space="preserve"> Figure placeholders are marked clearly throughout this chapter. For each placeholder, generate the diagram using the supplied prompt, insert the generated image at the matching location, keep the caption below it, and remove the prompt block before final submission. Real screenshots (Docker </w:t>
      </w:r>
      <w:r>
        <w:rPr>
          <w:rFonts w:ascii="Consolas" w:hAnsi="Consolas"/>
          <w:color w:val="C7254E"/>
          <w:sz w:val="19"/>
        </w:rPr>
        <w:t>ps</w:t>
      </w:r>
      <w:r>
        <w:t xml:space="preserve">, </w:t>
      </w:r>
      <w:r>
        <w:rPr>
          <w:rFonts w:ascii="Consolas" w:hAnsi="Consolas"/>
          <w:color w:val="C7254E"/>
          <w:sz w:val="19"/>
        </w:rPr>
        <w:t>curl</w:t>
      </w:r>
      <w:r>
        <w:t xml:space="preserve"> health checks, NGINX logs) should be captured from the actual running VPS and inserted at the Appendix K placeholders.</w:t>
      </w:r>
    </w:p>
    <w:p>
      <w:pPr>
        <w:pStyle w:val="Heading1"/>
      </w:pPr>
      <w:r>
        <w:t>Part V Introduction</w:t>
      </w:r>
    </w:p>
    <w:p>
      <w:r>
        <w:t>This part documents the workstream responsible for deploying, securing, monitoring, and maintaining the AscultiCor platform. The Cloud and DevOps layer connects the other project components — ESP32 device communication through MQTT, FastAPI inference, Supabase backend services, the Next.js clinical dashboard, and n8n automation — into one reproducible system that can be started, verified, and operated in a controlled and repeatable way.</w:t>
      </w:r>
    </w:p>
    <w:p>
      <w:r>
        <w:t>Without a structured deployment layer, each component would run correctly only on one specific developer's machine, with no clear path to share the system with teammates, demonstrate it to examiners, or operate it as an integrated whole. The Cloud and DevOps team solves this problem by using container-based packaging, a secure network architecture, environment-separated configuration, health monitoring, and a documented VPS deployment procedure.</w:t>
      </w:r>
    </w:p>
    <w:p>
      <w:r>
        <w:t xml:space="preserve">The target deployment for the graduation project is a Hostinger VPS with public IP </w:t>
      </w:r>
      <w:r>
        <w:rPr>
          <w:rFonts w:ascii="Consolas" w:hAnsi="Consolas"/>
          <w:color w:val="C7254E"/>
          <w:sz w:val="19"/>
        </w:rPr>
        <w:t>187.127.224.4</w:t>
      </w:r>
      <w:r>
        <w:t xml:space="preserve"> and hostname </w:t>
      </w:r>
      <w:r>
        <w:rPr>
          <w:rFonts w:ascii="Consolas" w:hAnsi="Consolas"/>
          <w:color w:val="C7254E"/>
          <w:sz w:val="19"/>
        </w:rPr>
        <w:t>srv1621744.hstgr.cloud</w:t>
      </w:r>
      <w:r>
        <w:t xml:space="preserve">. The clinical dashboard is served at </w:t>
      </w:r>
      <w:r>
        <w:rPr>
          <w:rFonts w:ascii="Consolas" w:hAnsi="Consolas"/>
          <w:color w:val="C7254E"/>
          <w:sz w:val="19"/>
        </w:rPr>
        <w:t>https://srv1621744.hstgr.cloud</w:t>
      </w:r>
      <w:r>
        <w:t xml:space="preserve">, and the n8n automation engine is accessible at </w:t>
      </w:r>
      <w:r>
        <w:rPr>
          <w:rFonts w:ascii="Consolas" w:hAnsi="Consolas"/>
          <w:color w:val="C7254E"/>
          <w:sz w:val="19"/>
        </w:rPr>
        <w:t>https://srv1621744.hstgr.cloud:8443</w:t>
      </w:r>
      <w:r>
        <w:t xml:space="preserve"> for trusted team access.</w:t>
      </w:r>
    </w:p>
    <w:p>
      <w:pPr>
        <w:pStyle w:val="Heading1"/>
      </w:pPr>
      <w:r>
        <w:t>Chapter 18: Security, Privacy, and Compliance</w:t>
      </w:r>
    </w:p>
    <w:p>
      <w:pPr>
        <w:pStyle w:val="Heading2"/>
      </w:pPr>
      <w:r>
        <w:t>18.1 Security Objective</w:t>
      </w:r>
    </w:p>
    <w:p>
      <w:r>
        <w:t>The security objective of AscultiCor is to protect patient-related data, isolate each organization from others sharing the same platform, secure connected IoT devices, protect privileged service credentials, and maintain an audit trail of sensitive actions. This is not a minor operational concern — it is a foundational design requirement. The platform handles ECG recordings, PCG recordings, patient records, clinical session notes, AI model predictions, and AI-generated reports. All of these data categories must be treated as sensitive, even in a prototype academic environment.</w:t>
      </w:r>
    </w:p>
    <w:p>
      <w:r>
        <w:t>The security model is applied at multiple layers simultaneously. No single layer is assumed to be sufficient on its own. This defense-in-depth approach means that a weakness in one layer, such as a misconfigured route, should not be able to expose patient data because the database layer still enforces its own isolation policies.</w:t>
      </w:r>
    </w:p>
    <w:p>
      <w:r>
        <w:t>The platform is a graduation project and a decision-support prototype. It is not a certified medical product and does not claim compliance with medical regulatory standards such as HIPAA, GDPR, or ISO 27001. Instead, this chapter documents the controls that were implemented during the project and identifies the additional controls that would be required before any real clinical deployment.</w:t>
      </w:r>
    </w:p>
    <w:p>
      <w:pPr>
        <w:pStyle w:val="Heading2"/>
      </w:pPr>
      <w:r>
        <w:t>18.2 Authentication and Authorization</w:t>
      </w:r>
    </w:p>
    <w:p>
      <w:r>
        <w:t xml:space="preserve">User authentication is handled entirely through Supabase Auth. A user opens the web dashboard, enters their credentials at the </w:t>
      </w:r>
      <w:r>
        <w:rPr>
          <w:rFonts w:ascii="Consolas" w:hAnsi="Consolas"/>
          <w:color w:val="C7254E"/>
          <w:sz w:val="19"/>
        </w:rPr>
        <w:t>/auth/login</w:t>
      </w:r>
      <w:r>
        <w:t xml:space="preserve"> route, and receives a Supabase session that the frontend stores and uses for subsequent requests. The session contains a JWT that the Supabase client verifies on every database query. Without a valid session, the Supabase client will not return any protected rows.</w:t>
      </w:r>
    </w:p>
    <w:p>
      <w:r>
        <w:t xml:space="preserve">Beyond identity verification, the platform uses an organization-based authorization model. Every user belongs to exactly one organization, and most data records include an </w:t>
      </w:r>
      <w:r>
        <w:rPr>
          <w:rFonts w:ascii="Consolas" w:hAnsi="Consolas"/>
          <w:color w:val="C7254E"/>
          <w:sz w:val="19"/>
        </w:rPr>
        <w:t>org_id</w:t>
      </w:r>
      <w:r>
        <w:t xml:space="preserve"> foreign key. This design allows the same deployed system to support multiple clinics, research labs, or project groups while keeping their patients, devices, sessions, recordings, and reports completely separated. The major roles used by the project are:</w:t>
      </w:r>
    </w:p>
    <w:tbl>
      <w:tblPr>
        <w:tblW w:type="auto" w:w="0"/>
        <w:jc w:val="center"/>
        <w:tblLook w:firstColumn="1" w:firstRow="1" w:lastColumn="0" w:lastRow="0" w:noHBand="0" w:noVBand="1" w:val="04A0"/>
      </w:tblPr>
      <w:tblGrid>
        <w:gridCol w:w="4680"/>
        <w:gridCol w:w="4680"/>
      </w:tblGrid>
      <w:tr>
        <w:trPr>
          <w:trHeight w:val="360" w:hRule="atLeast"/>
        </w:trPr>
        <w:tc>
          <w:tcPr>
            <w:tcW w:type="dxa" w:w="28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Role</w:t>
            </w:r>
          </w:p>
        </w:tc>
        <w:tc>
          <w:tcPr>
            <w:tcW w:type="dxa" w:w="64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Access Level</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Admin</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Manages organization resources, creates devices, manages users, views audit logs</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Clinician</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Starts sessions, reviews predictions and reports, manages patients</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Operator</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Runs recording workflows, reviews session status</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Readonly</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Views dashboards, sessions, and reports without modification rights</w:t>
            </w:r>
          </w:p>
        </w:tc>
      </w:tr>
    </w:tbl>
    <w:p>
      <w:pPr>
        <w:spacing w:before="120"/>
      </w:pPr>
    </w:p>
    <w:p>
      <w:r>
        <w:t>Route-level protection is enforced at three boundaries: the frontend route guard (which redirects unauthenticated users to login), the Next.js API routes (which validate the Supabase session server-side before performing privileged operations), and the Supabase database policies (which are the final enforcement boundary regardless of what any client-side or API code does). This layered approach ensures that even if a frontend guard is bypassed, the database will not return unauthorized rows.</w:t>
      </w:r>
    </w:p>
    <w:p>
      <w:pPr>
        <w:pStyle w:val="Heading2"/>
      </w:pPr>
      <w:r>
        <w:t>18.3 Row Level Security</w:t>
      </w:r>
    </w:p>
    <w:p>
      <w:r>
        <w:t xml:space="preserve">Row Level Security (RLS) is the primary database isolation mechanism in AscultiCor. The Supabase PostgreSQL database contains shared tables that may hold records from multiple organizations simultaneously: </w:t>
      </w:r>
      <w:r>
        <w:rPr>
          <w:rFonts w:ascii="Consolas" w:hAnsi="Consolas"/>
          <w:color w:val="C7254E"/>
          <w:sz w:val="19"/>
        </w:rPr>
        <w:t>organizations</w:t>
      </w:r>
      <w:r>
        <w:t xml:space="preserve">, </w:t>
      </w:r>
      <w:r>
        <w:rPr>
          <w:rFonts w:ascii="Consolas" w:hAnsi="Consolas"/>
          <w:color w:val="C7254E"/>
          <w:sz w:val="19"/>
        </w:rPr>
        <w:t>profiles</w:t>
      </w:r>
      <w:r>
        <w:t xml:space="preserve">, </w:t>
      </w:r>
      <w:r>
        <w:rPr>
          <w:rFonts w:ascii="Consolas" w:hAnsi="Consolas"/>
          <w:color w:val="C7254E"/>
          <w:sz w:val="19"/>
        </w:rPr>
        <w:t>devices</w:t>
      </w:r>
      <w:r>
        <w:t xml:space="preserve">, </w:t>
      </w:r>
      <w:r>
        <w:rPr>
          <w:rFonts w:ascii="Consolas" w:hAnsi="Consolas"/>
          <w:color w:val="C7254E"/>
          <w:sz w:val="19"/>
        </w:rPr>
        <w:t>device_groups</w:t>
      </w:r>
      <w:r>
        <w:t xml:space="preserve">, </w:t>
      </w:r>
      <w:r>
        <w:rPr>
          <w:rFonts w:ascii="Consolas" w:hAnsi="Consolas"/>
          <w:color w:val="C7254E"/>
          <w:sz w:val="19"/>
        </w:rPr>
        <w:t>device_telemetry</w:t>
      </w:r>
      <w:r>
        <w:t xml:space="preserve">, </w:t>
      </w:r>
      <w:r>
        <w:rPr>
          <w:rFonts w:ascii="Consolas" w:hAnsi="Consolas"/>
          <w:color w:val="C7254E"/>
          <w:sz w:val="19"/>
        </w:rPr>
        <w:t>patients</w:t>
      </w:r>
      <w:r>
        <w:t xml:space="preserve">, </w:t>
      </w:r>
      <w:r>
        <w:rPr>
          <w:rFonts w:ascii="Consolas" w:hAnsi="Consolas"/>
          <w:color w:val="C7254E"/>
          <w:sz w:val="19"/>
        </w:rPr>
        <w:t>sessions</w:t>
      </w:r>
      <w:r>
        <w:t xml:space="preserve">, </w:t>
      </w:r>
      <w:r>
        <w:rPr>
          <w:rFonts w:ascii="Consolas" w:hAnsi="Consolas"/>
          <w:color w:val="C7254E"/>
          <w:sz w:val="19"/>
        </w:rPr>
        <w:t>recordings</w:t>
      </w:r>
      <w:r>
        <w:t xml:space="preserve">, </w:t>
      </w:r>
      <w:r>
        <w:rPr>
          <w:rFonts w:ascii="Consolas" w:hAnsi="Consolas"/>
          <w:color w:val="C7254E"/>
          <w:sz w:val="19"/>
        </w:rPr>
        <w:t>predictions</w:t>
      </w:r>
      <w:r>
        <w:t xml:space="preserve">, </w:t>
      </w:r>
      <w:r>
        <w:rPr>
          <w:rFonts w:ascii="Consolas" w:hAnsi="Consolas"/>
          <w:color w:val="C7254E"/>
          <w:sz w:val="19"/>
        </w:rPr>
        <w:t>murmur_severity</w:t>
      </w:r>
      <w:r>
        <w:t xml:space="preserve">, </w:t>
      </w:r>
      <w:r>
        <w:rPr>
          <w:rFonts w:ascii="Consolas" w:hAnsi="Consolas"/>
          <w:color w:val="C7254E"/>
          <w:sz w:val="19"/>
        </w:rPr>
        <w:t>live_metrics</w:t>
      </w:r>
      <w:r>
        <w:t xml:space="preserve">, </w:t>
      </w:r>
      <w:r>
        <w:rPr>
          <w:rFonts w:ascii="Consolas" w:hAnsi="Consolas"/>
          <w:color w:val="C7254E"/>
          <w:sz w:val="19"/>
        </w:rPr>
        <w:t>llm_reports</w:t>
      </w:r>
      <w:r>
        <w:t xml:space="preserve">, </w:t>
      </w:r>
      <w:r>
        <w:rPr>
          <w:rFonts w:ascii="Consolas" w:hAnsi="Consolas"/>
          <w:color w:val="C7254E"/>
          <w:sz w:val="19"/>
        </w:rPr>
        <w:t>session_notes</w:t>
      </w:r>
      <w:r>
        <w:t xml:space="preserve">, </w:t>
      </w:r>
      <w:r>
        <w:rPr>
          <w:rFonts w:ascii="Consolas" w:hAnsi="Consolas"/>
          <w:color w:val="C7254E"/>
          <w:sz w:val="19"/>
        </w:rPr>
        <w:t>audit_logs</w:t>
      </w:r>
      <w:r>
        <w:t xml:space="preserve">, and </w:t>
      </w:r>
      <w:r>
        <w:rPr>
          <w:rFonts w:ascii="Consolas" w:hAnsi="Consolas"/>
          <w:color w:val="C7254E"/>
          <w:sz w:val="19"/>
        </w:rPr>
        <w:t>saved_views</w:t>
      </w:r>
      <w:r>
        <w:t>. Without RLS, any authenticated user could theoretically read or modify records belonging to other organizations.</w:t>
      </w:r>
    </w:p>
    <w:p>
      <w:r>
        <w:t xml:space="preserve">RLS policies are defined in the database migration files and applied automatically when the schema is deployed to Supabase. Each policy compares the </w:t>
      </w:r>
      <w:r>
        <w:rPr>
          <w:rFonts w:ascii="Consolas" w:hAnsi="Consolas"/>
          <w:color w:val="C7254E"/>
          <w:sz w:val="19"/>
        </w:rPr>
        <w:t>org_id</w:t>
      </w:r>
      <w:r>
        <w:t xml:space="preserve"> column of the target row with the </w:t>
      </w:r>
      <w:r>
        <w:rPr>
          <w:rFonts w:ascii="Consolas" w:hAnsi="Consolas"/>
          <w:color w:val="C7254E"/>
          <w:sz w:val="19"/>
        </w:rPr>
        <w:t>org_id</w:t>
      </w:r>
      <w:r>
        <w:t xml:space="preserve"> stored in the current user's profile. For example:</w:t>
      </w:r>
    </w:p>
    <w:p>
      <w:pPr>
        <w:pStyle w:val="ListParagraph"/>
      </w:pPr>
      <w:r>
        <w:t>•</w:t>
        <w:tab/>
      </w:r>
      <w:r>
        <w:t xml:space="preserve">A user can SELECT sessions only when </w:t>
      </w:r>
      <w:r>
        <w:rPr>
          <w:rFonts w:ascii="Consolas" w:hAnsi="Consolas"/>
          <w:color w:val="C7254E"/>
          <w:sz w:val="19"/>
        </w:rPr>
        <w:t>sessions.org_id = auth.jwt()</w:t>
      </w:r>
      <w:r>
        <w:t xml:space="preserve"> claims org_id.</w:t>
      </w:r>
    </w:p>
    <w:p>
      <w:pPr>
        <w:pStyle w:val="ListParagraph"/>
      </w:pPr>
      <w:r>
        <w:t>•</w:t>
        <w:tab/>
      </w:r>
      <w:r>
        <w:t xml:space="preserve">A user can INSERT patient records only when </w:t>
      </w:r>
      <w:r>
        <w:rPr>
          <w:rFonts w:ascii="Consolas" w:hAnsi="Consolas"/>
          <w:color w:val="C7254E"/>
          <w:sz w:val="19"/>
        </w:rPr>
        <w:t>patients.org_id</w:t>
      </w:r>
      <w:r>
        <w:t xml:space="preserve"> matches their own organization.</w:t>
      </w:r>
    </w:p>
    <w:p>
      <w:pPr>
        <w:pStyle w:val="ListParagraph"/>
      </w:pPr>
      <w:r>
        <w:t>•</w:t>
        <w:tab/>
      </w:r>
      <w:r>
        <w:t>Admin-only policies restrict operations such as deleting devices or viewing audit logs.</w:t>
      </w:r>
    </w:p>
    <w:p>
      <w:r>
        <w:t xml:space="preserve">Some operations are performed by backend services rather than by an authenticated browser session. The FastAPI inference service, for example, inserts recordings, predictions, live metrics, and audit events after receiving MQTT data from an ESP32 device. These insertions use the Supabase </w:t>
      </w:r>
      <w:r>
        <w:rPr>
          <w:b/>
        </w:rPr>
        <w:t>service-role key</w:t>
      </w:r>
      <w:r>
        <w:t>, which bypasses RLS because it is a trusted backend action. The service-role key must never appear in browser code, frontend JavaScript bundles, firmware, public repositories, screenshots, or environment files that are committed to source control. In the deployment, service-role credentials are stored exclusively as server-side environment variables (</w:t>
      </w:r>
      <w:r>
        <w:rPr>
          <w:rFonts w:ascii="Consolas" w:hAnsi="Consolas"/>
          <w:color w:val="C7254E"/>
          <w:sz w:val="19"/>
        </w:rPr>
        <w:t>SUPABASE_SERVICE_ROLE_KEY</w:t>
      </w:r>
      <w:r>
        <w:t>) for backend containers only.</w:t>
      </w:r>
    </w:p>
    <w:tbl>
      <w:tblPr>
        <w:tblW w:type="auto" w:w="0"/>
        <w:jc w:val="center"/>
        <w:tblLook w:firstColumn="1" w:firstRow="1" w:lastColumn="0" w:lastRow="0" w:noHBand="0" w:noVBand="1" w:val="04A0"/>
      </w:tblPr>
      <w:tblGrid>
        <w:gridCol w:w="9360"/>
      </w:tblGrid>
      <w:tr>
        <w:tc>
          <w:tcPr>
            <w:tcW w:type="dxa" w:w="9360"/>
            <w:shd w:val="clear" w:color="auto" w:fill="EDF2F7"/>
            <w:tcBorders>
              <w:top w:val="single" w:sz="6" w:space="0" w:color="A0AEC0"/>
              <w:left w:val="single" w:sz="6" w:space="0" w:color="A0AEC0"/>
              <w:bottom w:val="single" w:sz="6" w:space="0" w:color="A0AEC0"/>
              <w:right w:val="single" w:sz="6" w:space="0" w:color="A0AEC0"/>
            </w:tcBorders>
            <w:tcMar>
              <w:top w:w="100" w:type="dxa"/>
              <w:bottom w:w="100" w:type="dxa"/>
              <w:left w:w="150" w:type="dxa"/>
              <w:right w:w="150" w:type="dxa"/>
            </w:tcMar>
          </w:tcPr>
          <w:p>
            <w:r>
              <w:rPr>
                <w:b/>
                <w:color w:val="2D3748"/>
                <w:sz w:val="20"/>
              </w:rPr>
              <w:t>FIGURE PLACEHOLDER: Figure 18.1 — Security and Organization Isolation Model</w:t>
            </w:r>
          </w:p>
        </w:tc>
      </w:tr>
      <w:tr>
        <w:tc>
          <w:tcPr>
            <w:tcW w:type="dxa" w:w="9360"/>
            <w:shd w:val="clear" w:color="auto" w:fill="FFFFFF"/>
            <w:tcBorders>
              <w:top w:val="single" w:sz="6" w:space="0" w:color="A0AEC0"/>
              <w:left w:val="single" w:sz="6" w:space="0" w:color="A0AEC0"/>
              <w:bottom w:val="single" w:sz="6" w:space="0" w:color="A0AEC0"/>
              <w:right w:val="single" w:sz="6" w:space="0" w:color="A0AEC0"/>
            </w:tcBorders>
            <w:tcMar>
              <w:top w:w="120" w:type="dxa"/>
              <w:bottom w:w="120" w:type="dxa"/>
              <w:left w:w="150" w:type="dxa"/>
              <w:right w:w="150" w:type="dxa"/>
            </w:tcMar>
          </w:tcPr>
          <w:p>
            <w:pPr>
              <w:spacing w:after="120"/>
            </w:pPr>
            <w:r>
              <w:rPr>
                <w:b/>
                <w:sz w:val="19"/>
              </w:rPr>
              <w:t xml:space="preserve">Instruction: </w:t>
            </w:r>
            <w:r>
              <w:rPr>
                <w:i/>
                <w:sz w:val="19"/>
              </w:rPr>
              <w:t>Insert Figure 18.1 here. This figure should appear immediately after the Row Level Security explanation.</w:t>
            </w:r>
          </w:p>
          <w:p>
            <w:pPr>
              <w:spacing w:after="240"/>
            </w:pPr>
            <w:r>
              <w:rPr>
                <w:b/>
                <w:sz w:val="19"/>
              </w:rPr>
              <w:t xml:space="preserve">Caption: </w:t>
            </w:r>
            <w:r>
              <w:rPr>
                <w:sz w:val="19"/>
              </w:rPr>
              <w:t>Figure 18.1 illustrates the complete security architecture of AscultiCor: Supabase Auth verifies user identity, user profiles carry organization membership, Row Level Security restricts every database query to the user's own organization, protected API routes validate sessions and tokens before performing privileged operations, backend services use service-role access only on the server side, device bootstrap uses hashed secrets for secure provisioning, per-device MQTT credentials restrict device topic access through ACL policies, internal service tokens protect operational endpoints, TLS encrypts all public traffic, rate limiting prevents abuse, and audit logs record sensitive actions for retrospective review.</w:t>
            </w:r>
          </w:p>
          <w:p>
            <w:pPr>
              <w:spacing w:after="80"/>
            </w:pPr>
            <w:r>
              <w:rPr>
                <w:b/>
                <w:color w:val="718096"/>
                <w:sz w:val="18"/>
              </w:rPr>
              <w:t>Image Generation Prompt (remove prompt block before submission):</w:t>
            </w:r>
          </w:p>
          <w:p>
            <w:pPr>
              <w:ind w:left="288" w:right="288"/>
            </w:pPr>
            <w:r>
              <w:rPr>
                <w:rFonts w:ascii="Consolas" w:hAnsi="Consolas"/>
                <w:color w:val="4A5568"/>
                <w:sz w:val="17"/>
              </w:rPr>
            </w:r>
          </w:p>
        </w:tc>
      </w:tr>
    </w:tbl>
    <w:p>
      <w:pPr>
        <w:spacing w:before="120"/>
      </w:pPr>
    </w:p>
    <w:p>
      <w:pPr>
        <w:pStyle w:val="Heading2"/>
      </w:pPr>
      <w:r>
        <w:t>18.4 Device Security</w:t>
      </w:r>
    </w:p>
    <w:p>
      <w:r>
        <w:t>The ESP32 device is the physical entry point for physiological signals. Device security therefore affects both data integrity and patient privacy. The final design avoids permanent shared credentials and instead uses a per-device bootstrap process.</w:t>
      </w:r>
    </w:p>
    <w:p>
      <w:r>
        <w:t>The provisioning sequence works as follows:</w:t>
      </w:r>
    </w:p>
    <w:p>
      <w:pPr>
        <w:pStyle w:val="ListParagraph"/>
      </w:pPr>
      <w:r>
        <w:t>1.</w:t>
        <w:tab/>
      </w:r>
      <w:r>
        <w:t>An administrator creates a device record in the dashboard and assigns it to an organization.</w:t>
      </w:r>
    </w:p>
    <w:p>
      <w:pPr>
        <w:pStyle w:val="ListParagraph"/>
      </w:pPr>
      <w:r>
        <w:t>2.</w:t>
        <w:tab/>
      </w:r>
      <w:r>
        <w:t>The backend generates a device ID (UUID) and a device secret.</w:t>
      </w:r>
    </w:p>
    <w:p>
      <w:pPr>
        <w:pStyle w:val="ListParagraph"/>
      </w:pPr>
      <w:r>
        <w:t>3.</w:t>
        <w:tab/>
      </w:r>
      <w:r>
        <w:t>The dashboard shows the bootstrap credentials once. The secret is stored as a hash in the database, not in plaintext.</w:t>
      </w:r>
    </w:p>
    <w:p>
      <w:pPr>
        <w:pStyle w:val="ListParagraph"/>
      </w:pPr>
      <w:r>
        <w:t>4.</w:t>
        <w:tab/>
      </w:r>
      <w:r>
        <w:t xml:space="preserve">A technician configures the ESP32 over serial with the device ID, device secret, WiFi credentials, and the bootstrap URL (e.g., </w:t>
      </w:r>
      <w:r>
        <w:rPr>
          <w:rFonts w:ascii="Consolas" w:hAnsi="Consolas"/>
          <w:color w:val="C7254E"/>
          <w:sz w:val="19"/>
        </w:rPr>
        <w:t>https://srv1621744.hstgr.cloud/api/device/bootstrap</w:t>
      </w:r>
      <w:r>
        <w:t>).</w:t>
      </w:r>
    </w:p>
    <w:p>
      <w:pPr>
        <w:pStyle w:val="ListParagraph"/>
      </w:pPr>
      <w:r>
        <w:t>5.</w:t>
        <w:tab/>
      </w:r>
      <w:r>
        <w:t>The ESP32 calls the bootstrap endpoint. The backend validates the provided secret against the stored hash.</w:t>
      </w:r>
    </w:p>
    <w:p>
      <w:pPr>
        <w:pStyle w:val="ListParagraph"/>
      </w:pPr>
      <w:r>
        <w:t>6.</w:t>
        <w:tab/>
      </w:r>
      <w:r>
        <w:t xml:space="preserve">If valid, the backend returns the organization ID and MQTT connection details, including </w:t>
      </w:r>
      <w:r>
        <w:rPr>
          <w:rFonts w:ascii="Consolas" w:hAnsi="Consolas"/>
          <w:color w:val="C7254E"/>
          <w:sz w:val="19"/>
        </w:rPr>
        <w:t>mqtt_host</w:t>
      </w:r>
      <w:r>
        <w:t xml:space="preserve">, </w:t>
      </w:r>
      <w:r>
        <w:rPr>
          <w:rFonts w:ascii="Consolas" w:hAnsi="Consolas"/>
          <w:color w:val="C7254E"/>
          <w:sz w:val="19"/>
        </w:rPr>
        <w:t>mqtt_port</w:t>
      </w:r>
      <w:r>
        <w:t xml:space="preserve">, </w:t>
      </w:r>
      <w:r>
        <w:rPr>
          <w:rFonts w:ascii="Consolas" w:hAnsi="Consolas"/>
          <w:color w:val="C7254E"/>
          <w:sz w:val="19"/>
        </w:rPr>
        <w:t>mqtt_user</w:t>
      </w:r>
      <w:r>
        <w:t xml:space="preserve">, and </w:t>
      </w:r>
      <w:r>
        <w:rPr>
          <w:rFonts w:ascii="Consolas" w:hAnsi="Consolas"/>
          <w:color w:val="C7254E"/>
          <w:sz w:val="19"/>
        </w:rPr>
        <w:t>mqtt_pass</w:t>
      </w:r>
      <w:r>
        <w:t>.</w:t>
      </w:r>
    </w:p>
    <w:p>
      <w:pPr>
        <w:pStyle w:val="ListParagraph"/>
      </w:pPr>
      <w:r>
        <w:t>7.</w:t>
        <w:tab/>
      </w:r>
      <w:r>
        <w:t>The device connects to Mosquitto using its individual MQTT credentials and begins publishing to its own topic namespace.</w:t>
      </w:r>
    </w:p>
    <w:p>
      <w:r>
        <w:t>The Mosquitto broker runs with authentication enabled. A synchronization script reads device MQTT credentials from Supabase and regenerates the broker's password file and ACL configuration on a configurable schedule (</w:t>
      </w:r>
      <w:r>
        <w:rPr>
          <w:rFonts w:ascii="Consolas" w:hAnsi="Consolas"/>
          <w:color w:val="C7254E"/>
          <w:sz w:val="19"/>
        </w:rPr>
        <w:t>MQTT_SYNC_INTERVAL_SEC</w:t>
      </w:r>
      <w:r>
        <w:t xml:space="preserve">, default 15 seconds). The ACL design restricts each device to publish and subscribe only within its own topic path under </w:t>
      </w:r>
      <w:r>
        <w:rPr>
          <w:rFonts w:ascii="Consolas" w:hAnsi="Consolas"/>
          <w:color w:val="C7254E"/>
          <w:sz w:val="19"/>
        </w:rPr>
        <w:t>org/{org_id}/device/{device_id}/...</w:t>
      </w:r>
      <w:r>
        <w:t>. A compromised device cannot publish into another device's topic path.</w:t>
      </w:r>
    </w:p>
    <w:p>
      <w:r>
        <w:t xml:space="preserve">For the initial Hostinger VPS deployment, the MQTT broker is kept private by setting </w:t>
      </w:r>
      <w:r>
        <w:rPr>
          <w:rFonts w:ascii="Consolas" w:hAnsi="Consolas"/>
          <w:color w:val="C7254E"/>
          <w:sz w:val="19"/>
        </w:rPr>
        <w:t>MQTT_BIND_ADDRESS=127.0.0.1</w:t>
      </w:r>
      <w:r>
        <w:t>. This means the broker is accessible to containers on the Docker network and to services on the VM itself but is not reachable from the public internet. Before exposing the broker to remote ESP32 devices, MQTT over TLS (port 8883) should be configured.</w:t>
      </w:r>
    </w:p>
    <w:p>
      <w:pPr>
        <w:pStyle w:val="Heading2"/>
      </w:pPr>
      <w:r>
        <w:t>18.5 API and Application Security</w:t>
      </w:r>
    </w:p>
    <w:p>
      <w:r>
        <w:rPr>
          <w:b/>
        </w:rPr>
        <w:t>NGINX as the public boundary.</w:t>
      </w:r>
      <w:r>
        <w:t xml:space="preserve"> All public browser traffic enters through NGINX over HTTPS. NGINX forwards requests to the Next.js frontend container and proxies the MQTT WebSocket endpoint (</w:t>
      </w:r>
      <w:r>
        <w:rPr>
          <w:rFonts w:ascii="Consolas" w:hAnsi="Consolas"/>
          <w:color w:val="C7254E"/>
          <w:sz w:val="19"/>
        </w:rPr>
        <w:t>/mqtt</w:t>
      </w:r>
      <w:r>
        <w:t xml:space="preserve">). The FastAPI inference service is deliberately not exposed through NGINX's public routes — the </w:t>
      </w:r>
      <w:r>
        <w:rPr>
          <w:rFonts w:ascii="Consolas" w:hAnsi="Consolas"/>
          <w:color w:val="C7254E"/>
          <w:sz w:val="19"/>
        </w:rPr>
        <w:t>/api/inference/</w:t>
      </w:r>
      <w:r>
        <w:t xml:space="preserve"> path returns 404 at the NGINX level. The inference service is only called from the Next.js API routes through the internal Docker network using </w:t>
      </w:r>
      <w:r>
        <w:rPr>
          <w:rFonts w:ascii="Consolas" w:hAnsi="Consolas"/>
          <w:color w:val="C7254E"/>
          <w:sz w:val="19"/>
        </w:rPr>
        <w:t>ASCULTICOR_INFERENCE_URL</w:t>
      </w:r>
      <w:r>
        <w:t xml:space="preserve"> (set to </w:t>
      </w:r>
      <w:r>
        <w:rPr>
          <w:rFonts w:ascii="Consolas" w:hAnsi="Consolas"/>
          <w:color w:val="C7254E"/>
          <w:sz w:val="19"/>
        </w:rPr>
        <w:t>http://inference:8000</w:t>
      </w:r>
      <w:r>
        <w:t xml:space="preserve"> inside Docker).</w:t>
      </w:r>
    </w:p>
    <w:p>
      <w:r>
        <w:rPr>
          <w:b/>
        </w:rPr>
        <w:t>Secrets in environment variables.</w:t>
      </w:r>
      <w:r>
        <w:t xml:space="preserve"> All credentials are stored as environment variables and never hardcoded in application code or Docker images. The cloud deployment template (</w:t>
      </w:r>
      <w:r>
        <w:rPr>
          <w:rFonts w:ascii="Consolas" w:hAnsi="Consolas"/>
          <w:color w:val="C7254E"/>
          <w:sz w:val="19"/>
        </w:rPr>
        <w:t>.env.cloud.example</w:t>
      </w:r>
      <w:r>
        <w:t xml:space="preserve">) defines every required variable but contains only placeholder values. The real </w:t>
      </w:r>
      <w:r>
        <w:rPr>
          <w:rFonts w:ascii="Consolas" w:hAnsi="Consolas"/>
          <w:color w:val="C7254E"/>
          <w:sz w:val="19"/>
        </w:rPr>
        <w:t>.env</w:t>
      </w:r>
      <w:r>
        <w:t xml:space="preserve"> file is created on the VPS at deployment time and is never committed to source control.</w:t>
      </w:r>
    </w:p>
    <w:p>
      <w:r>
        <w:t>Key secret variables and their roles:</w:t>
      </w:r>
    </w:p>
    <w:tbl>
      <w:tblPr>
        <w:tblW w:type="auto" w:w="0"/>
        <w:jc w:val="center"/>
        <w:tblLook w:firstColumn="1" w:firstRow="1" w:lastColumn="0" w:lastRow="0" w:noHBand="0" w:noVBand="1" w:val="04A0"/>
      </w:tblPr>
      <w:tblGrid>
        <w:gridCol w:w="4680"/>
        <w:gridCol w:w="4680"/>
      </w:tblGrid>
      <w:tr>
        <w:trPr>
          <w:trHeight w:val="360" w:hRule="atLeast"/>
        </w:trPr>
        <w:tc>
          <w:tcPr>
            <w:tcW w:type="dxa" w:w="28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Variable</w:t>
            </w:r>
          </w:p>
        </w:tc>
        <w:tc>
          <w:tcPr>
            <w:tcW w:type="dxa" w:w="64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Role</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SUPABASE_SERVICE_ROLE_KEY</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Grants backend services privileged Supabase access; must never be exposed to browsers</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INTERNAL_API_TOKEN</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Protects operational frontend routes (e.g., report queue processing) called by n8n</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INFERENCE_INTERNAL_TOKEN</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Protects the inference service's </w:t>
            </w:r>
            <w:r>
              <w:rPr>
                <w:rFonts w:ascii="Consolas" w:hAnsi="Consolas"/>
                <w:color w:val="C7254E"/>
                <w:sz w:val="19"/>
              </w:rPr>
              <w:t>/config</w:t>
            </w:r>
            <w:r>
              <w:rPr>
                <w:sz w:val="19"/>
              </w:rPr>
              <w:t xml:space="preserve"> and </w:t>
            </w:r>
            <w:r>
              <w:rPr>
                <w:rFonts w:ascii="Consolas" w:hAnsi="Consolas"/>
                <w:color w:val="C7254E"/>
                <w:sz w:val="19"/>
              </w:rPr>
              <w:t>/metrics</w:t>
            </w:r>
            <w:r>
              <w:rPr>
                <w:sz w:val="19"/>
              </w:rPr>
              <w:t xml:space="preserve"> endpoints</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MQTT_PASSWORD</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Administrative MQTT broker password</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MQTT_DEVICE_PASSWORD_PEPPER</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Secret used when deriving per-device MQTT passwords from device IDs</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N8N_ENCRYPTION_KEY</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Encrypts workflow credentials stored inside the n8n container volume</w:t>
            </w:r>
          </w:p>
        </w:tc>
      </w:tr>
    </w:tbl>
    <w:p>
      <w:pPr>
        <w:spacing w:before="120"/>
      </w:pPr>
    </w:p>
    <w:p>
      <w:r>
        <w:rPr>
          <w:b/>
        </w:rPr>
        <w:t>Inference service security middleware.</w:t>
      </w:r>
      <w:r>
        <w:t xml:space="preserve"> The FastAPI inference service implements several security controls activated by environment variables:</w:t>
      </w:r>
    </w:p>
    <w:p>
      <w:pPr>
        <w:pStyle w:val="ListParagraph"/>
      </w:pPr>
      <w:r>
        <w:t>•</w:t>
        <w:tab/>
      </w:r>
      <w:r>
        <w:rPr>
          <w:b/>
        </w:rPr>
        <w:t>CORS:</w:t>
      </w:r>
      <w:r>
        <w:t xml:space="preserve"> Only origins listed in </w:t>
      </w:r>
      <w:r>
        <w:rPr>
          <w:rFonts w:ascii="Consolas" w:hAnsi="Consolas"/>
          <w:color w:val="C7254E"/>
          <w:sz w:val="19"/>
        </w:rPr>
        <w:t>ALLOWED_ORIGINS</w:t>
      </w:r>
      <w:r>
        <w:t xml:space="preserve"> may make cross-origin requests.</w:t>
      </w:r>
    </w:p>
    <w:p>
      <w:pPr>
        <w:pStyle w:val="ListParagraph"/>
      </w:pPr>
      <w:r>
        <w:t>•</w:t>
        <w:tab/>
      </w:r>
      <w:r>
        <w:rPr>
          <w:b/>
        </w:rPr>
        <w:t>Trusted hosts:</w:t>
      </w:r>
      <w:r>
        <w:t xml:space="preserve"> Only hostnames in </w:t>
      </w:r>
      <w:r>
        <w:rPr>
          <w:rFonts w:ascii="Consolas" w:hAnsi="Consolas"/>
          <w:color w:val="C7254E"/>
          <w:sz w:val="19"/>
        </w:rPr>
        <w:t>TRUSTED_HOSTS</w:t>
      </w:r>
      <w:r>
        <w:t xml:space="preserve"> are accepted by the trusted-host middleware. This prevents HTTP host-header injection.</w:t>
      </w:r>
    </w:p>
    <w:p>
      <w:pPr>
        <w:pStyle w:val="ListParagraph"/>
      </w:pPr>
      <w:r>
        <w:t>•</w:t>
        <w:tab/>
      </w:r>
      <w:r>
        <w:rPr>
          <w:b/>
        </w:rPr>
        <w:t>Security headers:</w:t>
      </w:r>
      <w:r>
        <w:t xml:space="preserve"> When </w:t>
      </w:r>
      <w:r>
        <w:rPr>
          <w:rFonts w:ascii="Consolas" w:hAnsi="Consolas"/>
          <w:color w:val="C7254E"/>
          <w:sz w:val="19"/>
        </w:rPr>
        <w:t>SECURITY_HEADERS_ENABLED=true</w:t>
      </w:r>
      <w:r>
        <w:t xml:space="preserve">, the service adds </w:t>
      </w:r>
      <w:r>
        <w:rPr>
          <w:rFonts w:ascii="Consolas" w:hAnsi="Consolas"/>
          <w:color w:val="C7254E"/>
          <w:sz w:val="19"/>
        </w:rPr>
        <w:t>X-Content-Type-Options</w:t>
      </w:r>
      <w:r>
        <w:t xml:space="preserve">, </w:t>
      </w:r>
      <w:r>
        <w:rPr>
          <w:rFonts w:ascii="Consolas" w:hAnsi="Consolas"/>
          <w:color w:val="C7254E"/>
          <w:sz w:val="19"/>
        </w:rPr>
        <w:t>X-Frame-Options</w:t>
      </w:r>
      <w:r>
        <w:t xml:space="preserve">, </w:t>
      </w:r>
      <w:r>
        <w:rPr>
          <w:rFonts w:ascii="Consolas" w:hAnsi="Consolas"/>
          <w:color w:val="C7254E"/>
          <w:sz w:val="19"/>
        </w:rPr>
        <w:t>Strict-Transport-Security</w:t>
      </w:r>
      <w:r>
        <w:t xml:space="preserve">, </w:t>
      </w:r>
      <w:r>
        <w:rPr>
          <w:rFonts w:ascii="Consolas" w:hAnsi="Consolas"/>
          <w:color w:val="C7254E"/>
          <w:sz w:val="19"/>
        </w:rPr>
        <w:t>Referrer-Policy</w:t>
      </w:r>
      <w:r>
        <w:t xml:space="preserve">, and a configurable </w:t>
      </w:r>
      <w:r>
        <w:rPr>
          <w:rFonts w:ascii="Consolas" w:hAnsi="Consolas"/>
          <w:color w:val="C7254E"/>
          <w:sz w:val="19"/>
        </w:rPr>
        <w:t>Content-Security-Policy</w:t>
      </w:r>
      <w:r>
        <w:t xml:space="preserve"> (</w:t>
      </w:r>
      <w:r>
        <w:rPr>
          <w:rFonts w:ascii="Consolas" w:hAnsi="Consolas"/>
          <w:color w:val="C7254E"/>
          <w:sz w:val="19"/>
        </w:rPr>
        <w:t>CSP_POLICY</w:t>
      </w:r>
      <w:r>
        <w:t>).</w:t>
      </w:r>
    </w:p>
    <w:p>
      <w:pPr>
        <w:pStyle w:val="ListParagraph"/>
      </w:pPr>
      <w:r>
        <w:t>•</w:t>
        <w:tab/>
      </w:r>
      <w:r>
        <w:rPr>
          <w:b/>
        </w:rPr>
        <w:t>Rate limiting:</w:t>
      </w:r>
      <w:r>
        <w:t xml:space="preserve"> API endpoints include rate limiting to reduce the impact of misconfigured or abusive clients.</w:t>
      </w:r>
    </w:p>
    <w:p>
      <w:pPr>
        <w:pStyle w:val="ListParagraph"/>
      </w:pPr>
      <w:r>
        <w:t>•</w:t>
        <w:tab/>
      </w:r>
      <w:r>
        <w:rPr>
          <w:b/>
        </w:rPr>
        <w:t>Internal token validation:</w:t>
      </w:r>
      <w:r>
        <w:t xml:space="preserve"> The </w:t>
      </w:r>
      <w:r>
        <w:rPr>
          <w:rFonts w:ascii="Consolas" w:hAnsi="Consolas"/>
          <w:color w:val="C7254E"/>
          <w:sz w:val="19"/>
        </w:rPr>
        <w:t>/config</w:t>
      </w:r>
      <w:r>
        <w:t xml:space="preserve"> and </w:t>
      </w:r>
      <w:r>
        <w:rPr>
          <w:rFonts w:ascii="Consolas" w:hAnsi="Consolas"/>
          <w:color w:val="C7254E"/>
          <w:sz w:val="19"/>
        </w:rPr>
        <w:t>/metrics</w:t>
      </w:r>
      <w:r>
        <w:t xml:space="preserve"> endpoints require the </w:t>
      </w:r>
      <w:r>
        <w:rPr>
          <w:rFonts w:ascii="Consolas" w:hAnsi="Consolas"/>
          <w:color w:val="C7254E"/>
          <w:sz w:val="19"/>
        </w:rPr>
        <w:t>x-internal-token</w:t>
      </w:r>
      <w:r>
        <w:t xml:space="preserve"> header to contain </w:t>
      </w:r>
      <w:r>
        <w:rPr>
          <w:rFonts w:ascii="Consolas" w:hAnsi="Consolas"/>
          <w:color w:val="C7254E"/>
          <w:sz w:val="19"/>
        </w:rPr>
        <w:t>INFERENCE_INTERNAL_TOKEN</w:t>
      </w:r>
      <w:r>
        <w:t>. Requests without the correct token receive a 403 response.</w:t>
      </w:r>
    </w:p>
    <w:p>
      <w:r>
        <w:rPr>
          <w:b/>
        </w:rPr>
        <w:t>Input validation.</w:t>
      </w:r>
      <w:r>
        <w:t xml:space="preserve"> Device bootstrap requires both </w:t>
      </w:r>
      <w:r>
        <w:rPr>
          <w:rFonts w:ascii="Consolas" w:hAnsi="Consolas"/>
          <w:color w:val="C7254E"/>
          <w:sz w:val="19"/>
        </w:rPr>
        <w:t>device_id</w:t>
      </w:r>
      <w:r>
        <w:t xml:space="preserve"> and </w:t>
      </w:r>
      <w:r>
        <w:rPr>
          <w:rFonts w:ascii="Consolas" w:hAnsi="Consolas"/>
          <w:color w:val="C7254E"/>
          <w:sz w:val="19"/>
        </w:rPr>
        <w:t>device_secret</w:t>
      </w:r>
      <w:r>
        <w:t>. LLM report routes validate session membership, organization ownership, and pending state before processing. Session creation validates device ownership and patient membership within the same organization. This validation is especially important because AscultiCor integrates many component types: browsers, ESP32 devices, MQTT messages, n8n automation, and LLM providers — each of which is a potential boundary for unexpected input.</w:t>
      </w:r>
    </w:p>
    <w:p>
      <w:pPr>
        <w:pStyle w:val="Heading2"/>
      </w:pPr>
      <w:r>
        <w:t>18.6 Privacy and Data Retention</w:t>
      </w:r>
    </w:p>
    <w:p>
      <w:r>
        <w:t>AscultiCor stores health-related data that must be treated as sensitive even in a prototype environment:</w:t>
      </w:r>
    </w:p>
    <w:p>
      <w:pPr>
        <w:pStyle w:val="ListParagraph"/>
      </w:pPr>
      <w:r>
        <w:t>•</w:t>
        <w:tab/>
      </w:r>
      <w:r>
        <w:t>Patient metadata (name, medical record, notes)</w:t>
      </w:r>
    </w:p>
    <w:p>
      <w:pPr>
        <w:pStyle w:val="ListParagraph"/>
      </w:pPr>
      <w:r>
        <w:t>•</w:t>
        <w:tab/>
      </w:r>
      <w:r>
        <w:t>ECG and PCG raw signal recordings (stored in a private Supabase Storage bucket)</w:t>
      </w:r>
    </w:p>
    <w:p>
      <w:pPr>
        <w:pStyle w:val="ListParagraph"/>
      </w:pPr>
      <w:r>
        <w:t>•</w:t>
        <w:tab/>
      </w:r>
      <w:r>
        <w:t>Live signal metrics (streaming quality indicators)</w:t>
      </w:r>
    </w:p>
    <w:p>
      <w:pPr>
        <w:pStyle w:val="ListParagraph"/>
      </w:pPr>
      <w:r>
        <w:t>•</w:t>
        <w:tab/>
      </w:r>
      <w:r>
        <w:t>AI model predictions (classification outputs and confidence scores)</w:t>
      </w:r>
    </w:p>
    <w:p>
      <w:pPr>
        <w:pStyle w:val="ListParagraph"/>
      </w:pPr>
      <w:r>
        <w:t>•</w:t>
        <w:tab/>
      </w:r>
      <w:r>
        <w:t>AI-generated report text (educational clinical summaries)</w:t>
      </w:r>
    </w:p>
    <w:p>
      <w:pPr>
        <w:pStyle w:val="ListParagraph"/>
      </w:pPr>
      <w:r>
        <w:t>•</w:t>
        <w:tab/>
      </w:r>
      <w:r>
        <w:t>Audit log entries (sensitive action records)</w:t>
      </w:r>
    </w:p>
    <w:p>
      <w:r>
        <w:t>The platform uses several controls to protect this data:</w:t>
      </w:r>
    </w:p>
    <w:p>
      <w:pPr>
        <w:pStyle w:val="ListParagraph"/>
      </w:pPr>
      <w:r>
        <w:t>1.</w:t>
        <w:tab/>
      </w:r>
      <w:r>
        <w:rPr>
          <w:b/>
        </w:rPr>
        <w:t>Private Supabase Storage bucket.</w:t>
      </w:r>
      <w:r>
        <w:t xml:space="preserve"> Recordings are stored in a bucket named </w:t>
      </w:r>
      <w:r>
        <w:rPr>
          <w:rFonts w:ascii="Consolas" w:hAnsi="Consolas"/>
          <w:color w:val="C7254E"/>
          <w:sz w:val="19"/>
        </w:rPr>
        <w:t>recordings</w:t>
      </w:r>
      <w:r>
        <w:t xml:space="preserve"> with a private access policy. Signed URLs with short expiry times are used to provide controlled download access.</w:t>
      </w:r>
    </w:p>
    <w:p>
      <w:pPr>
        <w:pStyle w:val="ListParagraph"/>
      </w:pPr>
      <w:r>
        <w:t>2.</w:t>
        <w:tab/>
      </w:r>
      <w:r>
        <w:rPr>
          <w:b/>
        </w:rPr>
        <w:t>Organization-scoped storage policies.</w:t>
      </w:r>
      <w:r>
        <w:t xml:space="preserve"> Storage policies require the user to belong to the same organization as the recording before a signed URL can be generated.</w:t>
      </w:r>
    </w:p>
    <w:p>
      <w:pPr>
        <w:pStyle w:val="ListParagraph"/>
      </w:pPr>
      <w:r>
        <w:t>3.</w:t>
        <w:tab/>
      </w:r>
      <w:r>
        <w:rPr>
          <w:b/>
        </w:rPr>
        <w:t>Database RLS.</w:t>
      </w:r>
      <w:r>
        <w:t xml:space="preserve"> Patient and session records are restricted to the owning organization on every query.</w:t>
      </w:r>
    </w:p>
    <w:p>
      <w:pPr>
        <w:pStyle w:val="ListParagraph"/>
      </w:pPr>
      <w:r>
        <w:t>4.</w:t>
        <w:tab/>
      </w:r>
      <w:r>
        <w:rPr>
          <w:b/>
        </w:rPr>
        <w:t>Audit logging.</w:t>
      </w:r>
      <w:r>
        <w:t xml:space="preserve"> Events such as device creation, device update, session start, note addition, record deletion, bootstrap requests, and report generation are written to the </w:t>
      </w:r>
      <w:r>
        <w:rPr>
          <w:rFonts w:ascii="Consolas" w:hAnsi="Consolas"/>
          <w:color w:val="C7254E"/>
          <w:sz w:val="19"/>
        </w:rPr>
        <w:t>audit_logs</w:t>
      </w:r>
      <w:r>
        <w:t xml:space="preserve"> table. This creates a traceable record of when and by whom sensitive actions were performed.</w:t>
      </w:r>
    </w:p>
    <w:p>
      <w:r>
        <w:t>For demonstration and academic testing, de-identification should be used whenever possible. Patient names, emails, and identifiers should be replaced with synthetic values before any public demonstration. Real clinical data must not be uploaded unless the team has explicit written permission, a documented data retention policy, and approval from the responsible supervising institution.</w:t>
      </w:r>
    </w:p>
    <w:p>
      <w:r>
        <w:t>Data retention must be defined before any production clinical use. The project should specify how long raw recordings, predictions, audit logs, and generated reports are retained. Backups must follow the same privacy rules as the primary database.</w:t>
      </w:r>
    </w:p>
    <w:p>
      <w:pPr>
        <w:pStyle w:val="Heading2"/>
      </w:pPr>
      <w:r>
        <w:t>18.7 Incident Response</w:t>
      </w:r>
    </w:p>
    <w:p>
      <w:r>
        <w:t>Incident response defines how the team should react when security controls are breached or suspicious activity is detected. The most likely incidents for this project are:</w:t>
      </w:r>
    </w:p>
    <w:p>
      <w:pPr>
        <w:pStyle w:val="ListParagraph"/>
      </w:pPr>
      <w:r>
        <w:t>•</w:t>
        <w:tab/>
      </w:r>
      <w:r>
        <w:t>A Supabase service-role key or internal token leaked in a screenshot, commit, or message.</w:t>
      </w:r>
    </w:p>
    <w:p>
      <w:pPr>
        <w:pStyle w:val="ListParagraph"/>
      </w:pPr>
      <w:r>
        <w:t>•</w:t>
        <w:tab/>
      </w:r>
      <w:r>
        <w:t>A device credential or MQTT password compromised.</w:t>
      </w:r>
    </w:p>
    <w:p>
      <w:pPr>
        <w:pStyle w:val="ListParagraph"/>
      </w:pPr>
      <w:r>
        <w:t>•</w:t>
        <w:tab/>
      </w:r>
      <w:r>
        <w:t>Suspicious entries in the audit log suggesting unauthorized access.</w:t>
      </w:r>
    </w:p>
    <w:p>
      <w:pPr>
        <w:pStyle w:val="ListParagraph"/>
      </w:pPr>
      <w:r>
        <w:t>•</w:t>
        <w:tab/>
      </w:r>
      <w:r>
        <w:t>Accidental public exposure of the MQTT broker.</w:t>
      </w:r>
    </w:p>
    <w:p>
      <w:pPr>
        <w:pStyle w:val="ListParagraph"/>
      </w:pPr>
      <w:r>
        <w:t>•</w:t>
        <w:tab/>
      </w:r>
      <w:r>
        <w:t>Unintended sharing of patient records.</w:t>
      </w:r>
    </w:p>
    <w:p>
      <w:r>
        <w:rPr>
          <w:b/>
        </w:rPr>
        <w:t>If a secret is leaked:</w:t>
      </w:r>
      <w:r>
        <w:t xml:space="preserve"> Immediately revoke or rotate the affected key using the Supabase dashboard or the corresponding service's credential management. Update the </w:t>
      </w:r>
      <w:r>
        <w:rPr>
          <w:rFonts w:ascii="Consolas" w:hAnsi="Consolas"/>
          <w:color w:val="C7254E"/>
          <w:sz w:val="19"/>
        </w:rPr>
        <w:t>.env</w:t>
      </w:r>
      <w:r>
        <w:t xml:space="preserve"> file on the VM with the new key, restart all affected containers, and review audit logs for unusual access during the period when the key was exposed. Remove or invalidate any screenshots or commits that contained the key.</w:t>
      </w:r>
    </w:p>
    <w:p>
      <w:r>
        <w:rPr>
          <w:b/>
        </w:rPr>
        <w:t>If a device is compromised:</w:t>
      </w:r>
      <w:r>
        <w:t xml:space="preserve"> Disable the device record or rotate its MQTT credentials in Supabase. Allow the Mosquitto synchronization script to reload the broker configuration so the old credentials no longer work. Review MQTT logs, device telemetry, session records, and audit logs for signs of invalid or malicious data submissions.</w:t>
      </w:r>
    </w:p>
    <w:p>
      <w:r>
        <w:rPr>
          <w:b/>
        </w:rPr>
        <w:t>If patient data is exposed:</w:t>
      </w:r>
      <w:r>
        <w:t xml:space="preserve"> Identify the affected records, immediately remove public access, preserve logs for investigation, and notify the supervising faculty member or institution. For a production medical platform, this would require a formal privacy and regulatory response workflow.</w:t>
      </w:r>
    </w:p>
    <w:p>
      <w:r>
        <w:t>Documenting these steps demonstrates that the Cloud and DevOps team understands the operational responsibility that comes with handling health-adjacent data, even in a prototype educational context.</w:t>
      </w:r>
    </w:p>
    <w:p>
      <w:pPr>
        <w:pStyle w:val="Heading2"/>
      </w:pPr>
      <w:r>
        <w:t>Table 18.1: Security Control Checklist</w:t>
      </w:r>
    </w:p>
    <w:tbl>
      <w:tblPr>
        <w:tblW w:type="auto" w:w="0"/>
        <w:jc w:val="center"/>
        <w:tblLook w:firstColumn="1" w:firstRow="1" w:lastColumn="0" w:lastRow="0" w:noHBand="0" w:noVBand="1" w:val="04A0"/>
      </w:tblPr>
      <w:tblGrid>
        <w:gridCol w:w="3120"/>
        <w:gridCol w:w="3120"/>
        <w:gridCol w:w="3120"/>
      </w:tblGrid>
      <w:tr>
        <w:trPr>
          <w:trHeight w:val="360" w:hRule="atLeast"/>
        </w:trPr>
        <w:tc>
          <w:tcPr>
            <w:tcW w:type="dxa" w:w="2592"/>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Security Control</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Implemented Approach</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Production Recommendation</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User authentication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Supabase Auth JWT sessions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Enforce strong password policy and multi-factor authentication</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Authorization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User profiles with role field, route guards, API checks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Automated role-permission regression tests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Organization isolation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Supabase RLS on all tables by </w:t>
            </w:r>
            <w:r>
              <w:rPr>
                <w:rFonts w:ascii="Consolas" w:hAnsi="Consolas"/>
                <w:color w:val="C7254E"/>
                <w:sz w:val="19"/>
              </w:rPr>
              <w:t>org_id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Add RLS regression tests to the CI pipeline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Service-role protection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Used only in server-side backend containers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Store in managed secret storage; rotate after any exposure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Device provisioning</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Device ID plus hashed device secret; bootstrap API</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Add time-limited one-time bootstrap tokens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MQTT access control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Mosquitto authentication plus per-device ACLs synced from Supabase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Use MQTT over TLS (port 8883) or a managed IoT broker</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API protection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Internal tokens for operational endpoints (</w:t>
            </w:r>
            <w:r>
              <w:rPr>
                <w:rFonts w:ascii="Consolas" w:hAnsi="Consolas"/>
                <w:color w:val="C7254E"/>
                <w:sz w:val="19"/>
              </w:rPr>
              <w:t>/config</w:t>
            </w:r>
            <w:r>
              <w:rPr>
                <w:sz w:val="19"/>
              </w:rPr>
              <w:t xml:space="preserve">, </w:t>
            </w:r>
            <w:r>
              <w:rPr>
                <w:rFonts w:ascii="Consolas" w:hAnsi="Consolas"/>
                <w:color w:val="C7254E"/>
                <w:sz w:val="19"/>
              </w:rPr>
              <w:t>/metrics</w:t>
            </w:r>
            <w:r>
              <w:rPr>
                <w:sz w:val="19"/>
              </w:rPr>
              <w:t>, LLM queue)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Migrate to service-to-service mTLS for stronger guarantees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CORS and trusted hosts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Configured via </w:t>
            </w:r>
            <w:r>
              <w:rPr>
                <w:rFonts w:ascii="Consolas" w:hAnsi="Consolas"/>
                <w:color w:val="C7254E"/>
                <w:sz w:val="19"/>
              </w:rPr>
              <w:t>ALLOWED_ORIGINS</w:t>
            </w:r>
            <w:r>
              <w:rPr>
                <w:sz w:val="19"/>
              </w:rPr>
              <w:t xml:space="preserve"> and </w:t>
            </w:r>
            <w:r>
              <w:rPr>
                <w:rFonts w:ascii="Consolas" w:hAnsi="Consolas"/>
                <w:color w:val="C7254E"/>
                <w:sz w:val="19"/>
              </w:rPr>
              <w:t>TRUSTED_HOSTS</w:t>
            </w:r>
            <w:r>
              <w:rPr>
                <w:sz w:val="19"/>
              </w:rPr>
              <w:t xml:space="preserve"> environment variables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Restrict to production domain only; remove </w:t>
            </w:r>
            <w:r>
              <w:rPr>
                <w:rFonts w:ascii="Consolas" w:hAnsi="Consolas"/>
                <w:color w:val="C7254E"/>
                <w:sz w:val="19"/>
              </w:rPr>
              <w:t>localhost</w:t>
            </w:r>
            <w:r>
              <w:rPr>
                <w:sz w:val="19"/>
              </w:rPr>
              <w:t xml:space="preserve"> from cloud env</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Security headers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Enabled in inference service via </w:t>
            </w:r>
            <w:r>
              <w:rPr>
                <w:rFonts w:ascii="Consolas" w:hAnsi="Consolas"/>
                <w:color w:val="C7254E"/>
                <w:sz w:val="19"/>
              </w:rPr>
              <w:t>SECURITY_HEADERS_ENABLED=true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Apply uniform headers at NGINX layer for all services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Audit logs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Stored in Supabase </w:t>
            </w:r>
            <w:r>
              <w:rPr>
                <w:rFonts w:ascii="Consolas" w:hAnsi="Consolas"/>
                <w:color w:val="C7254E"/>
                <w:sz w:val="19"/>
              </w:rPr>
              <w:t>audit_logs</w:t>
            </w:r>
            <w:r>
              <w:rPr>
                <w:sz w:val="19"/>
              </w:rPr>
              <w:t xml:space="preserve"> table for all sensitive actions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Add real-time alerting for anomalous patterns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Data privacy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Private storage bucket; RLS on patient/session/recording tables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Add formal data retention, deletion, and consent policy</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Backups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Planned via Supabase scheduled backups and VM volume snapshots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Encrypt backups; test restore path before relying on it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Rate limiting</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Applied in inference service middleware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Extend to NGINX and Next.js API routes</w:t>
            </w:r>
          </w:p>
        </w:tc>
      </w:tr>
    </w:tbl>
    <w:p>
      <w:pPr>
        <w:spacing w:before="120"/>
      </w:pPr>
    </w:p>
    <w:p>
      <w:pPr>
        <w:pStyle w:val="Heading1"/>
      </w:pPr>
      <w:r>
        <w:t>Chapter 19: Deployment, Docker, NGINX, Cloud VM, and Operations</w:t>
      </w:r>
    </w:p>
    <w:p>
      <w:pPr>
        <w:pStyle w:val="Heading2"/>
      </w:pPr>
      <w:r>
        <w:t>19.1 DevOps Objective</w:t>
      </w:r>
    </w:p>
    <w:p>
      <w:r>
        <w:t xml:space="preserve">The DevOps objective is to make AscultiCor </w:t>
      </w:r>
      <w:r>
        <w:rPr>
          <w:b/>
        </w:rPr>
        <w:t>reproducible</w:t>
      </w:r>
      <w:r>
        <w:t xml:space="preserve">, </w:t>
      </w:r>
      <w:r>
        <w:rPr>
          <w:b/>
        </w:rPr>
        <w:t>deployable</w:t>
      </w:r>
      <w:r>
        <w:t xml:space="preserve">, </w:t>
      </w:r>
      <w:r>
        <w:rPr>
          <w:b/>
        </w:rPr>
        <w:t>secure</w:t>
      </w:r>
      <w:r>
        <w:t xml:space="preserve">, </w:t>
      </w:r>
      <w:r>
        <w:rPr>
          <w:b/>
        </w:rPr>
        <w:t>observable</w:t>
      </w:r>
      <w:r>
        <w:t xml:space="preserve">, and </w:t>
      </w:r>
      <w:r>
        <w:rPr>
          <w:b/>
        </w:rPr>
        <w:t>maintainable</w:t>
      </w:r>
      <w:r>
        <w:t xml:space="preserve"> as a complete integrated system.</w:t>
      </w:r>
    </w:p>
    <w:p>
      <w:r>
        <w:t>AscultiCor is composed of multiple services written in different languages and frameworks: a Next.js frontend, a FastAPI Python inference service, a Mosquitto MQTT broker, optional n8n automation engine, and trained ML model artifacts that must be mounted into the right container at runtime. In addition, the system depends on a managed external service (Supabase) for authentication, database storage, and file storage. Without a structured deployment layer, running this system consistently across team machines, demo environments, and the cloud VM would require significant manual coordination.</w:t>
      </w:r>
    </w:p>
    <w:p>
      <w:r>
        <w:t>Docker Compose is the primary tool used to define and run all local and cloud services. NGINX acts as the public-facing entry point, terminates TLS, and routes requests to internal containers. Environment variables separate all configuration from application code so the same container images can be used in local development and cloud deployment without modification. Health endpoints, structured logs, and operational checklists allow the team to verify that the system is running correctly at any time.</w:t>
      </w:r>
    </w:p>
    <w:p>
      <w:r>
        <w:t>The deployment design supports three modes of operation:</w:t>
      </w:r>
    </w:p>
    <w:p>
      <w:pPr>
        <w:pStyle w:val="ListParagraph"/>
      </w:pPr>
      <w:r>
        <w:t>1.</w:t>
        <w:tab/>
      </w:r>
      <w:r>
        <w:rPr>
          <w:b/>
        </w:rPr>
        <w:t>Local development</w:t>
      </w:r>
      <w:r>
        <w:t xml:space="preserve"> — all services running on a developer's machine, accessed on </w:t>
      </w:r>
      <w:r>
        <w:rPr>
          <w:rFonts w:ascii="Consolas" w:hAnsi="Consolas"/>
          <w:color w:val="C7254E"/>
          <w:sz w:val="19"/>
        </w:rPr>
        <w:t>localhost</w:t>
      </w:r>
      <w:r>
        <w:t>.</w:t>
      </w:r>
    </w:p>
    <w:p>
      <w:pPr>
        <w:pStyle w:val="ListParagraph"/>
      </w:pPr>
      <w:r>
        <w:t>2.</w:t>
        <w:tab/>
      </w:r>
      <w:r>
        <w:rPr>
          <w:b/>
        </w:rPr>
        <w:t>Hostinger VPS cloud staging</w:t>
      </w:r>
      <w:r>
        <w:t xml:space="preserve"> — all services running on the graduation project VPS, accessible over the public internet at </w:t>
      </w:r>
      <w:r>
        <w:rPr>
          <w:rFonts w:ascii="Consolas" w:hAnsi="Consolas"/>
          <w:color w:val="C7254E"/>
          <w:sz w:val="19"/>
        </w:rPr>
        <w:t>https://srv1621744.hstgr.cloud</w:t>
      </w:r>
      <w:r>
        <w:t>.</w:t>
      </w:r>
    </w:p>
    <w:p>
      <w:pPr>
        <w:pStyle w:val="ListParagraph"/>
      </w:pPr>
      <w:r>
        <w:t>3.</w:t>
        <w:tab/>
      </w:r>
      <w:r>
        <w:rPr>
          <w:b/>
        </w:rPr>
        <w:t>Future production hardening</w:t>
      </w:r>
      <w:r>
        <w:t xml:space="preserve"> — the Appendix K checklist and production guidance in Section 19.8 document what would need to change before clinical use.</w:t>
      </w:r>
    </w:p>
    <w:p>
      <w:pPr>
        <w:pStyle w:val="Heading2"/>
      </w:pPr>
      <w:r>
        <w:t>19.2 Local Development Environment</w:t>
      </w:r>
    </w:p>
    <w:p>
      <w:r>
        <w:t>The local development environment allows any team member to run the complete AscultiCor platform with minimal manual setup. The setup procedure is:</w:t>
      </w:r>
    </w:p>
    <w:p>
      <w:pPr>
        <w:pStyle w:val="ListParagraph"/>
      </w:pPr>
      <w:r>
        <w:t>1.</w:t>
        <w:tab/>
      </w:r>
      <w:r>
        <w:t xml:space="preserve">Copy the environment template: </w:t>
      </w:r>
      <w:r>
        <w:rPr>
          <w:rFonts w:ascii="Consolas" w:hAnsi="Consolas"/>
          <w:color w:val="C7254E"/>
          <w:sz w:val="19"/>
        </w:rPr>
        <w:t>cp .env.example .env</w:t>
      </w:r>
      <w:r>
        <w:t>.</w:t>
      </w:r>
    </w:p>
    <w:p>
      <w:pPr>
        <w:pStyle w:val="ListParagraph"/>
      </w:pPr>
      <w:r>
        <w:t>2.</w:t>
        <w:tab/>
      </w:r>
      <w:r>
        <w:t>Fill in the required Supabase URL, Supabase anon key, Supabase service-role key, MQTT username, MQTT password, internal API token, and inference internal token.</w:t>
      </w:r>
    </w:p>
    <w:p>
      <w:pPr>
        <w:pStyle w:val="ListParagraph"/>
      </w:pPr>
      <w:r>
        <w:t>3.</w:t>
        <w:tab/>
      </w:r>
      <w:r>
        <w:t>Apply the Supabase database migrations to create the schema, tables, and RLS policies.</w:t>
      </w:r>
    </w:p>
    <w:p>
      <w:pPr>
        <w:pStyle w:val="ListParagraph"/>
      </w:pPr>
      <w:r>
        <w:t>4.</w:t>
        <w:tab/>
      </w:r>
      <w:r>
        <w:t xml:space="preserve">Start all services with Docker Compose: </w:t>
      </w:r>
      <w:r>
        <w:rPr>
          <w:rFonts w:ascii="Consolas" w:hAnsi="Consolas"/>
          <w:color w:val="C7254E"/>
          <w:sz w:val="19"/>
        </w:rPr>
        <w:t>docker compose up --build -d</w:t>
      </w:r>
      <w:r>
        <w:t>.</w:t>
      </w:r>
    </w:p>
    <w:p>
      <w:r>
        <w:t>The core local services are:</w:t>
      </w:r>
    </w:p>
    <w:p>
      <w:pPr>
        <w:pStyle w:val="ListParagraph"/>
      </w:pPr>
      <w:r>
        <w:t>•</w:t>
        <w:tab/>
      </w:r>
      <w:r>
        <w:rPr>
          <w:b/>
        </w:rPr>
        <w:t>mosquitto</w:t>
      </w:r>
      <w:r>
        <w:t xml:space="preserve"> — MQTT broker running on TCP port </w:t>
      </w:r>
      <w:r>
        <w:rPr>
          <w:rFonts w:ascii="Consolas" w:hAnsi="Consolas"/>
          <w:color w:val="C7254E"/>
          <w:sz w:val="19"/>
        </w:rPr>
        <w:t>1883</w:t>
      </w:r>
      <w:r>
        <w:t xml:space="preserve"> and WebSocket port </w:t>
      </w:r>
      <w:r>
        <w:rPr>
          <w:rFonts w:ascii="Consolas" w:hAnsi="Consolas"/>
          <w:color w:val="C7254E"/>
          <w:sz w:val="19"/>
        </w:rPr>
        <w:t>9001</w:t>
      </w:r>
      <w:r>
        <w:t xml:space="preserve">, bound to </w:t>
      </w:r>
      <w:r>
        <w:rPr>
          <w:rFonts w:ascii="Consolas" w:hAnsi="Consolas"/>
          <w:color w:val="C7254E"/>
          <w:sz w:val="19"/>
        </w:rPr>
        <w:t>127.0.0.1</w:t>
      </w:r>
      <w:r>
        <w:t xml:space="preserve"> by default.</w:t>
      </w:r>
    </w:p>
    <w:p>
      <w:pPr>
        <w:pStyle w:val="ListParagraph"/>
      </w:pPr>
      <w:r>
        <w:t>•</w:t>
        <w:tab/>
      </w:r>
      <w:r>
        <w:rPr>
          <w:b/>
        </w:rPr>
        <w:t>inference</w:t>
      </w:r>
      <w:r>
        <w:t xml:space="preserve"> — FastAPI service running on port </w:t>
      </w:r>
      <w:r>
        <w:rPr>
          <w:rFonts w:ascii="Consolas" w:hAnsi="Consolas"/>
          <w:color w:val="C7254E"/>
          <w:sz w:val="19"/>
        </w:rPr>
        <w:t>8000</w:t>
      </w:r>
      <w:r>
        <w:t>, subscribing to MQTT, buffering ECG and PCG, running ML models, and writing results to Supabase.</w:t>
      </w:r>
    </w:p>
    <w:p>
      <w:pPr>
        <w:pStyle w:val="ListParagraph"/>
      </w:pPr>
      <w:r>
        <w:t>•</w:t>
        <w:tab/>
      </w:r>
      <w:r>
        <w:rPr>
          <w:b/>
        </w:rPr>
        <w:t>frontend</w:t>
      </w:r>
      <w:r>
        <w:t xml:space="preserve"> — Next.js application running on port </w:t>
      </w:r>
      <w:r>
        <w:rPr>
          <w:rFonts w:ascii="Consolas" w:hAnsi="Consolas"/>
          <w:color w:val="C7254E"/>
          <w:sz w:val="19"/>
        </w:rPr>
        <w:t>3000</w:t>
      </w:r>
      <w:r>
        <w:t>, serving the clinical dashboard and all API routes.</w:t>
      </w:r>
    </w:p>
    <w:p>
      <w:pPr>
        <w:pStyle w:val="ListParagraph"/>
      </w:pPr>
      <w:r>
        <w:t>•</w:t>
        <w:tab/>
      </w:r>
      <w:r>
        <w:rPr>
          <w:b/>
        </w:rPr>
        <w:t>nginx</w:t>
      </w:r>
      <w:r>
        <w:t xml:space="preserve"> — Reverse proxy on ports </w:t>
      </w:r>
      <w:r>
        <w:rPr>
          <w:rFonts w:ascii="Consolas" w:hAnsi="Consolas"/>
          <w:color w:val="C7254E"/>
          <w:sz w:val="19"/>
        </w:rPr>
        <w:t>80</w:t>
      </w:r>
      <w:r>
        <w:t xml:space="preserve"> and </w:t>
      </w:r>
      <w:r>
        <w:rPr>
          <w:rFonts w:ascii="Consolas" w:hAnsi="Consolas"/>
          <w:color w:val="C7254E"/>
          <w:sz w:val="19"/>
        </w:rPr>
        <w:t>443</w:t>
      </w:r>
      <w:r>
        <w:t>, routing to frontend, and proxying the MQTT WebSocket path.</w:t>
      </w:r>
    </w:p>
    <w:p>
      <w:r>
        <w:t>Supabase remains a managed external cloud service even in local development. This reduces operational burden because the team does not need to run a local PostgreSQL server, a storage server, or an authentication service.</w:t>
      </w:r>
    </w:p>
    <w:p>
      <w:r>
        <w:t xml:space="preserve">During local testing, </w:t>
      </w:r>
      <w:r>
        <w:rPr>
          <w:rFonts w:ascii="Consolas" w:hAnsi="Consolas"/>
          <w:color w:val="C7254E"/>
          <w:sz w:val="19"/>
        </w:rPr>
        <w:t>MQTT_BIND_ADDRESS=127.0.0.1</w:t>
      </w:r>
      <w:r>
        <w:t xml:space="preserve"> means the MQTT broker is accessible from the developer's machine but not from an ESP32 device on the same LAN. For real hardware testing locally, this needs to be changed to </w:t>
      </w:r>
      <w:r>
        <w:rPr>
          <w:rFonts w:ascii="Consolas" w:hAnsi="Consolas"/>
          <w:color w:val="C7254E"/>
          <w:sz w:val="19"/>
        </w:rPr>
        <w:t>0.0.0.0</w:t>
      </w:r>
      <w:r>
        <w:t xml:space="preserve"> and the ESP32 must be pointed at the developer machine's LAN IP address.</w:t>
      </w:r>
    </w:p>
    <w:p>
      <w:r>
        <w:t>Recommended local quality checks before pushing a change:</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 Type-check and lint the frontend</w:t>
            </w:r>
          </w:p>
          <w:p>
            <w:pPr>
              <w:spacing w:before="0" w:after="0" w:line="240" w:lineRule="auto"/>
            </w:pPr>
            <w:r>
              <w:rPr>
                <w:rFonts w:ascii="Consolas" w:hAnsi="Consolas"/>
                <w:color w:val="2D3748"/>
                <w:sz w:val="18"/>
              </w:rPr>
              <w:t>cd frontend</w:t>
            </w:r>
          </w:p>
          <w:p>
            <w:pPr>
              <w:spacing w:before="0" w:after="0" w:line="240" w:lineRule="auto"/>
            </w:pPr>
            <w:r>
              <w:rPr>
                <w:rFonts w:ascii="Consolas" w:hAnsi="Consolas"/>
                <w:color w:val="2D3748"/>
                <w:sz w:val="18"/>
              </w:rPr>
              <w:t>npm run type-check</w:t>
            </w:r>
          </w:p>
          <w:p>
            <w:pPr>
              <w:spacing w:before="0" w:after="0" w:line="240" w:lineRule="auto"/>
            </w:pPr>
            <w:r>
              <w:rPr>
                <w:rFonts w:ascii="Consolas" w:hAnsi="Consolas"/>
                <w:color w:val="2D3748"/>
                <w:sz w:val="18"/>
              </w:rPr>
              <w:t>npm run lint</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Verify the inference service compiles</w:t>
            </w:r>
          </w:p>
          <w:p>
            <w:pPr>
              <w:spacing w:before="0" w:after="0" w:line="240" w:lineRule="auto"/>
            </w:pPr>
            <w:r>
              <w:rPr>
                <w:rFonts w:ascii="Consolas" w:hAnsi="Consolas"/>
                <w:color w:val="2D3748"/>
                <w:sz w:val="18"/>
              </w:rPr>
              <w:t>cd inference</w:t>
            </w:r>
          </w:p>
          <w:p>
            <w:pPr>
              <w:spacing w:before="0" w:after="0" w:line="240" w:lineRule="auto"/>
            </w:pPr>
            <w:r>
              <w:rPr>
                <w:rFonts w:ascii="Consolas" w:hAnsi="Consolas"/>
                <w:color w:val="2D3748"/>
                <w:sz w:val="18"/>
              </w:rPr>
              <w:t>python -m py_compile app/main.py app/mqtt_handler.py app/inference.py</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Verify Docker Compose configuration renders without errors</w:t>
            </w:r>
          </w:p>
          <w:p>
            <w:pPr>
              <w:spacing w:before="0" w:after="0" w:line="240" w:lineRule="auto"/>
            </w:pPr>
            <w:r>
              <w:rPr>
                <w:rFonts w:ascii="Consolas" w:hAnsi="Consolas"/>
                <w:color w:val="2D3748"/>
                <w:sz w:val="18"/>
              </w:rPr>
              <w:t>docker compose --env-file .env config &gt; /dev/null</w:t>
            </w:r>
          </w:p>
        </w:tc>
      </w:tr>
    </w:tbl>
    <w:p>
      <w:pPr>
        <w:spacing w:before="120"/>
      </w:pPr>
    </w:p>
    <w:p>
      <w:pPr>
        <w:pStyle w:val="Heading2"/>
      </w:pPr>
      <w:r>
        <w:t>19.3 Docker Compose Architecture</w:t>
      </w:r>
    </w:p>
    <w:p>
      <w:r>
        <w:t>Docker Compose defines the complete runtime architecture of AscultiCor. The base Compose file (</w:t>
      </w:r>
      <w:r>
        <w:rPr>
          <w:rFonts w:ascii="Consolas" w:hAnsi="Consolas"/>
          <w:color w:val="C7254E"/>
          <w:sz w:val="19"/>
        </w:rPr>
        <w:t>docker-compose.yml</w:t>
      </w:r>
      <w:r>
        <w:t xml:space="preserve">) starts the main application containers and connects them to a shared Docker bridge network named </w:t>
      </w:r>
      <w:r>
        <w:rPr>
          <w:rFonts w:ascii="Consolas" w:hAnsi="Consolas"/>
          <w:color w:val="C7254E"/>
          <w:sz w:val="19"/>
        </w:rPr>
        <w:t>asculticor-network</w:t>
      </w:r>
      <w:r>
        <w:t>. All inter-service communication uses Docker DNS service names, not localhost or IP addresses.</w:t>
      </w:r>
    </w:p>
    <w:p>
      <w:pPr>
        <w:pStyle w:val="Heading3"/>
      </w:pPr>
      <w:r>
        <w:t>Table 19.1: Docker Compose Services</w:t>
      </w:r>
    </w:p>
    <w:tbl>
      <w:tblPr>
        <w:tblW w:type="auto" w:w="0"/>
        <w:jc w:val="center"/>
        <w:tblLook w:firstColumn="1" w:firstRow="1" w:lastColumn="0" w:lastRow="0" w:noHBand="0" w:noVBand="1" w:val="04A0"/>
      </w:tblPr>
      <w:tblGrid>
        <w:gridCol w:w="1872"/>
        <w:gridCol w:w="1872"/>
        <w:gridCol w:w="1872"/>
        <w:gridCol w:w="1872"/>
        <w:gridCol w:w="1872"/>
      </w:tblGrid>
      <w:tr>
        <w:trPr>
          <w:trHeight w:val="360" w:hRule="atLeast"/>
        </w:trPr>
        <w:tc>
          <w:tcPr>
            <w:tcW w:type="dxa" w:w="1296"/>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Service</w:t>
            </w:r>
          </w:p>
        </w:tc>
        <w:tc>
          <w:tcPr>
            <w:tcW w:type="dxa" w:w="1728"/>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Container Name</w:t>
            </w:r>
          </w:p>
        </w:tc>
        <w:tc>
          <w:tcPr>
            <w:tcW w:type="dxa" w:w="3456"/>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Main Responsibility</w:t>
            </w:r>
          </w:p>
        </w:tc>
        <w:tc>
          <w:tcPr>
            <w:tcW w:type="dxa" w:w="1296"/>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Internal Port</w:t>
            </w:r>
          </w:p>
        </w:tc>
        <w:tc>
          <w:tcPr>
            <w:tcW w:type="dxa" w:w="15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Important Dependencies</w:t>
            </w:r>
          </w:p>
        </w:tc>
      </w:tr>
      <w:tr>
        <w:trPr>
          <w:trHeight w:val="360" w:hRule="atLeast"/>
        </w:trPr>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mosquitto</w:t>
            </w:r>
          </w:p>
        </w:tc>
        <w:tc>
          <w:tcPr>
            <w:tcW w:type="dxa" w:w="172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asculticor-mosquitto</w:t>
            </w:r>
          </w:p>
        </w:tc>
        <w:tc>
          <w:tcPr>
            <w:tcW w:type="dxa" w:w="345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MQTT broker for device data and control topics</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1883 (TCP), 9001 (WebSocket)</w:t>
            </w:r>
          </w:p>
        </w:tc>
        <w:tc>
          <w:tcPr>
            <w:tcW w:type="dxa" w:w="15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Supabase (for credential sync)</w:t>
            </w:r>
          </w:p>
        </w:tc>
      </w:tr>
      <w:tr>
        <w:trPr>
          <w:trHeight w:val="360" w:hRule="atLeast"/>
        </w:trPr>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nginx</w:t>
            </w:r>
          </w:p>
        </w:tc>
        <w:tc>
          <w:tcPr>
            <w:tcW w:type="dxa" w:w="172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asculticor-nginx</w:t>
            </w:r>
          </w:p>
        </w:tc>
        <w:tc>
          <w:tcPr>
            <w:tcW w:type="dxa" w:w="345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Reverse proxy, TLS termination, public entry point</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80, 443</w:t>
            </w:r>
          </w:p>
        </w:tc>
        <w:tc>
          <w:tcPr>
            <w:tcW w:type="dxa" w:w="15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frontend</w:t>
            </w:r>
            <w:r>
              <w:rPr>
                <w:sz w:val="19"/>
              </w:rPr>
              <w:t xml:space="preserve">, </w:t>
            </w:r>
            <w:r>
              <w:rPr>
                <w:rFonts w:ascii="Consolas" w:hAnsi="Consolas"/>
                <w:color w:val="C7254E"/>
                <w:sz w:val="19"/>
              </w:rPr>
              <w:t>mosquitto</w:t>
            </w:r>
            <w:r>
              <w:rPr>
                <w:sz w:val="19"/>
              </w:rPr>
              <w:t xml:space="preserve">, </w:t>
            </w:r>
            <w:r>
              <w:rPr>
                <w:rFonts w:ascii="Consolas" w:hAnsi="Consolas"/>
                <w:color w:val="C7254E"/>
                <w:sz w:val="19"/>
              </w:rPr>
              <w:t>inference</w:t>
            </w:r>
          </w:p>
        </w:tc>
      </w:tr>
      <w:tr>
        <w:trPr>
          <w:trHeight w:val="360" w:hRule="atLeast"/>
        </w:trPr>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inference</w:t>
            </w:r>
          </w:p>
        </w:tc>
        <w:tc>
          <w:tcPr>
            <w:tcW w:type="dxa" w:w="172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asculticor-inference</w:t>
            </w:r>
          </w:p>
        </w:tc>
        <w:tc>
          <w:tcPr>
            <w:tcW w:type="dxa" w:w="345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FastAPI service — MQTT subscriber, ML inference, Supabase writes</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8000</w:t>
            </w:r>
          </w:p>
        </w:tc>
        <w:tc>
          <w:tcPr>
            <w:tcW w:type="dxa" w:w="15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mosquitto</w:t>
            </w:r>
            <w:r>
              <w:rPr>
                <w:sz w:val="19"/>
              </w:rPr>
              <w:t xml:space="preserve"> (healthy), Supabase</w:t>
            </w:r>
          </w:p>
        </w:tc>
      </w:tr>
      <w:tr>
        <w:trPr>
          <w:trHeight w:val="360" w:hRule="atLeast"/>
        </w:trPr>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frontend</w:t>
            </w:r>
          </w:p>
        </w:tc>
        <w:tc>
          <w:tcPr>
            <w:tcW w:type="dxa" w:w="172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asculticor-frontend</w:t>
            </w:r>
          </w:p>
        </w:tc>
        <w:tc>
          <w:tcPr>
            <w:tcW w:type="dxa" w:w="345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Next.js dashboard, API routes, patient/session/report workflows</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3000</w:t>
            </w:r>
          </w:p>
        </w:tc>
        <w:tc>
          <w:tcPr>
            <w:tcW w:type="dxa" w:w="15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mosquitto</w:t>
            </w:r>
            <w:r>
              <w:rPr>
                <w:sz w:val="19"/>
              </w:rPr>
              <w:t xml:space="preserve"> (started), Supabase</w:t>
            </w:r>
          </w:p>
        </w:tc>
      </w:tr>
      <w:tr>
        <w:trPr>
          <w:trHeight w:val="360" w:hRule="atLeast"/>
        </w:trPr>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n8n</w:t>
            </w:r>
            <w:r>
              <w:rPr>
                <w:sz w:val="19"/>
              </w:rPr>
              <w:t xml:space="preserve"> </w:t>
            </w:r>
            <w:r>
              <w:rPr>
                <w:i/>
                <w:sz w:val="19"/>
              </w:rPr>
              <w:t>(cloud profile)</w:t>
            </w:r>
          </w:p>
        </w:tc>
        <w:tc>
          <w:tcPr>
            <w:tcW w:type="dxa" w:w="172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asculticor-n8n</w:t>
            </w:r>
          </w:p>
        </w:tc>
        <w:tc>
          <w:tcPr>
            <w:tcW w:type="dxa" w:w="345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Optional automation engine for report processing and alerts</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5678</w:t>
            </w:r>
          </w:p>
        </w:tc>
        <w:tc>
          <w:tcPr>
            <w:tcW w:type="dxa" w:w="15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frontend</w:t>
            </w:r>
            <w:r>
              <w:rPr>
                <w:sz w:val="19"/>
              </w:rPr>
              <w:t xml:space="preserve">, </w:t>
            </w:r>
            <w:r>
              <w:rPr>
                <w:rFonts w:ascii="Consolas" w:hAnsi="Consolas"/>
                <w:color w:val="C7254E"/>
                <w:sz w:val="19"/>
              </w:rPr>
              <w:t>inference</w:t>
            </w:r>
            <w:r>
              <w:rPr>
                <w:sz w:val="19"/>
              </w:rPr>
              <w:t xml:space="preserve">, </w:t>
            </w:r>
            <w:r>
              <w:rPr>
                <w:rFonts w:ascii="Consolas" w:hAnsi="Consolas"/>
                <w:color w:val="C7254E"/>
                <w:sz w:val="19"/>
              </w:rPr>
              <w:t>mosquitto</w:t>
            </w:r>
          </w:p>
        </w:tc>
      </w:tr>
    </w:tbl>
    <w:p>
      <w:pPr>
        <w:spacing w:before="120"/>
      </w:pPr>
    </w:p>
    <w:p>
      <w:r>
        <w:rPr>
          <w:b/>
        </w:rPr>
        <w:t>Important design choices visible in the Compose file:</w:t>
      </w:r>
    </w:p>
    <w:p>
      <w:pPr>
        <w:pStyle w:val="ListParagraph"/>
      </w:pPr>
      <w:r>
        <w:t>•</w:t>
        <w:tab/>
      </w:r>
      <w:r>
        <w:rPr>
          <w:b/>
        </w:rPr>
        <w:t>Service startup order is enforced</w:t>
      </w:r>
      <w:r>
        <w:t xml:space="preserve"> using </w:t>
      </w:r>
      <w:r>
        <w:rPr>
          <w:rFonts w:ascii="Consolas" w:hAnsi="Consolas"/>
          <w:color w:val="C7254E"/>
          <w:sz w:val="19"/>
        </w:rPr>
        <w:t>depends_on</w:t>
      </w:r>
      <w:r>
        <w:t xml:space="preserve"> with health check conditions. The inference service waits for </w:t>
      </w:r>
      <w:r>
        <w:rPr>
          <w:rFonts w:ascii="Consolas" w:hAnsi="Consolas"/>
          <w:color w:val="C7254E"/>
          <w:sz w:val="19"/>
        </w:rPr>
        <w:t>mosquitto: service_healthy</w:t>
      </w:r>
      <w:r>
        <w:t xml:space="preserve"> before starting because it must subscribe to MQTT immediately on boot. The frontend uses </w:t>
      </w:r>
      <w:r>
        <w:rPr>
          <w:rFonts w:ascii="Consolas" w:hAnsi="Consolas"/>
          <w:color w:val="C7254E"/>
          <w:sz w:val="19"/>
        </w:rPr>
        <w:t>service_started</w:t>
      </w:r>
      <w:r>
        <w:t xml:space="preserve"> for Mosquitto because the UI should be accessible even if MQTT is temporarily down.</w:t>
      </w:r>
    </w:p>
    <w:p>
      <w:pPr>
        <w:pStyle w:val="ListParagraph"/>
      </w:pPr>
      <w:r>
        <w:t>•</w:t>
        <w:tab/>
      </w:r>
      <w:r>
        <w:rPr>
          <w:b/>
        </w:rPr>
        <w:t>Model artifacts are read-only mounted</w:t>
      </w:r>
      <w:r>
        <w:t xml:space="preserve"> into the inference container: </w:t>
      </w:r>
      <w:r>
        <w:rPr>
          <w:rFonts w:ascii="Consolas" w:hAnsi="Consolas"/>
          <w:color w:val="C7254E"/>
          <w:sz w:val="19"/>
        </w:rPr>
        <w:t>./models:/app/models:ro</w:t>
      </w:r>
      <w:r>
        <w:t>. This means the trained ML models (XGBoost, CNN, BiLSTM) are mounted from the host filesystem and cannot be modified by the running container.</w:t>
      </w:r>
    </w:p>
    <w:p>
      <w:pPr>
        <w:pStyle w:val="ListParagraph"/>
      </w:pPr>
      <w:r>
        <w:t>•</w:t>
        <w:tab/>
      </w:r>
      <w:r>
        <w:rPr>
          <w:b/>
        </w:rPr>
        <w:t>Persistent volumes</w:t>
      </w:r>
      <w:r>
        <w:t xml:space="preserve"> are used for stateful services: </w:t>
      </w:r>
      <w:r>
        <w:rPr>
          <w:rFonts w:ascii="Consolas" w:hAnsi="Consolas"/>
          <w:color w:val="C7254E"/>
          <w:sz w:val="19"/>
        </w:rPr>
        <w:t>mosquitto_data</w:t>
      </w:r>
      <w:r>
        <w:t xml:space="preserve">, </w:t>
      </w:r>
      <w:r>
        <w:rPr>
          <w:rFonts w:ascii="Consolas" w:hAnsi="Consolas"/>
          <w:color w:val="C7254E"/>
          <w:sz w:val="19"/>
        </w:rPr>
        <w:t>mosquitto_logs</w:t>
      </w:r>
      <w:r>
        <w:t xml:space="preserve">, </w:t>
      </w:r>
      <w:r>
        <w:rPr>
          <w:rFonts w:ascii="Consolas" w:hAnsi="Consolas"/>
          <w:color w:val="C7254E"/>
          <w:sz w:val="19"/>
        </w:rPr>
        <w:t>inference_cache</w:t>
      </w:r>
      <w:r>
        <w:t xml:space="preserve">, and </w:t>
      </w:r>
      <w:r>
        <w:rPr>
          <w:rFonts w:ascii="Consolas" w:hAnsi="Consolas"/>
          <w:color w:val="C7254E"/>
          <w:sz w:val="19"/>
        </w:rPr>
        <w:t>n8n_data</w:t>
      </w:r>
      <w:r>
        <w:t>. These volumes survive container restarts and Docker image rebuilds.</w:t>
      </w:r>
    </w:p>
    <w:p>
      <w:pPr>
        <w:pStyle w:val="ListParagraph"/>
      </w:pPr>
      <w:r>
        <w:t>•</w:t>
        <w:tab/>
      </w:r>
      <w:r>
        <w:rPr>
          <w:b/>
        </w:rPr>
        <w:t>Bind addresses for external exposure</w:t>
      </w:r>
      <w:r>
        <w:t xml:space="preserve"> are controlled entirely by environment variables. Setting </w:t>
      </w:r>
      <w:r>
        <w:rPr>
          <w:rFonts w:ascii="Consolas" w:hAnsi="Consolas"/>
          <w:color w:val="C7254E"/>
          <w:sz w:val="19"/>
        </w:rPr>
        <w:t>MQTT_BIND_ADDRESS=127.0.0.1</w:t>
      </w:r>
      <w:r>
        <w:t xml:space="preserve"> keeps the MQTT broker private. Setting </w:t>
      </w:r>
      <w:r>
        <w:rPr>
          <w:rFonts w:ascii="Consolas" w:hAnsi="Consolas"/>
          <w:color w:val="C7254E"/>
          <w:sz w:val="19"/>
        </w:rPr>
        <w:t>NGINX_HTTPS_BIND_ADDRESS=0.0.0.0</w:t>
      </w:r>
      <w:r>
        <w:t xml:space="preserve"> exposes NGINX to the public internet.</w:t>
      </w:r>
    </w:p>
    <w:p>
      <w:r>
        <w:t>The cloud overlay file (</w:t>
      </w:r>
      <w:r>
        <w:rPr>
          <w:rFonts w:ascii="Consolas" w:hAnsi="Consolas"/>
          <w:color w:val="C7254E"/>
          <w:sz w:val="19"/>
        </w:rPr>
        <w:t>docker-compose.cloud.yml</w:t>
      </w:r>
      <w:r>
        <w:t>) adds cloud-specific behavior on top of the base file:</w:t>
      </w:r>
    </w:p>
    <w:p>
      <w:pPr>
        <w:pStyle w:val="ListParagraph"/>
      </w:pPr>
      <w:r>
        <w:t>•</w:t>
        <w:tab/>
      </w:r>
      <w:r>
        <w:t xml:space="preserve">Mounts real TLS certificate files into NGINX: </w:t>
      </w:r>
      <w:r>
        <w:rPr>
          <w:rFonts w:ascii="Consolas" w:hAnsi="Consolas"/>
          <w:color w:val="C7254E"/>
          <w:sz w:val="19"/>
        </w:rPr>
        <w:t>./nginx/certs:/etc/nginx/certs:ro</w:t>
      </w:r>
      <w:r>
        <w:t>.</w:t>
      </w:r>
    </w:p>
    <w:p>
      <w:pPr>
        <w:pStyle w:val="ListParagraph"/>
      </w:pPr>
      <w:r>
        <w:t>•</w:t>
        <w:tab/>
      </w:r>
      <w:r>
        <w:t xml:space="preserve">Overrides NGINX with the cloud NGINX config template: </w:t>
      </w:r>
      <w:r>
        <w:rPr>
          <w:rFonts w:ascii="Consolas" w:hAnsi="Consolas"/>
          <w:color w:val="C7254E"/>
          <w:sz w:val="19"/>
        </w:rPr>
        <w:t>./nginx/default.cloud.conf.template</w:t>
      </w:r>
      <w:r>
        <w:t>.</w:t>
      </w:r>
    </w:p>
    <w:p>
      <w:pPr>
        <w:pStyle w:val="ListParagraph"/>
      </w:pPr>
      <w:r>
        <w:t>•</w:t>
        <w:tab/>
      </w:r>
      <w:r>
        <w:t xml:space="preserve">Adds the </w:t>
      </w:r>
      <w:r>
        <w:rPr>
          <w:rFonts w:ascii="Consolas" w:hAnsi="Consolas"/>
          <w:color w:val="C7254E"/>
          <w:sz w:val="19"/>
        </w:rPr>
        <w:t>n8n</w:t>
      </w:r>
      <w:r>
        <w:t xml:space="preserve"> service with all required environment variables for basic authentication, encryption, webhook URL, and LLM integration.</w:t>
      </w:r>
    </w:p>
    <w:p>
      <w:pPr>
        <w:pStyle w:val="ListParagraph"/>
      </w:pPr>
      <w:r>
        <w:t>•</w:t>
        <w:tab/>
      </w:r>
      <w:r>
        <w:t>Exposes n8n on the alternative HTTPS port (</w:t>
      </w:r>
      <w:r>
        <w:rPr>
          <w:rFonts w:ascii="Consolas" w:hAnsi="Consolas"/>
          <w:color w:val="C7254E"/>
          <w:sz w:val="19"/>
        </w:rPr>
        <w:t>8443</w:t>
      </w:r>
      <w:r>
        <w:t xml:space="preserve">) through NGINX when </w:t>
      </w:r>
      <w:r>
        <w:rPr>
          <w:rFonts w:ascii="Consolas" w:hAnsi="Consolas"/>
          <w:color w:val="C7254E"/>
          <w:sz w:val="19"/>
        </w:rPr>
        <w:t>NGINX_N8N_ALT_HTTPS_BIND_ADDRESS=0.0.0.0</w:t>
      </w:r>
      <w:r>
        <w:t>.</w:t>
      </w:r>
    </w:p>
    <w:tbl>
      <w:tblPr>
        <w:tblW w:type="auto" w:w="0"/>
        <w:jc w:val="center"/>
        <w:tblLook w:firstColumn="1" w:firstRow="1" w:lastColumn="0" w:lastRow="0" w:noHBand="0" w:noVBand="1" w:val="04A0"/>
      </w:tblPr>
      <w:tblGrid>
        <w:gridCol w:w="9360"/>
      </w:tblGrid>
      <w:tr>
        <w:tc>
          <w:tcPr>
            <w:tcW w:type="dxa" w:w="9360"/>
            <w:shd w:val="clear" w:color="auto" w:fill="EDF2F7"/>
            <w:tcBorders>
              <w:top w:val="single" w:sz="6" w:space="0" w:color="A0AEC0"/>
              <w:left w:val="single" w:sz="6" w:space="0" w:color="A0AEC0"/>
              <w:bottom w:val="single" w:sz="6" w:space="0" w:color="A0AEC0"/>
              <w:right w:val="single" w:sz="6" w:space="0" w:color="A0AEC0"/>
            </w:tcBorders>
            <w:tcMar>
              <w:top w:w="100" w:type="dxa"/>
              <w:bottom w:w="100" w:type="dxa"/>
              <w:left w:w="150" w:type="dxa"/>
              <w:right w:w="150" w:type="dxa"/>
            </w:tcMar>
          </w:tcPr>
          <w:p>
            <w:r>
              <w:rPr>
                <w:b/>
                <w:color w:val="2D3748"/>
                <w:sz w:val="20"/>
              </w:rPr>
              <w:t>FIGURE PLACEHOLDER: Figure 19.1 — Local Docker Compose Deployment</w:t>
            </w:r>
          </w:p>
        </w:tc>
      </w:tr>
      <w:tr>
        <w:tc>
          <w:tcPr>
            <w:tcW w:type="dxa" w:w="9360"/>
            <w:shd w:val="clear" w:color="auto" w:fill="FFFFFF"/>
            <w:tcBorders>
              <w:top w:val="single" w:sz="6" w:space="0" w:color="A0AEC0"/>
              <w:left w:val="single" w:sz="6" w:space="0" w:color="A0AEC0"/>
              <w:bottom w:val="single" w:sz="6" w:space="0" w:color="A0AEC0"/>
              <w:right w:val="single" w:sz="6" w:space="0" w:color="A0AEC0"/>
            </w:tcBorders>
            <w:tcMar>
              <w:top w:w="120" w:type="dxa"/>
              <w:bottom w:w="120" w:type="dxa"/>
              <w:left w:w="150" w:type="dxa"/>
              <w:right w:w="150" w:type="dxa"/>
            </w:tcMar>
          </w:tcPr>
          <w:p>
            <w:pPr>
              <w:spacing w:after="120"/>
            </w:pPr>
            <w:r>
              <w:rPr>
                <w:b/>
                <w:sz w:val="19"/>
              </w:rPr>
              <w:t xml:space="preserve">Instruction: </w:t>
            </w:r>
            <w:r>
              <w:rPr>
                <w:i/>
                <w:sz w:val="19"/>
              </w:rPr>
              <w:t>Insert Figure 19.1 here, immediately after the Docker Compose service table.</w:t>
            </w:r>
          </w:p>
          <w:p>
            <w:pPr>
              <w:spacing w:after="240"/>
            </w:pPr>
            <w:r>
              <w:rPr>
                <w:b/>
                <w:sz w:val="19"/>
              </w:rPr>
              <w:t xml:space="preserve">Caption: </w:t>
            </w:r>
            <w:r>
              <w:rPr>
                <w:sz w:val="19"/>
              </w:rPr>
              <w:t>Figure 19.1 shows the local Docker Compose deployment, including the Next.js frontend, FastAPI inference service, Mosquitto MQTT broker, NGINX reverse proxy, optional n8n automation container, shared `asculticor-network` Docker bridge, exposed ports on the host machine, persistent volumes for stateful data, and the managed Supabase connection for authentication, database, and storage.</w:t>
            </w:r>
          </w:p>
          <w:p>
            <w:pPr>
              <w:spacing w:after="80"/>
            </w:pPr>
            <w:r>
              <w:rPr>
                <w:b/>
                <w:color w:val="718096"/>
                <w:sz w:val="18"/>
              </w:rPr>
              <w:t>Image Generation Prompt (remove prompt block before submission):</w:t>
            </w:r>
          </w:p>
          <w:p>
            <w:pPr>
              <w:ind w:left="288" w:right="288"/>
            </w:pPr>
            <w:r>
              <w:rPr>
                <w:rFonts w:ascii="Consolas" w:hAnsi="Consolas"/>
                <w:color w:val="4A5568"/>
                <w:sz w:val="17"/>
              </w:rPr>
            </w:r>
          </w:p>
        </w:tc>
      </w:tr>
    </w:tbl>
    <w:p>
      <w:pPr>
        <w:spacing w:before="120"/>
      </w:pPr>
    </w:p>
    <w:p>
      <w:pPr>
        <w:pStyle w:val="Heading2"/>
      </w:pPr>
      <w:r>
        <w:t>19.4 Cloud VM Deployment on Hostinger VPS</w:t>
      </w:r>
    </w:p>
    <w:p>
      <w:r>
        <w:t xml:space="preserve">The cloud deployment uses one Hostinger VPS running Linux with Docker and Docker Compose. The selected VPS is identified by the public IP </w:t>
      </w:r>
      <w:r>
        <w:rPr>
          <w:rFonts w:ascii="Consolas" w:hAnsi="Consolas"/>
          <w:color w:val="C7254E"/>
          <w:sz w:val="19"/>
        </w:rPr>
        <w:t>187.127.224.4</w:t>
      </w:r>
      <w:r>
        <w:t xml:space="preserve"> and the Hostinger-provided hostname </w:t>
      </w:r>
      <w:r>
        <w:rPr>
          <w:rFonts w:ascii="Consolas" w:hAnsi="Consolas"/>
          <w:color w:val="C7254E"/>
          <w:sz w:val="19"/>
        </w:rPr>
        <w:t>srv1621744.hstgr.cloud</w:t>
      </w:r>
      <w:r>
        <w:t>. This hostname provides an immediately usable public HTTPS address before a custom domain is configured.</w:t>
      </w:r>
    </w:p>
    <w:p>
      <w:r>
        <w:t xml:space="preserve">The deployment keeps the same service architecture used in local development. The key difference is the environment: public HTTPS is enabled, TLS certificates from Let's Encrypt are mounted into NGINX, internal service ports remain bound to loopback or the Docker network, and all environment variables point to the public hostname instead of </w:t>
      </w:r>
      <w:r>
        <w:rPr>
          <w:rFonts w:ascii="Consolas" w:hAnsi="Consolas"/>
          <w:color w:val="C7254E"/>
          <w:sz w:val="19"/>
        </w:rPr>
        <w:t>localhost</w:t>
      </w:r>
      <w:r>
        <w:t>.</w:t>
      </w:r>
    </w:p>
    <w:p>
      <w:r>
        <w:t xml:space="preserve">The cloud architecture enforces a single security rule: </w:t>
      </w:r>
      <w:r>
        <w:rPr>
          <w:b/>
        </w:rPr>
        <w:t>NGINX is the only public entry point.</w:t>
      </w:r>
      <w:r>
        <w:t xml:space="preserve"> Everything else is internal.</w:t>
      </w:r>
    </w:p>
    <w:p>
      <w:pPr>
        <w:pStyle w:val="Heading3"/>
      </w:pPr>
      <w:r>
        <w:t>19.4.1 Hostinger VPS Target Configuration</w:t>
      </w:r>
    </w:p>
    <w:tbl>
      <w:tblPr>
        <w:tblW w:type="auto" w:w="0"/>
        <w:jc w:val="center"/>
        <w:tblLook w:firstColumn="1" w:firstRow="1" w:lastColumn="0" w:lastRow="0" w:noHBand="0" w:noVBand="1" w:val="04A0"/>
      </w:tblPr>
      <w:tblGrid>
        <w:gridCol w:w="4680"/>
        <w:gridCol w:w="4680"/>
      </w:tblGrid>
      <w:tr>
        <w:trPr>
          <w:trHeight w:val="360" w:hRule="atLeast"/>
        </w:trPr>
        <w:tc>
          <w:tcPr>
            <w:tcW w:type="dxa" w:w="28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Item</w:t>
            </w:r>
          </w:p>
        </w:tc>
        <w:tc>
          <w:tcPr>
            <w:tcW w:type="dxa" w:w="64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Value</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VPS Provider</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Hostinger</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Public IP</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187.127.224.4</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Hostname</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srv1621744.hstgr.cloud</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Operating System</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Ubuntu / Debian (recommended)</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Main Application URL</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https://srv1621744.hstgr.cloud</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 Automation URL</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https://srv1621744.hstgr.cloud:8443</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Main Deployment Directory</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/opt/asculticor</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Base Compose File</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docker-compose.yml</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Cloud Overlay File</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docker-compose.cloud.yml</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Public Entry Point</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NGINX</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Managed Backend</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Supabase (external cloud service)</w:t>
            </w:r>
          </w:p>
        </w:tc>
      </w:tr>
    </w:tbl>
    <w:p>
      <w:pPr>
        <w:spacing w:before="120"/>
      </w:pPr>
    </w:p>
    <w:p>
      <w:pPr>
        <w:pStyle w:val="Heading3"/>
      </w:pPr>
      <w:r>
        <w:t>19.4.2 Firewall and Public Port Plan</w:t>
      </w:r>
    </w:p>
    <w:p>
      <w:r>
        <w:t>The UFW firewall should expose only the ports required for administration and public access:</w:t>
      </w:r>
    </w:p>
    <w:tbl>
      <w:tblPr>
        <w:tblW w:type="auto" w:w="0"/>
        <w:jc w:val="center"/>
        <w:tblLook w:firstColumn="1" w:firstRow="1" w:lastColumn="0" w:lastRow="0" w:noHBand="0" w:noVBand="1" w:val="04A0"/>
      </w:tblPr>
      <w:tblGrid>
        <w:gridCol w:w="2340"/>
        <w:gridCol w:w="2340"/>
        <w:gridCol w:w="2340"/>
        <w:gridCol w:w="2340"/>
      </w:tblGrid>
      <w:tr>
        <w:trPr>
          <w:trHeight w:val="360" w:hRule="atLeast"/>
        </w:trPr>
        <w:tc>
          <w:tcPr>
            <w:tcW w:type="dxa" w:w="1152"/>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Port</w:t>
            </w:r>
          </w:p>
        </w:tc>
        <w:tc>
          <w:tcPr>
            <w:tcW w:type="dxa" w:w="1296"/>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Protocol</w:t>
            </w:r>
          </w:p>
        </w:tc>
        <w:tc>
          <w:tcPr>
            <w:tcW w:type="dxa" w:w="4608"/>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Purpose</w:t>
            </w:r>
          </w:p>
        </w:tc>
        <w:tc>
          <w:tcPr>
            <w:tcW w:type="dxa" w:w="230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Public Exposure Decision</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22</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SSH administration</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Open only to known administrator IPs when possible</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80</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HTTP — redirect to HTTPS and Let's Encrypt ACME challenge</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Open to all (required for certificate issuance)</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443</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HTTPS — main application via NGINX</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Open to all</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8443</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HTTPS — n8n automation access via NGINX</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Open only if n8n is intentionally accessible to the team</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3000</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Next.js frontend container</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b/>
                <w:sz w:val="19"/>
              </w:rPr>
              <w:t>Keep private</w:t>
            </w:r>
            <w:r>
              <w:rPr>
                <w:sz w:val="19"/>
              </w:rPr>
              <w:t xml:space="preserve"> (bound to </w:t>
            </w:r>
            <w:r>
              <w:rPr>
                <w:rFonts w:ascii="Consolas" w:hAnsi="Consolas"/>
                <w:color w:val="C7254E"/>
                <w:sz w:val="19"/>
              </w:rPr>
              <w:t>127.0.0.1</w:t>
            </w:r>
            <w:r>
              <w:rPr>
                <w:sz w:val="19"/>
              </w:rPr>
              <w:t>)</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8000</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FastAPI inference container</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b/>
                <w:sz w:val="19"/>
              </w:rPr>
              <w:t>Keep private</w:t>
            </w:r>
            <w:r>
              <w:rPr>
                <w:sz w:val="19"/>
              </w:rPr>
              <w:t xml:space="preserve"> (bound to </w:t>
            </w:r>
            <w:r>
              <w:rPr>
                <w:rFonts w:ascii="Consolas" w:hAnsi="Consolas"/>
                <w:color w:val="C7254E"/>
                <w:sz w:val="19"/>
              </w:rPr>
              <w:t>127.0.0.1</w:t>
            </w:r>
            <w:r>
              <w:rPr>
                <w:sz w:val="19"/>
              </w:rPr>
              <w:t>)</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1883</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MQTT TCP broker</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b/>
                <w:sz w:val="19"/>
              </w:rPr>
              <w:t>Keep private</w:t>
            </w:r>
            <w:r>
              <w:rPr>
                <w:sz w:val="19"/>
              </w:rPr>
              <w:t xml:space="preserve"> for the first rollout; requires TLS before public exposure</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9001</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MQTT WebSocket listener</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b/>
                <w:sz w:val="19"/>
              </w:rPr>
              <w:t>Keep private</w:t>
            </w:r>
            <w:r>
              <w:rPr>
                <w:sz w:val="19"/>
              </w:rPr>
              <w:t xml:space="preserve"> unless intentionally proxied through NGINX</w:t>
            </w:r>
          </w:p>
        </w:tc>
      </w:tr>
      <w:tr>
        <w:trPr>
          <w:trHeight w:val="360" w:hRule="atLeast"/>
        </w:trPr>
        <w:tc>
          <w:tcPr>
            <w:tcW w:type="dxa" w:w="115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5678</w:t>
            </w:r>
          </w:p>
        </w:tc>
        <w:tc>
          <w:tcPr>
            <w:tcW w:type="dxa" w:w="1296"/>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TCP</w:t>
            </w:r>
          </w:p>
        </w:tc>
        <w:tc>
          <w:tcPr>
            <w:tcW w:type="dxa" w:w="4608"/>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 container</w:t>
            </w:r>
          </w:p>
        </w:tc>
        <w:tc>
          <w:tcPr>
            <w:tcW w:type="dxa" w:w="230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b/>
                <w:sz w:val="19"/>
              </w:rPr>
              <w:t>Keep private</w:t>
            </w:r>
            <w:r>
              <w:rPr>
                <w:sz w:val="19"/>
              </w:rPr>
              <w:t xml:space="preserve"> (accessed via NGINX or SSH tunnel)</w:t>
            </w:r>
          </w:p>
        </w:tc>
      </w:tr>
    </w:tbl>
    <w:p>
      <w:pPr>
        <w:spacing w:before="120"/>
      </w:pPr>
    </w:p>
    <w:p>
      <w:r>
        <w:t>This port plan allows the team to demonstrate the cloud dashboard and use n8n for automation without exposing every internal service to potential abuse. It clearly separates the current staging deployment from a fully hardened IoT production deployment.</w:t>
      </w:r>
    </w:p>
    <w:p>
      <w:r>
        <w:t>UFW setup commands:</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ufw allow OpenSSH</w:t>
            </w:r>
          </w:p>
          <w:p>
            <w:pPr>
              <w:spacing w:before="0" w:after="0" w:line="240" w:lineRule="auto"/>
            </w:pPr>
            <w:r>
              <w:rPr>
                <w:rFonts w:ascii="Consolas" w:hAnsi="Consolas"/>
                <w:color w:val="2D3748"/>
                <w:sz w:val="18"/>
              </w:rPr>
              <w:t>ufw allow 80/tcp</w:t>
            </w:r>
          </w:p>
          <w:p>
            <w:pPr>
              <w:spacing w:before="0" w:after="0" w:line="240" w:lineRule="auto"/>
            </w:pPr>
            <w:r>
              <w:rPr>
                <w:rFonts w:ascii="Consolas" w:hAnsi="Consolas"/>
                <w:color w:val="2D3748"/>
                <w:sz w:val="18"/>
              </w:rPr>
              <w:t>ufw allow 443/tcp</w:t>
            </w:r>
          </w:p>
          <w:p>
            <w:pPr>
              <w:spacing w:before="0" w:after="0" w:line="240" w:lineRule="auto"/>
            </w:pPr>
            <w:r>
              <w:rPr>
                <w:rFonts w:ascii="Consolas" w:hAnsi="Consolas"/>
                <w:color w:val="2D3748"/>
                <w:sz w:val="18"/>
              </w:rPr>
              <w:t>ufw allow 8443/tcp</w:t>
            </w:r>
          </w:p>
          <w:p>
            <w:pPr>
              <w:spacing w:before="0" w:after="0" w:line="240" w:lineRule="auto"/>
            </w:pPr>
            <w:r>
              <w:rPr>
                <w:rFonts w:ascii="Consolas" w:hAnsi="Consolas"/>
                <w:color w:val="2D3748"/>
                <w:sz w:val="18"/>
              </w:rPr>
              <w:t>ufw --force enable</w:t>
            </w:r>
          </w:p>
          <w:p>
            <w:pPr>
              <w:spacing w:before="0" w:after="0" w:line="240" w:lineRule="auto"/>
            </w:pPr>
            <w:r>
              <w:rPr>
                <w:rFonts w:ascii="Consolas" w:hAnsi="Consolas"/>
                <w:color w:val="2D3748"/>
                <w:sz w:val="18"/>
              </w:rPr>
              <w:t>ufw status</w:t>
            </w:r>
          </w:p>
        </w:tc>
      </w:tr>
    </w:tbl>
    <w:p>
      <w:pPr>
        <w:spacing w:before="120"/>
      </w:pPr>
    </w:p>
    <w:p>
      <w:pPr>
        <w:pStyle w:val="Heading3"/>
      </w:pPr>
      <w:r>
        <w:t>19.4.3 VPS Preparation and Docker Installation</w:t>
      </w:r>
    </w:p>
    <w:p>
      <w:r>
        <w:t>Connect to the VPS:</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ssh root@187.127.224.4</w:t>
            </w:r>
          </w:p>
        </w:tc>
      </w:tr>
    </w:tbl>
    <w:p>
      <w:pPr>
        <w:spacing w:before="120"/>
      </w:pPr>
    </w:p>
    <w:p>
      <w:r>
        <w:t>Update the system and install Docker Engine and required tools:</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apt update &amp;&amp; apt upgrade -y</w:t>
            </w:r>
          </w:p>
          <w:p>
            <w:pPr>
              <w:spacing w:before="0" w:after="0" w:line="240" w:lineRule="auto"/>
            </w:pPr>
            <w:r>
              <w:rPr>
                <w:rFonts w:ascii="Consolas" w:hAnsi="Consolas"/>
                <w:color w:val="2D3748"/>
                <w:sz w:val="18"/>
              </w:rPr>
              <w:t>apt install -y ca-certificates curl gnupg git ufw certbot</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install -m 0755 -d /etc/apt/keyrings</w:t>
            </w:r>
          </w:p>
          <w:p>
            <w:pPr>
              <w:spacing w:before="0" w:after="0" w:line="240" w:lineRule="auto"/>
            </w:pPr>
            <w:r>
              <w:rPr>
                <w:rFonts w:ascii="Consolas" w:hAnsi="Consolas"/>
                <w:color w:val="2D3748"/>
                <w:sz w:val="18"/>
              </w:rPr>
              <w:t>curl -fsSL https://download.docker.com/linux/ubuntu/gpg \</w:t>
            </w:r>
          </w:p>
          <w:p>
            <w:pPr>
              <w:spacing w:before="0" w:after="0" w:line="240" w:lineRule="auto"/>
            </w:pPr>
            <w:r>
              <w:rPr>
                <w:rFonts w:ascii="Consolas" w:hAnsi="Consolas"/>
                <w:color w:val="2D3748"/>
                <w:sz w:val="18"/>
              </w:rPr>
              <w:t xml:space="preserve">  -o /etc/apt/keyrings/docker.asc</w:t>
            </w:r>
          </w:p>
          <w:p>
            <w:pPr>
              <w:spacing w:before="0" w:after="0" w:line="240" w:lineRule="auto"/>
            </w:pPr>
            <w:r>
              <w:rPr>
                <w:rFonts w:ascii="Consolas" w:hAnsi="Consolas"/>
                <w:color w:val="2D3748"/>
                <w:sz w:val="18"/>
              </w:rPr>
              <w:t>chmod a+r /etc/apt/keyrings/docker.asc</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echo \</w:t>
            </w:r>
          </w:p>
          <w:p>
            <w:pPr>
              <w:spacing w:before="0" w:after="0" w:line="240" w:lineRule="auto"/>
            </w:pPr>
            <w:r>
              <w:rPr>
                <w:rFonts w:ascii="Consolas" w:hAnsi="Consolas"/>
                <w:color w:val="2D3748"/>
                <w:sz w:val="18"/>
              </w:rPr>
              <w:t xml:space="preserve">  "deb [arch=$(dpkg --print-architecture) signed-by=/etc/apt/keyrings/docker.asc] \</w:t>
            </w:r>
          </w:p>
          <w:p>
            <w:pPr>
              <w:spacing w:before="0" w:after="0" w:line="240" w:lineRule="auto"/>
            </w:pPr>
            <w:r>
              <w:rPr>
                <w:rFonts w:ascii="Consolas" w:hAnsi="Consolas"/>
                <w:color w:val="2D3748"/>
                <w:sz w:val="18"/>
              </w:rPr>
              <w:t xml:space="preserve">  https://download.docker.com/linux/ubuntu \</w:t>
            </w:r>
          </w:p>
          <w:p>
            <w:pPr>
              <w:spacing w:before="0" w:after="0" w:line="240" w:lineRule="auto"/>
            </w:pPr>
            <w:r>
              <w:rPr>
                <w:rFonts w:ascii="Consolas" w:hAnsi="Consolas"/>
                <w:color w:val="2D3748"/>
                <w:sz w:val="18"/>
              </w:rPr>
              <w:t xml:space="preserve">  $(. /etc/os-release &amp;&amp; echo "$VERSION_CODENAME") stable" | \</w:t>
            </w:r>
          </w:p>
          <w:p>
            <w:pPr>
              <w:spacing w:before="0" w:after="0" w:line="240" w:lineRule="auto"/>
            </w:pPr>
            <w:r>
              <w:rPr>
                <w:rFonts w:ascii="Consolas" w:hAnsi="Consolas"/>
                <w:color w:val="2D3748"/>
                <w:sz w:val="18"/>
              </w:rPr>
              <w:t xml:space="preserve">  tee /etc/apt/sources.list.d/docker.list &gt; /dev/null</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apt update</w:t>
            </w:r>
          </w:p>
          <w:p>
            <w:pPr>
              <w:spacing w:before="0" w:after="0" w:line="240" w:lineRule="auto"/>
            </w:pPr>
            <w:r>
              <w:rPr>
                <w:rFonts w:ascii="Consolas" w:hAnsi="Consolas"/>
                <w:color w:val="2D3748"/>
                <w:sz w:val="18"/>
              </w:rPr>
              <w:t>apt install -y docker-ce docker-ce-cli containerd.io \</w:t>
            </w:r>
          </w:p>
          <w:p>
            <w:pPr>
              <w:spacing w:before="0" w:after="0" w:line="240" w:lineRule="auto"/>
            </w:pPr>
            <w:r>
              <w:rPr>
                <w:rFonts w:ascii="Consolas" w:hAnsi="Consolas"/>
                <w:color w:val="2D3748"/>
                <w:sz w:val="18"/>
              </w:rPr>
              <w:t xml:space="preserve">               docker-buildx-plugin docker-compose-plugin</w:t>
            </w:r>
          </w:p>
          <w:p>
            <w:pPr>
              <w:spacing w:before="0" w:after="0" w:line="240" w:lineRule="auto"/>
            </w:pPr>
            <w:r>
              <w:rPr>
                <w:rFonts w:ascii="Consolas" w:hAnsi="Consolas"/>
                <w:color w:val="2D3748"/>
                <w:sz w:val="18"/>
              </w:rPr>
              <w:t>systemctl enable docker</w:t>
            </w:r>
          </w:p>
          <w:p>
            <w:pPr>
              <w:spacing w:before="0" w:after="0" w:line="240" w:lineRule="auto"/>
            </w:pPr>
            <w:r>
              <w:rPr>
                <w:rFonts w:ascii="Consolas" w:hAnsi="Consolas"/>
                <w:color w:val="2D3748"/>
                <w:sz w:val="18"/>
              </w:rPr>
              <w:t>systemctl start docker</w:t>
            </w:r>
          </w:p>
        </w:tc>
      </w:tr>
    </w:tbl>
    <w:p>
      <w:pPr>
        <w:spacing w:before="120"/>
      </w:pPr>
    </w:p>
    <w:p>
      <w:r>
        <w:t>Clone the repository into the deployment directory:</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cd /opt</w:t>
            </w:r>
          </w:p>
          <w:p>
            <w:pPr>
              <w:spacing w:before="0" w:after="0" w:line="240" w:lineRule="auto"/>
            </w:pPr>
            <w:r>
              <w:rPr>
                <w:rFonts w:ascii="Consolas" w:hAnsi="Consolas"/>
                <w:color w:val="2D3748"/>
                <w:sz w:val="18"/>
              </w:rPr>
              <w:t>git clone https://github.com/Mahmoudmetwall2y/Graduation-project.git asculticor</w:t>
            </w:r>
          </w:p>
          <w:p>
            <w:pPr>
              <w:spacing w:before="0" w:after="0" w:line="240" w:lineRule="auto"/>
            </w:pPr>
            <w:r>
              <w:rPr>
                <w:rFonts w:ascii="Consolas" w:hAnsi="Consolas"/>
                <w:color w:val="2D3748"/>
                <w:sz w:val="18"/>
              </w:rPr>
              <w:t>cd asculticor</w:t>
            </w:r>
          </w:p>
        </w:tc>
      </w:tr>
    </w:tbl>
    <w:p>
      <w:pPr>
        <w:spacing w:before="120"/>
      </w:pPr>
    </w:p>
    <w:p>
      <w:pPr>
        <w:pStyle w:val="Heading3"/>
      </w:pPr>
      <w:r>
        <w:t>19.4.4 Hostinger Environment Configuration</w:t>
      </w:r>
    </w:p>
    <w:p>
      <w:r>
        <w:t>The cloud environment file is created from the cloud template:</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cp .env.cloud.example .env</w:t>
            </w:r>
          </w:p>
          <w:p>
            <w:pPr>
              <w:spacing w:before="0" w:after="0" w:line="240" w:lineRule="auto"/>
            </w:pPr>
            <w:r>
              <w:rPr>
                <w:rFonts w:ascii="Consolas" w:hAnsi="Consolas"/>
                <w:color w:val="2D3748"/>
                <w:sz w:val="18"/>
              </w:rPr>
              <w:t>nano .env</w:t>
            </w:r>
          </w:p>
        </w:tc>
      </w:tr>
    </w:tbl>
    <w:p>
      <w:pPr>
        <w:spacing w:before="120"/>
      </w:pPr>
    </w:p>
    <w:p>
      <w:r>
        <w:t>The following table shows the non-secret Hostinger deployment values that are safe to document in the graduation book. Secret values (service-role keys, MQTT passwords, tokens, encryption keys) must be filled in on the VPS but must never appear in the book, the repository, screenshots, or shared messages:</w:t>
      </w:r>
    </w:p>
    <w:tbl>
      <w:tblPr>
        <w:tblW w:type="auto" w:w="0"/>
        <w:jc w:val="center"/>
        <w:tblLook w:firstColumn="1" w:firstRow="1" w:lastColumn="0" w:lastRow="0" w:noHBand="0" w:noVBand="1" w:val="04A0"/>
      </w:tblPr>
      <w:tblGrid>
        <w:gridCol w:w="3120"/>
        <w:gridCol w:w="3120"/>
        <w:gridCol w:w="3120"/>
      </w:tblGrid>
      <w:tr>
        <w:trPr>
          <w:trHeight w:val="360" w:hRule="atLeast"/>
        </w:trPr>
        <w:tc>
          <w:tcPr>
            <w:tcW w:type="dxa" w:w="2592"/>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Variable</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Hostinger Value</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Notes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APP_DOMAIN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Used by services that need the public hostname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DEVICE_BOOTSTRAP_PUBLIC_BASE_URL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https://srv1621744.hstgr.cloud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Bootstrap URL returned to ESP32 devices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DEVICE_BOOTSTRAP_MQTT_HOST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MQTT host returned to devices (for future TLS-ready deployment)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DEVICE_BOOTSTRAP_MQTT_PORT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1883</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MQTT port for devices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NGINX_SERVER_NAME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Main NGINX server name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ALLOWED_ORIGINS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https://srv1621744.hstgr.cloud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 service CORS allowed origin</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TRUSTED_HOSTS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srv1621744.hstgr.cloud,localhost,127.0.0.1</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Trusted host middleware allowed hosts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CORS_ORIGIN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https://srv1621744.hstgr.cloud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Supabase Edge Function CORS origin</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FRONTEND_BIND_ADDRESS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127.0.0.1</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 container private to VM</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INFERENCE_BIND_ADDRESS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127.0.0.1</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 container private to VM</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MQTT_BIND_ADDRESS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127.0.0.1</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MQTT private for initial rollout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MQTT_WS_BIND_ADDRESS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127.0.0.1</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MQTT WebSocket private for initial rollout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N8N_BIND_ADDRESS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127.0.0.1</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 private; accessed through NGINX</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N8N_DOMAIN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 hostname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N8N_PROTOCOL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https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 uses HTTPS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N8N_EDITOR_BASE_URL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https://srv1621744.hstgr.cloud:8443</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 editor public URL</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N8N_WEBHOOK_URL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https://srv1621744.hstgr.cloud:8443/</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 webhook base URL</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NGINX_N8N_ALT_SERVER_NAME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srv1621744.hstgr.cloud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NGINX alt server for n8n on port 8443</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NGINX_N8N_ALT_HTTPS_BIND_ADDRESS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0.0.0.0</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Expose n8n HTTPS port to public</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NGINX_N8N_ALT_HTTPS_PORT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8443</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 HTTPS port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ECG_SAMPLE_RATE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360</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b/>
                <w:sz w:val="19"/>
              </w:rPr>
              <w:t>Must be 360</w:t>
            </w:r>
            <w:r>
              <w:rPr>
                <w:sz w:val="19"/>
              </w:rPr>
              <w:t xml:space="preserve"> — matches BiLSTM training on MIT-BIH dataset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ECG_WINDOW_SIZE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300</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b/>
                <w:sz w:val="19"/>
              </w:rPr>
              <w:t>Must be 300</w:t>
            </w:r>
            <w:r>
              <w:rPr>
                <w:sz w:val="19"/>
              </w:rPr>
              <w:t xml:space="preserve"> — BiLSTM expects 300-sample input windows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ENABLE_DEMO_MODE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false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Real hardware mode — no fake predictions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SECURITY_HEADERS_ENABLED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true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 service security headers enabled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GENERIC_TIMEZONE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Africa/Cairo</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Project timezone for scheduling and logs</w:t>
            </w:r>
          </w:p>
        </w:tc>
      </w:tr>
    </w:tbl>
    <w:p>
      <w:pPr>
        <w:spacing w:before="120"/>
      </w:pPr>
    </w:p>
    <w:p>
      <w:pPr>
        <w:pStyle w:val="Quote"/>
      </w:pPr>
      <w:r>
        <w:rPr>
          <w:b/>
        </w:rPr>
        <w:t>Important:</w:t>
      </w:r>
      <w:r>
        <w:t xml:space="preserve"> The </w:t>
      </w:r>
      <w:r>
        <w:rPr>
          <w:rFonts w:ascii="Consolas" w:hAnsi="Consolas"/>
          <w:color w:val="C7254E"/>
          <w:sz w:val="19"/>
        </w:rPr>
        <w:t>.env.cloud.example</w:t>
      </w:r>
      <w:r>
        <w:t xml:space="preserve"> file in the repository contains some incorrect defaults that will break the system if not corrected. Specifically, </w:t>
      </w:r>
      <w:r>
        <w:rPr>
          <w:rFonts w:ascii="Consolas" w:hAnsi="Consolas"/>
          <w:color w:val="C7254E"/>
          <w:sz w:val="19"/>
        </w:rPr>
        <w:t>ECG_SAMPLE_RATE</w:t>
      </w:r>
      <w:r>
        <w:t xml:space="preserve"> may default to </w:t>
      </w:r>
      <w:r>
        <w:rPr>
          <w:rFonts w:ascii="Consolas" w:hAnsi="Consolas"/>
          <w:color w:val="C7254E"/>
          <w:sz w:val="19"/>
        </w:rPr>
        <w:t>500</w:t>
      </w:r>
      <w:r>
        <w:t xml:space="preserve"> (the ESP32 capture rate) instead of </w:t>
      </w:r>
      <w:r>
        <w:rPr>
          <w:rFonts w:ascii="Consolas" w:hAnsi="Consolas"/>
          <w:color w:val="C7254E"/>
          <w:sz w:val="19"/>
        </w:rPr>
        <w:t>360</w:t>
      </w:r>
      <w:r>
        <w:t xml:space="preserve"> (the BiLSTM training rate). Always verify these values match the model training configuration before starting the stack.</w:t>
      </w:r>
    </w:p>
    <w:p>
      <w:r>
        <w:t>Supabase must also be configured to recognize the cloud hostname. In the Supabase dashboard:</w:t>
      </w:r>
    </w:p>
    <w:tbl>
      <w:tblPr>
        <w:tblW w:type="auto" w:w="0"/>
        <w:jc w:val="center"/>
        <w:tblLook w:firstColumn="1" w:firstRow="1" w:lastColumn="0" w:lastRow="0" w:noHBand="0" w:noVBand="1" w:val="04A0"/>
      </w:tblPr>
      <w:tblGrid>
        <w:gridCol w:w="4680"/>
        <w:gridCol w:w="4680"/>
      </w:tblGrid>
      <w:tr>
        <w:trPr>
          <w:trHeight w:val="360" w:hRule="atLeast"/>
        </w:trPr>
        <w:tc>
          <w:tcPr>
            <w:tcW w:type="dxa" w:w="28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Setting</w:t>
            </w:r>
          </w:p>
        </w:tc>
        <w:tc>
          <w:tcPr>
            <w:tcW w:type="dxa" w:w="64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Value</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Site URL</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https://srv1621744.hstgr.cloud</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Allowed Redirect URL</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https://srv1621744.hstgr.cloud/auth/callback</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Edge Function CORS Origin</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https://srv1621744.hstgr.cloud</w:t>
            </w:r>
          </w:p>
        </w:tc>
      </w:tr>
    </w:tbl>
    <w:p>
      <w:pPr>
        <w:spacing w:before="120"/>
      </w:pPr>
    </w:p>
    <w:p>
      <w:pPr>
        <w:pStyle w:val="Heading3"/>
      </w:pPr>
      <w:r>
        <w:t>19.4.5 TLS Certificate Provisioning</w:t>
      </w:r>
    </w:p>
    <w:p>
      <w:r>
        <w:t>TLS certificates are issued using Let's Encrypt and Certbot. Certbot must run before starting the Docker stack because NGINX requires the certificate files to start:</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certbot certonly --standalone -d srv1621744.hstgr.cloud</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mkdir -p nginx/certs</w:t>
            </w:r>
          </w:p>
          <w:p>
            <w:pPr>
              <w:spacing w:before="0" w:after="0" w:line="240" w:lineRule="auto"/>
            </w:pPr>
            <w:r>
              <w:rPr>
                <w:rFonts w:ascii="Consolas" w:hAnsi="Consolas"/>
                <w:color w:val="2D3748"/>
                <w:sz w:val="18"/>
              </w:rPr>
              <w:t>cp /etc/letsencrypt/live/srv1621744.hstgr.cloud/fullchain.pem \</w:t>
            </w:r>
          </w:p>
          <w:p>
            <w:pPr>
              <w:spacing w:before="0" w:after="0" w:line="240" w:lineRule="auto"/>
            </w:pPr>
            <w:r>
              <w:rPr>
                <w:rFonts w:ascii="Consolas" w:hAnsi="Consolas"/>
                <w:color w:val="2D3748"/>
                <w:sz w:val="18"/>
              </w:rPr>
              <w:t xml:space="preserve">   nginx/certs/fullchain.pem</w:t>
            </w:r>
          </w:p>
          <w:p>
            <w:pPr>
              <w:spacing w:before="0" w:after="0" w:line="240" w:lineRule="auto"/>
            </w:pPr>
            <w:r>
              <w:rPr>
                <w:rFonts w:ascii="Consolas" w:hAnsi="Consolas"/>
                <w:color w:val="2D3748"/>
                <w:sz w:val="18"/>
              </w:rPr>
              <w:t>cp /etc/letsencrypt/live/srv1621744.hstgr.cloud/privkey.pem \</w:t>
            </w:r>
          </w:p>
          <w:p>
            <w:pPr>
              <w:spacing w:before="0" w:after="0" w:line="240" w:lineRule="auto"/>
            </w:pPr>
            <w:r>
              <w:rPr>
                <w:rFonts w:ascii="Consolas" w:hAnsi="Consolas"/>
                <w:color w:val="2D3748"/>
                <w:sz w:val="18"/>
              </w:rPr>
              <w:t xml:space="preserve">   nginx/certs/privkey.pem</w:t>
            </w:r>
          </w:p>
        </w:tc>
      </w:tr>
    </w:tbl>
    <w:p>
      <w:pPr>
        <w:spacing w:before="120"/>
      </w:pPr>
    </w:p>
    <w:p>
      <w:r>
        <w:t>The NGINX cloud configuration template (</w:t>
      </w:r>
      <w:r>
        <w:rPr>
          <w:rFonts w:ascii="Consolas" w:hAnsi="Consolas"/>
          <w:color w:val="C7254E"/>
          <w:sz w:val="19"/>
        </w:rPr>
        <w:t>nginx/default.cloud.conf.template</w:t>
      </w:r>
      <w:r>
        <w:t>) reads the certificate paths from environment variables:</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NGINX_SSL_CERT_PATH=/etc/nginx/certs/fullchain.pem</w:t>
            </w:r>
          </w:p>
          <w:p>
            <w:pPr>
              <w:spacing w:before="0" w:after="0" w:line="240" w:lineRule="auto"/>
            </w:pPr>
            <w:r>
              <w:rPr>
                <w:rFonts w:ascii="Consolas" w:hAnsi="Consolas"/>
                <w:color w:val="2D3748"/>
                <w:sz w:val="18"/>
              </w:rPr>
              <w:t>NGINX_SSL_KEY_PATH=/etc/nginx/certs/privkey.pem</w:t>
            </w:r>
          </w:p>
          <w:p>
            <w:pPr>
              <w:spacing w:before="0" w:after="0" w:line="240" w:lineRule="auto"/>
            </w:pPr>
            <w:r>
              <w:rPr>
                <w:rFonts w:ascii="Consolas" w:hAnsi="Consolas"/>
                <w:color w:val="2D3748"/>
                <w:sz w:val="18"/>
              </w:rPr>
              <w:t>NGINX_N8N_SSL_CERT_PATH=/etc/nginx/certs/fullchain.pem</w:t>
            </w:r>
          </w:p>
          <w:p>
            <w:pPr>
              <w:spacing w:before="0" w:after="0" w:line="240" w:lineRule="auto"/>
            </w:pPr>
            <w:r>
              <w:rPr>
                <w:rFonts w:ascii="Consolas" w:hAnsi="Consolas"/>
                <w:color w:val="2D3748"/>
                <w:sz w:val="18"/>
              </w:rPr>
              <w:t>NGINX_N8N_SSL_KEY_PATH=/etc/nginx/certs/privkey.pem</w:t>
            </w:r>
          </w:p>
        </w:tc>
      </w:tr>
    </w:tbl>
    <w:p>
      <w:pPr>
        <w:spacing w:before="120"/>
      </w:pPr>
    </w:p>
    <w:p>
      <w:r>
        <w:t xml:space="preserve">Let's Encrypt certificates expire after 90 days. Certbot can be configured to renew automatically using a cron job or a systemd timer. The renewal command is </w:t>
      </w:r>
      <w:r>
        <w:rPr>
          <w:rFonts w:ascii="Consolas" w:hAnsi="Consolas"/>
          <w:color w:val="C7254E"/>
          <w:sz w:val="19"/>
        </w:rPr>
        <w:t>certbot renew</w:t>
      </w:r>
      <w:r>
        <w:t xml:space="preserve">, and after renewal, the certificate files must be copied again to </w:t>
      </w:r>
      <w:r>
        <w:rPr>
          <w:rFonts w:ascii="Consolas" w:hAnsi="Consolas"/>
          <w:color w:val="C7254E"/>
          <w:sz w:val="19"/>
        </w:rPr>
        <w:t>nginx/certs/</w:t>
      </w:r>
      <w:r>
        <w:t xml:space="preserve"> and the NGINX container must be reloaded.</w:t>
      </w:r>
    </w:p>
    <w:p>
      <w:pPr>
        <w:pStyle w:val="Heading3"/>
      </w:pPr>
      <w:r>
        <w:t>19.4.6 NGINX Routing Architecture</w:t>
      </w:r>
    </w:p>
    <w:p>
      <w:r>
        <w:t>The NGINX cloud configuration (</w:t>
      </w:r>
      <w:r>
        <w:rPr>
          <w:rFonts w:ascii="Consolas" w:hAnsi="Consolas"/>
          <w:color w:val="C7254E"/>
          <w:sz w:val="19"/>
        </w:rPr>
        <w:t>nginx/default.cloud.conf.template</w:t>
      </w:r>
      <w:r>
        <w:t>) defines four server blocks:</w:t>
      </w:r>
    </w:p>
    <w:p>
      <w:pPr>
        <w:pStyle w:val="ListParagraph"/>
      </w:pPr>
      <w:r>
        <w:t>1.</w:t>
        <w:tab/>
      </w:r>
      <w:r>
        <w:rPr>
          <w:b/>
        </w:rPr>
        <w:t>HTTP → HTTPS redirect</w:t>
      </w:r>
      <w:r>
        <w:t xml:space="preserve"> for the main hostname (</w:t>
      </w:r>
      <w:r>
        <w:rPr>
          <w:rFonts w:ascii="Consolas" w:hAnsi="Consolas"/>
          <w:color w:val="C7254E"/>
          <w:sz w:val="19"/>
        </w:rPr>
        <w:t>srv1621744.hstgr.cloud</w:t>
      </w:r>
      <w:r>
        <w:t>): any HTTP request is permanently redirected to HTTPS.</w:t>
      </w:r>
    </w:p>
    <w:p>
      <w:pPr>
        <w:pStyle w:val="ListParagraph"/>
      </w:pPr>
      <w:r>
        <w:t>2.</w:t>
        <w:tab/>
      </w:r>
      <w:r>
        <w:rPr>
          <w:b/>
        </w:rPr>
        <w:t>HTTPS main server</w:t>
      </w:r>
      <w:r>
        <w:t xml:space="preserve"> on port </w:t>
      </w:r>
      <w:r>
        <w:rPr>
          <w:rFonts w:ascii="Consolas" w:hAnsi="Consolas"/>
          <w:color w:val="C7254E"/>
          <w:sz w:val="19"/>
        </w:rPr>
        <w:t>443</w:t>
      </w:r>
      <w:r>
        <w:t xml:space="preserve">: proxies all requests to the </w:t>
      </w:r>
      <w:r>
        <w:rPr>
          <w:rFonts w:ascii="Consolas" w:hAnsi="Consolas"/>
          <w:color w:val="C7254E"/>
          <w:sz w:val="19"/>
        </w:rPr>
        <w:t>frontend</w:t>
      </w:r>
      <w:r>
        <w:t xml:space="preserve"> upstream (Next.js on port </w:t>
      </w:r>
      <w:r>
        <w:rPr>
          <w:rFonts w:ascii="Consolas" w:hAnsi="Consolas"/>
          <w:color w:val="C7254E"/>
          <w:sz w:val="19"/>
        </w:rPr>
        <w:t>3000</w:t>
      </w:r>
      <w:r>
        <w:t xml:space="preserve">), proxies the </w:t>
      </w:r>
      <w:r>
        <w:rPr>
          <w:rFonts w:ascii="Consolas" w:hAnsi="Consolas"/>
          <w:color w:val="C7254E"/>
          <w:sz w:val="19"/>
        </w:rPr>
        <w:t>/mqtt</w:t>
      </w:r>
      <w:r>
        <w:t xml:space="preserve"> path to the </w:t>
      </w:r>
      <w:r>
        <w:rPr>
          <w:rFonts w:ascii="Consolas" w:hAnsi="Consolas"/>
          <w:color w:val="C7254E"/>
          <w:sz w:val="19"/>
        </w:rPr>
        <w:t>mqtt_ws</w:t>
      </w:r>
      <w:r>
        <w:t xml:space="preserve"> upstream (Mosquitto WebSocket on port </w:t>
      </w:r>
      <w:r>
        <w:rPr>
          <w:rFonts w:ascii="Consolas" w:hAnsi="Consolas"/>
          <w:color w:val="C7254E"/>
          <w:sz w:val="19"/>
        </w:rPr>
        <w:t>9001</w:t>
      </w:r>
      <w:r>
        <w:t xml:space="preserve">), and explicitly returns 404 for </w:t>
      </w:r>
      <w:r>
        <w:rPr>
          <w:rFonts w:ascii="Consolas" w:hAnsi="Consolas"/>
          <w:color w:val="C7254E"/>
          <w:sz w:val="19"/>
        </w:rPr>
        <w:t>/api/inference/</w:t>
      </w:r>
      <w:r>
        <w:t xml:space="preserve"> to prevent direct external access to the inference service.</w:t>
      </w:r>
    </w:p>
    <w:p>
      <w:pPr>
        <w:pStyle w:val="ListParagraph"/>
      </w:pPr>
      <w:r>
        <w:t>3.</w:t>
        <w:tab/>
      </w:r>
      <w:r>
        <w:rPr>
          <w:b/>
        </w:rPr>
        <w:t>HTTP → HTTPS redirect</w:t>
      </w:r>
      <w:r>
        <w:t xml:space="preserve"> for the n8n alternative hostname on port </w:t>
      </w:r>
      <w:r>
        <w:rPr>
          <w:rFonts w:ascii="Consolas" w:hAnsi="Consolas"/>
          <w:color w:val="C7254E"/>
          <w:sz w:val="19"/>
        </w:rPr>
        <w:t>8081</w:t>
      </w:r>
      <w:r>
        <w:t xml:space="preserve">, redirecting to port </w:t>
      </w:r>
      <w:r>
        <w:rPr>
          <w:rFonts w:ascii="Consolas" w:hAnsi="Consolas"/>
          <w:color w:val="C7254E"/>
          <w:sz w:val="19"/>
        </w:rPr>
        <w:t>8443</w:t>
      </w:r>
      <w:r>
        <w:t>.</w:t>
      </w:r>
    </w:p>
    <w:p>
      <w:pPr>
        <w:pStyle w:val="ListParagraph"/>
      </w:pPr>
      <w:r>
        <w:t>4.</w:t>
        <w:tab/>
      </w:r>
      <w:r>
        <w:rPr>
          <w:b/>
        </w:rPr>
        <w:t>HTTPS n8n server</w:t>
      </w:r>
      <w:r>
        <w:t xml:space="preserve"> on port </w:t>
      </w:r>
      <w:r>
        <w:rPr>
          <w:rFonts w:ascii="Consolas" w:hAnsi="Consolas"/>
          <w:color w:val="C7254E"/>
          <w:sz w:val="19"/>
        </w:rPr>
        <w:t>8443</w:t>
      </w:r>
      <w:r>
        <w:t xml:space="preserve">: proxies requests to the </w:t>
      </w:r>
      <w:r>
        <w:rPr>
          <w:rFonts w:ascii="Consolas" w:hAnsi="Consolas"/>
          <w:color w:val="C7254E"/>
          <w:sz w:val="19"/>
        </w:rPr>
        <w:t>n8n_editor</w:t>
      </w:r>
      <w:r>
        <w:t xml:space="preserve"> upstream (n8n on port </w:t>
      </w:r>
      <w:r>
        <w:rPr>
          <w:rFonts w:ascii="Consolas" w:hAnsi="Consolas"/>
          <w:color w:val="C7254E"/>
          <w:sz w:val="19"/>
        </w:rPr>
        <w:t>5678</w:t>
      </w:r>
      <w:r>
        <w:t>) with WebSocket upgrade support and long timeouts (3600 seconds) required by the n8n editor.</w:t>
      </w:r>
    </w:p>
    <w:p>
      <w:r>
        <w:t xml:space="preserve">All upstream connections use Docker service names, which are resolved by the Docker bridge network's internal DNS. The inference service is accessible from Next.js API routes through the environment variable </w:t>
      </w:r>
      <w:r>
        <w:rPr>
          <w:rFonts w:ascii="Consolas" w:hAnsi="Consolas"/>
          <w:color w:val="C7254E"/>
          <w:sz w:val="19"/>
        </w:rPr>
        <w:t>ASCULTICOR_INFERENCE_URL=http://inference:8000</w:t>
      </w:r>
      <w:r>
        <w:t xml:space="preserve"> without passing through NGINX.</w:t>
      </w:r>
    </w:p>
    <w:p>
      <w:pPr>
        <w:pStyle w:val="Heading3"/>
      </w:pPr>
      <w:r>
        <w:t>19.4.7 Stack Startup and Rollout Procedure</w:t>
      </w:r>
    </w:p>
    <w:p>
      <w:r>
        <w:t>The full cloud stack is started with:</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up -d --build</w:t>
            </w:r>
          </w:p>
        </w:tc>
      </w:tr>
    </w:tbl>
    <w:p>
      <w:pPr>
        <w:spacing w:before="120"/>
      </w:pPr>
    </w:p>
    <w:p>
      <w:r>
        <w:t>Before starting the stack, always validate the rendered Compose configuration for syntax errors and missing variables:</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config &gt; /dev/null</w:t>
            </w:r>
          </w:p>
        </w:tc>
      </w:tr>
    </w:tbl>
    <w:p>
      <w:pPr>
        <w:spacing w:before="120"/>
      </w:pPr>
    </w:p>
    <w:p>
      <w:r>
        <w:t xml:space="preserve">This command renders the full merged configuration and exits with an error if any required environment variable is missing (those marked with </w:t>
      </w:r>
      <w:r>
        <w:rPr>
          <w:rFonts w:ascii="Consolas" w:hAnsi="Consolas"/>
          <w:color w:val="C7254E"/>
          <w:sz w:val="19"/>
        </w:rPr>
        <w:t>:?</w:t>
      </w:r>
      <w:r>
        <w:t xml:space="preserve"> in the Compose file, such as </w:t>
      </w:r>
      <w:r>
        <w:rPr>
          <w:rFonts w:ascii="Consolas" w:hAnsi="Consolas"/>
          <w:color w:val="C7254E"/>
          <w:sz w:val="19"/>
        </w:rPr>
        <w:t>SUPABASE_URL</w:t>
      </w:r>
      <w:r>
        <w:t xml:space="preserve">, </w:t>
      </w:r>
      <w:r>
        <w:rPr>
          <w:rFonts w:ascii="Consolas" w:hAnsi="Consolas"/>
          <w:color w:val="C7254E"/>
          <w:sz w:val="19"/>
        </w:rPr>
        <w:t>SUPABASE_SERVICE_ROLE_KEY</w:t>
      </w:r>
      <w:r>
        <w:t xml:space="preserve">, </w:t>
      </w:r>
      <w:r>
        <w:rPr>
          <w:rFonts w:ascii="Consolas" w:hAnsi="Consolas"/>
          <w:color w:val="C7254E"/>
          <w:sz w:val="19"/>
        </w:rPr>
        <w:t>MQTT_USERNAME</w:t>
      </w:r>
      <w:r>
        <w:t xml:space="preserve">, </w:t>
      </w:r>
      <w:r>
        <w:rPr>
          <w:rFonts w:ascii="Consolas" w:hAnsi="Consolas"/>
          <w:color w:val="C7254E"/>
          <w:sz w:val="19"/>
        </w:rPr>
        <w:t>MQTT_PASSWORD</w:t>
      </w:r>
      <w:r>
        <w:t>, and the internal tokens).</w:t>
      </w:r>
    </w:p>
    <w:p>
      <w:pPr>
        <w:pStyle w:val="Heading3"/>
      </w:pPr>
      <w:r>
        <w:t>19.4.8 Device Connectivity Boundary</w:t>
      </w:r>
    </w:p>
    <w:p>
      <w:r>
        <w:t>The initial Hostinger VPS deployment is appropriate for:</w:t>
      </w:r>
    </w:p>
    <w:p>
      <w:pPr>
        <w:pStyle w:val="ListParagraph"/>
      </w:pPr>
      <w:r>
        <w:t>•</w:t>
        <w:tab/>
      </w:r>
      <w:r>
        <w:t>Remote dashboard access by the team and examiners via HTTPS.</w:t>
      </w:r>
    </w:p>
    <w:p>
      <w:pPr>
        <w:pStyle w:val="ListParagraph"/>
      </w:pPr>
      <w:r>
        <w:t>•</w:t>
        <w:tab/>
      </w:r>
      <w:r>
        <w:t>n8n automation workflows triggered by report queue and device events.</w:t>
      </w:r>
    </w:p>
    <w:p>
      <w:pPr>
        <w:pStyle w:val="ListParagraph"/>
      </w:pPr>
      <w:r>
        <w:t>•</w:t>
        <w:tab/>
      </w:r>
      <w:r>
        <w:t>Backend service-to-service communication within the Docker network.</w:t>
      </w:r>
    </w:p>
    <w:p>
      <w:pPr>
        <w:pStyle w:val="ListParagraph"/>
      </w:pPr>
      <w:r>
        <w:t>•</w:t>
        <w:tab/>
      </w:r>
      <w:r>
        <w:t>Testing and verification of the complete platform without a physical ESP32.</w:t>
      </w:r>
    </w:p>
    <w:p>
      <w:r>
        <w:t xml:space="preserve">It does </w:t>
      </w:r>
      <w:r>
        <w:rPr>
          <w:b/>
        </w:rPr>
        <w:t>not</w:t>
      </w:r>
      <w:r>
        <w:t xml:space="preserve"> yet support direct ESP32 publishing from outside the local network, because </w:t>
      </w:r>
      <w:r>
        <w:rPr>
          <w:rFonts w:ascii="Consolas" w:hAnsi="Consolas"/>
          <w:color w:val="C7254E"/>
          <w:sz w:val="19"/>
        </w:rPr>
        <w:t>MQTT_BIND_ADDRESS=127.0.0.1</w:t>
      </w:r>
      <w:r>
        <w:t xml:space="preserve"> keeps the broker private. If the project requires remote hardware testing from a device on a different network, the team should:</w:t>
      </w:r>
    </w:p>
    <w:p>
      <w:pPr>
        <w:pStyle w:val="ListParagraph"/>
      </w:pPr>
      <w:r>
        <w:t>1.</w:t>
        <w:tab/>
      </w:r>
      <w:r>
        <w:t xml:space="preserve">Change </w:t>
      </w:r>
      <w:r>
        <w:rPr>
          <w:rFonts w:ascii="Consolas" w:hAnsi="Consolas"/>
          <w:color w:val="C7254E"/>
          <w:sz w:val="19"/>
        </w:rPr>
        <w:t>MQTT_BIND_ADDRESS=0.0.0.0</w:t>
      </w:r>
      <w:r>
        <w:t xml:space="preserve"> and </w:t>
      </w:r>
      <w:r>
        <w:rPr>
          <w:rFonts w:ascii="Consolas" w:hAnsi="Consolas"/>
          <w:color w:val="C7254E"/>
          <w:sz w:val="19"/>
        </w:rPr>
        <w:t>MQTT_WS_BIND_ADDRESS=0.0.0.0</w:t>
      </w:r>
      <w:r>
        <w:t>.</w:t>
      </w:r>
    </w:p>
    <w:p>
      <w:pPr>
        <w:pStyle w:val="ListParagraph"/>
      </w:pPr>
      <w:r>
        <w:t>2.</w:t>
        <w:tab/>
      </w:r>
      <w:r>
        <w:t xml:space="preserve">Open port </w:t>
      </w:r>
      <w:r>
        <w:rPr>
          <w:rFonts w:ascii="Consolas" w:hAnsi="Consolas"/>
          <w:color w:val="C7254E"/>
          <w:sz w:val="19"/>
        </w:rPr>
        <w:t>1883</w:t>
      </w:r>
      <w:r>
        <w:t xml:space="preserve"> in the Hostinger firewall.</w:t>
      </w:r>
    </w:p>
    <w:p>
      <w:pPr>
        <w:pStyle w:val="ListParagraph"/>
      </w:pPr>
      <w:r>
        <w:t>3.</w:t>
        <w:tab/>
      </w:r>
      <w:r>
        <w:t>Accept that port 1883 is plaintext MQTT — acceptable for a graduation demo, but not for real patient data.</w:t>
      </w:r>
    </w:p>
    <w:p>
      <w:pPr>
        <w:pStyle w:val="ListParagraph"/>
      </w:pPr>
      <w:r>
        <w:t>4.</w:t>
        <w:tab/>
      </w:r>
      <w:r>
        <w:t xml:space="preserve">For a more secure path: configure MQTT over TLS on port </w:t>
      </w:r>
      <w:r>
        <w:rPr>
          <w:rFonts w:ascii="Consolas" w:hAnsi="Consolas"/>
          <w:color w:val="C7254E"/>
          <w:sz w:val="19"/>
        </w:rPr>
        <w:t>8883</w:t>
      </w:r>
      <w:r>
        <w:t xml:space="preserve"> using the same Let's Encrypt certificate, or use a managed IoT broker.</w:t>
      </w:r>
    </w:p>
    <w:tbl>
      <w:tblPr>
        <w:tblW w:type="auto" w:w="0"/>
        <w:jc w:val="center"/>
        <w:tblLook w:firstColumn="1" w:firstRow="1" w:lastColumn="0" w:lastRow="0" w:noHBand="0" w:noVBand="1" w:val="04A0"/>
      </w:tblPr>
      <w:tblGrid>
        <w:gridCol w:w="9360"/>
      </w:tblGrid>
      <w:tr>
        <w:tc>
          <w:tcPr>
            <w:tcW w:type="dxa" w:w="9360"/>
            <w:shd w:val="clear" w:color="auto" w:fill="EDF2F7"/>
            <w:tcBorders>
              <w:top w:val="single" w:sz="6" w:space="0" w:color="A0AEC0"/>
              <w:left w:val="single" w:sz="6" w:space="0" w:color="A0AEC0"/>
              <w:bottom w:val="single" w:sz="6" w:space="0" w:color="A0AEC0"/>
              <w:right w:val="single" w:sz="6" w:space="0" w:color="A0AEC0"/>
            </w:tcBorders>
            <w:tcMar>
              <w:top w:w="100" w:type="dxa"/>
              <w:bottom w:w="100" w:type="dxa"/>
              <w:left w:w="150" w:type="dxa"/>
              <w:right w:w="150" w:type="dxa"/>
            </w:tcMar>
          </w:tcPr>
          <w:p>
            <w:r>
              <w:rPr>
                <w:b/>
                <w:color w:val="2D3748"/>
                <w:sz w:val="20"/>
              </w:rPr>
              <w:t>FIGURE PLACEHOLDER: Figure 19.2 — Cloud VM Deployment Architecture</w:t>
            </w:r>
          </w:p>
        </w:tc>
      </w:tr>
      <w:tr>
        <w:tc>
          <w:tcPr>
            <w:tcW w:type="dxa" w:w="9360"/>
            <w:shd w:val="clear" w:color="auto" w:fill="FFFFFF"/>
            <w:tcBorders>
              <w:top w:val="single" w:sz="6" w:space="0" w:color="A0AEC0"/>
              <w:left w:val="single" w:sz="6" w:space="0" w:color="A0AEC0"/>
              <w:bottom w:val="single" w:sz="6" w:space="0" w:color="A0AEC0"/>
              <w:right w:val="single" w:sz="6" w:space="0" w:color="A0AEC0"/>
            </w:tcBorders>
            <w:tcMar>
              <w:top w:w="120" w:type="dxa"/>
              <w:bottom w:w="120" w:type="dxa"/>
              <w:left w:w="150" w:type="dxa"/>
              <w:right w:w="150" w:type="dxa"/>
            </w:tcMar>
          </w:tcPr>
          <w:p>
            <w:pPr>
              <w:spacing w:after="120"/>
            </w:pPr>
            <w:r>
              <w:rPr>
                <w:b/>
                <w:sz w:val="19"/>
              </w:rPr>
              <w:t xml:space="preserve">Instruction: </w:t>
            </w:r>
            <w:r>
              <w:rPr>
                <w:i/>
                <w:sz w:val="19"/>
              </w:rPr>
              <w:t>Insert Figure 19.2 here, immediately after the cloud deployment explanation.</w:t>
            </w:r>
          </w:p>
          <w:p>
            <w:pPr>
              <w:spacing w:after="240"/>
            </w:pPr>
            <w:r>
              <w:rPr>
                <w:b/>
                <w:sz w:val="19"/>
              </w:rPr>
              <w:t xml:space="preserve">Caption: </w:t>
            </w:r>
            <w:r>
              <w:rPr>
                <w:sz w:val="19"/>
              </w:rPr>
              <w:t>Figure 19.2 shows the Hostinger VPS cloud deployment. Public HTTPS traffic from browsers reaches NGINX at `https://srv1621744.hstgr.cloud`. NGINX routes web requests to the Next.js frontend and proxies the MQTT WebSocket path. The n8n automation engine is accessible at port 8443. All other containers — inference, Mosquitto, and n8n — remain on the private Docker `asculticor-network` and are not directly reachable from the public internet. Managed Supabase provides authentication, PostgreSQL database, and private file storage externally. ESP32 devices connect to the MQTT broker only after MQTT TLS hardening has been applied.</w:t>
            </w:r>
          </w:p>
          <w:p>
            <w:pPr>
              <w:spacing w:after="80"/>
            </w:pPr>
            <w:r>
              <w:rPr>
                <w:b/>
                <w:color w:val="718096"/>
                <w:sz w:val="18"/>
              </w:rPr>
              <w:t>Image Generation Prompt (remove prompt block before submission):</w:t>
            </w:r>
          </w:p>
          <w:p>
            <w:pPr>
              <w:ind w:left="288" w:right="288"/>
            </w:pPr>
            <w:r>
              <w:rPr>
                <w:rFonts w:ascii="Consolas" w:hAnsi="Consolas"/>
                <w:color w:val="4A5568"/>
                <w:sz w:val="17"/>
              </w:rPr>
            </w:r>
          </w:p>
        </w:tc>
      </w:tr>
    </w:tbl>
    <w:p>
      <w:pPr>
        <w:spacing w:before="120"/>
      </w:pPr>
    </w:p>
    <w:p>
      <w:pPr>
        <w:pStyle w:val="Heading2"/>
      </w:pPr>
      <w:r>
        <w:t>19.5 Environment Variables Reference</w:t>
      </w:r>
    </w:p>
    <w:p>
      <w:r>
        <w:t>Environment variables are the mechanism by which the same Docker images are configured for local development, cloud staging, and future production environments. This design follows the twelve-factor app principle: configuration is separated from code, and the same code artifact can be deployed in any environment by changing only environment values.</w:t>
      </w:r>
    </w:p>
    <w:p>
      <w:r>
        <w:rPr>
          <w:b/>
        </w:rPr>
        <w:t>The book must document variable names and purposes only. It must never include real values for service-role keys, JWT tokens, API keys, internal tokens, MQTT passwords, n8n passwords, encryption keys, or any production credential.</w:t>
      </w:r>
    </w:p>
    <w:p>
      <w:pPr>
        <w:pStyle w:val="Heading3"/>
      </w:pPr>
      <w:r>
        <w:t>Table 19.2: Environment Variable Reference</w:t>
      </w:r>
    </w:p>
    <w:tbl>
      <w:tblPr>
        <w:tblW w:type="auto" w:w="0"/>
        <w:jc w:val="center"/>
        <w:tblLook w:firstColumn="1" w:firstRow="1" w:lastColumn="0" w:lastRow="0" w:noHBand="0" w:noVBand="1" w:val="04A0"/>
      </w:tblPr>
      <w:tblGrid>
        <w:gridCol w:w="3120"/>
        <w:gridCol w:w="3120"/>
        <w:gridCol w:w="3120"/>
      </w:tblGrid>
      <w:tr>
        <w:trPr>
          <w:trHeight w:val="360" w:hRule="atLeast"/>
        </w:trPr>
        <w:tc>
          <w:tcPr>
            <w:tcW w:type="dxa" w:w="2592"/>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Variable</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Service(s)</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Purpose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APP_DOMAIN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nginx, 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Public domain for the application</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DEVICE_BOOTSTRAP_PUBLIC_BASE_URL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Public base URL returned to ESP32 devices during bootstrap</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SUPABASE_URL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 inference, mosquitto</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Supabase project URL</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SUPABASE_ANON_KEY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Public Supabase anon key for browser-side Supabase clients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SUPABASE_SERVICE_ROLE_KEY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 inference, mosquitto</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Privileged Supabase key — server-side only, never browser-exposed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MQTT_USERNAME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mosquitto, inference, 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Administrative MQTT broker username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MQTT_PASSWORD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mosquitto, inference, 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Administrative MQTT broker password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MQTT_DEVICE_PASSWORD_PEPPER</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Secret pepper used when deriving per-device MQTT passwords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MQTT_BIND_ADDRESS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mosquitto, 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Bind address for MQTT TCP listener (</w:t>
            </w:r>
            <w:r>
              <w:rPr>
                <w:rFonts w:ascii="Consolas" w:hAnsi="Consolas"/>
                <w:color w:val="C7254E"/>
                <w:sz w:val="19"/>
              </w:rPr>
              <w:t>127.0.0.1</w:t>
            </w:r>
            <w:r>
              <w:rPr>
                <w:sz w:val="19"/>
              </w:rPr>
              <w:t xml:space="preserve"> or </w:t>
            </w:r>
            <w:r>
              <w:rPr>
                <w:rFonts w:ascii="Consolas" w:hAnsi="Consolas"/>
                <w:color w:val="C7254E"/>
                <w:sz w:val="19"/>
              </w:rPr>
              <w:t>0.0.0.0</w:t>
            </w:r>
            <w:r>
              <w:rPr>
                <w:sz w:val="19"/>
              </w:rPr>
              <w: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MQTT_WS_BIND_ADDRESS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mosquitto</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Bind address for MQTT WebSocket listener</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DEVICE_BOOTSTRAP_MQTT_HOST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MQTT host returned to provisioned devices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DEVICE_BOOTSTRAP_MQTT_PORT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MQTT port returned to provisioned devices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DEVICE_BOOTSTRAP_MQTT_TLS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Whether devices should use TLS for MQTT connections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FRONTEND_BIND_ADDRESS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Bind address for the Next.js service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INFERENCE_BIND_ADDRESS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Bind address for the FastAPI inference service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NGINX_SERVER_NAME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nginx</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Main application hostname served by NGINX</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NGINX_SSL_CERT_PATH</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nginx</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TLS certificate file path inside the NGINX container</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NGINX_SSL_KEY_PATH</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nginx</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TLS private key file path inside the NGINX container</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INTERNAL_API_TOKEN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 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Shared token protecting operational frontend routes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INFERENCE_INTERNAL_TOKEN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 frontend, 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Shared token protecting inference operational endpoints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ALLOWED_ORIGINS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Browser origins allowed for CORS requests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TRUSTED_HOSTS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Hostnames accepted by the trusted-host middleware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SECURITY_HEADERS_ENABLED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Enables HTTP security headers in the inference service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CSP_POLICY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Content Security Policy value for the inference service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ENABLE_DEMO_MODE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false</w:t>
            </w:r>
            <w:r>
              <w:rPr>
                <w:sz w:val="19"/>
              </w:rPr>
              <w:t xml:space="preserve"> = real hardware mode; </w:t>
            </w:r>
            <w:r>
              <w:rPr>
                <w:rFonts w:ascii="Consolas" w:hAnsi="Consolas"/>
                <w:color w:val="C7254E"/>
                <w:sz w:val="19"/>
              </w:rPr>
              <w:t>true</w:t>
            </w:r>
            <w:r>
              <w:rPr>
                <w:sz w:val="19"/>
              </w:rPr>
              <w:t xml:space="preserve"> = deterministic demo predictions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PCG_SAMPLE_RATE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PCG audio sample rate (22050 Hz — must match ESP32 firmware)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PCG_TARGET_DURATION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Target PCG recording duration in seconds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ECG_SAMPLE_RATE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b/>
                <w:sz w:val="19"/>
              </w:rPr>
              <w:t>Must be 360</w:t>
            </w:r>
            <w:r>
              <w:rPr>
                <w:sz w:val="19"/>
              </w:rPr>
              <w:t xml:space="preserve"> — BiLSTM model trained on MIT-BIH at 360 Hz</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ECG_WINDOW_SIZE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inference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b/>
                <w:sz w:val="19"/>
              </w:rPr>
              <w:t>Must be 300</w:t>
            </w:r>
            <w:r>
              <w:rPr>
                <w:sz w:val="19"/>
              </w:rPr>
              <w:t xml:space="preserve"> — BiLSTM expects 300-sample input windows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LLM_PROVIDER</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demo</w:t>
            </w:r>
            <w:r>
              <w:rPr>
                <w:sz w:val="19"/>
              </w:rPr>
              <w:t xml:space="preserve"> for template-based reports; </w:t>
            </w:r>
            <w:r>
              <w:rPr>
                <w:rFonts w:ascii="Consolas" w:hAnsi="Consolas"/>
                <w:color w:val="C7254E"/>
                <w:sz w:val="19"/>
              </w:rPr>
              <w:t>claude</w:t>
            </w:r>
            <w:r>
              <w:rPr>
                <w:sz w:val="19"/>
              </w:rPr>
              <w:t xml:space="preserve"> or </w:t>
            </w:r>
            <w:r>
              <w:rPr>
                <w:rFonts w:ascii="Consolas" w:hAnsi="Consolas"/>
                <w:color w:val="C7254E"/>
                <w:sz w:val="19"/>
              </w:rPr>
              <w:t>openai</w:t>
            </w:r>
            <w:r>
              <w:rPr>
                <w:sz w:val="19"/>
              </w:rPr>
              <w:t xml:space="preserve"> for real AI reports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CLAUDE_API_KEY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 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Optional Claude LLM provider API key</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ASCULTICOR_INFERENCE_URL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frontend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Internal URL of the inference service for Next.js API route calls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ASCULTICOR_ALERT_EMAIL_TO</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frontend, 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Alert notification recipient email address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CORS_ORIGIN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supabase edge functions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Origin allowed by Supabase Edge Functions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N8N_USER</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 basic authentication username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N8N_PASSWORD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 basic authentication password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N8N_ENCRYPTION_KEY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Encryption key for workflow credentials stored in the n8n volume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N8N_EDITOR_BASE_URL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Public URL of the n8n editor</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N8N_WEBHOOK_URL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Public webhook base URL for n8n workflow triggers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GENERIC_TIMEZONE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Timezone used for scheduling and logging</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MQTT_SYNC_INTERVAL_SEC</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mosquitto</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Interval in seconds for syncing device MQTT credentials from Supabase</w:t>
            </w:r>
          </w:p>
        </w:tc>
      </w:tr>
    </w:tbl>
    <w:p>
      <w:pPr>
        <w:spacing w:before="120"/>
      </w:pPr>
    </w:p>
    <w:p>
      <w:pPr>
        <w:pStyle w:val="Heading2"/>
      </w:pPr>
      <w:r>
        <w:t>19.6 Monitoring and Observability</w:t>
      </w:r>
    </w:p>
    <w:p>
      <w:r>
        <w:t>Monitoring allows the team to verify that the deployed system is operating correctly, detect failures early, and diagnose problems during demos or examiner sessions.</w:t>
      </w:r>
    </w:p>
    <w:p>
      <w:r>
        <w:rPr>
          <w:b/>
        </w:rPr>
        <w:t>Application health endpoints:</w:t>
      </w:r>
    </w:p>
    <w:p>
      <w:pPr>
        <w:pStyle w:val="ListParagraph"/>
      </w:pPr>
      <w:r>
        <w:t>•</w:t>
        <w:tab/>
      </w:r>
      <w:r>
        <w:rPr>
          <w:b/>
        </w:rPr>
        <w:t>Frontend:</w:t>
      </w:r>
      <w:r>
        <w:t xml:space="preserve"> </w:t>
      </w:r>
      <w:r>
        <w:rPr>
          <w:rFonts w:ascii="Consolas" w:hAnsi="Consolas"/>
          <w:color w:val="C7254E"/>
          <w:sz w:val="19"/>
        </w:rPr>
        <w:t>/api/health</w:t>
      </w:r>
      <w:r>
        <w:t xml:space="preserve"> — verifies that the Next.js application is running.</w:t>
      </w:r>
    </w:p>
    <w:p>
      <w:pPr>
        <w:pStyle w:val="ListParagraph"/>
      </w:pPr>
      <w:r>
        <w:t>•</w:t>
        <w:tab/>
      </w:r>
      <w:r>
        <w:rPr>
          <w:b/>
        </w:rPr>
        <w:t>Inference service:</w:t>
      </w:r>
      <w:r>
        <w:t xml:space="preserve"> </w:t>
      </w:r>
      <w:r>
        <w:rPr>
          <w:rFonts w:ascii="Consolas" w:hAnsi="Consolas"/>
          <w:color w:val="C7254E"/>
          <w:sz w:val="19"/>
        </w:rPr>
        <w:t>/health</w:t>
      </w:r>
      <w:r>
        <w:t xml:space="preserve"> — reports service status, MQTT connection state, Supabase connectivity, storage connectivity, ML model loading status (all three models), demo mode, and the number of currently active buffered sessions.</w:t>
      </w:r>
    </w:p>
    <w:p>
      <w:pPr>
        <w:pStyle w:val="ListParagraph"/>
      </w:pPr>
      <w:r>
        <w:t>•</w:t>
        <w:tab/>
      </w:r>
      <w:r>
        <w:rPr>
          <w:b/>
        </w:rPr>
        <w:t>Inference service:</w:t>
      </w:r>
      <w:r>
        <w:t xml:space="preserve"> </w:t>
      </w:r>
      <w:r>
        <w:rPr>
          <w:rFonts w:ascii="Consolas" w:hAnsi="Consolas"/>
          <w:color w:val="C7254E"/>
          <w:sz w:val="19"/>
        </w:rPr>
        <w:t>/config</w:t>
      </w:r>
      <w:r>
        <w:t xml:space="preserve"> — returns processing configuration; requires </w:t>
      </w:r>
      <w:r>
        <w:rPr>
          <w:rFonts w:ascii="Consolas" w:hAnsi="Consolas"/>
          <w:color w:val="C7254E"/>
          <w:sz w:val="19"/>
        </w:rPr>
        <w:t>x-internal-token</w:t>
      </w:r>
      <w:r>
        <w:t xml:space="preserve"> header.</w:t>
      </w:r>
    </w:p>
    <w:p>
      <w:pPr>
        <w:pStyle w:val="ListParagraph"/>
      </w:pPr>
      <w:r>
        <w:t>•</w:t>
        <w:tab/>
      </w:r>
      <w:r>
        <w:rPr>
          <w:b/>
        </w:rPr>
        <w:t>Inference service:</w:t>
      </w:r>
      <w:r>
        <w:t xml:space="preserve"> </w:t>
      </w:r>
      <w:r>
        <w:rPr>
          <w:rFonts w:ascii="Consolas" w:hAnsi="Consolas"/>
          <w:color w:val="C7254E"/>
          <w:sz w:val="19"/>
        </w:rPr>
        <w:t>/metrics</w:t>
      </w:r>
      <w:r>
        <w:t xml:space="preserve"> — returns active buffer and session metrics; requires </w:t>
      </w:r>
      <w:r>
        <w:rPr>
          <w:rFonts w:ascii="Consolas" w:hAnsi="Consolas"/>
          <w:color w:val="C7254E"/>
          <w:sz w:val="19"/>
        </w:rPr>
        <w:t>x-internal-token</w:t>
      </w:r>
      <w:r>
        <w:t xml:space="preserve"> header.</w:t>
      </w:r>
    </w:p>
    <w:p>
      <w:r>
        <w:rPr>
          <w:b/>
        </w:rPr>
        <w:t>Docker-level diagnostics:</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 Check all container statuses</w:t>
            </w:r>
          </w:p>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ps</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Follow logs for a specific service</w:t>
            </w:r>
          </w:p>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logs -f inference</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logs -f nginx</w:t>
            </w:r>
          </w:p>
        </w:tc>
      </w:tr>
    </w:tbl>
    <w:p>
      <w:pPr>
        <w:spacing w:before="120"/>
      </w:pPr>
    </w:p>
    <w:p>
      <w:r>
        <w:rPr>
          <w:b/>
        </w:rPr>
        <w:t>Application-level database monitoring:</w:t>
      </w:r>
    </w:p>
    <w:p>
      <w:pPr>
        <w:pStyle w:val="ListParagraph"/>
      </w:pPr>
      <w:r>
        <w:t>•</w:t>
        <w:tab/>
      </w:r>
      <w:r>
        <w:rPr>
          <w:b/>
        </w:rPr>
        <w:t>Device health:</w:t>
      </w:r>
      <w:r>
        <w:t xml:space="preserve"> </w:t>
      </w:r>
      <w:r>
        <w:rPr>
          <w:rFonts w:ascii="Consolas" w:hAnsi="Consolas"/>
          <w:color w:val="C7254E"/>
          <w:sz w:val="19"/>
        </w:rPr>
        <w:t>device_telemetry</w:t>
      </w:r>
      <w:r>
        <w:t xml:space="preserve"> rows with </w:t>
      </w:r>
      <w:r>
        <w:rPr>
          <w:rFonts w:ascii="Consolas" w:hAnsi="Consolas"/>
          <w:color w:val="C7254E"/>
          <w:sz w:val="19"/>
        </w:rPr>
        <w:t>last_seen_at</w:t>
      </w:r>
      <w:r>
        <w:t xml:space="preserve"> values can be queried to identify devices that have not reported recently.</w:t>
      </w:r>
    </w:p>
    <w:p>
      <w:pPr>
        <w:pStyle w:val="ListParagraph"/>
      </w:pPr>
      <w:r>
        <w:t>•</w:t>
        <w:tab/>
      </w:r>
      <w:r>
        <w:rPr>
          <w:b/>
        </w:rPr>
        <w:t>Live metrics:</w:t>
      </w:r>
      <w:r>
        <w:t xml:space="preserve"> The </w:t>
      </w:r>
      <w:r>
        <w:rPr>
          <w:rFonts w:ascii="Consolas" w:hAnsi="Consolas"/>
          <w:color w:val="C7254E"/>
          <w:sz w:val="19"/>
        </w:rPr>
        <w:t>live_metrics</w:t>
      </w:r>
      <w:r>
        <w:t xml:space="preserve"> table shows signal quality indicators for active sessions.</w:t>
      </w:r>
    </w:p>
    <w:p>
      <w:pPr>
        <w:pStyle w:val="ListParagraph"/>
      </w:pPr>
      <w:r>
        <w:t>•</w:t>
        <w:tab/>
      </w:r>
      <w:r>
        <w:rPr>
          <w:b/>
        </w:rPr>
        <w:t>Report status:</w:t>
      </w:r>
      <w:r>
        <w:t xml:space="preserve"> </w:t>
      </w:r>
      <w:r>
        <w:rPr>
          <w:rFonts w:ascii="Consolas" w:hAnsi="Consolas"/>
          <w:color w:val="C7254E"/>
          <w:sz w:val="19"/>
        </w:rPr>
        <w:t>llm_reports</w:t>
      </w:r>
      <w:r>
        <w:t xml:space="preserve"> rows show pending, completed, or failed report generation states.</w:t>
      </w:r>
    </w:p>
    <w:p>
      <w:pPr>
        <w:pStyle w:val="ListParagraph"/>
      </w:pPr>
      <w:r>
        <w:t>•</w:t>
        <w:tab/>
      </w:r>
      <w:r>
        <w:rPr>
          <w:b/>
        </w:rPr>
        <w:t>Audit logs:</w:t>
      </w:r>
      <w:r>
        <w:t xml:space="preserve"> The </w:t>
      </w:r>
      <w:r>
        <w:rPr>
          <w:rFonts w:ascii="Consolas" w:hAnsi="Consolas"/>
          <w:color w:val="C7254E"/>
          <w:sz w:val="19"/>
        </w:rPr>
        <w:t>audit_logs</w:t>
      </w:r>
      <w:r>
        <w:t xml:space="preserve"> table provides a record of all sensitive actions.</w:t>
      </w:r>
    </w:p>
    <w:p>
      <w:r>
        <w:rPr>
          <w:b/>
        </w:rPr>
        <w:t>n8n workflow monitoring:</w:t>
      </w:r>
    </w:p>
    <w:p>
      <w:r>
        <w:t>Each n8n workflow execution produces a log entry with status, timestamp, inputs, outputs, and error details. The workflow dashboard shows a history of all executions, making it easy to see whether report processing, daily digests, clinical alerts, and device health checks are completing successfully.</w:t>
      </w:r>
    </w:p>
    <w:p>
      <w:r>
        <w:rPr>
          <w:b/>
        </w:rPr>
        <w:t>Recommended deployment verification sequence:</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 1. Check all containers are running</w:t>
            </w:r>
          </w:p>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ps</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2. Verify public HTTPS application</w:t>
            </w:r>
          </w:p>
          <w:p>
            <w:pPr>
              <w:spacing w:before="0" w:after="0" w:line="240" w:lineRule="auto"/>
            </w:pPr>
            <w:r>
              <w:rPr>
                <w:rFonts w:ascii="Consolas" w:hAnsi="Consolas"/>
                <w:color w:val="2D3748"/>
                <w:sz w:val="18"/>
              </w:rPr>
              <w:t>curl -f https://srv1621744.hstgr.cloud/</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3. Verify application API health</w:t>
            </w:r>
          </w:p>
          <w:p>
            <w:pPr>
              <w:spacing w:before="0" w:after="0" w:line="240" w:lineRule="auto"/>
            </w:pPr>
            <w:r>
              <w:rPr>
                <w:rFonts w:ascii="Consolas" w:hAnsi="Consolas"/>
                <w:color w:val="2D3748"/>
                <w:sz w:val="18"/>
              </w:rPr>
              <w:t>curl -f https://srv1621744.hstgr.cloud/api/health</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4. Verify n8n is accessible (optional)</w:t>
            </w:r>
          </w:p>
          <w:p>
            <w:pPr>
              <w:spacing w:before="0" w:after="0" w:line="240" w:lineRule="auto"/>
            </w:pPr>
            <w:r>
              <w:rPr>
                <w:rFonts w:ascii="Consolas" w:hAnsi="Consolas"/>
                <w:color w:val="2D3748"/>
                <w:sz w:val="18"/>
              </w:rPr>
              <w:t>curl -vk https://srv1621744.hstgr.cloud:8443</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5. Verify inference health locally on VM</w:t>
            </w:r>
          </w:p>
          <w:p>
            <w:pPr>
              <w:spacing w:before="0" w:after="0" w:line="240" w:lineRule="auto"/>
            </w:pPr>
            <w:r>
              <w:rPr>
                <w:rFonts w:ascii="Consolas" w:hAnsi="Consolas"/>
                <w:color w:val="2D3748"/>
                <w:sz w:val="18"/>
              </w:rPr>
              <w:t>curl -f http://127.0.0.1:8000/health</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6. Verify inference config endpoint (requires token)</w:t>
            </w:r>
          </w:p>
          <w:p>
            <w:pPr>
              <w:spacing w:before="0" w:after="0" w:line="240" w:lineRule="auto"/>
            </w:pPr>
            <w:r>
              <w:rPr>
                <w:rFonts w:ascii="Consolas" w:hAnsi="Consolas"/>
                <w:color w:val="2D3748"/>
                <w:sz w:val="18"/>
              </w:rPr>
              <w:t>curl -f http://127.0.0.1:8000/config \</w:t>
            </w:r>
          </w:p>
          <w:p>
            <w:pPr>
              <w:spacing w:before="0" w:after="0" w:line="240" w:lineRule="auto"/>
            </w:pPr>
            <w:r>
              <w:rPr>
                <w:rFonts w:ascii="Consolas" w:hAnsi="Consolas"/>
                <w:color w:val="2D3748"/>
                <w:sz w:val="18"/>
              </w:rPr>
              <w:t xml:space="preserve">  -H "x-internal-token: $INFERENCE_INTERNAL_TOKEN"</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7. Verify inference metrics endpoint (requires token)</w:t>
            </w:r>
          </w:p>
          <w:p>
            <w:pPr>
              <w:spacing w:before="0" w:after="0" w:line="240" w:lineRule="auto"/>
            </w:pPr>
            <w:r>
              <w:rPr>
                <w:rFonts w:ascii="Consolas" w:hAnsi="Consolas"/>
                <w:color w:val="2D3748"/>
                <w:sz w:val="18"/>
              </w:rPr>
              <w:t>curl -f http://127.0.0.1:8000/metrics \</w:t>
            </w:r>
          </w:p>
          <w:p>
            <w:pPr>
              <w:spacing w:before="0" w:after="0" w:line="240" w:lineRule="auto"/>
            </w:pPr>
            <w:r>
              <w:rPr>
                <w:rFonts w:ascii="Consolas" w:hAnsi="Consolas"/>
                <w:color w:val="2D3748"/>
                <w:sz w:val="18"/>
              </w:rPr>
              <w:t xml:space="preserve">  -H "x-internal-token: $INFERENCE_INTERNAL_TOKEN"</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8. Check VM ports</w:t>
            </w:r>
          </w:p>
          <w:p>
            <w:pPr>
              <w:spacing w:before="0" w:after="0" w:line="240" w:lineRule="auto"/>
            </w:pPr>
            <w:r>
              <w:rPr>
                <w:rFonts w:ascii="Consolas" w:hAnsi="Consolas"/>
                <w:color w:val="2D3748"/>
                <w:sz w:val="18"/>
              </w:rPr>
              <w:t>ss -tulpn</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9. Check firewall status</w:t>
            </w:r>
          </w:p>
          <w:p>
            <w:pPr>
              <w:spacing w:before="0" w:after="0" w:line="240" w:lineRule="auto"/>
            </w:pPr>
            <w:r>
              <w:rPr>
                <w:rFonts w:ascii="Consolas" w:hAnsi="Consolas"/>
                <w:color w:val="2D3748"/>
                <w:sz w:val="18"/>
              </w:rPr>
              <w:t>ufw status</w:t>
            </w:r>
          </w:p>
        </w:tc>
      </w:tr>
    </w:tbl>
    <w:p>
      <w:pPr>
        <w:spacing w:before="120"/>
      </w:pPr>
    </w:p>
    <w:p>
      <w:pPr>
        <w:pStyle w:val="Heading2"/>
      </w:pPr>
      <w:r>
        <w:t>19.7 Backup and Maintenance</w:t>
      </w:r>
    </w:p>
    <w:p>
      <w:r>
        <w:t>Backup and maintenance are essential because the system stores database records, raw signal recordings, AI-generated reports, workflow definitions, model artifacts, and deployment configuration. A failure in any of these areas could affect demonstrations, testing continuity, or future research use of the collected data.</w:t>
      </w:r>
    </w:p>
    <w:p>
      <w:r>
        <w:rPr>
          <w:b/>
        </w:rPr>
        <w:t>What to back up:</w:t>
      </w:r>
    </w:p>
    <w:tbl>
      <w:tblPr>
        <w:tblW w:type="auto" w:w="0"/>
        <w:jc w:val="center"/>
        <w:tblLook w:firstColumn="1" w:firstRow="1" w:lastColumn="0" w:lastRow="0" w:noHBand="0" w:noVBand="1" w:val="04A0"/>
      </w:tblPr>
      <w:tblGrid>
        <w:gridCol w:w="3120"/>
        <w:gridCol w:w="3120"/>
        <w:gridCol w:w="3120"/>
      </w:tblGrid>
      <w:tr>
        <w:trPr>
          <w:trHeight w:val="360" w:hRule="atLeast"/>
        </w:trPr>
        <w:tc>
          <w:tcPr>
            <w:tcW w:type="dxa" w:w="2592"/>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Backup Target</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Method</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Priority</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Supabase database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Enable Supabase scheduled backups; also keep migration SQL under version control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Critical</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Supabase Storage (recordings bucket)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Supabase Storage does not auto-backup by default; export important recordings separately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High</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.env</w:t>
            </w:r>
            <w:r>
              <w:rPr>
                <w:sz w:val="19"/>
              </w:rPr>
              <w:t xml:space="preserve"> file on VPS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Copy to an encrypted, restricted location; never commit to source control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Critical</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TLS certificates (</w:t>
            </w:r>
            <w:r>
              <w:rPr>
                <w:rFonts w:ascii="Consolas" w:hAnsi="Consolas"/>
                <w:color w:val="C7254E"/>
                <w:sz w:val="19"/>
              </w:rPr>
              <w:t>nginx/certs/</w:t>
            </w:r>
            <w:r>
              <w:rPr>
                <w:sz w:val="19"/>
              </w:rPr>
              <w: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Certbot stores originals in </w:t>
            </w:r>
            <w:r>
              <w:rPr>
                <w:rFonts w:ascii="Consolas" w:hAnsi="Consolas"/>
                <w:color w:val="C7254E"/>
                <w:sz w:val="19"/>
              </w:rPr>
              <w:t>/etc/letsencrypt/</w:t>
            </w:r>
            <w:r>
              <w:rPr>
                <w:sz w:val="19"/>
              </w:rPr>
              <w:t>; rebuild from there if needed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Medium</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 workflow definitions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Export all workflows as JSON files from the n8n dashboard and store in the repository or a secure drive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High</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 data Docker volume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Back up the </w:t>
            </w:r>
            <w:r>
              <w:rPr>
                <w:rFonts w:ascii="Consolas" w:hAnsi="Consolas"/>
                <w:color w:val="C7254E"/>
                <w:sz w:val="19"/>
              </w:rPr>
              <w:t>n8n_data</w:t>
            </w:r>
            <w:r>
              <w:rPr>
                <w:sz w:val="19"/>
              </w:rPr>
              <w:t xml:space="preserve"> volume before major n8n updates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Medium</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Mosquitto volumes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Back up </w:t>
            </w:r>
            <w:r>
              <w:rPr>
                <w:rFonts w:ascii="Consolas" w:hAnsi="Consolas"/>
                <w:color w:val="C7254E"/>
                <w:sz w:val="19"/>
              </w:rPr>
              <w:t>mosquitto_data</w:t>
            </w:r>
            <w:r>
              <w:rPr>
                <w:sz w:val="19"/>
              </w:rPr>
              <w:t xml:space="preserve"> and </w:t>
            </w:r>
            <w:r>
              <w:rPr>
                <w:rFonts w:ascii="Consolas" w:hAnsi="Consolas"/>
                <w:color w:val="C7254E"/>
                <w:sz w:val="19"/>
              </w:rPr>
              <w:t>mosquitto_logs</w:t>
            </w:r>
            <w:r>
              <w:rPr>
                <w:sz w:val="19"/>
              </w:rPr>
              <w:t xml:space="preserve"> Docker volumes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Low</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Model artifacts (</w:t>
            </w:r>
            <w:r>
              <w:rPr>
                <w:rFonts w:ascii="Consolas" w:hAnsi="Consolas"/>
                <w:color w:val="C7254E"/>
                <w:sz w:val="19"/>
              </w:rPr>
              <w:t>models/</w:t>
            </w:r>
            <w:r>
              <w:rPr>
                <w:sz w:val="19"/>
              </w:rPr>
              <w: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Already in the repository under version control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Covered</w:t>
            </w:r>
          </w:p>
        </w:tc>
      </w:tr>
    </w:tbl>
    <w:p>
      <w:pPr>
        <w:spacing w:before="120"/>
      </w:pPr>
    </w:p>
    <w:p>
      <w:r>
        <w:rPr>
          <w:b/>
        </w:rPr>
        <w:t>Standard maintenance update procedure:</w:t>
      </w:r>
    </w:p>
    <w:tbl>
      <w:tblPr>
        <w:tblW w:type="auto" w:w="0"/>
        <w:jc w:val="center"/>
        <w:tblLook w:firstColumn="1" w:firstRow="1" w:lastColumn="0" w:lastRow="0" w:noHBand="0" w:noVBand="1" w:val="04A0"/>
      </w:tblPr>
      <w:tblGrid>
        <w:gridCol w:w="9360"/>
      </w:tblGrid>
      <w:tr>
        <w:tc>
          <w:tcPr>
            <w:tcW w:type="dxa" w:w="9360"/>
            <w:shd w:val="clear" w:color="auto" w:fill="F7FAFC"/>
            <w:tcBorders>
              <w:top w:val="single" w:sz="4" w:space="0" w:color="CBD5E0"/>
              <w:left w:val="single" w:sz="4" w:space="0" w:color="CBD5E0"/>
              <w:bottom w:val="single" w:sz="4" w:space="0" w:color="CBD5E0"/>
              <w:right w:val="single" w:sz="4" w:space="0" w:color="CBD5E0"/>
            </w:tcBorders>
            <w:tcMar>
              <w:top w:w="120" w:type="dxa"/>
              <w:bottom w:w="120" w:type="dxa"/>
              <w:left w:w="180" w:type="dxa"/>
              <w:right w:w="180" w:type="dxa"/>
            </w:tcMar>
          </w:tcPr>
          <w:p>
            <w:pPr>
              <w:spacing w:before="0" w:after="0" w:line="240" w:lineRule="auto"/>
            </w:pPr>
            <w:r>
              <w:rPr>
                <w:rFonts w:ascii="Consolas" w:hAnsi="Consolas"/>
                <w:color w:val="2D3748"/>
                <w:sz w:val="18"/>
              </w:rPr>
              <w:t>cd /opt/asculticor</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1. Pull the latest version</w:t>
            </w:r>
          </w:p>
          <w:p>
            <w:pPr>
              <w:spacing w:before="0" w:after="0" w:line="240" w:lineRule="auto"/>
            </w:pPr>
            <w:r>
              <w:rPr>
                <w:rFonts w:ascii="Consolas" w:hAnsi="Consolas"/>
                <w:color w:val="2D3748"/>
                <w:sz w:val="18"/>
              </w:rPr>
              <w:t>git pull</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2. Review environment changes (compare .env.cloud.example to .env)</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3. Validate the Compose configuration</w:t>
            </w:r>
          </w:p>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config &gt; /dev/null</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4. Rebuild and restart the stack</w:t>
            </w:r>
          </w:p>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up -d --build</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5. Verify all containers are running</w:t>
            </w:r>
          </w:p>
          <w:p>
            <w:pPr>
              <w:spacing w:before="0" w:after="0" w:line="240" w:lineRule="auto"/>
            </w:pPr>
            <w:r>
              <w:rPr>
                <w:rFonts w:ascii="Consolas" w:hAnsi="Consolas"/>
                <w:color w:val="2D3748"/>
                <w:sz w:val="18"/>
              </w:rPr>
              <w:t>docker compose \</w:t>
            </w:r>
          </w:p>
          <w:p>
            <w:pPr>
              <w:spacing w:before="0" w:after="0" w:line="240" w:lineRule="auto"/>
            </w:pPr>
            <w:r>
              <w:rPr>
                <w:rFonts w:ascii="Consolas" w:hAnsi="Consolas"/>
                <w:color w:val="2D3748"/>
                <w:sz w:val="18"/>
              </w:rPr>
              <w:t xml:space="preserve">  --env-file .env \</w:t>
            </w:r>
          </w:p>
          <w:p>
            <w:pPr>
              <w:spacing w:before="0" w:after="0" w:line="240" w:lineRule="auto"/>
            </w:pPr>
            <w:r>
              <w:rPr>
                <w:rFonts w:ascii="Consolas" w:hAnsi="Consolas"/>
                <w:color w:val="2D3748"/>
                <w:sz w:val="18"/>
              </w:rPr>
              <w:t xml:space="preserve">  -f docker-compose.yml \</w:t>
            </w:r>
          </w:p>
          <w:p>
            <w:pPr>
              <w:spacing w:before="0" w:after="0" w:line="240" w:lineRule="auto"/>
            </w:pPr>
            <w:r>
              <w:rPr>
                <w:rFonts w:ascii="Consolas" w:hAnsi="Consolas"/>
                <w:color w:val="2D3748"/>
                <w:sz w:val="18"/>
              </w:rPr>
              <w:t xml:space="preserve">  -f docker-compose.cloud.yml \</w:t>
            </w:r>
          </w:p>
          <w:p>
            <w:pPr>
              <w:spacing w:before="0" w:after="0" w:line="240" w:lineRule="auto"/>
            </w:pPr>
            <w:r>
              <w:rPr>
                <w:rFonts w:ascii="Consolas" w:hAnsi="Consolas"/>
                <w:color w:val="2D3748"/>
                <w:sz w:val="18"/>
              </w:rPr>
              <w:t xml:space="preserve">  ps</w:t>
            </w:r>
          </w:p>
          <w:p>
            <w:pPr>
              <w:spacing w:before="0" w:after="0" w:line="240" w:lineRule="auto"/>
            </w:pPr>
            <w:r>
              <w:rPr>
                <w:rFonts w:ascii="Consolas" w:hAnsi="Consolas"/>
                <w:color w:val="2D3748"/>
                <w:sz w:val="18"/>
              </w:rPr>
            </w:r>
          </w:p>
          <w:p>
            <w:pPr>
              <w:spacing w:before="0" w:after="0" w:line="240" w:lineRule="auto"/>
            </w:pPr>
            <w:r>
              <w:rPr>
                <w:rFonts w:ascii="Consolas" w:hAnsi="Consolas"/>
                <w:color w:val="2D3748"/>
                <w:sz w:val="18"/>
              </w:rPr>
              <w:t># 6. Run health checks</w:t>
            </w:r>
          </w:p>
          <w:p>
            <w:pPr>
              <w:spacing w:before="0" w:after="0" w:line="240" w:lineRule="auto"/>
            </w:pPr>
            <w:r>
              <w:rPr>
                <w:rFonts w:ascii="Consolas" w:hAnsi="Consolas"/>
                <w:color w:val="2D3748"/>
                <w:sz w:val="18"/>
              </w:rPr>
              <w:t>curl -f https://srv1621744.hstgr.cloud/api/health</w:t>
            </w:r>
          </w:p>
          <w:p>
            <w:pPr>
              <w:spacing w:before="0" w:after="0" w:line="240" w:lineRule="auto"/>
            </w:pPr>
            <w:r>
              <w:rPr>
                <w:rFonts w:ascii="Consolas" w:hAnsi="Consolas"/>
                <w:color w:val="2D3748"/>
                <w:sz w:val="18"/>
              </w:rPr>
              <w:t>curl -f http://127.0.0.1:8000/health</w:t>
            </w:r>
          </w:p>
        </w:tc>
      </w:tr>
    </w:tbl>
    <w:p>
      <w:pPr>
        <w:spacing w:before="120"/>
      </w:pPr>
    </w:p>
    <w:p>
      <w:r>
        <w:rPr>
          <w:b/>
        </w:rPr>
        <w:t>Credential rotation:</w:t>
      </w:r>
      <w:r>
        <w:t xml:space="preserve"> Service-role keys, MQTT credentials, internal API tokens, n8n passwords, and n8n encryption keys should be rotated if there is any indication of exposure. After rotation, update the </w:t>
      </w:r>
      <w:r>
        <w:rPr>
          <w:rFonts w:ascii="Consolas" w:hAnsi="Consolas"/>
          <w:color w:val="C7254E"/>
          <w:sz w:val="19"/>
        </w:rPr>
        <w:t>.env</w:t>
      </w:r>
      <w:r>
        <w:t xml:space="preserve"> file on the VPS, restart all affected containers, and verify that health checks pass.</w:t>
      </w:r>
    </w:p>
    <w:p>
      <w:pPr>
        <w:pStyle w:val="Heading2"/>
      </w:pPr>
      <w:r>
        <w:t>19.8 Production Readiness Checklist</w:t>
      </w:r>
    </w:p>
    <w:p>
      <w:r>
        <w:t>Before the platform is used outside a controlled academic or demonstration environment, the following checklist must be completed. The table also serves as the evidence collection guide for the book appendix.</w:t>
      </w:r>
    </w:p>
    <w:tbl>
      <w:tblPr>
        <w:tblW w:type="auto" w:w="0"/>
        <w:jc w:val="center"/>
        <w:tblLook w:firstColumn="1" w:firstRow="1" w:lastColumn="0" w:lastRow="0" w:noHBand="0" w:noVBand="1" w:val="04A0"/>
      </w:tblPr>
      <w:tblGrid>
        <w:gridCol w:w="3120"/>
        <w:gridCol w:w="3120"/>
        <w:gridCol w:w="3120"/>
      </w:tblGrid>
      <w:tr>
        <w:trPr>
          <w:trHeight w:val="360" w:hRule="atLeast"/>
        </w:trPr>
        <w:tc>
          <w:tcPr>
            <w:tcW w:type="dxa" w:w="2592"/>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Area</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Checklist Item</w:t>
            </w:r>
          </w:p>
        </w:tc>
        <w:tc>
          <w:tcPr>
            <w:tcW w:type="dxa" w:w="3384"/>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Status for Graduation Demo</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TLS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Valid certificates issued for all public domains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 Let's Encrypt certificate for </w:t>
            </w:r>
            <w:r>
              <w:rPr>
                <w:rFonts w:ascii="Consolas" w:hAnsi="Consolas"/>
                <w:color w:val="C7254E"/>
                <w:sz w:val="19"/>
              </w:rPr>
              <w:t>srv1621744.hstgr.cloud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Public exposure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Only NGINX exposed on ports 80, 443, 8443</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 All other ports bound to </w:t>
            </w:r>
            <w:r>
              <w:rPr>
                <w:rFonts w:ascii="Consolas" w:hAnsi="Consolas"/>
                <w:color w:val="C7254E"/>
                <w:sz w:val="19"/>
              </w:rPr>
              <w:t>127.0.0.1</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MQTT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Broker private for initial deployment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 </w:t>
            </w:r>
            <w:r>
              <w:rPr>
                <w:rFonts w:ascii="Consolas" w:hAnsi="Consolas"/>
                <w:color w:val="C7254E"/>
                <w:sz w:val="19"/>
              </w:rPr>
              <w:t>MQTT_BIND_ADDRESS=127.0.0.1</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MQTT TLS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MQTT over TLS required for remote real devices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Planned as future work</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Supabase RLS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RLS enabled on all sensitive tables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Applied via database migrations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Storage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Private recordings bucket with signed URL access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Configured in Supabase Storage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Service role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Service-role key server-side only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Only in backend container environment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Internal APIs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Operational endpoints protected with tokens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 </w:t>
            </w:r>
            <w:r>
              <w:rPr>
                <w:rFonts w:ascii="Consolas" w:hAnsi="Consolas"/>
                <w:color w:val="C7254E"/>
                <w:sz w:val="19"/>
              </w:rPr>
              <w:t>INTERNAL_API_TOKEN</w:t>
            </w:r>
            <w:r>
              <w:rPr>
                <w:sz w:val="19"/>
              </w:rPr>
              <w:t xml:space="preserve"> and </w:t>
            </w:r>
            <w:r>
              <w:rPr>
                <w:rFonts w:ascii="Consolas" w:hAnsi="Consolas"/>
                <w:color w:val="C7254E"/>
                <w:sz w:val="19"/>
              </w:rPr>
              <w:t>INFERENCE_INTERNAL_TOKEN</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n8n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Basic auth enabled, strong encryption key set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 Via </w:t>
            </w:r>
            <w:r>
              <w:rPr>
                <w:rFonts w:ascii="Consolas" w:hAnsi="Consolas"/>
                <w:color w:val="C7254E"/>
                <w:sz w:val="19"/>
              </w:rPr>
              <w:t>N8N_USER</w:t>
            </w:r>
            <w:r>
              <w:rPr>
                <w:sz w:val="19"/>
              </w:rPr>
              <w:t xml:space="preserve">, </w:t>
            </w:r>
            <w:r>
              <w:rPr>
                <w:rFonts w:ascii="Consolas" w:hAnsi="Consolas"/>
                <w:color w:val="C7254E"/>
                <w:sz w:val="19"/>
              </w:rPr>
              <w:t>N8N_PASSWORD</w:t>
            </w:r>
            <w:r>
              <w:rPr>
                <w:sz w:val="19"/>
              </w:rPr>
              <w:t xml:space="preserve">, </w:t>
            </w:r>
            <w:r>
              <w:rPr>
                <w:rFonts w:ascii="Consolas" w:hAnsi="Consolas"/>
                <w:color w:val="C7254E"/>
                <w:sz w:val="19"/>
              </w:rPr>
              <w:t>N8N_ENCRYPTION_KEY</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Environment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Secrets outside source control</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 </w:t>
            </w:r>
            <w:r>
              <w:rPr>
                <w:rFonts w:ascii="Consolas" w:hAnsi="Consolas"/>
                <w:color w:val="C7254E"/>
                <w:sz w:val="19"/>
              </w:rPr>
              <w:t>.env</w:t>
            </w:r>
            <w:r>
              <w:rPr>
                <w:sz w:val="19"/>
              </w:rPr>
              <w:t xml:space="preserve"> on VPS only, </w:t>
            </w:r>
            <w:r>
              <w:rPr>
                <w:rFonts w:ascii="Consolas" w:hAnsi="Consolas"/>
                <w:color w:val="C7254E"/>
                <w:sz w:val="19"/>
              </w:rPr>
              <w:t>.env.cloud.example</w:t>
            </w:r>
            <w:r>
              <w:rPr>
                <w:sz w:val="19"/>
              </w:rPr>
              <w:t xml:space="preserve"> has placeholders</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CORS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ALLOWED_ORIGINS</w:t>
            </w:r>
            <w:r>
              <w:rPr>
                <w:sz w:val="19"/>
              </w:rPr>
              <w:t xml:space="preserve"> restricted to production domain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 Set to </w:t>
            </w:r>
            <w:r>
              <w:rPr>
                <w:rFonts w:ascii="Consolas" w:hAnsi="Consolas"/>
                <w:color w:val="C7254E"/>
                <w:sz w:val="19"/>
              </w:rPr>
              <w:t>https://srv1621744.hstgr.cloud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Trusted hosts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TRUSTED_HOSTS</w:t>
            </w:r>
            <w:r>
              <w:rPr>
                <w:sz w:val="19"/>
              </w:rPr>
              <w:t xml:space="preserve"> restricted to production domain</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Configured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Rate limits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API rate limiting enabled in inference service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Middleware active</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Backups</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Supabase backups enabled, n8n workflows exported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Planned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Restore testing</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At least one restore path tested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Planned</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Monitoring</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Health endpoints verified, Docker logs reviewed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Post-deployment checklist</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Incident response</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Key rotation and device disabling procedure documented</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Chapter 18.7</w:t>
            </w:r>
          </w:p>
        </w:tc>
      </w:tr>
      <w:tr>
        <w:trPr>
          <w:trHeight w:val="360" w:hRule="atLeast"/>
        </w:trPr>
        <w:tc>
          <w:tcPr>
            <w:tcW w:type="dxa" w:w="2592"/>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Clinical safety</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Medical disclaimer visible, AI results labeled as decision-support</w:t>
            </w:r>
          </w:p>
        </w:tc>
        <w:tc>
          <w:tcPr>
            <w:tcW w:type="dxa" w:w="3384"/>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In platform UI and reports</w:t>
            </w:r>
          </w:p>
        </w:tc>
      </w:tr>
    </w:tbl>
    <w:p>
      <w:pPr>
        <w:spacing w:before="120"/>
      </w:pPr>
    </w:p>
    <w:p>
      <w:pPr>
        <w:pStyle w:val="Heading3"/>
      </w:pPr>
      <w:r>
        <w:t>Table 19.3: Deployment Evidence for Appendix K</w:t>
      </w:r>
    </w:p>
    <w:p>
      <w:r>
        <w:t>The following evidence items should be collected from the actual VPS during deployment and inserted into Appendix K of the graduation book:</w:t>
      </w:r>
    </w:p>
    <w:tbl>
      <w:tblPr>
        <w:tblW w:type="auto" w:w="0"/>
        <w:jc w:val="center"/>
        <w:tblLook w:firstColumn="1" w:firstRow="1" w:lastColumn="0" w:lastRow="0" w:noHBand="0" w:noVBand="1" w:val="04A0"/>
      </w:tblPr>
      <w:tblGrid>
        <w:gridCol w:w="4680"/>
        <w:gridCol w:w="4680"/>
      </w:tblGrid>
      <w:tr>
        <w:trPr>
          <w:trHeight w:val="360" w:hRule="atLeast"/>
        </w:trPr>
        <w:tc>
          <w:tcPr>
            <w:tcW w:type="dxa" w:w="28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Evidence Item</w:t>
            </w:r>
          </w:p>
        </w:tc>
        <w:tc>
          <w:tcPr>
            <w:tcW w:type="dxa" w:w="6480"/>
            <w:tcMar>
              <w:top w:w="100" w:type="dxa"/>
              <w:bottom w:w="100" w:type="dxa"/>
              <w:left w:w="150" w:type="dxa"/>
              <w:right w:w="150" w:type="dxa"/>
            </w:tcMar>
            <w:shd w:val="clear" w:color="auto" w:fill="4A5568"/>
            <w:tcBorders>
              <w:top w:val="single" w:sz="4" w:space="0" w:color="4A5568"/>
              <w:left w:val="single" w:sz="4" w:space="0" w:color="4A5568"/>
              <w:bottom w:val="single" w:sz="4" w:space="0" w:color="4A5568"/>
              <w:right w:val="single" w:sz="4" w:space="0" w:color="4A5568"/>
            </w:tcBorders>
          </w:tcPr>
          <w:p>
            <w:pPr>
              <w:spacing w:before="0" w:after="0"/>
              <w:jc w:val="center"/>
            </w:pPr>
            <w:r>
              <w:rPr>
                <w:b/>
                <w:color w:val="FFFFFF"/>
                <w:sz w:val="20"/>
              </w:rPr>
              <w:t>Expected Evidence</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VPS reachability</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SSH connection to </w:t>
            </w:r>
            <w:r>
              <w:rPr>
                <w:rFonts w:ascii="Consolas" w:hAnsi="Consolas"/>
                <w:color w:val="C7254E"/>
                <w:sz w:val="19"/>
              </w:rPr>
              <w:t>187.127.224.4</w:t>
            </w:r>
            <w:r>
              <w:rPr>
                <w:sz w:val="19"/>
              </w:rPr>
              <w:t xml:space="preserve"> — screenshot of terminal</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HTTPS application</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Browser screenshot of </w:t>
            </w:r>
            <w:r>
              <w:rPr>
                <w:rFonts w:ascii="Consolas" w:hAnsi="Consolas"/>
                <w:color w:val="C7254E"/>
                <w:sz w:val="19"/>
              </w:rPr>
              <w:t>https://srv1621744.hstgr.cloud</w:t>
            </w:r>
            <w:r>
              <w:rPr>
                <w:sz w:val="19"/>
              </w:rPr>
              <w:t xml:space="preserve"> loading the dashboard</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Application health</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rFonts w:ascii="Consolas" w:hAnsi="Consolas"/>
                <w:color w:val="C7254E"/>
                <w:sz w:val="19"/>
              </w:rPr>
              <w:t>curl -f https://srv1621744.hstgr.cloud/api/health</w:t>
            </w:r>
            <w:r>
              <w:rPr>
                <w:sz w:val="19"/>
              </w:rPr>
              <w:t xml:space="preserve"> — JSON response screenshot</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Inference health</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rFonts w:ascii="Consolas" w:hAnsi="Consolas"/>
                <w:color w:val="C7254E"/>
                <w:sz w:val="19"/>
              </w:rPr>
              <w:t>curl -f http://127.0.0.1:8000/health</w:t>
            </w:r>
            <w:r>
              <w:rPr>
                <w:sz w:val="19"/>
              </w:rPr>
              <w:t xml:space="preserve"> — JSON response with model load status</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Container status</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Output of </w:t>
            </w:r>
            <w:r>
              <w:rPr>
                <w:rFonts w:ascii="Consolas" w:hAnsi="Consolas"/>
                <w:color w:val="C7254E"/>
                <w:sz w:val="19"/>
              </w:rPr>
              <w:t>docker compose ps</w:t>
            </w:r>
            <w:r>
              <w:rPr>
                <w:sz w:val="19"/>
              </w:rPr>
              <w:t xml:space="preserve"> showing all services running</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TLS certificate</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Browser certificate details for </w:t>
            </w:r>
            <w:r>
              <w:rPr>
                <w:rFonts w:ascii="Consolas" w:hAnsi="Consolas"/>
                <w:color w:val="C7254E"/>
                <w:sz w:val="19"/>
              </w:rPr>
              <w:t>srv1621744.hstgr.cloud</w:t>
            </w:r>
            <w:r>
              <w:rPr>
                <w:sz w:val="19"/>
              </w:rPr>
              <w:t xml:space="preserve"> (valid, Let's Encrypt)</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Firewall status</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 xml:space="preserve">Output of </w:t>
            </w:r>
            <w:r>
              <w:rPr>
                <w:rFonts w:ascii="Consolas" w:hAnsi="Consolas"/>
                <w:color w:val="C7254E"/>
                <w:sz w:val="19"/>
              </w:rPr>
              <w:t>ufw status</w:t>
            </w:r>
            <w:r>
              <w:rPr>
                <w:sz w:val="19"/>
              </w:rPr>
              <w:t xml:space="preserve"> showing only ports 22, 80, 443, 8443 open</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n8n access</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Browser screenshot of n8n editor at </w:t>
            </w:r>
            <w:r>
              <w:rPr>
                <w:rFonts w:ascii="Consolas" w:hAnsi="Consolas"/>
                <w:color w:val="C7254E"/>
                <w:sz w:val="19"/>
              </w:rPr>
              <w:t>https://srv1621744.hstgr.cloud:8443</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Supabase settings</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7FAFC"/>
          </w:tcPr>
          <w:p>
            <w:pPr>
              <w:spacing w:before="0" w:after="0"/>
            </w:pPr>
            <w:r>
              <w:rPr>
                <w:sz w:val="19"/>
              </w:rPr>
              <w:t>Screenshot of Supabase Auth settings showing the Hostinger redirect URL</w:t>
            </w:r>
          </w:p>
        </w:tc>
      </w:tr>
      <w:tr>
        <w:trPr>
          <w:trHeight w:val="360" w:hRule="atLeast"/>
        </w:trPr>
        <w:tc>
          <w:tcPr>
            <w:tcW w:type="dxa" w:w="28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Logs review</w:t>
            </w:r>
          </w:p>
        </w:tc>
        <w:tc>
          <w:tcPr>
            <w:tcW w:type="dxa" w:w="6480"/>
            <w:tcMar>
              <w:top w:w="100" w:type="dxa"/>
              <w:bottom w:w="100" w:type="dxa"/>
              <w:left w:w="150" w:type="dxa"/>
              <w:right w:w="150" w:type="dxa"/>
            </w:tcMar>
            <w:tcBorders>
              <w:top w:val="single" w:sz="4" w:space="0" w:color="D2D6DC"/>
              <w:left w:val="single" w:sz="4" w:space="0" w:color="D2D6DC"/>
              <w:bottom w:val="single" w:sz="4" w:space="0" w:color="D2D6DC"/>
              <w:right w:val="single" w:sz="4" w:space="0" w:color="D2D6DC"/>
            </w:tcBorders>
            <w:shd w:val="clear" w:color="auto" w:fill="FFFFFF"/>
          </w:tcPr>
          <w:p>
            <w:pPr>
              <w:spacing w:before="0" w:after="0"/>
            </w:pPr>
            <w:r>
              <w:rPr>
                <w:sz w:val="19"/>
              </w:rPr>
              <w:t xml:space="preserve">Screenshot of </w:t>
            </w:r>
            <w:r>
              <w:rPr>
                <w:rFonts w:ascii="Consolas" w:hAnsi="Consolas"/>
                <w:color w:val="C7254E"/>
                <w:sz w:val="19"/>
              </w:rPr>
              <w:t>docker compose logs -f</w:t>
            </w:r>
            <w:r>
              <w:rPr>
                <w:sz w:val="19"/>
              </w:rPr>
              <w:t xml:space="preserve"> showing clean startup for all services</w:t>
            </w:r>
          </w:p>
        </w:tc>
      </w:tr>
    </w:tbl>
    <w:p>
      <w:pPr>
        <w:spacing w:before="120"/>
      </w:pPr>
    </w:p>
    <w:p>
      <w:pPr>
        <w:pStyle w:val="Heading1"/>
      </w:pPr>
      <w:r>
        <w:t>Summary of Cloud and DevOps Contributions</w:t>
      </w:r>
    </w:p>
    <w:p>
      <w:r>
        <w:t>The Cloud and DevOps workstream delivers the deployment infrastructure, security controls, and operational procedures that transform the AscultiCor components into one integrated, reproducible, and demonstrable system.</w:t>
      </w:r>
    </w:p>
    <w:p>
      <w:r>
        <w:t>Key contributions of this workstream:</w:t>
      </w:r>
    </w:p>
    <w:p>
      <w:pPr>
        <w:pStyle w:val="ListParagraph"/>
      </w:pPr>
      <w:r>
        <w:t>1.</w:t>
        <w:tab/>
      </w:r>
      <w:r>
        <w:rPr>
          <w:b/>
        </w:rPr>
        <w:t>Docker Compose architecture</w:t>
      </w:r>
      <w:r>
        <w:t xml:space="preserve"> — packages all services (Next.js, FastAPI, Mosquitto, NGINX, n8n) into a single reproducible deployment definition with correct startup ordering, health checks, persistent volumes, and read-only model mounts.</w:t>
      </w:r>
    </w:p>
    <w:p>
      <w:pPr>
        <w:pStyle w:val="ListParagraph"/>
      </w:pPr>
      <w:r>
        <w:t>2.</w:t>
        <w:tab/>
      </w:r>
      <w:r>
        <w:rPr>
          <w:b/>
        </w:rPr>
        <w:t>Cloud overlay design</w:t>
      </w:r>
      <w:r>
        <w:t xml:space="preserve"> — the </w:t>
      </w:r>
      <w:r>
        <w:rPr>
          <w:rFonts w:ascii="Consolas" w:hAnsi="Consolas"/>
          <w:color w:val="C7254E"/>
          <w:sz w:val="19"/>
        </w:rPr>
        <w:t>docker-compose.cloud.yml</w:t>
      </w:r>
      <w:r>
        <w:t xml:space="preserve"> overlay adds cloud-specific behavior (TLS certificate mounts, cloud NGINX config, n8n service) without duplicating the base configuration.</w:t>
      </w:r>
    </w:p>
    <w:p>
      <w:pPr>
        <w:pStyle w:val="ListParagraph"/>
      </w:pPr>
      <w:r>
        <w:t>3.</w:t>
        <w:tab/>
      </w:r>
      <w:r>
        <w:rPr>
          <w:b/>
        </w:rPr>
        <w:t>NGINX routing</w:t>
      </w:r>
      <w:r>
        <w:t xml:space="preserve"> — a single NGINX container serves as the public entry point, terminates TLS, routes web traffic to Next.js, proxies the MQTT WebSocket endpoint, exposes n8n on an alternative HTTPS port, and blocks direct public access to the inference service.</w:t>
      </w:r>
    </w:p>
    <w:p>
      <w:pPr>
        <w:pStyle w:val="ListParagraph"/>
      </w:pPr>
      <w:r>
        <w:t>4.</w:t>
        <w:tab/>
      </w:r>
      <w:r>
        <w:rPr>
          <w:b/>
        </w:rPr>
        <w:t>Security layering</w:t>
      </w:r>
      <w:r>
        <w:t xml:space="preserve"> — Supabase Auth, Row Level Security, service-role separation, device bootstrap secrets, per-device MQTT ACLs, internal API tokens, trusted host middleware, CORS restriction, security headers, and rate limiting work together to protect all platform boundaries.</w:t>
      </w:r>
    </w:p>
    <w:p>
      <w:pPr>
        <w:pStyle w:val="ListParagraph"/>
      </w:pPr>
      <w:r>
        <w:t>5.</w:t>
        <w:tab/>
      </w:r>
      <w:r>
        <w:rPr>
          <w:b/>
        </w:rPr>
        <w:t>Hostinger VPS deployment</w:t>
      </w:r>
      <w:r>
        <w:t xml:space="preserve"> — a complete documented rollout procedure from VPS access through system preparation, repository cloning, environment configuration, TLS certificate issuance, Supabase settings, stack startup, and post-deployment verification.</w:t>
      </w:r>
    </w:p>
    <w:p>
      <w:pPr>
        <w:pStyle w:val="ListParagraph"/>
      </w:pPr>
      <w:r>
        <w:t>6.</w:t>
        <w:tab/>
      </w:r>
      <w:r>
        <w:rPr>
          <w:b/>
        </w:rPr>
        <w:t>Operational procedures</w:t>
      </w:r>
      <w:r>
        <w:t xml:space="preserve"> — health endpoint monitoring, Docker log inspection, deployment verification commands, maintenance update sequence, backup targets, and the production readiness checklist provide the operational discipline needed to keep the system reliable, visible, and recoverable.</w:t>
      </w:r>
    </w:p>
    <w:p>
      <w:r>
        <w:t>The result is a deployment that can be started from scratch on any Linux VM with Docker, verified through documented health checks, and demonstrated to examiners as a running cloud-hosted cardiac monitoring platform.</w:t>
      </w:r>
    </w:p>
    <w:p>
      <w:pPr>
        <w:pStyle w:val="Heading1"/>
      </w:pPr>
      <w:r>
        <w:t>Appendix K: Cloud and DevOps Deployment Evidence</w:t>
      </w:r>
    </w:p>
    <w:p>
      <w:r>
        <w:t xml:space="preserve">This appendix contains verification evidence screenshots collected from the running Hostinger VPS (IP: </w:t>
      </w:r>
      <w:r>
        <w:rPr>
          <w:b/>
        </w:rPr>
        <w:t>187.127.224.4</w:t>
      </w:r>
      <w:r>
        <w:t xml:space="preserve">, Hostname: </w:t>
      </w:r>
      <w:r>
        <w:rPr>
          <w:b/>
        </w:rPr>
        <w:t>srv1621744.hstgr.cloud</w:t>
      </w:r>
      <w:r>
        <w:t>). Each screenshot represents an operational verification check of the deployed stack services.</w:t>
      </w: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K.1: VPS Reachability Verification</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SSH terminal session showing successful login to root@187.127.224.4 and the server shell command prompt.</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K.2: Clinician Web Dashboard HTTPS Access</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Browser screenshot showing the home page dashboard loaded successfully at https://srv1621744.hstgr.cloud with a valid HTTPS SSL lock icon.</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K.3: Clinician Web Dashboard API Health JSON Check</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API health route output verification showing the backend database connections are healthy, requested via: curl -f https://srv1621744.hstgr.cloud/api/health</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K.4: FastAPI Inference Service Deep Health Check</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Inference service health API response confirming model files are loaded and active, requested via: curl -f http://127.0.0.1:8000/health</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K.5: Docker Compose Active Container Processes</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Terminal execution output showing all containers (frontend, inference, mosquitto, nginx, and n8n) active and healthy, requested via: docker compose ps</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K.6: HTTPS Let's Encrypt TLS Certificate Inspector</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Browser certificate inspector showing valid domain parameters and Let's Encrypt authority signatures for srv1621744.hstgr.cloud.</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K.7: Host Firewall (UFW) Allowed Public Ports Plan</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Terminal execution output demonstrating that only SSH (22), HTTP (80), HTTPS (443), and n8n (8443) are publicly exposed, requested via: ufw status</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K.8: n8n Workflow Automation Editor Interface</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Editor dashboard showing successful basic auth credentials access to n8n at https://srv1621744.hstgr.cloud:8443 and the loaded clinician alerting workflow.</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K.9: Supabase Platform Domain Target Configuration Settings</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Supabase authentication console screenshot showing that site URL is srv1621744.hstgr.cloud and the allowed redirect callback domain matches.</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EFCBF"/>
            <w:tcBorders>
              <w:top w:val="single" w:sz="6" w:space="0" w:color="D69E2E"/>
              <w:left w:val="single" w:sz="6" w:space="0" w:color="D69E2E"/>
              <w:bottom w:val="single" w:sz="6" w:space="0" w:color="D69E2E"/>
              <w:right w:val="single" w:sz="6" w:space="0" w:color="D69E2E"/>
            </w:tcBorders>
            <w:tcMar>
              <w:top w:w="100" w:type="dxa"/>
              <w:bottom w:w="100" w:type="dxa"/>
              <w:left w:w="150" w:type="dxa"/>
              <w:right w:w="150" w:type="dxa"/>
            </w:tcMar>
          </w:tcPr>
          <w:p>
            <w:r>
              <w:rPr>
                <w:b/>
                <w:color w:val="744210"/>
                <w:sz w:val="20"/>
              </w:rPr>
              <w:t>SCREENSHOT PLACEHOLDER K.10: Docker Container Boot and Runtime Log Streams</w:t>
            </w:r>
          </w:p>
        </w:tc>
      </w:tr>
      <w:tr>
        <w:tc>
          <w:tcPr>
            <w:tcW w:type="dxa" w:w="9360"/>
            <w:shd w:val="clear" w:color="auto" w:fill="FFFFFF"/>
            <w:tcBorders>
              <w:top w:val="single" w:sz="6" w:space="0" w:color="D69E2E"/>
              <w:left w:val="single" w:sz="6" w:space="0" w:color="D69E2E"/>
              <w:bottom w:val="single" w:sz="6" w:space="0" w:color="D69E2E"/>
              <w:right w:val="single" w:sz="6" w:space="0" w:color="D69E2E"/>
            </w:tcBorders>
            <w:tcMar>
              <w:top w:w="120" w:type="dxa"/>
              <w:bottom w:w="120" w:type="dxa"/>
              <w:left w:w="150" w:type="dxa"/>
              <w:right w:w="150" w:type="dxa"/>
            </w:tcMar>
          </w:tcPr>
          <w:p>
            <w:pPr>
              <w:spacing w:after="120"/>
            </w:pPr>
            <w:r>
              <w:rPr>
                <w:b/>
                <w:sz w:val="19"/>
              </w:rPr>
              <w:t xml:space="preserve">Expected Evidence: </w:t>
            </w:r>
            <w:r>
              <w:rPr>
                <w:sz w:val="19"/>
              </w:rPr>
              <w:t>Terminal log streams showing clean startup messages without connection errors, requested via: docker compose logs -f</w:t>
            </w:r>
          </w:p>
          <w:p>
            <w:pPr>
              <w:spacing w:after="0"/>
            </w:pPr>
            <w:r>
              <w:rPr>
                <w:b/>
                <w:sz w:val="19"/>
              </w:rPr>
              <w:t xml:space="preserve">Instruction: </w:t>
            </w:r>
            <w:r>
              <w:rPr>
                <w:i/>
                <w:sz w:val="19"/>
              </w:rPr>
              <w:t>Capture the screenshot showing this evidence from the running Hostinger VPS and replace this placeholder table with the image. Keep the layout aligned with standard book graphics.</w:t>
            </w:r>
          </w:p>
        </w:tc>
      </w:tr>
    </w:tbl>
    <w:p>
      <w:pPr>
        <w:spacing w:before="120"/>
      </w:pPr>
    </w:p>
    <w:sectPr w:rsidR="00EA35F1" w:rsidRPr="00EA35F1" w:rsidSect="00CC0596">
      <w:headerReference w:type="default" r:id="rId6"/>
      <w:footerReference w:type="default" r:id="rId7"/>
      <w:pgSz w:w="12240" w:h="15840"/>
      <w:pgMar w:top="1440" w:right="1440" w:bottom="1440" w:left="1440" w:header="708" w:footer="708" w:gutter="0"/>
      <w:pgBorders w:display="notFirstPage" w:offsetFrom="page">
        <w:top w:val="thinThickSmallGap" w:sz="24" w:space="24" w:color="ADADAD" w:themeColor="background2" w:themeShade="BF"/>
        <w:left w:val="thinThickSmallGap" w:sz="24" w:space="24" w:color="ADADAD" w:themeColor="background2" w:themeShade="BF"/>
        <w:bottom w:val="thickThinSmallGap" w:sz="24" w:space="24" w:color="ADADAD" w:themeColor="background2" w:themeShade="BF"/>
        <w:right w:val="thickThinSmallGap" w:sz="24" w:space="24" w:color="ADADAD" w:themeColor="background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DC63" w14:textId="77777777" w:rsidR="00B37F77" w:rsidRDefault="00B37F77" w:rsidP="002F62DD">
      <w:pPr>
        <w:spacing w:after="0" w:line="240" w:lineRule="auto"/>
      </w:pPr>
      <w:r>
        <w:separator/>
      </w:r>
    </w:p>
  </w:endnote>
  <w:endnote w:type="continuationSeparator" w:id="0">
    <w:p w14:paraId="27785DC6" w14:textId="77777777" w:rsidR="00B37F77" w:rsidRDefault="00B37F77" w:rsidP="002F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2111" w14:textId="29E8CD42" w:rsidR="00105A43" w:rsidRDefault="00105A43">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mc:AlternateContent>
        <mc:Choice Requires="wps">
          <w:drawing>
            <wp:anchor distT="0" distB="0" distL="114300" distR="114300" simplePos="0" relativeHeight="251659264" behindDoc="0" locked="0" layoutInCell="1" allowOverlap="1" wp14:anchorId="631717F1" wp14:editId="3D12A2F6">
              <wp:simplePos x="0" y="0"/>
              <wp:positionH relativeFrom="margin">
                <wp:align>center</wp:align>
              </wp:positionH>
              <wp:positionV relativeFrom="paragraph">
                <wp:posOffset>350520</wp:posOffset>
              </wp:positionV>
              <wp:extent cx="3002280" cy="424362"/>
              <wp:effectExtent l="0" t="0" r="0" b="0"/>
              <wp:wrapNone/>
              <wp:docPr id="549123038" name="Text Box 1"/>
              <wp:cNvGraphicFramePr/>
              <a:graphic xmlns:a="http://schemas.openxmlformats.org/drawingml/2006/main">
                <a:graphicData uri="http://schemas.microsoft.com/office/word/2010/wordprocessingShape">
                  <wps:wsp>
                    <wps:cNvSpPr txBox="1"/>
                    <wps:spPr>
                      <a:xfrm>
                        <a:off x="0" y="0"/>
                        <a:ext cx="3002280" cy="424362"/>
                      </a:xfrm>
                      <a:prstGeom prst="rect">
                        <a:avLst/>
                      </a:prstGeom>
                      <a:noFill/>
                      <a:ln w="6350">
                        <a:noFill/>
                      </a:ln>
                    </wps:spPr>
                    <wps:txb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717F1" id="_x0000_t202" coordsize="21600,21600" o:spt="202" path="m,l,21600r21600,l21600,xe">
              <v:stroke joinstyle="miter"/>
              <v:path gradientshapeok="t" o:connecttype="rect"/>
            </v:shapetype>
            <v:shape id="Text Box 1" o:spid="_x0000_s1035" type="#_x0000_t202" style="position:absolute;left:0;text-align:left;margin-left:0;margin-top:27.6pt;width:236.4pt;height: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H9GQIAADMEAAAOAAAAZHJzL2Uyb0RvYy54bWysU8tu2zAQvBfoPxC815Jlx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5STPi+IWQxxj02I6mRWxTHb52zofvgloSTQq6pCWhBbb&#10;P/owpJ5SYjMDK6V1okYb0lV0NrnJ0w/nCBbXBntcZo1W6Dc9UfXVHhuoD7ieg4F5b/lK4QyPzIcX&#10;5pBqHBvlG57xkBqwFxwtShpwv/52H/ORAYxS0qF0Kup/7pgTlOjvBrn5Mp5Oo9aSM735XKDjriOb&#10;64jZtfeA6hzjQ7E8mTE/6JMpHbRvqPJl7IohZjj2rmg4mfdhEDS+Ei6Wy5SE6rIsPJq15bF0RDUi&#10;/Nq/MWePNAQk8AlOImPlOzaG3IGP5S6AVImqiPOA6hF+VGYi+/iKovSv/ZR1eeuL3wAAAP//AwBQ&#10;SwMEFAAGAAgAAAAhAP0tvQvdAAAABwEAAA8AAABkcnMvZG93bnJldi54bWxMj09Lw0AUxO+C32F5&#10;gje7cTFaYjalBIogemjtxdtL9jUJ7p+Y3bbRT+/zpMdhhpnflKvZWXGiKQ7Ba7hdZCDIt8EMvtOw&#10;f9vcLEHEhN6gDZ40fFGEVXV5UWJhwtlv6bRLneASHwvU0Kc0FlLGtieHcRFG8uwdwuQwsZw6aSY8&#10;c7mzUmXZvXQ4eF7ocaS6p/Zjd3QanuvNK24b5Zbftn56OazHz/17rvX11bx+BJFoTn9h+MVndKiY&#10;qQlHb6KwGvhI0pDnCgS7dw+KjzQcUyoDWZXyP3/1AwAA//8DAFBLAQItABQABgAIAAAAIQC2gziS&#10;/gAAAOEBAAATAAAAAAAAAAAAAAAAAAAAAABbQ29udGVudF9UeXBlc10ueG1sUEsBAi0AFAAGAAgA&#10;AAAhADj9If/WAAAAlAEAAAsAAAAAAAAAAAAAAAAALwEAAF9yZWxzLy5yZWxzUEsBAi0AFAAGAAgA&#10;AAAhACZxEf0ZAgAAMwQAAA4AAAAAAAAAAAAAAAAALgIAAGRycy9lMm9Eb2MueG1sUEsBAi0AFAAG&#10;AAgAAAAhAP0tvQvdAAAABwEAAA8AAAAAAAAAAAAAAAAAcwQAAGRycy9kb3ducmV2LnhtbFBLBQYA&#10;AAAABAAEAPMAAAB9BQAAAAA=&#10;" filled="f" stroked="f" strokeweight=".5pt">
              <v:textbo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v:textbox>
              <w10:wrap anchorx="margin"/>
            </v:shape>
          </w:pict>
        </mc:Fallback>
      </mc:AlternateContent>
    </w:r>
    <w:r>
      <w:rPr>
        <w:noProof/>
        <w:color w:val="404040" w:themeColor="text1" w:themeTint="BF"/>
      </w:rPr>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EE4EF94" w14:textId="77777777" w:rsidR="00105A43" w:rsidRDefault="0010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FD6A" w14:textId="77777777" w:rsidR="00B37F77" w:rsidRDefault="00B37F77" w:rsidP="002F62DD">
      <w:pPr>
        <w:spacing w:after="0" w:line="240" w:lineRule="auto"/>
      </w:pPr>
      <w:r>
        <w:separator/>
      </w:r>
    </w:p>
  </w:footnote>
  <w:footnote w:type="continuationSeparator" w:id="0">
    <w:p w14:paraId="0EDFB16F" w14:textId="77777777" w:rsidR="00B37F77" w:rsidRDefault="00B37F77" w:rsidP="002F6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BCDB" w14:textId="2B7A2A22" w:rsidR="002F62DD" w:rsidRPr="00105A43" w:rsidRDefault="002F62DD" w:rsidP="002F62DD">
    <w:pPr>
      <w:pStyle w:val="Header"/>
      <w:pBdr>
        <w:bottom w:val="single" w:sz="4" w:space="8" w:color="156082" w:themeColor="accent1"/>
      </w:pBdr>
      <w:spacing w:after="360"/>
      <w:contextualSpacing/>
      <w:jc w:val="center"/>
      <w:rPr>
        <w:color w:val="404040" w:themeColor="text1" w:themeTint="BF"/>
        <w:sz w:val="28"/>
        <w:szCs w:val="28"/>
      </w:rPr>
    </w:pPr>
    <w:sdt>
      <w:sdtPr>
        <w:rPr>
          <w:rFonts w:ascii="Cambria" w:hAnsi="Cambria"/>
          <w:b/>
          <w:smallCaps/>
          <w:spacing w:val="-2"/>
          <w:sz w:val="32"/>
          <w:szCs w:val="32"/>
        </w:rPr>
        <w:alias w:val="Title"/>
        <w:tag w:val=""/>
        <w:id w:val="942040131"/>
        <w:placeholder>
          <w:docPart w:val="5967D34271FB409083045D9241CE357C"/>
        </w:placeholder>
        <w:dataBinding w:prefixMappings="xmlns:ns0='http://purl.org/dc/elements/1.1/' xmlns:ns1='http://schemas.openxmlformats.org/package/2006/metadata/core-properties' " w:xpath="/ns1:coreProperties[1]/ns0:title[1]" w:storeItemID="{6C3C8BC8-F283-45AE-878A-BAB7291924A1}"/>
        <w:text/>
      </w:sdtPr>
      <w:sdtContent>
        <w:r w:rsidR="00B50E29">
          <w:rPr>
            <w:rFonts w:ascii="Cambria" w:hAnsi="Cambria"/>
            <w:b/>
            <w:smallCaps/>
            <w:spacing w:val="-2"/>
            <w:sz w:val="32"/>
            <w:szCs w:val="32"/>
          </w:rPr>
          <w:t xml:space="preserve"> </w:t>
        </w:r>
        <w:r w:rsidRPr="00105A43">
          <w:rPr>
            <w:rFonts w:ascii="Cambria" w:hAnsi="Cambria"/>
            <w:b/>
            <w:smallCaps/>
            <w:spacing w:val="-2"/>
            <w:sz w:val="32"/>
            <w:szCs w:val="32"/>
          </w:rPr>
          <w:t>Electrical Engineering Department Projects</w:t>
        </w:r>
      </w:sdtContent>
    </w:sdt>
  </w:p>
  <w:p w14:paraId="34919B36" w14:textId="465C946A" w:rsidR="00B50E29" w:rsidRDefault="00B50E29">
    <w:pPr>
      <w:pStyle w:val="Header"/>
    </w:pPr>
    <w:r>
      <w:rPr>
        <w:noProof/>
      </w:rPr>
      <mc:AlternateContent>
        <mc:Choice Requires="wps">
          <w:drawing>
            <wp:anchor distT="0" distB="0" distL="114300" distR="114300" simplePos="0" relativeHeight="251660288" behindDoc="0" locked="0" layoutInCell="1" allowOverlap="1" wp14:anchorId="11946799" wp14:editId="12AB8F0C">
              <wp:simplePos x="0" y="0"/>
              <wp:positionH relativeFrom="margin">
                <wp:align>center</wp:align>
              </wp:positionH>
              <wp:positionV relativeFrom="paragraph">
                <wp:posOffset>8678</wp:posOffset>
              </wp:positionV>
              <wp:extent cx="1439333" cy="330200"/>
              <wp:effectExtent l="0" t="0" r="0" b="0"/>
              <wp:wrapNone/>
              <wp:docPr id="743787274" name="Text Box 4"/>
              <wp:cNvGraphicFramePr/>
              <a:graphic xmlns:a="http://schemas.openxmlformats.org/drawingml/2006/main">
                <a:graphicData uri="http://schemas.microsoft.com/office/word/2010/wordprocessingShape">
                  <wps:wsp>
                    <wps:cNvSpPr txBox="1"/>
                    <wps:spPr>
                      <a:xfrm>
                        <a:off x="0" y="0"/>
                        <a:ext cx="1439333" cy="330200"/>
                      </a:xfrm>
                      <a:prstGeom prst="rect">
                        <a:avLst/>
                      </a:prstGeom>
                      <a:noFill/>
                      <a:ln w="6350">
                        <a:noFill/>
                      </a:ln>
                    </wps:spPr>
                    <wps:txb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946799" id="_x0000_t202" coordsize="21600,21600" o:spt="202" path="m,l,21600r21600,l21600,xe">
              <v:stroke joinstyle="miter"/>
              <v:path gradientshapeok="t" o:connecttype="rect"/>
            </v:shapetype>
            <v:shape id="Text Box 4" o:spid="_x0000_s1034" type="#_x0000_t202" style="position:absolute;margin-left:0;margin-top:.7pt;width:113.35pt;height:2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jhFQIAACwEAAAOAAAAZHJzL2Uyb0RvYy54bWysU01vGyEQvVfqf0Dc6117nbRZeR25iVxV&#10;spJITpUzZsG7EjAUsHfdX9+B9ZfSnqpeYGCG+XjvMbvvtSJ74XwLpqLjUU6JMBzq1mwr+uN1+ekL&#10;JT4wUzMFRlT0IDy9n3/8MOtsKSbQgKqFI5jE+LKzFW1CsGWWed4IzfwIrDDolOA0C3h026x2rMPs&#10;WmWTPL/NOnC1dcCF93j7ODjpPOWXUvDwLKUXgaiKYm8hrS6tm7hm8xkrt47ZpuXHNtg/dKFZa7Do&#10;OdUjC4zsXPtHKt1yBx5kGHHQGUjZcpFmwGnG+btp1g2zIs2C4Hh7hsn/v7T8ab+2L46E/iv0SGAE&#10;pLO+9HgZ5+ml03HHTgn6EcLDGTbRB8Ljo2lxVxQFJRx9RZEjLzFNdnltnQ/fBGgSjYo6pCWhxfYr&#10;H4bQU0gsZmDZKpWoUYZ0Fb0tbvL04OzB5MpgjUuv0Qr9pj8OsIH6gHM5GCj3li9bLL5iPrwwhxzj&#10;KKjb8IyLVIBF4GhR0oD79bf7GI/Qo5eSDjVTUf9zx5ygRH03SMrdeDqNIkuH6c3nCR7ctWdz7TE7&#10;/QAoyzH+EMuTGeODOpnSgX5DeS9iVXQxw7F2RcPJfAiDkvF7cLFYpCCUlWVhZdaWx9QRzgjta//G&#10;nD3iH5C5Jzipi5XvaBhiByIWuwCyTRxFgAdUj7ijJBPLx+8TNX99TlGXTz7/DQAA//8DAFBLAwQU&#10;AAYACAAAACEAAEQJC94AAAAFAQAADwAAAGRycy9kb3ducmV2LnhtbEyPT0/CQBDF7yZ+h82YeJOt&#10;FZCUbglpQkyMHkAu3qbdoW3YP7W7QPXTO57wOO+9vPebfDVaI840hM47BY+TBAS52uvONQr2H5uH&#10;BYgQ0Wk03pGCbwqwKm5vcsy0v7gtnXexEVziQoYK2hj7TMpQt2QxTHxPjr2DHyxGPodG6gEvXG6N&#10;TJNkLi12jhda7KlsqT7uTlbBa7l5x22V2sWPKV/eDuv+a/85U+r+blwvQUQa4zUMf/iMDgUzVf7k&#10;dBBGAT8SWZ2CYDNN588gKgWzpynIIpf/6YtfAAAA//8DAFBLAQItABQABgAIAAAAIQC2gziS/gAA&#10;AOEBAAATAAAAAAAAAAAAAAAAAAAAAABbQ29udGVudF9UeXBlc10ueG1sUEsBAi0AFAAGAAgAAAAh&#10;ADj9If/WAAAAlAEAAAsAAAAAAAAAAAAAAAAALwEAAF9yZWxzLy5yZWxzUEsBAi0AFAAGAAgAAAAh&#10;ALXBqOEVAgAALAQAAA4AAAAAAAAAAAAAAAAALgIAAGRycy9lMm9Eb2MueG1sUEsBAi0AFAAGAAgA&#10;AAAhAABECQveAAAABQEAAA8AAAAAAAAAAAAAAAAAbwQAAGRycy9kb3ducmV2LnhtbFBLBQYAAAAA&#10;BAAEAPMAAAB6BQAAAAA=&#10;" filled="f" stroked="f" strokeweight=".5pt">
              <v:textbo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v:textbox>
              <w10:wrap anchorx="margin"/>
            </v:shape>
          </w:pict>
        </mc:Fallback>
      </mc:AlternateContent>
    </w:r>
    <w:r w:rsidR="002F62DD">
      <w:t xml:space="preserve">                                                                      </w:t>
    </w:r>
  </w:p>
  <w:p w14:paraId="601E2374" w14:textId="77777777" w:rsidR="00B50E29" w:rsidRDefault="00B50E29">
    <w:pPr>
      <w:pStyle w:val="Header"/>
    </w:pPr>
  </w:p>
  <w:p w14:paraId="6619E705" w14:textId="3D8CDD9A" w:rsidR="002F62DD" w:rsidRPr="002F62DD" w:rsidRDefault="002F62DD">
    <w:pPr>
      <w:pStyle w:val="Header"/>
      <w:rPr>
        <w:rFonts w:ascii="Cambria" w:hAnsi="Cambria"/>
        <w:b/>
        <w:bCs/>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DD"/>
    <w:rsid w:val="00105A43"/>
    <w:rsid w:val="002F62DD"/>
    <w:rsid w:val="00384391"/>
    <w:rsid w:val="00881301"/>
    <w:rsid w:val="00995432"/>
    <w:rsid w:val="00B37F77"/>
    <w:rsid w:val="00B50E29"/>
    <w:rsid w:val="00CA0AC6"/>
    <w:rsid w:val="00CC0596"/>
    <w:rsid w:val="00D707BD"/>
    <w:rsid w:val="00DB528D"/>
    <w:rsid w:val="00E60356"/>
    <w:rsid w:val="00EA35F1"/>
    <w:rsid w:val="00F25E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B81F"/>
  <w15:chartTrackingRefBased/>
  <w15:docId w15:val="{A54DAA39-777D-48BB-BF4A-A763907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DD"/>
    <w:rPr>
      <w:rFonts w:eastAsiaTheme="majorEastAsia" w:cstheme="majorBidi"/>
      <w:color w:val="272727" w:themeColor="text1" w:themeTint="D8"/>
    </w:rPr>
  </w:style>
  <w:style w:type="paragraph" w:styleId="Title">
    <w:name w:val="Title"/>
    <w:basedOn w:val="Normal"/>
    <w:next w:val="Normal"/>
    <w:link w:val="TitleChar"/>
    <w:uiPriority w:val="10"/>
    <w:qFormat/>
    <w:rsid w:val="002F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2DD"/>
    <w:rPr>
      <w:i/>
      <w:iCs/>
      <w:color w:val="404040" w:themeColor="text1" w:themeTint="BF"/>
    </w:rPr>
  </w:style>
  <w:style w:type="paragraph" w:styleId="ListParagraph">
    <w:name w:val="List Paragraph"/>
    <w:basedOn w:val="Normal"/>
    <w:uiPriority w:val="34"/>
    <w:qFormat/>
    <w:rsid w:val="002F62DD"/>
    <w:pPr>
      <w:ind w:left="720"/>
      <w:contextualSpacing/>
    </w:pPr>
  </w:style>
  <w:style w:type="character" w:styleId="IntenseEmphasis">
    <w:name w:val="Intense Emphasis"/>
    <w:basedOn w:val="DefaultParagraphFont"/>
    <w:uiPriority w:val="21"/>
    <w:qFormat/>
    <w:rsid w:val="002F62DD"/>
    <w:rPr>
      <w:i/>
      <w:iCs/>
      <w:color w:val="0F4761" w:themeColor="accent1" w:themeShade="BF"/>
    </w:rPr>
  </w:style>
  <w:style w:type="paragraph" w:styleId="IntenseQuote">
    <w:name w:val="Intense Quote"/>
    <w:basedOn w:val="Normal"/>
    <w:next w:val="Normal"/>
    <w:link w:val="IntenseQuoteChar"/>
    <w:uiPriority w:val="30"/>
    <w:qFormat/>
    <w:rsid w:val="002F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DD"/>
    <w:rPr>
      <w:i/>
      <w:iCs/>
      <w:color w:val="0F4761" w:themeColor="accent1" w:themeShade="BF"/>
    </w:rPr>
  </w:style>
  <w:style w:type="character" w:styleId="IntenseReference">
    <w:name w:val="Intense Reference"/>
    <w:basedOn w:val="DefaultParagraphFont"/>
    <w:uiPriority w:val="32"/>
    <w:qFormat/>
    <w:rsid w:val="002F62DD"/>
    <w:rPr>
      <w:b/>
      <w:bCs/>
      <w:smallCaps/>
      <w:color w:val="0F4761" w:themeColor="accent1" w:themeShade="BF"/>
      <w:spacing w:val="5"/>
    </w:rPr>
  </w:style>
  <w:style w:type="paragraph" w:styleId="Header">
    <w:name w:val="header"/>
    <w:basedOn w:val="Normal"/>
    <w:link w:val="HeaderChar"/>
    <w:uiPriority w:val="99"/>
    <w:unhideWhenUsed/>
    <w:rsid w:val="002F62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62DD"/>
  </w:style>
  <w:style w:type="paragraph" w:styleId="Footer">
    <w:name w:val="footer"/>
    <w:basedOn w:val="Normal"/>
    <w:link w:val="FooterChar"/>
    <w:uiPriority w:val="99"/>
    <w:unhideWhenUsed/>
    <w:qFormat/>
    <w:rsid w:val="002F62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62DD"/>
  </w:style>
  <w:style w:type="character" w:styleId="PlaceholderText">
    <w:name w:val="Placeholder Text"/>
    <w:basedOn w:val="DefaultParagraphFont"/>
    <w:uiPriority w:val="99"/>
    <w:semiHidden/>
    <w:rsid w:val="002F62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7D34271FB409083045D9241CE357C"/>
        <w:category>
          <w:name w:val="General"/>
          <w:gallery w:val="placeholder"/>
        </w:category>
        <w:types>
          <w:type w:val="bbPlcHdr"/>
        </w:types>
        <w:behaviors>
          <w:behavior w:val="content"/>
        </w:behaviors>
        <w:guid w:val="{7A0947D6-72BA-4BC9-B7FD-0CDDFB592601}"/>
      </w:docPartPr>
      <w:docPartBody>
        <w:p w:rsidR="00000000" w:rsidRDefault="006E7AEE" w:rsidP="006E7AEE">
          <w:pPr>
            <w:pStyle w:val="5967D34271FB409083045D9241CE357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EE"/>
    <w:rsid w:val="006E7AEE"/>
    <w:rsid w:val="00DB528D"/>
    <w:rsid w:val="00F07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0A46C30A0E42418334841162D6A023">
    <w:name w:val="360A46C30A0E42418334841162D6A023"/>
    <w:rsid w:val="006E7AEE"/>
  </w:style>
  <w:style w:type="paragraph" w:customStyle="1" w:styleId="4C4C719EBAAD48889C1569FC60DFA7E5">
    <w:name w:val="4C4C719EBAAD48889C1569FC60DFA7E5"/>
    <w:rsid w:val="006E7AEE"/>
  </w:style>
  <w:style w:type="paragraph" w:customStyle="1" w:styleId="0CBFCC5F0A464489ABE353DFC2DA7175">
    <w:name w:val="0CBFCC5F0A464489ABE353DFC2DA7175"/>
    <w:rsid w:val="006E7AEE"/>
  </w:style>
  <w:style w:type="character" w:styleId="PlaceholderText">
    <w:name w:val="Placeholder Text"/>
    <w:basedOn w:val="DefaultParagraphFont"/>
    <w:uiPriority w:val="99"/>
    <w:semiHidden/>
    <w:rsid w:val="006E7AEE"/>
    <w:rPr>
      <w:color w:val="808080"/>
    </w:rPr>
  </w:style>
  <w:style w:type="paragraph" w:customStyle="1" w:styleId="007EF4F9228A46A2AF3CF5CF72F9FAE9">
    <w:name w:val="007EF4F9228A46A2AF3CF5CF72F9FAE9"/>
    <w:rsid w:val="006E7AEE"/>
  </w:style>
  <w:style w:type="paragraph" w:customStyle="1" w:styleId="CCA276FBAD2F434788814C0603583BC7">
    <w:name w:val="CCA276FBAD2F434788814C0603583BC7"/>
    <w:rsid w:val="006E7AEE"/>
  </w:style>
  <w:style w:type="paragraph" w:customStyle="1" w:styleId="92BE5803C8074E1BBA2F4D7B637B4A20">
    <w:name w:val="92BE5803C8074E1BBA2F4D7B637B4A20"/>
    <w:rsid w:val="006E7AEE"/>
  </w:style>
  <w:style w:type="paragraph" w:customStyle="1" w:styleId="5967D34271FB409083045D9241CE357C">
    <w:name w:val="5967D34271FB409083045D9241CE357C"/>
    <w:rsid w:val="006E7AEE"/>
  </w:style>
  <w:style w:type="paragraph" w:customStyle="1" w:styleId="E0F58B8DEEBD426E98C80F63F19FBB21">
    <w:name w:val="E0F58B8DEEBD426E98C80F63F19FBB21"/>
    <w:rsid w:val="006E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Electrical Engineering Department Projects</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Department Projects</dc:title>
  <dc:subject/>
  <dc:creator>Roshanmustafakamel</dc:creator>
  <cp:keywords/>
  <dc:description/>
  <cp:lastModifiedBy>Roshanmustafakamel</cp:lastModifiedBy>
  <cp:revision>2</cp:revision>
  <dcterms:created xsi:type="dcterms:W3CDTF">2026-05-23T03:49:00Z</dcterms:created>
  <dcterms:modified xsi:type="dcterms:W3CDTF">2026-05-23T03:49:00Z</dcterms:modified>
</cp:coreProperties>
</file>