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b/>
          <w:sz w:val="28"/>
        </w:rPr>
        <w:t>Chapter (18): Security, Privacy, And Compliance</w:t>
      </w:r>
    </w:p>
    <w:p>
      <w:pPr>
        <w:spacing w:before="240" w:after="80"/>
      </w:pPr>
      <w:r>
        <w:rPr>
          <w:rFonts w:ascii="Times New Roman" w:hAnsi="Times New Roman"/>
          <w:b/>
          <w:sz w:val="24"/>
        </w:rPr>
        <w:t>18.1 Security Objective</w:t>
      </w:r>
    </w:p>
    <w:p>
      <w:pPr>
        <w:spacing w:after="120"/>
        <w:ind w:firstLine="0"/>
        <w:jc w:val="both"/>
      </w:pPr>
      <w:r>
        <w:rPr>
          <w:rFonts w:ascii="Times New Roman" w:hAnsi="Times New Roman"/>
          <w:b/>
          <w:sz w:val="22"/>
        </w:rPr>
        <w:t xml:space="preserve">Objective Statement: </w:t>
      </w:r>
      <w:r>
        <w:rPr>
          <w:rFonts w:ascii="Times New Roman" w:hAnsi="Times New Roman"/>
          <w:b w:val="0"/>
          <w:sz w:val="22"/>
        </w:rPr>
        <w:t>The security objective of AscultiCor is to protect patient-related data, isolate each organization, secure connected devices, protect privileged service credentials, and keep an audit trail of sensitive actions. Because the platform handles ECG recordings, PCG recordings, patient records, clinical notes, AI predictions, and generated reports, the system must be designed with privacy and operational safety from the beginning.</w:t>
      </w:r>
    </w:p>
    <w:p>
      <w:pPr>
        <w:spacing w:after="120"/>
        <w:ind w:firstLine="0"/>
        <w:jc w:val="both"/>
      </w:pPr>
      <w:r>
        <w:rPr>
          <w:rFonts w:ascii="Times New Roman" w:hAnsi="Times New Roman"/>
          <w:b/>
          <w:sz w:val="22"/>
        </w:rPr>
        <w:t xml:space="preserve">Layered Security Approach: </w:t>
      </w:r>
      <w:r>
        <w:rPr>
          <w:rFonts w:ascii="Times New Roman" w:hAnsi="Times New Roman"/>
          <w:b w:val="0"/>
          <w:sz w:val="22"/>
        </w:rPr>
        <w:t>Security is applied at several layers. Supabase Auth verifies user identity. The database schema uses organization-scoped Row Level Security to prevent one organization from accessing another organization's data. Backend services use server-side service-role credentials only where privileged access is required. Devices use a bootstrap process and MQTT credentials instead of relying only on hardcoded network settings. Cloud deployment uses NGINX, TLS, environment-based configuration, internal service tokens, and private container networking to reduce public exposure.</w:t>
      </w:r>
    </w:p>
    <w:p>
      <w:pPr>
        <w:spacing w:after="120"/>
        <w:ind w:firstLine="0"/>
        <w:jc w:val="both"/>
      </w:pPr>
      <w:r>
        <w:rPr>
          <w:rFonts w:ascii="Times New Roman" w:hAnsi="Times New Roman"/>
          <w:b/>
          <w:sz w:val="22"/>
        </w:rPr>
        <w:t xml:space="preserve">Scope and Disclaimer: </w:t>
      </w:r>
      <w:r>
        <w:rPr>
          <w:rFonts w:ascii="Times New Roman" w:hAnsi="Times New Roman"/>
          <w:b w:val="0"/>
          <w:sz w:val="22"/>
        </w:rPr>
        <w:t>The platform is a graduation project and decision-support prototype, not a certified medical product. Therefore, this chapter does not claim full medical regulatory compliance. Instead, it documents the controls implemented during the project and the additional controls required before production clinical use.</w:t>
      </w:r>
    </w:p>
    <w:p>
      <w:pPr>
        <w:spacing w:before="240" w:after="80"/>
      </w:pPr>
      <w:r>
        <w:rPr>
          <w:rFonts w:ascii="Times New Roman" w:hAnsi="Times New Roman"/>
          <w:b/>
          <w:sz w:val="24"/>
        </w:rPr>
        <w:t>18.2 Authentication and Authorization</w:t>
      </w:r>
    </w:p>
    <w:p>
      <w:pPr>
        <w:spacing w:after="120"/>
        <w:ind w:firstLine="0"/>
        <w:jc w:val="both"/>
      </w:pPr>
      <w:r>
        <w:rPr>
          <w:rFonts w:ascii="Times New Roman" w:hAnsi="Times New Roman"/>
          <w:b/>
          <w:sz w:val="22"/>
        </w:rPr>
        <w:t xml:space="preserve">Authentication Mechanism: </w:t>
      </w:r>
      <w:r>
        <w:rPr>
          <w:rFonts w:ascii="Times New Roman" w:hAnsi="Times New Roman"/>
          <w:b w:val="0"/>
          <w:sz w:val="22"/>
        </w:rPr>
        <w:t>User authentication is handled through Supabase Auth. A user signs in through the web dashboard, and Supabase issues an authenticated session that the frontend can use when reading or writing data. The application stores additional user metadata in the profiles table, including the user's organization and role.</w:t>
      </w:r>
    </w:p>
    <w:p>
      <w:pPr>
        <w:spacing w:after="120"/>
        <w:ind w:firstLine="0"/>
        <w:jc w:val="both"/>
      </w:pPr>
      <w:r>
        <w:rPr>
          <w:rFonts w:ascii="Times New Roman" w:hAnsi="Times New Roman"/>
          <w:b/>
          <w:sz w:val="22"/>
        </w:rPr>
        <w:t xml:space="preserve">Organization-Based Authorization Model: </w:t>
      </w:r>
      <w:r>
        <w:rPr>
          <w:rFonts w:ascii="Times New Roman" w:hAnsi="Times New Roman"/>
          <w:b w:val="0"/>
          <w:sz w:val="22"/>
        </w:rPr>
        <w:t>The platform follows an organization-based authorization model. Each user belongs to an organization, and most data records include an org_id field. This design allows the same system to support multiple clinics, labs, or project groups while keeping their data separated. The major role types used by the project are admin, clinician, operator, and readonly. Admin users can manage organization-level resources, devices, and users. Clinicians and operators can work with patients, sessions, and reports according to their permissions. Readonly users can inspect information but should not modify clinical or device records.</w:t>
      </w:r>
    </w:p>
    <w:p>
      <w:pPr>
        <w:spacing w:after="120"/>
        <w:ind w:firstLine="0"/>
        <w:jc w:val="both"/>
      </w:pPr>
      <w:r>
        <w:rPr>
          <w:rFonts w:ascii="Times New Roman" w:hAnsi="Times New Roman"/>
          <w:b/>
          <w:sz w:val="22"/>
        </w:rPr>
        <w:t xml:space="preserve">Multi-Layer Route Protection: </w:t>
      </w:r>
      <w:r>
        <w:rPr>
          <w:rFonts w:ascii="Times New Roman" w:hAnsi="Times New Roman"/>
          <w:b w:val="0"/>
          <w:sz w:val="22"/>
        </w:rPr>
        <w:t>Route protection is handled by combining the Supabase session, frontend checks, backend API validation, and database policies. Even if a user bypasses a dashboard page, the database policies remain the final protection layer. This is important because client-side checks improve user experience, but they should not be treated as the only security boundary.</w:t>
      </w:r>
    </w:p>
    <w:p>
      <w:pPr>
        <w:spacing w:before="240" w:after="80"/>
      </w:pPr>
      <w:r>
        <w:rPr>
          <w:rFonts w:ascii="Times New Roman" w:hAnsi="Times New Roman"/>
          <w:b/>
          <w:sz w:val="24"/>
        </w:rPr>
        <w:t>18.3 Row Level Security</w:t>
      </w:r>
    </w:p>
    <w:p>
      <w:pPr>
        <w:spacing w:after="120"/>
        <w:ind w:firstLine="0"/>
        <w:jc w:val="both"/>
      </w:pPr>
      <w:r>
        <w:rPr>
          <w:rFonts w:ascii="Times New Roman" w:hAnsi="Times New Roman"/>
          <w:b/>
          <w:sz w:val="22"/>
        </w:rPr>
        <w:t xml:space="preserve">RLS as the Primary Isolation Control: </w:t>
      </w:r>
      <w:r>
        <w:rPr>
          <w:rFonts w:ascii="Times New Roman" w:hAnsi="Times New Roman"/>
          <w:b w:val="0"/>
          <w:sz w:val="22"/>
        </w:rPr>
        <w:t>Row Level Security, or RLS, is the main database isolation control in AscultiCor. The Supabase database stores shared tables such as organizations, profiles, devices, patients, sessions, recordings, predictions, live metrics, LLM reports, alerts, notes, and audit logs. Since these tables can contain records from different organizations, each query must be restricted to the current user's organization.</w:t>
      </w:r>
    </w:p>
    <w:p>
      <w:pPr>
        <w:spacing w:after="120"/>
        <w:ind w:firstLine="0"/>
        <w:jc w:val="both"/>
      </w:pPr>
      <w:r>
        <w:rPr>
          <w:rFonts w:ascii="Times New Roman" w:hAnsi="Times New Roman"/>
          <w:b/>
          <w:sz w:val="22"/>
        </w:rPr>
        <w:t xml:space="preserve">Policy Implementation: </w:t>
      </w:r>
      <w:r>
        <w:rPr>
          <w:rFonts w:ascii="Times New Roman" w:hAnsi="Times New Roman"/>
          <w:b w:val="0"/>
          <w:sz w:val="22"/>
        </w:rPr>
        <w:t>The database migrations enable RLS and define policies that compare the row's org_id with the organization of the authenticated user. For example, a user can view sessions, patients, devices, predictions, and reports only when those rows belong to the same organization. Admin-only policies are used for sensitive actions such as managing organization settings, deleting records, or viewing audit logs.</w:t>
      </w:r>
    </w:p>
    <w:p>
      <w:pPr>
        <w:spacing w:after="120"/>
        <w:ind w:firstLine="0"/>
        <w:jc w:val="both"/>
      </w:pPr>
      <w:r>
        <w:rPr>
          <w:rFonts w:ascii="Times New Roman" w:hAnsi="Times New Roman"/>
          <w:b/>
          <w:sz w:val="22"/>
        </w:rPr>
        <w:t xml:space="preserve">Service-Role Access Control: </w:t>
      </w:r>
      <w:r>
        <w:rPr>
          <w:rFonts w:ascii="Times New Roman" w:hAnsi="Times New Roman"/>
          <w:b w:val="0"/>
          <w:sz w:val="22"/>
        </w:rPr>
        <w:t>Some actions are performed by backend services rather than by a browser user. For example, the inference service inserts recordings, predictions, live metrics, and audit events after receiving MQTT data from a device. These operations use Supabase service-role access because they are server-side system actions. The service-role key bypasses RLS, so it must never be exposed to the browser, firmware, public repositories, screenshots, or client-side code. In the deployment, service-role credentials are stored only as server environment variables for backend containers and automation services that require them.</w:t>
      </w:r>
    </w:p>
    <w:p>
      <w:pPr>
        <w:spacing w:after="120"/>
        <w:ind w:firstLine="0"/>
        <w:jc w:val="both"/>
      </w:pPr>
      <w:r>
        <w:rPr>
          <w:rFonts w:ascii="Times New Roman" w:hAnsi="Times New Roman"/>
          <w:b w:val="0"/>
          <w:sz w:val="22"/>
        </w:rPr>
        <w:t>Figure 18.1 illustrates how Supabase Auth, user profiles, organization membership, Row Level Security, protected API routes, device bootstrap credentials, internal service tokens, TLS, and audit logs work together as an integrated security architecture to protect the platform.</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18_1_security_architecture_1781690531276.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0"/>
        </w:rPr>
        <w:t>Figure 18.1: AscultiCor Security Architecture — showing the layered protection model from user authentication through Row Level Security, device bootstrap, internal API tokens, TLS termination, and audit logging.</w:t>
      </w:r>
    </w:p>
    <w:p>
      <w:pPr>
        <w:spacing w:before="160" w:after="40"/>
      </w:pPr>
      <w:r>
        <w:rPr>
          <w:rFonts w:ascii="Times New Roman" w:hAnsi="Times New Roman"/>
          <w:b/>
          <w:sz w:val="22"/>
        </w:rPr>
        <w:t>Table 18.2: Security Layer Summary</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F3864"/>
          </w:tcPr>
          <w:p>
            <w:pPr>
              <w:jc w:val="center"/>
            </w:pPr>
            <w:r>
              <w:rPr>
                <w:rFonts w:ascii="Times New Roman" w:hAnsi="Times New Roman"/>
                <w:b/>
                <w:color w:val="FFFFFF"/>
                <w:sz w:val="20"/>
              </w:rPr>
              <w:t>Layer</w:t>
            </w:r>
          </w:p>
        </w:tc>
        <w:tc>
          <w:tcPr>
            <w:tcW w:type="dxa" w:w="2592"/>
            <w:shd w:val="clear" w:color="auto" w:fill="1F3864"/>
          </w:tcPr>
          <w:p>
            <w:pPr>
              <w:jc w:val="center"/>
            </w:pPr>
            <w:r>
              <w:rPr>
                <w:rFonts w:ascii="Times New Roman" w:hAnsi="Times New Roman"/>
                <w:b/>
                <w:color w:val="FFFFFF"/>
                <w:sz w:val="20"/>
              </w:rPr>
              <w:t>Mechanism</w:t>
            </w:r>
          </w:p>
        </w:tc>
        <w:tc>
          <w:tcPr>
            <w:tcW w:type="dxa" w:w="2160"/>
            <w:shd w:val="clear" w:color="auto" w:fill="1F3864"/>
          </w:tcPr>
          <w:p>
            <w:pPr>
              <w:jc w:val="center"/>
            </w:pPr>
            <w:r>
              <w:rPr>
                <w:rFonts w:ascii="Times New Roman" w:hAnsi="Times New Roman"/>
                <w:b/>
                <w:color w:val="FFFFFF"/>
                <w:sz w:val="20"/>
              </w:rPr>
              <w:t>Scope</w:t>
            </w:r>
          </w:p>
        </w:tc>
        <w:tc>
          <w:tcPr>
            <w:tcW w:type="dxa" w:w="3168"/>
            <w:shd w:val="clear" w:color="auto" w:fill="1F3864"/>
          </w:tcPr>
          <w:p>
            <w:pPr>
              <w:jc w:val="center"/>
            </w:pPr>
            <w:r>
              <w:rPr>
                <w:rFonts w:ascii="Times New Roman" w:hAnsi="Times New Roman"/>
                <w:b/>
                <w:color w:val="FFFFFF"/>
                <w:sz w:val="20"/>
              </w:rPr>
              <w:t>Key Components</w:t>
            </w:r>
          </w:p>
        </w:tc>
      </w:tr>
      <w:tr>
        <w:tc>
          <w:tcPr>
            <w:tcW w:type="dxa" w:w="1728"/>
            <w:shd w:val="clear" w:color="auto" w:fill="FFFFFF"/>
          </w:tcPr>
          <w:p>
            <w:r>
              <w:rPr>
                <w:rFonts w:ascii="Times New Roman" w:hAnsi="Times New Roman"/>
                <w:b w:val="0"/>
                <w:sz w:val="20"/>
              </w:rPr>
              <w:t>Authentication</w:t>
            </w:r>
          </w:p>
        </w:tc>
        <w:tc>
          <w:tcPr>
            <w:tcW w:type="dxa" w:w="2592"/>
            <w:shd w:val="clear" w:color="auto" w:fill="FFFFFF"/>
          </w:tcPr>
          <w:p>
            <w:r>
              <w:rPr>
                <w:rFonts w:ascii="Times New Roman" w:hAnsi="Times New Roman"/>
                <w:b w:val="0"/>
                <w:sz w:val="20"/>
              </w:rPr>
              <w:t>Supabase Auth (JWT)</w:t>
            </w:r>
          </w:p>
        </w:tc>
        <w:tc>
          <w:tcPr>
            <w:tcW w:type="dxa" w:w="2160"/>
            <w:shd w:val="clear" w:color="auto" w:fill="FFFFFF"/>
          </w:tcPr>
          <w:p>
            <w:r>
              <w:rPr>
                <w:rFonts w:ascii="Times New Roman" w:hAnsi="Times New Roman"/>
                <w:b w:val="0"/>
                <w:sz w:val="20"/>
              </w:rPr>
              <w:t>All dashboard users</w:t>
            </w:r>
          </w:p>
        </w:tc>
        <w:tc>
          <w:tcPr>
            <w:tcW w:type="dxa" w:w="3168"/>
            <w:shd w:val="clear" w:color="auto" w:fill="FFFFFF"/>
          </w:tcPr>
          <w:p>
            <w:r>
              <w:rPr>
                <w:rFonts w:ascii="Times New Roman" w:hAnsi="Times New Roman"/>
                <w:b w:val="0"/>
                <w:sz w:val="20"/>
              </w:rPr>
              <w:t>Signed-in session, JWT token, profiles table</w:t>
            </w:r>
          </w:p>
        </w:tc>
      </w:tr>
      <w:tr>
        <w:tc>
          <w:tcPr>
            <w:tcW w:type="dxa" w:w="1728"/>
            <w:shd w:val="clear" w:color="auto" w:fill="EBF3FB"/>
          </w:tcPr>
          <w:p>
            <w:r>
              <w:rPr>
                <w:rFonts w:ascii="Times New Roman" w:hAnsi="Times New Roman"/>
                <w:b w:val="0"/>
                <w:sz w:val="20"/>
              </w:rPr>
              <w:t>Authorization</w:t>
            </w:r>
          </w:p>
        </w:tc>
        <w:tc>
          <w:tcPr>
            <w:tcW w:type="dxa" w:w="2592"/>
            <w:shd w:val="clear" w:color="auto" w:fill="EBF3FB"/>
          </w:tcPr>
          <w:p>
            <w:r>
              <w:rPr>
                <w:rFonts w:ascii="Times New Roman" w:hAnsi="Times New Roman"/>
                <w:b w:val="0"/>
                <w:sz w:val="20"/>
              </w:rPr>
              <w:t>Role-based access (RBAC)</w:t>
            </w:r>
          </w:p>
        </w:tc>
        <w:tc>
          <w:tcPr>
            <w:tcW w:type="dxa" w:w="2160"/>
            <w:shd w:val="clear" w:color="auto" w:fill="EBF3FB"/>
          </w:tcPr>
          <w:p>
            <w:r>
              <w:rPr>
                <w:rFonts w:ascii="Times New Roman" w:hAnsi="Times New Roman"/>
                <w:b w:val="0"/>
                <w:sz w:val="20"/>
              </w:rPr>
              <w:t>Per-user within organization</w:t>
            </w:r>
          </w:p>
        </w:tc>
        <w:tc>
          <w:tcPr>
            <w:tcW w:type="dxa" w:w="3168"/>
            <w:shd w:val="clear" w:color="auto" w:fill="EBF3FB"/>
          </w:tcPr>
          <w:p>
            <w:r>
              <w:rPr>
                <w:rFonts w:ascii="Times New Roman" w:hAnsi="Times New Roman"/>
                <w:b w:val="0"/>
                <w:sz w:val="20"/>
              </w:rPr>
              <w:t>admin, clinician, operator, readonly roles</w:t>
            </w:r>
          </w:p>
        </w:tc>
      </w:tr>
      <w:tr>
        <w:tc>
          <w:tcPr>
            <w:tcW w:type="dxa" w:w="1728"/>
            <w:shd w:val="clear" w:color="auto" w:fill="FFFFFF"/>
          </w:tcPr>
          <w:p>
            <w:r>
              <w:rPr>
                <w:rFonts w:ascii="Times New Roman" w:hAnsi="Times New Roman"/>
                <w:b w:val="0"/>
                <w:sz w:val="20"/>
              </w:rPr>
              <w:t>Data Isolation</w:t>
            </w:r>
          </w:p>
        </w:tc>
        <w:tc>
          <w:tcPr>
            <w:tcW w:type="dxa" w:w="2592"/>
            <w:shd w:val="clear" w:color="auto" w:fill="FFFFFF"/>
          </w:tcPr>
          <w:p>
            <w:r>
              <w:rPr>
                <w:rFonts w:ascii="Times New Roman" w:hAnsi="Times New Roman"/>
                <w:b w:val="0"/>
                <w:sz w:val="20"/>
              </w:rPr>
              <w:t>Row Level Security (RLS)</w:t>
            </w:r>
          </w:p>
        </w:tc>
        <w:tc>
          <w:tcPr>
            <w:tcW w:type="dxa" w:w="2160"/>
            <w:shd w:val="clear" w:color="auto" w:fill="FFFFFF"/>
          </w:tcPr>
          <w:p>
            <w:r>
              <w:rPr>
                <w:rFonts w:ascii="Times New Roman" w:hAnsi="Times New Roman"/>
                <w:b w:val="0"/>
                <w:sz w:val="20"/>
              </w:rPr>
              <w:t>All database tables</w:t>
            </w:r>
          </w:p>
        </w:tc>
        <w:tc>
          <w:tcPr>
            <w:tcW w:type="dxa" w:w="3168"/>
            <w:shd w:val="clear" w:color="auto" w:fill="FFFFFF"/>
          </w:tcPr>
          <w:p>
            <w:r>
              <w:rPr>
                <w:rFonts w:ascii="Times New Roman" w:hAnsi="Times New Roman"/>
                <w:b w:val="0"/>
                <w:sz w:val="20"/>
              </w:rPr>
              <w:t>org_id filter, migration-defined policies</w:t>
            </w:r>
          </w:p>
        </w:tc>
      </w:tr>
      <w:tr>
        <w:tc>
          <w:tcPr>
            <w:tcW w:type="dxa" w:w="1728"/>
            <w:shd w:val="clear" w:color="auto" w:fill="EBF3FB"/>
          </w:tcPr>
          <w:p>
            <w:r>
              <w:rPr>
                <w:rFonts w:ascii="Times New Roman" w:hAnsi="Times New Roman"/>
                <w:b w:val="0"/>
                <w:sz w:val="20"/>
              </w:rPr>
              <w:t>Network</w:t>
            </w:r>
          </w:p>
        </w:tc>
        <w:tc>
          <w:tcPr>
            <w:tcW w:type="dxa" w:w="2592"/>
            <w:shd w:val="clear" w:color="auto" w:fill="EBF3FB"/>
          </w:tcPr>
          <w:p>
            <w:r>
              <w:rPr>
                <w:rFonts w:ascii="Times New Roman" w:hAnsi="Times New Roman"/>
                <w:b w:val="0"/>
                <w:sz w:val="20"/>
              </w:rPr>
              <w:t>NGINX + TLS (HTTPS)</w:t>
            </w:r>
          </w:p>
        </w:tc>
        <w:tc>
          <w:tcPr>
            <w:tcW w:type="dxa" w:w="2160"/>
            <w:shd w:val="clear" w:color="auto" w:fill="EBF3FB"/>
          </w:tcPr>
          <w:p>
            <w:r>
              <w:rPr>
                <w:rFonts w:ascii="Times New Roman" w:hAnsi="Times New Roman"/>
                <w:b w:val="0"/>
                <w:sz w:val="20"/>
              </w:rPr>
              <w:t>All public traffic</w:t>
            </w:r>
          </w:p>
        </w:tc>
        <w:tc>
          <w:tcPr>
            <w:tcW w:type="dxa" w:w="3168"/>
            <w:shd w:val="clear" w:color="auto" w:fill="EBF3FB"/>
          </w:tcPr>
          <w:p>
            <w:r>
              <w:rPr>
                <w:rFonts w:ascii="Times New Roman" w:hAnsi="Times New Roman"/>
                <w:b w:val="0"/>
                <w:sz w:val="20"/>
              </w:rPr>
              <w:t>Port 443, certificate via Let's Encrypt</w:t>
            </w:r>
          </w:p>
        </w:tc>
      </w:tr>
      <w:tr>
        <w:tc>
          <w:tcPr>
            <w:tcW w:type="dxa" w:w="1728"/>
            <w:shd w:val="clear" w:color="auto" w:fill="FFFFFF"/>
          </w:tcPr>
          <w:p>
            <w:r>
              <w:rPr>
                <w:rFonts w:ascii="Times New Roman" w:hAnsi="Times New Roman"/>
                <w:b w:val="0"/>
                <w:sz w:val="20"/>
              </w:rPr>
              <w:t>Service Tokens</w:t>
            </w:r>
          </w:p>
        </w:tc>
        <w:tc>
          <w:tcPr>
            <w:tcW w:type="dxa" w:w="2592"/>
            <w:shd w:val="clear" w:color="auto" w:fill="FFFFFF"/>
          </w:tcPr>
          <w:p>
            <w:r>
              <w:rPr>
                <w:rFonts w:ascii="Times New Roman" w:hAnsi="Times New Roman"/>
                <w:b w:val="0"/>
                <w:sz w:val="20"/>
              </w:rPr>
              <w:t>Shared internal tokens</w:t>
            </w:r>
          </w:p>
        </w:tc>
        <w:tc>
          <w:tcPr>
            <w:tcW w:type="dxa" w:w="2160"/>
            <w:shd w:val="clear" w:color="auto" w:fill="FFFFFF"/>
          </w:tcPr>
          <w:p>
            <w:r>
              <w:rPr>
                <w:rFonts w:ascii="Times New Roman" w:hAnsi="Times New Roman"/>
                <w:b w:val="0"/>
                <w:sz w:val="20"/>
              </w:rPr>
              <w:t>Backend-to-backend API calls</w:t>
            </w:r>
          </w:p>
        </w:tc>
        <w:tc>
          <w:tcPr>
            <w:tcW w:type="dxa" w:w="3168"/>
            <w:shd w:val="clear" w:color="auto" w:fill="FFFFFF"/>
          </w:tcPr>
          <w:p>
            <w:r>
              <w:rPr>
                <w:rFonts w:ascii="Times New Roman" w:hAnsi="Times New Roman"/>
                <w:b w:val="0"/>
                <w:sz w:val="20"/>
              </w:rPr>
              <w:t>INTERNAL_API_TOKEN, INFERENCE_INTERNAL_TOKEN</w:t>
            </w:r>
          </w:p>
        </w:tc>
      </w:tr>
      <w:tr>
        <w:tc>
          <w:tcPr>
            <w:tcW w:type="dxa" w:w="1728"/>
            <w:shd w:val="clear" w:color="auto" w:fill="EBF3FB"/>
          </w:tcPr>
          <w:p>
            <w:r>
              <w:rPr>
                <w:rFonts w:ascii="Times New Roman" w:hAnsi="Times New Roman"/>
                <w:b w:val="0"/>
                <w:sz w:val="20"/>
              </w:rPr>
              <w:t>Device Security</w:t>
            </w:r>
          </w:p>
        </w:tc>
        <w:tc>
          <w:tcPr>
            <w:tcW w:type="dxa" w:w="2592"/>
            <w:shd w:val="clear" w:color="auto" w:fill="EBF3FB"/>
          </w:tcPr>
          <w:p>
            <w:r>
              <w:rPr>
                <w:rFonts w:ascii="Times New Roman" w:hAnsi="Times New Roman"/>
                <w:b w:val="0"/>
                <w:sz w:val="20"/>
              </w:rPr>
              <w:t>Bootstrap flow + MQTT ACLs</w:t>
            </w:r>
          </w:p>
        </w:tc>
        <w:tc>
          <w:tcPr>
            <w:tcW w:type="dxa" w:w="2160"/>
            <w:shd w:val="clear" w:color="auto" w:fill="EBF3FB"/>
          </w:tcPr>
          <w:p>
            <w:r>
              <w:rPr>
                <w:rFonts w:ascii="Times New Roman" w:hAnsi="Times New Roman"/>
                <w:b w:val="0"/>
                <w:sz w:val="20"/>
              </w:rPr>
              <w:t>Per-device credential scope</w:t>
            </w:r>
          </w:p>
        </w:tc>
        <w:tc>
          <w:tcPr>
            <w:tcW w:type="dxa" w:w="3168"/>
            <w:shd w:val="clear" w:color="auto" w:fill="EBF3FB"/>
          </w:tcPr>
          <w:p>
            <w:r>
              <w:rPr>
                <w:rFonts w:ascii="Times New Roman" w:hAnsi="Times New Roman"/>
                <w:b w:val="0"/>
                <w:sz w:val="20"/>
              </w:rPr>
              <w:t>device_id, hashed secret, per-device MQTT ACL</w:t>
            </w:r>
          </w:p>
        </w:tc>
      </w:tr>
      <w:tr>
        <w:tc>
          <w:tcPr>
            <w:tcW w:type="dxa" w:w="1728"/>
            <w:shd w:val="clear" w:color="auto" w:fill="FFFFFF"/>
          </w:tcPr>
          <w:p>
            <w:r>
              <w:rPr>
                <w:rFonts w:ascii="Times New Roman" w:hAnsi="Times New Roman"/>
                <w:b w:val="0"/>
                <w:sz w:val="20"/>
              </w:rPr>
              <w:t>Audit</w:t>
            </w:r>
          </w:p>
        </w:tc>
        <w:tc>
          <w:tcPr>
            <w:tcW w:type="dxa" w:w="2592"/>
            <w:shd w:val="clear" w:color="auto" w:fill="FFFFFF"/>
          </w:tcPr>
          <w:p>
            <w:r>
              <w:rPr>
                <w:rFonts w:ascii="Times New Roman" w:hAnsi="Times New Roman"/>
                <w:b w:val="0"/>
                <w:sz w:val="20"/>
              </w:rPr>
              <w:t>Audit log table</w:t>
            </w:r>
          </w:p>
        </w:tc>
        <w:tc>
          <w:tcPr>
            <w:tcW w:type="dxa" w:w="2160"/>
            <w:shd w:val="clear" w:color="auto" w:fill="FFFFFF"/>
          </w:tcPr>
          <w:p>
            <w:r>
              <w:rPr>
                <w:rFonts w:ascii="Times New Roman" w:hAnsi="Times New Roman"/>
                <w:b w:val="0"/>
                <w:sz w:val="20"/>
              </w:rPr>
              <w:t>Sensitive operations</w:t>
            </w:r>
          </w:p>
        </w:tc>
        <w:tc>
          <w:tcPr>
            <w:tcW w:type="dxa" w:w="3168"/>
            <w:shd w:val="clear" w:color="auto" w:fill="FFFFFF"/>
          </w:tcPr>
          <w:p>
            <w:r>
              <w:rPr>
                <w:rFonts w:ascii="Times New Roman" w:hAnsi="Times New Roman"/>
                <w:b w:val="0"/>
                <w:sz w:val="20"/>
              </w:rPr>
              <w:t>device create/update, session events, bootstrap</w:t>
            </w:r>
          </w:p>
        </w:tc>
      </w:tr>
      <w:tr>
        <w:tc>
          <w:tcPr>
            <w:tcW w:type="dxa" w:w="1728"/>
            <w:shd w:val="clear" w:color="auto" w:fill="EBF3FB"/>
          </w:tcPr>
          <w:p>
            <w:r>
              <w:rPr>
                <w:rFonts w:ascii="Times New Roman" w:hAnsi="Times New Roman"/>
                <w:b w:val="0"/>
                <w:sz w:val="20"/>
              </w:rPr>
              <w:t>Secrets Management</w:t>
            </w:r>
          </w:p>
        </w:tc>
        <w:tc>
          <w:tcPr>
            <w:tcW w:type="dxa" w:w="2592"/>
            <w:shd w:val="clear" w:color="auto" w:fill="EBF3FB"/>
          </w:tcPr>
          <w:p>
            <w:r>
              <w:rPr>
                <w:rFonts w:ascii="Times New Roman" w:hAnsi="Times New Roman"/>
                <w:b w:val="0"/>
                <w:sz w:val="20"/>
              </w:rPr>
              <w:t>Environment variables only</w:t>
            </w:r>
          </w:p>
        </w:tc>
        <w:tc>
          <w:tcPr>
            <w:tcW w:type="dxa" w:w="2160"/>
            <w:shd w:val="clear" w:color="auto" w:fill="EBF3FB"/>
          </w:tcPr>
          <w:p>
            <w:r>
              <w:rPr>
                <w:rFonts w:ascii="Times New Roman" w:hAnsi="Times New Roman"/>
                <w:b w:val="0"/>
                <w:sz w:val="20"/>
              </w:rPr>
              <w:t>Server-side containers</w:t>
            </w:r>
          </w:p>
        </w:tc>
        <w:tc>
          <w:tcPr>
            <w:tcW w:type="dxa" w:w="3168"/>
            <w:shd w:val="clear" w:color="auto" w:fill="EBF3FB"/>
          </w:tcPr>
          <w:p>
            <w:r>
              <w:rPr>
                <w:rFonts w:ascii="Times New Roman" w:hAnsi="Times New Roman"/>
                <w:b w:val="0"/>
                <w:sz w:val="20"/>
              </w:rPr>
              <w:t>.env file, never committed to Git or screenshots</w:t>
            </w:r>
          </w:p>
        </w:tc>
      </w:tr>
    </w:tbl>
    <w:p/>
    <w:p>
      <w:pPr>
        <w:spacing w:before="240" w:after="80"/>
      </w:pPr>
      <w:r>
        <w:rPr>
          <w:rFonts w:ascii="Times New Roman" w:hAnsi="Times New Roman"/>
          <w:b/>
          <w:sz w:val="24"/>
        </w:rPr>
        <w:t>18.4 Device Security</w:t>
      </w:r>
    </w:p>
    <w:p>
      <w:pPr>
        <w:spacing w:after="120"/>
        <w:ind w:firstLine="0"/>
        <w:jc w:val="both"/>
      </w:pPr>
      <w:r>
        <w:rPr>
          <w:rFonts w:ascii="Times New Roman" w:hAnsi="Times New Roman"/>
          <w:b/>
          <w:sz w:val="22"/>
        </w:rPr>
        <w:t xml:space="preserve">Bootstrap Provisioning Flow: </w:t>
      </w:r>
      <w:r>
        <w:rPr>
          <w:rFonts w:ascii="Times New Roman" w:hAnsi="Times New Roman"/>
          <w:b w:val="0"/>
          <w:sz w:val="22"/>
        </w:rPr>
        <w:t>Device security is important because ESP32 devices are the entry point for physiological signals. The final device design should avoid permanent shared credentials whenever possible. AscultiCor uses a bootstrap flow in which an administrator creates a device record, assigns it to an organization, and stores a hashed device secret. The technician configures the ESP32 with the device ID, device secret, WiFi settings, and bootstrap endpoint.</w:t>
      </w:r>
    </w:p>
    <w:p>
      <w:pPr>
        <w:spacing w:after="120"/>
        <w:ind w:firstLine="0"/>
        <w:jc w:val="both"/>
      </w:pPr>
      <w:r>
        <w:rPr>
          <w:rFonts w:ascii="Times New Roman" w:hAnsi="Times New Roman"/>
          <w:b/>
          <w:sz w:val="22"/>
        </w:rPr>
        <w:t xml:space="preserve">Per-Device MQTT Credentials: </w:t>
      </w:r>
      <w:r>
        <w:rPr>
          <w:rFonts w:ascii="Times New Roman" w:hAnsi="Times New Roman"/>
          <w:b w:val="0"/>
          <w:sz w:val="22"/>
        </w:rPr>
        <w:t>When the device calls the bootstrap API, the backend validates the provided secret against the stored hash. If the credentials are valid, the backend returns the organization ID and MQTT connection details. The implementation supports per-device MQTT credentials, which is safer than using one shared broker password for every device. The bootstrap request is also written to the audit log so that device provisioning activity can be reviewed later.</w:t>
      </w:r>
    </w:p>
    <w:p>
      <w:pPr>
        <w:spacing w:after="120"/>
        <w:ind w:firstLine="0"/>
        <w:jc w:val="both"/>
      </w:pPr>
      <w:r>
        <w:rPr>
          <w:rFonts w:ascii="Times New Roman" w:hAnsi="Times New Roman"/>
          <w:b/>
          <w:sz w:val="22"/>
        </w:rPr>
        <w:t xml:space="preserve">Mosquitto ACL Enforcement: </w:t>
      </w:r>
      <w:r>
        <w:rPr>
          <w:rFonts w:ascii="Times New Roman" w:hAnsi="Times New Roman"/>
          <w:b w:val="0"/>
          <w:sz w:val="22"/>
        </w:rPr>
        <w:t>The Mosquitto broker uses authentication and an ACL file. A runtime synchronization script reads device MQTT credentials from Supabase and regenerates the Mosquitto password and ACL configuration. The ACL design restricts each device to its own topic namespace, such as its organization and device path. This reduces the impact of a compromised device because it should not be able to publish into another device's topic path.</w:t>
      </w:r>
    </w:p>
    <w:p>
      <w:pPr>
        <w:spacing w:after="120"/>
        <w:ind w:firstLine="0"/>
        <w:jc w:val="both"/>
      </w:pPr>
      <w:r>
        <w:rPr>
          <w:rFonts w:ascii="Times New Roman" w:hAnsi="Times New Roman"/>
          <w:b/>
          <w:sz w:val="22"/>
        </w:rPr>
        <w:t xml:space="preserve">MQTT Exposure Boundary: </w:t>
      </w:r>
      <w:r>
        <w:rPr>
          <w:rFonts w:ascii="Times New Roman" w:hAnsi="Times New Roman"/>
          <w:b w:val="0"/>
          <w:sz w:val="22"/>
        </w:rPr>
        <w:t>For local development, MQTT may be bound to 127.0.0.1 or a trusted LAN address. For hardened cloud deployment, the broker should not be opened directly to the public internet without additional protection. Safer options include MQTT over TLS, a VPN or private tunnel, or a managed IoT broker. Device credential rotation should also be planned so that a lost or compromised device can be disabled without changing credentials for all devices.</w:t>
      </w:r>
    </w:p>
    <w:p>
      <w:pPr>
        <w:spacing w:after="120"/>
        <w:ind w:firstLine="0"/>
        <w:jc w:val="both"/>
      </w:pPr>
      <w:r>
        <w:rPr>
          <w:rFonts w:ascii="Times New Roman" w:hAnsi="Times New Roman"/>
          <w:b/>
          <w:sz w:val="22"/>
        </w:rPr>
        <w:t xml:space="preserve">Hostinger VPS Deployment Boundary: </w:t>
      </w:r>
      <w:r>
        <w:rPr>
          <w:rFonts w:ascii="Times New Roman" w:hAnsi="Times New Roman"/>
          <w:b w:val="0"/>
          <w:sz w:val="22"/>
        </w:rPr>
        <w:t>In Hostinger VPS deployment, this device boundary is especially important. The dashboard can be made public at https://srv1621744.hstgr.cloud, but the MQTT broker should remain private during the first rollout by keeping MQTT_WS_BIND_ADDRESS=127.0.0.1. This means the initial cloud deployment is ready for dashboard access, automation, and backend verification, while direct remote ESP32 publishing requires a later MQTT hardening step.</w:t>
      </w:r>
    </w:p>
    <w:p>
      <w:pPr>
        <w:spacing w:before="240" w:after="80"/>
      </w:pPr>
      <w:r>
        <w:rPr>
          <w:rFonts w:ascii="Times New Roman" w:hAnsi="Times New Roman"/>
          <w:b/>
          <w:sz w:val="24"/>
        </w:rPr>
        <w:t>18.5 API And Application Security</w:t>
      </w:r>
    </w:p>
    <w:p>
      <w:pPr>
        <w:spacing w:after="120"/>
        <w:ind w:firstLine="0"/>
        <w:jc w:val="both"/>
      </w:pPr>
      <w:r>
        <w:rPr>
          <w:rFonts w:ascii="Times New Roman" w:hAnsi="Times New Roman"/>
          <w:b/>
          <w:sz w:val="22"/>
        </w:rPr>
        <w:t xml:space="preserve">NGINX as Security Boundary: </w:t>
      </w:r>
      <w:r>
        <w:rPr>
          <w:rFonts w:ascii="Times New Roman" w:hAnsi="Times New Roman"/>
          <w:b w:val="0"/>
          <w:sz w:val="22"/>
        </w:rPr>
        <w:t>The application security model uses several controls. Public browser traffic is routed through NGINX over HTTPS. NGINX forwards requests to the frontend, MQTT WebSocket endpoint, and inference API through the internal Docker network. This keeps direct container ports away from the public internet.</w:t>
      </w:r>
    </w:p>
    <w:p>
      <w:pPr>
        <w:spacing w:after="120"/>
        <w:ind w:firstLine="0"/>
        <w:jc w:val="both"/>
      </w:pPr>
      <w:r>
        <w:rPr>
          <w:rFonts w:ascii="Times New Roman" w:hAnsi="Times New Roman"/>
          <w:b/>
          <w:sz w:val="22"/>
        </w:rPr>
        <w:t xml:space="preserve">Public Surface Minimization: </w:t>
      </w:r>
      <w:r>
        <w:rPr>
          <w:rFonts w:ascii="Times New Roman" w:hAnsi="Times New Roman"/>
          <w:b w:val="0"/>
          <w:sz w:val="22"/>
        </w:rPr>
        <w:t>On the Hostinger VPS, the public hostname is srv1621744.hstgr.cloud. The intended public surface is HTTPS on port 443 for the dashboard and, if needed, HTTPS on port 8443 for n8n. The internal service ports remain bound to loopback or Docker networking. This prevents users from directly reaching the Next.js runtime port, FastAPI runtime port, MQTT broker port, or n8n runtime port.</w:t>
      </w:r>
    </w:p>
    <w:p>
      <w:pPr>
        <w:spacing w:after="120"/>
        <w:ind w:firstLine="0"/>
        <w:jc w:val="both"/>
      </w:pPr>
      <w:r>
        <w:rPr>
          <w:rFonts w:ascii="Times New Roman" w:hAnsi="Times New Roman"/>
          <w:b/>
          <w:sz w:val="22"/>
        </w:rPr>
        <w:t xml:space="preserve">Environment-Based Secrets Management: </w:t>
      </w:r>
      <w:r>
        <w:rPr>
          <w:rFonts w:ascii="Times New Roman" w:hAnsi="Times New Roman"/>
          <w:b w:val="0"/>
          <w:sz w:val="22"/>
        </w:rPr>
        <w:t>Backend services use environment variables for secrets and configuration. Important variables include the Supabase URL, Supabase anon key, service-role key, MQTT credentials, internal API token, inference internal token, allowed origins, trusted hosts, and TLS certificate paths. Real secret values must not be documented in the book, committed to source control, or shared in screenshots.</w:t>
      </w:r>
    </w:p>
    <w:p>
      <w:pPr>
        <w:spacing w:after="120"/>
        <w:ind w:firstLine="0"/>
        <w:jc w:val="both"/>
      </w:pPr>
      <w:r>
        <w:rPr>
          <w:rFonts w:ascii="Times New Roman" w:hAnsi="Times New Roman"/>
          <w:b/>
          <w:sz w:val="22"/>
        </w:rPr>
        <w:t xml:space="preserve">Internal API Token Protection: </w:t>
      </w:r>
      <w:r>
        <w:rPr>
          <w:rFonts w:ascii="Times New Roman" w:hAnsi="Times New Roman"/>
          <w:b w:val="0"/>
          <w:sz w:val="22"/>
        </w:rPr>
        <w:t>Internal operational endpoints are protected with shared internal tokens. The frontend and n8n workflows use INTERNAL_API_TOKEN for protected application tasks such as report queue processing and workflow actions. The inference service uses INFERENCE_INTERNAL_TOKEN for protected operational endpoints such as configuration and metrics. This prevents casual public access to sensitive operational information.</w:t>
      </w:r>
    </w:p>
    <w:p>
      <w:pPr>
        <w:spacing w:after="120"/>
        <w:ind w:firstLine="0"/>
        <w:jc w:val="both"/>
      </w:pPr>
      <w:r>
        <w:rPr>
          <w:rFonts w:ascii="Times New Roman" w:hAnsi="Times New Roman"/>
          <w:b/>
          <w:sz w:val="22"/>
        </w:rPr>
        <w:t xml:space="preserve">Inference Service Security Middleware: </w:t>
      </w:r>
      <w:r>
        <w:rPr>
          <w:rFonts w:ascii="Times New Roman" w:hAnsi="Times New Roman"/>
          <w:b w:val="0"/>
          <w:sz w:val="22"/>
        </w:rPr>
        <w:t>The inference service includes security middleware features. It supports CORS restrictions through ALLOWED_ORIGINS, trusted host validation through TRUSTED_HOSTS, security headers when enabled, and rate limiting for API endpoints. Security headers include protections such as content type restrictions, frame denial, HSTS, referrer policy, permissions policy, and a configurable Content Security Policy.</w:t>
      </w:r>
    </w:p>
    <w:p>
      <w:pPr>
        <w:spacing w:after="120"/>
        <w:ind w:firstLine="0"/>
        <w:jc w:val="both"/>
      </w:pPr>
      <w:r>
        <w:rPr>
          <w:rFonts w:ascii="Times New Roman" w:hAnsi="Times New Roman"/>
          <w:b/>
          <w:sz w:val="22"/>
        </w:rPr>
        <w:t xml:space="preserve">Input Validation at API Boundaries: </w:t>
      </w:r>
      <w:r>
        <w:rPr>
          <w:rFonts w:ascii="Times New Roman" w:hAnsi="Times New Roman"/>
          <w:b w:val="0"/>
          <w:sz w:val="22"/>
        </w:rPr>
        <w:t>Input validation is applied at API boundaries. Device bootstrap requires both device_id and device_secret. Session, device, report, and automation routes validate the required fields before performing database updates. This is especially important because the system connects many components: browser users, ESP32 devices, MQTT messages, automation workflows, and external LLM providers.</w:t>
      </w:r>
    </w:p>
    <w:p>
      <w:pPr>
        <w:spacing w:before="240" w:after="80"/>
      </w:pPr>
      <w:r>
        <w:rPr>
          <w:rFonts w:ascii="Times New Roman" w:hAnsi="Times New Roman"/>
          <w:b/>
          <w:sz w:val="24"/>
        </w:rPr>
        <w:t>18.6 Privacy And Data Retention</w:t>
      </w:r>
    </w:p>
    <w:p>
      <w:pPr>
        <w:spacing w:after="120"/>
        <w:ind w:firstLine="0"/>
        <w:jc w:val="both"/>
      </w:pPr>
      <w:r>
        <w:rPr>
          <w:rFonts w:ascii="Times New Roman" w:hAnsi="Times New Roman"/>
          <w:b/>
          <w:sz w:val="22"/>
        </w:rPr>
        <w:t xml:space="preserve">Sensitive Data Categories: </w:t>
      </w:r>
      <w:r>
        <w:rPr>
          <w:rFonts w:ascii="Times New Roman" w:hAnsi="Times New Roman"/>
          <w:b w:val="0"/>
          <w:sz w:val="22"/>
        </w:rPr>
        <w:t>AscultiCor stores health-related data, including patient metadata, ECG and PCG recordings, live signal metrics, AI predictions, notes, alerts, and generated reports. These records should be treated as sensitive even in a prototype environment.</w:t>
      </w:r>
    </w:p>
    <w:p>
      <w:pPr>
        <w:spacing w:after="120"/>
        <w:ind w:firstLine="0"/>
        <w:jc w:val="both"/>
      </w:pPr>
      <w:r>
        <w:rPr>
          <w:rFonts w:ascii="Times New Roman" w:hAnsi="Times New Roman"/>
          <w:b/>
          <w:sz w:val="22"/>
        </w:rPr>
        <w:t xml:space="preserve">Privacy Control Implementation: </w:t>
      </w:r>
      <w:r>
        <w:rPr>
          <w:rFonts w:ascii="Times New Roman" w:hAnsi="Times New Roman"/>
          <w:b w:val="0"/>
          <w:sz w:val="22"/>
        </w:rPr>
        <w:t>The project uses several privacy controls. Supabase Storage stores recordings in a private bucket. Storage policies allow authenticated users to view recordings only inside their organization, while uploads from backend inference services use the service role. Database RLS prevents cross-organization access to patient and session records. Audit logs record events such as device creation, device update, session start, note addition, deletion, bootstrap requests, and other sensitive operations.</w:t>
      </w:r>
    </w:p>
    <w:p>
      <w:pPr>
        <w:spacing w:after="120"/>
        <w:ind w:firstLine="0"/>
        <w:jc w:val="both"/>
      </w:pPr>
      <w:r>
        <w:rPr>
          <w:rFonts w:ascii="Times New Roman" w:hAnsi="Times New Roman"/>
          <w:b/>
          <w:sz w:val="22"/>
        </w:rPr>
        <w:t xml:space="preserve">De-identification for Academic Use: </w:t>
      </w:r>
      <w:r>
        <w:rPr>
          <w:rFonts w:ascii="Times New Roman" w:hAnsi="Times New Roman"/>
          <w:b w:val="0"/>
          <w:sz w:val="22"/>
        </w:rPr>
        <w:t>For demonstrations and academic testing, de-identification should be used whenever possible. Patient names, emails, and identifiers can be replaced with synthetic values. Real clinical data should not be uploaded unless the team has explicit permission, a clear retention policy, and approval from the responsible institution. Generated reports should also be reviewed as decision-support text rather than treated as final clinical diagnosis.</w:t>
      </w:r>
    </w:p>
    <w:p>
      <w:pPr>
        <w:spacing w:after="120"/>
        <w:ind w:firstLine="0"/>
        <w:jc w:val="both"/>
      </w:pPr>
      <w:r>
        <w:rPr>
          <w:rFonts w:ascii="Times New Roman" w:hAnsi="Times New Roman"/>
          <w:b/>
          <w:sz w:val="22"/>
        </w:rPr>
        <w:t xml:space="preserve">Data Retention Policy: </w:t>
      </w:r>
      <w:r>
        <w:rPr>
          <w:rFonts w:ascii="Times New Roman" w:hAnsi="Times New Roman"/>
          <w:b w:val="0"/>
          <w:sz w:val="22"/>
        </w:rPr>
        <w:t>Data retention should be defined before production use. The project should specify how long raw recordings, predictions, audit logs, and generated reports are kept. Shorter retention may be appropriate for test data, while longer retention may be needed for validated research records. Backups must follow the same privacy rules as the primary database, because a backup can contain the same sensitive information.</w:t>
      </w:r>
    </w:p>
    <w:p>
      <w:pPr>
        <w:spacing w:before="240" w:after="80"/>
      </w:pPr>
      <w:r>
        <w:rPr>
          <w:rFonts w:ascii="Times New Roman" w:hAnsi="Times New Roman"/>
          <w:b/>
          <w:sz w:val="24"/>
        </w:rPr>
        <w:t>18.7 Incident Response</w:t>
      </w:r>
    </w:p>
    <w:p>
      <w:pPr>
        <w:spacing w:after="120"/>
        <w:ind w:firstLine="0"/>
        <w:jc w:val="both"/>
      </w:pPr>
      <w:r>
        <w:rPr>
          <w:rFonts w:ascii="Times New Roman" w:hAnsi="Times New Roman"/>
          <w:b/>
          <w:sz w:val="22"/>
        </w:rPr>
        <w:t xml:space="preserve">Incident Categories: </w:t>
      </w:r>
      <w:r>
        <w:rPr>
          <w:rFonts w:ascii="Times New Roman" w:hAnsi="Times New Roman"/>
          <w:b w:val="0"/>
          <w:sz w:val="22"/>
        </w:rPr>
        <w:t>Incident response defines how the team reacts when security controls fail or suspicious activity occurs. The most likely incidents for this project are leaked environment variables, exposed service-role keys, compromised device credentials, suspicious audit log events, accidental public exposure of MQTT, or accidental sharing of patient data.</w:t>
      </w:r>
    </w:p>
    <w:p>
      <w:pPr>
        <w:spacing w:after="120"/>
        <w:ind w:firstLine="0"/>
        <w:jc w:val="both"/>
      </w:pPr>
      <w:r>
        <w:rPr>
          <w:rFonts w:ascii="Times New Roman" w:hAnsi="Times New Roman"/>
          <w:b/>
          <w:sz w:val="22"/>
        </w:rPr>
        <w:t xml:space="preserve">Credential Leak Response: </w:t>
      </w:r>
      <w:r>
        <w:rPr>
          <w:rFonts w:ascii="Times New Roman" w:hAnsi="Times New Roman"/>
          <w:b w:val="0"/>
          <w:sz w:val="22"/>
        </w:rPr>
        <w:t>If a Supabase service-role key or internal API token is leaked, the first response should be to revoke or rotate the affected key immediately. After rotation, the .env file on the VM and any deployment secrets must be updated, containers must be restarted, and the audit logs should be reviewed for unusual access. Any screenshots, chat messages, or repository commits containing the secret should be removed or invalidated.</w:t>
      </w:r>
    </w:p>
    <w:p>
      <w:pPr>
        <w:spacing w:after="120"/>
        <w:ind w:firstLine="0"/>
        <w:jc w:val="both"/>
      </w:pPr>
      <w:r>
        <w:rPr>
          <w:rFonts w:ascii="Times New Roman" w:hAnsi="Times New Roman"/>
          <w:b/>
          <w:sz w:val="22"/>
        </w:rPr>
        <w:t xml:space="preserve">Compromised Device Response: </w:t>
      </w:r>
      <w:r>
        <w:rPr>
          <w:rFonts w:ascii="Times New Roman" w:hAnsi="Times New Roman"/>
          <w:b w:val="0"/>
          <w:sz w:val="22"/>
        </w:rPr>
        <w:t>If a device is compromised, the device record should be disabled or its credentials rotated. The Mosquitto credential synchronization process should then reload the broker configuration so the compromised credentials no longer work. The team should review MQTT logs, device telemetry, session records, and audit logs to identify whether invalid data was sent.</w:t>
      </w:r>
    </w:p>
    <w:p>
      <w:pPr>
        <w:spacing w:after="120"/>
        <w:ind w:firstLine="0"/>
        <w:jc w:val="both"/>
      </w:pPr>
      <w:r>
        <w:rPr>
          <w:rFonts w:ascii="Times New Roman" w:hAnsi="Times New Roman"/>
          <w:b/>
          <w:sz w:val="22"/>
        </w:rPr>
        <w:t xml:space="preserve">Data Exposure Response: </w:t>
      </w:r>
      <w:r>
        <w:rPr>
          <w:rFonts w:ascii="Times New Roman" w:hAnsi="Times New Roman"/>
          <w:b w:val="0"/>
          <w:sz w:val="22"/>
        </w:rPr>
        <w:t>If patient data is exposed, the team should identify the affected records, remove public access, preserve logs for investigation, and notify the responsible supervisor or institution. For a production medical system, this process would require a formal privacy and compliance workflow. For the graduation prototype, documenting these steps demonstrates that the team understands the operational responsibility of handling sensitive health information.</w:t>
      </w:r>
    </w:p>
    <w:p>
      <w:pPr>
        <w:spacing w:before="160" w:after="40"/>
      </w:pPr>
      <w:r>
        <w:rPr>
          <w:rFonts w:ascii="Times New Roman" w:hAnsi="Times New Roman"/>
          <w:b/>
          <w:sz w:val="22"/>
        </w:rPr>
        <w:t>Table 18.1: Security Control Checklist</w:t>
      </w:r>
    </w:p>
    <w:tbl>
      <w:tblPr>
        <w:tblStyle w:val="TableGrid"/>
        <w:tblW w:type="auto" w:w="0"/>
        <w:tblLook w:firstColumn="1" w:firstRow="1" w:lastColumn="0" w:lastRow="0" w:noHBand="0" w:noVBand="1" w:val="04A0"/>
      </w:tblPr>
      <w:tblGrid>
        <w:gridCol w:w="3041"/>
        <w:gridCol w:w="3041"/>
        <w:gridCol w:w="3041"/>
      </w:tblGrid>
      <w:tr>
        <w:tc>
          <w:tcPr>
            <w:tcW w:type="dxa" w:w="1872"/>
            <w:shd w:val="clear" w:color="auto" w:fill="1F3864"/>
          </w:tcPr>
          <w:p>
            <w:pPr>
              <w:jc w:val="center"/>
            </w:pPr>
            <w:r>
              <w:rPr>
                <w:rFonts w:ascii="Times New Roman" w:hAnsi="Times New Roman"/>
                <w:b/>
                <w:color w:val="FFFFFF"/>
                <w:sz w:val="20"/>
              </w:rPr>
              <w:t>Area</w:t>
            </w:r>
          </w:p>
        </w:tc>
        <w:tc>
          <w:tcPr>
            <w:tcW w:type="dxa" w:w="5040"/>
            <w:shd w:val="clear" w:color="auto" w:fill="1F3864"/>
          </w:tcPr>
          <w:p>
            <w:pPr>
              <w:jc w:val="center"/>
            </w:pPr>
            <w:r>
              <w:rPr>
                <w:rFonts w:ascii="Times New Roman" w:hAnsi="Times New Roman"/>
                <w:b/>
                <w:color w:val="FFFFFF"/>
                <w:sz w:val="20"/>
              </w:rPr>
              <w:t>Checklist Item</w:t>
            </w:r>
          </w:p>
        </w:tc>
        <w:tc>
          <w:tcPr>
            <w:tcW w:type="dxa" w:w="2016"/>
            <w:shd w:val="clear" w:color="auto" w:fill="1F3864"/>
          </w:tcPr>
          <w:p>
            <w:pPr>
              <w:jc w:val="center"/>
            </w:pPr>
            <w:r>
              <w:rPr>
                <w:rFonts w:ascii="Times New Roman" w:hAnsi="Times New Roman"/>
                <w:b/>
                <w:color w:val="FFFFFF"/>
                <w:sz w:val="20"/>
              </w:rPr>
              <w:t>Status</w:t>
            </w:r>
          </w:p>
        </w:tc>
      </w:tr>
      <w:tr>
        <w:tc>
          <w:tcPr>
            <w:tcW w:type="dxa" w:w="1872"/>
            <w:shd w:val="clear" w:color="auto" w:fill="FFFFFF"/>
          </w:tcPr>
          <w:p>
            <w:r>
              <w:rPr>
                <w:rFonts w:ascii="Times New Roman" w:hAnsi="Times New Roman"/>
                <w:b w:val="0"/>
                <w:sz w:val="20"/>
              </w:rPr>
              <w:t>TLS</w:t>
            </w:r>
          </w:p>
        </w:tc>
        <w:tc>
          <w:tcPr>
            <w:tcW w:type="dxa" w:w="5040"/>
            <w:shd w:val="clear" w:color="auto" w:fill="FFFFFF"/>
          </w:tcPr>
          <w:p>
            <w:r>
              <w:rPr>
                <w:rFonts w:ascii="Times New Roman" w:hAnsi="Times New Roman"/>
                <w:b w:val="0"/>
                <w:sz w:val="20"/>
              </w:rPr>
              <w:t>Use valid TLS certificates for all public domains</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Public Exposure</w:t>
            </w:r>
          </w:p>
        </w:tc>
        <w:tc>
          <w:tcPr>
            <w:tcW w:type="dxa" w:w="5040"/>
            <w:shd w:val="clear" w:color="auto" w:fill="EBF3FB"/>
          </w:tcPr>
          <w:p>
            <w:r>
              <w:rPr>
                <w:rFonts w:ascii="Times New Roman" w:hAnsi="Times New Roman"/>
                <w:b w:val="0"/>
                <w:sz w:val="20"/>
              </w:rPr>
              <w:t>Keep frontend, inference, MQTT, and n8n container ports private</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MQTT</w:t>
            </w:r>
          </w:p>
        </w:tc>
        <w:tc>
          <w:tcPr>
            <w:tcW w:type="dxa" w:w="5040"/>
            <w:shd w:val="clear" w:color="auto" w:fill="FFFFFF"/>
          </w:tcPr>
          <w:p>
            <w:r>
              <w:rPr>
                <w:rFonts w:ascii="Times New Roman" w:hAnsi="Times New Roman"/>
                <w:b w:val="0"/>
                <w:sz w:val="20"/>
              </w:rPr>
              <w:t>Use MQTT over TLS, VPN, or managed broker for remote devices</w:t>
            </w:r>
          </w:p>
        </w:tc>
        <w:tc>
          <w:tcPr>
            <w:tcW w:type="dxa" w:w="2016"/>
            <w:shd w:val="clear" w:color="auto" w:fill="FFFFFF"/>
          </w:tcPr>
          <w:p>
            <w:r>
              <w:rPr>
                <w:rFonts w:ascii="Times New Roman" w:hAnsi="Times New Roman"/>
                <w:b w:val="0"/>
                <w:sz w:val="20"/>
              </w:rPr>
              <w:t>Required before public IoT</w:t>
            </w:r>
          </w:p>
        </w:tc>
      </w:tr>
      <w:tr>
        <w:tc>
          <w:tcPr>
            <w:tcW w:type="dxa" w:w="1872"/>
            <w:shd w:val="clear" w:color="auto" w:fill="EBF3FB"/>
          </w:tcPr>
          <w:p>
            <w:r>
              <w:rPr>
                <w:rFonts w:ascii="Times New Roman" w:hAnsi="Times New Roman"/>
                <w:b w:val="0"/>
                <w:sz w:val="20"/>
              </w:rPr>
              <w:t>Supabase</w:t>
            </w:r>
          </w:p>
        </w:tc>
        <w:tc>
          <w:tcPr>
            <w:tcW w:type="dxa" w:w="5040"/>
            <w:shd w:val="clear" w:color="auto" w:fill="EBF3FB"/>
          </w:tcPr>
          <w:p>
            <w:r>
              <w:rPr>
                <w:rFonts w:ascii="Times New Roman" w:hAnsi="Times New Roman"/>
                <w:b w:val="0"/>
                <w:sz w:val="20"/>
              </w:rPr>
              <w:t>Confirm RLS is enabled on all sensitive tables</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Storage</w:t>
            </w:r>
          </w:p>
        </w:tc>
        <w:tc>
          <w:tcPr>
            <w:tcW w:type="dxa" w:w="5040"/>
            <w:shd w:val="clear" w:color="auto" w:fill="FFFFFF"/>
          </w:tcPr>
          <w:p>
            <w:r>
              <w:rPr>
                <w:rFonts w:ascii="Times New Roman" w:hAnsi="Times New Roman"/>
                <w:b w:val="0"/>
                <w:sz w:val="20"/>
              </w:rPr>
              <w:t>Use private buckets and organization-scoped storage policies</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Service Role Key</w:t>
            </w:r>
          </w:p>
        </w:tc>
        <w:tc>
          <w:tcPr>
            <w:tcW w:type="dxa" w:w="5040"/>
            <w:shd w:val="clear" w:color="auto" w:fill="EBF3FB"/>
          </w:tcPr>
          <w:p>
            <w:r>
              <w:rPr>
                <w:rFonts w:ascii="Times New Roman" w:hAnsi="Times New Roman"/>
                <w:b w:val="0"/>
                <w:sz w:val="20"/>
              </w:rPr>
              <w:t>Keep service-role key server-side only; rotate if exposed</w:t>
            </w:r>
          </w:p>
        </w:tc>
        <w:tc>
          <w:tcPr>
            <w:tcW w:type="dxa" w:w="2016"/>
            <w:shd w:val="clear" w:color="auto" w:fill="EBF3FB"/>
          </w:tcPr>
          <w:p>
            <w:r>
              <w:rPr>
                <w:rFonts w:ascii="Times New Roman" w:hAnsi="Times New Roman"/>
                <w:b w:val="0"/>
                <w:sz w:val="20"/>
              </w:rPr>
              <w:t>Critical</w:t>
            </w:r>
          </w:p>
        </w:tc>
      </w:tr>
      <w:tr>
        <w:tc>
          <w:tcPr>
            <w:tcW w:type="dxa" w:w="1872"/>
            <w:shd w:val="clear" w:color="auto" w:fill="FFFFFF"/>
          </w:tcPr>
          <w:p>
            <w:r>
              <w:rPr>
                <w:rFonts w:ascii="Times New Roman" w:hAnsi="Times New Roman"/>
                <w:b w:val="0"/>
                <w:sz w:val="20"/>
              </w:rPr>
              <w:t>Internal APIs</w:t>
            </w:r>
          </w:p>
        </w:tc>
        <w:tc>
          <w:tcPr>
            <w:tcW w:type="dxa" w:w="5040"/>
            <w:shd w:val="clear" w:color="auto" w:fill="FFFFFF"/>
          </w:tcPr>
          <w:p>
            <w:r>
              <w:rPr>
                <w:rFonts w:ascii="Times New Roman" w:hAnsi="Times New Roman"/>
                <w:b w:val="0"/>
                <w:sz w:val="20"/>
              </w:rPr>
              <w:t>Protect operational endpoints with strong internal tokens</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n8n</w:t>
            </w:r>
          </w:p>
        </w:tc>
        <w:tc>
          <w:tcPr>
            <w:tcW w:type="dxa" w:w="5040"/>
            <w:shd w:val="clear" w:color="auto" w:fill="EBF3FB"/>
          </w:tcPr>
          <w:p>
            <w:r>
              <w:rPr>
                <w:rFonts w:ascii="Times New Roman" w:hAnsi="Times New Roman"/>
                <w:b w:val="0"/>
                <w:sz w:val="20"/>
              </w:rPr>
              <w:t>Enable basic auth, strong encryption key, protect workflow credentials</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Environment</w:t>
            </w:r>
          </w:p>
        </w:tc>
        <w:tc>
          <w:tcPr>
            <w:tcW w:type="dxa" w:w="5040"/>
            <w:shd w:val="clear" w:color="auto" w:fill="FFFFFF"/>
          </w:tcPr>
          <w:p>
            <w:r>
              <w:rPr>
                <w:rFonts w:ascii="Times New Roman" w:hAnsi="Times New Roman"/>
                <w:b w:val="0"/>
                <w:sz w:val="20"/>
              </w:rPr>
              <w:t>Store secrets outside source control; never in screenshots or commits</w:t>
            </w:r>
          </w:p>
        </w:tc>
        <w:tc>
          <w:tcPr>
            <w:tcW w:type="dxa" w:w="2016"/>
            <w:shd w:val="clear" w:color="auto" w:fill="FFFFFF"/>
          </w:tcPr>
          <w:p>
            <w:r>
              <w:rPr>
                <w:rFonts w:ascii="Times New Roman" w:hAnsi="Times New Roman"/>
                <w:b w:val="0"/>
                <w:sz w:val="20"/>
              </w:rPr>
              <w:t>Critical</w:t>
            </w:r>
          </w:p>
        </w:tc>
      </w:tr>
      <w:tr>
        <w:tc>
          <w:tcPr>
            <w:tcW w:type="dxa" w:w="1872"/>
            <w:shd w:val="clear" w:color="auto" w:fill="EBF3FB"/>
          </w:tcPr>
          <w:p>
            <w:r>
              <w:rPr>
                <w:rFonts w:ascii="Times New Roman" w:hAnsi="Times New Roman"/>
                <w:b w:val="0"/>
                <w:sz w:val="20"/>
              </w:rPr>
              <w:t>CORS</w:t>
            </w:r>
          </w:p>
        </w:tc>
        <w:tc>
          <w:tcPr>
            <w:tcW w:type="dxa" w:w="5040"/>
            <w:shd w:val="clear" w:color="auto" w:fill="EBF3FB"/>
          </w:tcPr>
          <w:p>
            <w:r>
              <w:rPr>
                <w:rFonts w:ascii="Times New Roman" w:hAnsi="Times New Roman"/>
                <w:b w:val="0"/>
                <w:sz w:val="20"/>
              </w:rPr>
              <w:t>Restrict allowed origins to trusted domains only</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Trusted Hosts</w:t>
            </w:r>
          </w:p>
        </w:tc>
        <w:tc>
          <w:tcPr>
            <w:tcW w:type="dxa" w:w="5040"/>
            <w:shd w:val="clear" w:color="auto" w:fill="FFFFFF"/>
          </w:tcPr>
          <w:p>
            <w:r>
              <w:rPr>
                <w:rFonts w:ascii="Times New Roman" w:hAnsi="Times New Roman"/>
                <w:b w:val="0"/>
                <w:sz w:val="20"/>
              </w:rPr>
              <w:t>Restrict accepted hostnames to production domains and local maintenance</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Rate Limits</w:t>
            </w:r>
          </w:p>
        </w:tc>
        <w:tc>
          <w:tcPr>
            <w:tcW w:type="dxa" w:w="5040"/>
            <w:shd w:val="clear" w:color="auto" w:fill="EBF3FB"/>
          </w:tcPr>
          <w:p>
            <w:r>
              <w:rPr>
                <w:rFonts w:ascii="Times New Roman" w:hAnsi="Times New Roman"/>
                <w:b w:val="0"/>
                <w:sz w:val="20"/>
              </w:rPr>
              <w:t>Enable and tune API rate limits</w:t>
            </w:r>
          </w:p>
        </w:tc>
        <w:tc>
          <w:tcPr>
            <w:tcW w:type="dxa" w:w="2016"/>
            <w:shd w:val="clear" w:color="auto" w:fill="EBF3FB"/>
          </w:tcPr>
          <w:p>
            <w:r>
              <w:rPr>
                <w:rFonts w:ascii="Times New Roman" w:hAnsi="Times New Roman"/>
                <w:b w:val="0"/>
                <w:sz w:val="20"/>
              </w:rPr>
              <w:t>Recommended</w:t>
            </w:r>
          </w:p>
        </w:tc>
      </w:tr>
      <w:tr>
        <w:tc>
          <w:tcPr>
            <w:tcW w:type="dxa" w:w="1872"/>
            <w:shd w:val="clear" w:color="auto" w:fill="FFFFFF"/>
          </w:tcPr>
          <w:p>
            <w:r>
              <w:rPr>
                <w:rFonts w:ascii="Times New Roman" w:hAnsi="Times New Roman"/>
                <w:b w:val="0"/>
                <w:sz w:val="20"/>
              </w:rPr>
              <w:t>Backups</w:t>
            </w:r>
          </w:p>
        </w:tc>
        <w:tc>
          <w:tcPr>
            <w:tcW w:type="dxa" w:w="5040"/>
            <w:shd w:val="clear" w:color="auto" w:fill="FFFFFF"/>
          </w:tcPr>
          <w:p>
            <w:r>
              <w:rPr>
                <w:rFonts w:ascii="Times New Roman" w:hAnsi="Times New Roman"/>
                <w:b w:val="0"/>
                <w:sz w:val="20"/>
              </w:rPr>
              <w:t>Enable database, storage, n8n, Mosquitto, and model artifact backups</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Restore Testing</w:t>
            </w:r>
          </w:p>
        </w:tc>
        <w:tc>
          <w:tcPr>
            <w:tcW w:type="dxa" w:w="5040"/>
            <w:shd w:val="clear" w:color="auto" w:fill="EBF3FB"/>
          </w:tcPr>
          <w:p>
            <w:r>
              <w:rPr>
                <w:rFonts w:ascii="Times New Roman" w:hAnsi="Times New Roman"/>
                <w:b w:val="0"/>
                <w:sz w:val="20"/>
              </w:rPr>
              <w:t>Test at least one restore path before relying on backups</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Monitoring</w:t>
            </w:r>
          </w:p>
        </w:tc>
        <w:tc>
          <w:tcPr>
            <w:tcW w:type="dxa" w:w="5040"/>
            <w:shd w:val="clear" w:color="auto" w:fill="FFFFFF"/>
          </w:tcPr>
          <w:p>
            <w:r>
              <w:rPr>
                <w:rFonts w:ascii="Times New Roman" w:hAnsi="Times New Roman"/>
                <w:b w:val="0"/>
                <w:sz w:val="20"/>
              </w:rPr>
              <w:t>Check health endpoints, Docker logs, workflow logs, device last-seen</w:t>
            </w:r>
          </w:p>
        </w:tc>
        <w:tc>
          <w:tcPr>
            <w:tcW w:type="dxa" w:w="2016"/>
            <w:shd w:val="clear" w:color="auto" w:fill="FFFFFF"/>
          </w:tcPr>
          <w:p>
            <w:r>
              <w:rPr>
                <w:rFonts w:ascii="Times New Roman" w:hAnsi="Times New Roman"/>
                <w:b w:val="0"/>
                <w:sz w:val="20"/>
              </w:rPr>
              <w:t>Required</w:t>
            </w:r>
          </w:p>
        </w:tc>
      </w:tr>
      <w:tr>
        <w:tc>
          <w:tcPr>
            <w:tcW w:type="dxa" w:w="1872"/>
            <w:shd w:val="clear" w:color="auto" w:fill="EBF3FB"/>
          </w:tcPr>
          <w:p>
            <w:r>
              <w:rPr>
                <w:rFonts w:ascii="Times New Roman" w:hAnsi="Times New Roman"/>
                <w:b w:val="0"/>
                <w:sz w:val="20"/>
              </w:rPr>
              <w:t>Incident Response</w:t>
            </w:r>
          </w:p>
        </w:tc>
        <w:tc>
          <w:tcPr>
            <w:tcW w:type="dxa" w:w="5040"/>
            <w:shd w:val="clear" w:color="auto" w:fill="EBF3FB"/>
          </w:tcPr>
          <w:p>
            <w:r>
              <w:rPr>
                <w:rFonts w:ascii="Times New Roman" w:hAnsi="Times New Roman"/>
                <w:b w:val="0"/>
                <w:sz w:val="20"/>
              </w:rPr>
              <w:t>Document key rotation, device disabling, audit review procedures</w:t>
            </w:r>
          </w:p>
        </w:tc>
        <w:tc>
          <w:tcPr>
            <w:tcW w:type="dxa" w:w="2016"/>
            <w:shd w:val="clear" w:color="auto" w:fill="EBF3FB"/>
          </w:tcPr>
          <w:p>
            <w:r>
              <w:rPr>
                <w:rFonts w:ascii="Times New Roman" w:hAnsi="Times New Roman"/>
                <w:b w:val="0"/>
                <w:sz w:val="20"/>
              </w:rPr>
              <w:t>Required</w:t>
            </w:r>
          </w:p>
        </w:tc>
      </w:tr>
      <w:tr>
        <w:tc>
          <w:tcPr>
            <w:tcW w:type="dxa" w:w="1872"/>
            <w:shd w:val="clear" w:color="auto" w:fill="FFFFFF"/>
          </w:tcPr>
          <w:p>
            <w:r>
              <w:rPr>
                <w:rFonts w:ascii="Times New Roman" w:hAnsi="Times New Roman"/>
                <w:b w:val="0"/>
                <w:sz w:val="20"/>
              </w:rPr>
              <w:t>Clinical Safety</w:t>
            </w:r>
          </w:p>
        </w:tc>
        <w:tc>
          <w:tcPr>
            <w:tcW w:type="dxa" w:w="5040"/>
            <w:shd w:val="clear" w:color="auto" w:fill="FFFFFF"/>
          </w:tcPr>
          <w:p>
            <w:r>
              <w:rPr>
                <w:rFonts w:ascii="Times New Roman" w:hAnsi="Times New Roman"/>
                <w:b w:val="0"/>
                <w:sz w:val="20"/>
              </w:rPr>
              <w:t>Keep medical disclaimer visible; require clinician review of AI outputs</w:t>
            </w:r>
          </w:p>
        </w:tc>
        <w:tc>
          <w:tcPr>
            <w:tcW w:type="dxa" w:w="2016"/>
            <w:shd w:val="clear" w:color="auto" w:fill="FFFFFF"/>
          </w:tcPr>
          <w:p>
            <w:r>
              <w:rPr>
                <w:rFonts w:ascii="Times New Roman" w:hAnsi="Times New Roman"/>
                <w:b w:val="0"/>
                <w:sz w:val="20"/>
              </w:rPr>
              <w:t>Critical</w:t>
            </w:r>
          </w:p>
        </w:tc>
      </w:tr>
    </w:tbl>
    <w:p/>
    <w:p>
      <w:r>
        <w:br w:type="page"/>
      </w:r>
    </w:p>
    <w:p>
      <w:pPr>
        <w:spacing w:before="360" w:after="120"/>
      </w:pPr>
      <w:r>
        <w:rPr>
          <w:rFonts w:ascii="Times New Roman" w:hAnsi="Times New Roman"/>
          <w:b/>
          <w:sz w:val="28"/>
        </w:rPr>
        <w:t>Chapter (19): Deployment, Docker, NGINX, Cloud VM, And Operations</w:t>
      </w:r>
    </w:p>
    <w:p>
      <w:pPr>
        <w:spacing w:before="240" w:after="80"/>
      </w:pPr>
      <w:r>
        <w:rPr>
          <w:rFonts w:ascii="Times New Roman" w:hAnsi="Times New Roman"/>
          <w:b/>
          <w:sz w:val="24"/>
        </w:rPr>
        <w:t>19.1 DevOps Objective</w:t>
      </w:r>
    </w:p>
    <w:p>
      <w:pPr>
        <w:spacing w:after="120"/>
        <w:ind w:firstLine="0"/>
        <w:jc w:val="both"/>
      </w:pPr>
      <w:r>
        <w:rPr>
          <w:rFonts w:ascii="Times New Roman" w:hAnsi="Times New Roman"/>
          <w:b/>
          <w:sz w:val="22"/>
        </w:rPr>
        <w:t xml:space="preserve">Deployment Objective: </w:t>
      </w:r>
      <w:r>
        <w:rPr>
          <w:rFonts w:ascii="Times New Roman" w:hAnsi="Times New Roman"/>
          <w:b w:val="0"/>
          <w:sz w:val="22"/>
        </w:rPr>
        <w:t>The DevOps objective is to make AscultiCor reproducible, deployable, secure, observable, and maintainable. The project contains multiple services written with different technologies: a Next.js frontend, a FastAPI inference service, a Mosquitto MQTT broker, Supabase backend services, optional n8n automation, ML model artifacts, and ESP32 firmware. Without a structured deployment layer, these components would be difficult to run consistently across team laptops, demo machines, and the cloud VM.</w:t>
      </w:r>
    </w:p>
    <w:p>
      <w:pPr>
        <w:spacing w:after="120"/>
        <w:ind w:firstLine="0"/>
        <w:jc w:val="both"/>
      </w:pPr>
      <w:r>
        <w:rPr>
          <w:rFonts w:ascii="Times New Roman" w:hAnsi="Times New Roman"/>
          <w:b/>
          <w:sz w:val="22"/>
        </w:rPr>
        <w:t xml:space="preserve">Toolchain Overview: </w:t>
      </w:r>
      <w:r>
        <w:rPr>
          <w:rFonts w:ascii="Times New Roman" w:hAnsi="Times New Roman"/>
          <w:b w:val="0"/>
          <w:sz w:val="22"/>
        </w:rPr>
        <w:t>Docker Compose is used to package and run the local and cloud services. NGINX acts as the secure public entry point. Environment variables separate configuration from source code. Health endpoints, service logs, and operational checklists help the team verify that the system is running correctly. The final result is a deployment design that supports local development, cloud staging, and future production hardening.</w:t>
      </w:r>
    </w:p>
    <w:p>
      <w:pPr>
        <w:spacing w:before="240" w:after="80"/>
      </w:pPr>
      <w:r>
        <w:rPr>
          <w:rFonts w:ascii="Times New Roman" w:hAnsi="Times New Roman"/>
          <w:b/>
          <w:sz w:val="24"/>
        </w:rPr>
        <w:t>19.2 Local Development Environment</w:t>
      </w:r>
    </w:p>
    <w:p>
      <w:pPr>
        <w:spacing w:after="120"/>
        <w:ind w:firstLine="0"/>
        <w:jc w:val="both"/>
      </w:pPr>
      <w:r>
        <w:rPr>
          <w:rFonts w:ascii="Times New Roman" w:hAnsi="Times New Roman"/>
          <w:b/>
          <w:sz w:val="22"/>
        </w:rPr>
        <w:t xml:space="preserve">Setup Philosophy: </w:t>
      </w:r>
      <w:r>
        <w:rPr>
          <w:rFonts w:ascii="Times New Roman" w:hAnsi="Times New Roman"/>
          <w:b w:val="0"/>
          <w:sz w:val="22"/>
        </w:rPr>
        <w:t>The local development environment is designed to let team members run the complete platform with minimal manual setup. A developer copies the environment template, fills in the required Supabase and MQTT values, applies the database migrations, and starts the services with Docker Compose.</w:t>
      </w:r>
    </w:p>
    <w:p>
      <w:pPr>
        <w:spacing w:after="120"/>
        <w:ind w:firstLine="0"/>
        <w:jc w:val="both"/>
      </w:pPr>
      <w:r>
        <w:rPr>
          <w:rFonts w:ascii="Times New Roman" w:hAnsi="Times New Roman"/>
          <w:b/>
          <w:sz w:val="22"/>
        </w:rPr>
        <w:t xml:space="preserve">Core Local Services: </w:t>
      </w:r>
      <w:r>
        <w:rPr>
          <w:rFonts w:ascii="Times New Roman" w:hAnsi="Times New Roman"/>
          <w:b w:val="0"/>
          <w:sz w:val="22"/>
        </w:rPr>
        <w:t>The core local services are the Mosquitto broker, the FastAPI inference service, the Next.js frontend, and NGINX. The frontend provides the dashboard and API routes. The inference service subscribes to MQTT topics, buffers ECG and PCG samples, runs ML inference, and writes results to Supabase. Mosquitto routes device and simulator messages. NGINX provides a reverse proxy layer and can also expose MQTT over WebSockets for browser or device communication patterns.</w:t>
      </w:r>
    </w:p>
    <w:p>
      <w:pPr>
        <w:spacing w:after="120"/>
        <w:ind w:firstLine="0"/>
        <w:jc w:val="both"/>
      </w:pPr>
      <w:r>
        <w:rPr>
          <w:rFonts w:ascii="Times New Roman" w:hAnsi="Times New Roman"/>
          <w:b/>
          <w:sz w:val="22"/>
        </w:rPr>
        <w:t xml:space="preserve">Managed Supabase Backend: </w:t>
      </w:r>
      <w:r>
        <w:rPr>
          <w:rFonts w:ascii="Times New Roman" w:hAnsi="Times New Roman"/>
          <w:b w:val="0"/>
          <w:sz w:val="22"/>
        </w:rPr>
        <w:t>Supabase remains a managed external service in the recommended setup. It provides authentication, PostgreSQL database tables, RLS policies, private storage, and edge functions. This reduces the operational burden on the team because the VM does not have to run a separate PostgreSQL database or object storage service.</w:t>
      </w:r>
    </w:p>
    <w:p>
      <w:pPr>
        <w:spacing w:after="120"/>
        <w:ind w:firstLine="0"/>
        <w:jc w:val="both"/>
      </w:pPr>
      <w:r>
        <w:rPr>
          <w:rFonts w:ascii="Times New Roman" w:hAnsi="Times New Roman"/>
          <w:b/>
          <w:sz w:val="22"/>
        </w:rPr>
        <w:t xml:space="preserve">Local Verification: </w:t>
      </w:r>
      <w:r>
        <w:rPr>
          <w:rFonts w:ascii="Times New Roman" w:hAnsi="Times New Roman"/>
          <w:b w:val="0"/>
          <w:sz w:val="22"/>
        </w:rPr>
        <w:t>Local testing should verify that containers start successfully, the frontend can reach Supabase, the inference service can connect to MQTT, models are loaded, and test data can flow from device or simulator to dashboard. The main local command is:</w:t>
      </w:r>
    </w:p>
    <w:p>
      <w:pPr>
        <w:ind w:left="850"/>
      </w:pPr>
      <w:r>
        <w:rPr>
          <w:rFonts w:ascii="Courier New" w:hAnsi="Courier New"/>
          <w:sz w:val="20"/>
        </w:rPr>
        <w:t xml:space="preserve">    docker compose up --build -d</w:t>
      </w:r>
    </w:p>
    <w:p/>
    <w:p>
      <w:pPr>
        <w:spacing w:after="120"/>
        <w:ind w:firstLine="0"/>
        <w:jc w:val="both"/>
      </w:pPr>
      <w:r>
        <w:rPr>
          <w:rFonts w:ascii="Times New Roman" w:hAnsi="Times New Roman"/>
          <w:b/>
          <w:sz w:val="22"/>
        </w:rPr>
        <w:t xml:space="preserve">Quality Checks: </w:t>
      </w:r>
      <w:r>
        <w:rPr>
          <w:rFonts w:ascii="Times New Roman" w:hAnsi="Times New Roman"/>
          <w:b w:val="0"/>
          <w:sz w:val="22"/>
        </w:rPr>
        <w:t>Recommended local quality checks include frontend linting, frontend type checking, frontend production build, and Python compile checks for the inference service.</w:t>
      </w:r>
    </w:p>
    <w:p>
      <w:pPr>
        <w:spacing w:before="240" w:after="80"/>
      </w:pPr>
      <w:r>
        <w:rPr>
          <w:rFonts w:ascii="Times New Roman" w:hAnsi="Times New Roman"/>
          <w:b/>
          <w:sz w:val="24"/>
        </w:rPr>
        <w:t>19.3 Docker Compose Architecture</w:t>
      </w:r>
    </w:p>
    <w:p>
      <w:pPr>
        <w:spacing w:after="120"/>
        <w:ind w:firstLine="0"/>
        <w:jc w:val="both"/>
      </w:pPr>
      <w:r>
        <w:rPr>
          <w:rFonts w:ascii="Times New Roman" w:hAnsi="Times New Roman"/>
          <w:b/>
          <w:sz w:val="22"/>
        </w:rPr>
        <w:t xml:space="preserve">Container Networking Model: </w:t>
      </w:r>
      <w:r>
        <w:rPr>
          <w:rFonts w:ascii="Times New Roman" w:hAnsi="Times New Roman"/>
          <w:b w:val="0"/>
          <w:sz w:val="22"/>
        </w:rPr>
        <w:t>Docker Compose defines the runtime architecture of the platform. The base Compose file starts the main application containers and connects them to a shared Docker bridge network named asculticor-network. Containers communicate with each other through service names such as frontend, inference, and mosquitto.</w:t>
      </w:r>
    </w:p>
    <w:p>
      <w:pPr>
        <w:spacing w:after="120"/>
        <w:ind w:firstLine="0"/>
        <w:jc w:val="both"/>
      </w:pPr>
      <w:r>
        <w:rPr>
          <w:rFonts w:ascii="Times New Roman" w:hAnsi="Times New Roman"/>
          <w:b/>
          <w:sz w:val="22"/>
        </w:rPr>
        <w:t xml:space="preserve">Persistent Volumes and Model Artifacts: </w:t>
      </w:r>
      <w:r>
        <w:rPr>
          <w:rFonts w:ascii="Times New Roman" w:hAnsi="Times New Roman"/>
          <w:b w:val="0"/>
          <w:sz w:val="22"/>
        </w:rPr>
        <w:t>The inference container mounts the models directory read-only so that trained model artifacts can be deployed without changing application code. Mosquitto uses persistent volumes for broker data and logs. The optional n8n cloud profile uses a persistent n8n_data volume for workflow and credential storage.</w:t>
      </w:r>
    </w:p>
    <w:p>
      <w:pPr>
        <w:spacing w:before="160" w:after="40"/>
      </w:pPr>
      <w:r>
        <w:rPr>
          <w:rFonts w:ascii="Times New Roman" w:hAnsi="Times New Roman"/>
          <w:b/>
          <w:sz w:val="22"/>
        </w:rPr>
        <w:t>Table 19.3: Docker Service Architecture Summary</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584"/>
            <w:shd w:val="clear" w:color="auto" w:fill="1F3864"/>
          </w:tcPr>
          <w:p>
            <w:pPr>
              <w:jc w:val="center"/>
            </w:pPr>
            <w:r>
              <w:rPr>
                <w:rFonts w:ascii="Times New Roman" w:hAnsi="Times New Roman"/>
                <w:b/>
                <w:color w:val="FFFFFF"/>
                <w:sz w:val="20"/>
              </w:rPr>
              <w:t>Service</w:t>
            </w:r>
          </w:p>
        </w:tc>
        <w:tc>
          <w:tcPr>
            <w:tcW w:type="dxa" w:w="2160"/>
            <w:shd w:val="clear" w:color="auto" w:fill="1F3864"/>
          </w:tcPr>
          <w:p>
            <w:pPr>
              <w:jc w:val="center"/>
            </w:pPr>
            <w:r>
              <w:rPr>
                <w:rFonts w:ascii="Times New Roman" w:hAnsi="Times New Roman"/>
                <w:b/>
                <w:color w:val="FFFFFF"/>
                <w:sz w:val="20"/>
              </w:rPr>
              <w:t>Technology</w:t>
            </w:r>
          </w:p>
        </w:tc>
        <w:tc>
          <w:tcPr>
            <w:tcW w:type="dxa" w:w="1440"/>
            <w:shd w:val="clear" w:color="auto" w:fill="1F3864"/>
          </w:tcPr>
          <w:p>
            <w:pPr>
              <w:jc w:val="center"/>
            </w:pPr>
            <w:r>
              <w:rPr>
                <w:rFonts w:ascii="Times New Roman" w:hAnsi="Times New Roman"/>
                <w:b/>
                <w:color w:val="FFFFFF"/>
                <w:sz w:val="20"/>
              </w:rPr>
              <w:t>Internal Port</w:t>
            </w:r>
          </w:p>
        </w:tc>
        <w:tc>
          <w:tcPr>
            <w:tcW w:type="dxa" w:w="2448"/>
            <w:shd w:val="clear" w:color="auto" w:fill="1F3864"/>
          </w:tcPr>
          <w:p>
            <w:pPr>
              <w:jc w:val="center"/>
            </w:pPr>
            <w:r>
              <w:rPr>
                <w:rFonts w:ascii="Times New Roman" w:hAnsi="Times New Roman"/>
                <w:b/>
                <w:color w:val="FFFFFF"/>
                <w:sz w:val="20"/>
              </w:rPr>
              <w:t>Network Exposure</w:t>
            </w:r>
          </w:p>
        </w:tc>
        <w:tc>
          <w:tcPr>
            <w:tcW w:type="dxa" w:w="2592"/>
            <w:shd w:val="clear" w:color="auto" w:fill="1F3864"/>
          </w:tcPr>
          <w:p>
            <w:pPr>
              <w:jc w:val="center"/>
            </w:pPr>
            <w:r>
              <w:rPr>
                <w:rFonts w:ascii="Times New Roman" w:hAnsi="Times New Roman"/>
                <w:b/>
                <w:color w:val="FFFFFF"/>
                <w:sz w:val="20"/>
              </w:rPr>
              <w:t>Persistent Volume</w:t>
            </w:r>
          </w:p>
        </w:tc>
      </w:tr>
      <w:tr>
        <w:tc>
          <w:tcPr>
            <w:tcW w:type="dxa" w:w="1584"/>
            <w:shd w:val="clear" w:color="auto" w:fill="FFFFFF"/>
          </w:tcPr>
          <w:p>
            <w:r>
              <w:rPr>
                <w:rFonts w:ascii="Times New Roman" w:hAnsi="Times New Roman"/>
                <w:b w:val="0"/>
                <w:sz w:val="20"/>
              </w:rPr>
              <w:t>Frontend</w:t>
            </w:r>
          </w:p>
        </w:tc>
        <w:tc>
          <w:tcPr>
            <w:tcW w:type="dxa" w:w="2160"/>
            <w:shd w:val="clear" w:color="auto" w:fill="FFFFFF"/>
          </w:tcPr>
          <w:p>
            <w:r>
              <w:rPr>
                <w:rFonts w:ascii="Times New Roman" w:hAnsi="Times New Roman"/>
                <w:b w:val="0"/>
                <w:sz w:val="20"/>
              </w:rPr>
              <w:t>Next.js 14</w:t>
            </w:r>
          </w:p>
        </w:tc>
        <w:tc>
          <w:tcPr>
            <w:tcW w:type="dxa" w:w="1440"/>
            <w:shd w:val="clear" w:color="auto" w:fill="FFFFFF"/>
          </w:tcPr>
          <w:p>
            <w:r>
              <w:rPr>
                <w:rFonts w:ascii="Times New Roman" w:hAnsi="Times New Roman"/>
                <w:b w:val="0"/>
                <w:sz w:val="20"/>
              </w:rPr>
              <w:t>3000</w:t>
            </w:r>
          </w:p>
        </w:tc>
        <w:tc>
          <w:tcPr>
            <w:tcW w:type="dxa" w:w="2448"/>
            <w:shd w:val="clear" w:color="auto" w:fill="FFFFFF"/>
          </w:tcPr>
          <w:p>
            <w:r>
              <w:rPr>
                <w:rFonts w:ascii="Times New Roman" w:hAnsi="Times New Roman"/>
                <w:b w:val="0"/>
                <w:sz w:val="20"/>
              </w:rPr>
              <w:t>Private (NGINX proxy)</w:t>
            </w:r>
          </w:p>
        </w:tc>
        <w:tc>
          <w:tcPr>
            <w:tcW w:type="dxa" w:w="2592"/>
            <w:shd w:val="clear" w:color="auto" w:fill="FFFFFF"/>
          </w:tcPr>
          <w:p>
            <w:r>
              <w:rPr>
                <w:rFonts w:ascii="Times New Roman" w:hAnsi="Times New Roman"/>
                <w:b w:val="0"/>
                <w:sz w:val="20"/>
              </w:rPr>
              <w:t>None</w:t>
            </w:r>
          </w:p>
        </w:tc>
      </w:tr>
      <w:tr>
        <w:tc>
          <w:tcPr>
            <w:tcW w:type="dxa" w:w="1584"/>
            <w:shd w:val="clear" w:color="auto" w:fill="EBF3FB"/>
          </w:tcPr>
          <w:p>
            <w:r>
              <w:rPr>
                <w:rFonts w:ascii="Times New Roman" w:hAnsi="Times New Roman"/>
                <w:b w:val="0"/>
                <w:sz w:val="20"/>
              </w:rPr>
              <w:t>Inference</w:t>
            </w:r>
          </w:p>
        </w:tc>
        <w:tc>
          <w:tcPr>
            <w:tcW w:type="dxa" w:w="2160"/>
            <w:shd w:val="clear" w:color="auto" w:fill="EBF3FB"/>
          </w:tcPr>
          <w:p>
            <w:r>
              <w:rPr>
                <w:rFonts w:ascii="Times New Roman" w:hAnsi="Times New Roman"/>
                <w:b w:val="0"/>
                <w:sz w:val="20"/>
              </w:rPr>
              <w:t>FastAPI/Python</w:t>
            </w:r>
          </w:p>
        </w:tc>
        <w:tc>
          <w:tcPr>
            <w:tcW w:type="dxa" w:w="1440"/>
            <w:shd w:val="clear" w:color="auto" w:fill="EBF3FB"/>
          </w:tcPr>
          <w:p>
            <w:r>
              <w:rPr>
                <w:rFonts w:ascii="Times New Roman" w:hAnsi="Times New Roman"/>
                <w:b w:val="0"/>
                <w:sz w:val="20"/>
              </w:rPr>
              <w:t>8000</w:t>
            </w:r>
          </w:p>
        </w:tc>
        <w:tc>
          <w:tcPr>
            <w:tcW w:type="dxa" w:w="2448"/>
            <w:shd w:val="clear" w:color="auto" w:fill="EBF3FB"/>
          </w:tcPr>
          <w:p>
            <w:r>
              <w:rPr>
                <w:rFonts w:ascii="Times New Roman" w:hAnsi="Times New Roman"/>
                <w:b w:val="0"/>
                <w:sz w:val="20"/>
              </w:rPr>
              <w:t>Private (NGINX proxy)</w:t>
            </w:r>
          </w:p>
        </w:tc>
        <w:tc>
          <w:tcPr>
            <w:tcW w:type="dxa" w:w="2592"/>
            <w:shd w:val="clear" w:color="auto" w:fill="EBF3FB"/>
          </w:tcPr>
          <w:p>
            <w:r>
              <w:rPr>
                <w:rFonts w:ascii="Times New Roman" w:hAnsi="Times New Roman"/>
                <w:b w:val="0"/>
                <w:sz w:val="20"/>
              </w:rPr>
              <w:t>models/ (read-only)</w:t>
            </w:r>
          </w:p>
        </w:tc>
      </w:tr>
      <w:tr>
        <w:tc>
          <w:tcPr>
            <w:tcW w:type="dxa" w:w="1584"/>
            <w:shd w:val="clear" w:color="auto" w:fill="FFFFFF"/>
          </w:tcPr>
          <w:p>
            <w:r>
              <w:rPr>
                <w:rFonts w:ascii="Times New Roman" w:hAnsi="Times New Roman"/>
                <w:b w:val="0"/>
                <w:sz w:val="20"/>
              </w:rPr>
              <w:t>Mosquitto</w:t>
            </w:r>
          </w:p>
        </w:tc>
        <w:tc>
          <w:tcPr>
            <w:tcW w:type="dxa" w:w="2160"/>
            <w:shd w:val="clear" w:color="auto" w:fill="FFFFFF"/>
          </w:tcPr>
          <w:p>
            <w:r>
              <w:rPr>
                <w:rFonts w:ascii="Times New Roman" w:hAnsi="Times New Roman"/>
                <w:b w:val="0"/>
                <w:sz w:val="20"/>
              </w:rPr>
              <w:t>Eclipse Mosquitto MQTT</w:t>
            </w:r>
          </w:p>
        </w:tc>
        <w:tc>
          <w:tcPr>
            <w:tcW w:type="dxa" w:w="1440"/>
            <w:shd w:val="clear" w:color="auto" w:fill="FFFFFF"/>
          </w:tcPr>
          <w:p>
            <w:r>
              <w:rPr>
                <w:rFonts w:ascii="Times New Roman" w:hAnsi="Times New Roman"/>
                <w:b w:val="0"/>
                <w:sz w:val="20"/>
              </w:rPr>
              <w:t>1883, 9001</w:t>
            </w:r>
          </w:p>
        </w:tc>
        <w:tc>
          <w:tcPr>
            <w:tcW w:type="dxa" w:w="2448"/>
            <w:shd w:val="clear" w:color="auto" w:fill="FFFFFF"/>
          </w:tcPr>
          <w:p>
            <w:r>
              <w:rPr>
                <w:rFonts w:ascii="Times New Roman" w:hAnsi="Times New Roman"/>
                <w:b w:val="0"/>
                <w:sz w:val="20"/>
              </w:rPr>
              <w:t>Private (loopback or Docker)</w:t>
            </w:r>
          </w:p>
        </w:tc>
        <w:tc>
          <w:tcPr>
            <w:tcW w:type="dxa" w:w="2592"/>
            <w:shd w:val="clear" w:color="auto" w:fill="FFFFFF"/>
          </w:tcPr>
          <w:p>
            <w:r>
              <w:rPr>
                <w:rFonts w:ascii="Times New Roman" w:hAnsi="Times New Roman"/>
                <w:b w:val="0"/>
                <w:sz w:val="20"/>
              </w:rPr>
              <w:t>mosquitto_data, mosquitto_logs</w:t>
            </w:r>
          </w:p>
        </w:tc>
      </w:tr>
      <w:tr>
        <w:tc>
          <w:tcPr>
            <w:tcW w:type="dxa" w:w="1584"/>
            <w:shd w:val="clear" w:color="auto" w:fill="EBF3FB"/>
          </w:tcPr>
          <w:p>
            <w:r>
              <w:rPr>
                <w:rFonts w:ascii="Times New Roman" w:hAnsi="Times New Roman"/>
                <w:b w:val="0"/>
                <w:sz w:val="20"/>
              </w:rPr>
              <w:t>NGINX</w:t>
            </w:r>
          </w:p>
        </w:tc>
        <w:tc>
          <w:tcPr>
            <w:tcW w:type="dxa" w:w="2160"/>
            <w:shd w:val="clear" w:color="auto" w:fill="EBF3FB"/>
          </w:tcPr>
          <w:p>
            <w:r>
              <w:rPr>
                <w:rFonts w:ascii="Times New Roman" w:hAnsi="Times New Roman"/>
                <w:b w:val="0"/>
                <w:sz w:val="20"/>
              </w:rPr>
              <w:t>NGINX 1.x</w:t>
            </w:r>
          </w:p>
        </w:tc>
        <w:tc>
          <w:tcPr>
            <w:tcW w:type="dxa" w:w="1440"/>
            <w:shd w:val="clear" w:color="auto" w:fill="EBF3FB"/>
          </w:tcPr>
          <w:p>
            <w:r>
              <w:rPr>
                <w:rFonts w:ascii="Times New Roman" w:hAnsi="Times New Roman"/>
                <w:b w:val="0"/>
                <w:sz w:val="20"/>
              </w:rPr>
              <w:t>80, 443</w:t>
            </w:r>
          </w:p>
        </w:tc>
        <w:tc>
          <w:tcPr>
            <w:tcW w:type="dxa" w:w="2448"/>
            <w:shd w:val="clear" w:color="auto" w:fill="EBF3FB"/>
          </w:tcPr>
          <w:p>
            <w:r>
              <w:rPr>
                <w:rFonts w:ascii="Times New Roman" w:hAnsi="Times New Roman"/>
                <w:b w:val="0"/>
                <w:sz w:val="20"/>
              </w:rPr>
              <w:t>Public (ports 80, 443)</w:t>
            </w:r>
          </w:p>
        </w:tc>
        <w:tc>
          <w:tcPr>
            <w:tcW w:type="dxa" w:w="2592"/>
            <w:shd w:val="clear" w:color="auto" w:fill="EBF3FB"/>
          </w:tcPr>
          <w:p>
            <w:r>
              <w:rPr>
                <w:rFonts w:ascii="Times New Roman" w:hAnsi="Times New Roman"/>
                <w:b w:val="0"/>
                <w:sz w:val="20"/>
              </w:rPr>
              <w:t>nginx/certs/ (TLS certs)</w:t>
            </w:r>
          </w:p>
        </w:tc>
      </w:tr>
      <w:tr>
        <w:tc>
          <w:tcPr>
            <w:tcW w:type="dxa" w:w="1584"/>
            <w:shd w:val="clear" w:color="auto" w:fill="FFFFFF"/>
          </w:tcPr>
          <w:p>
            <w:r>
              <w:rPr>
                <w:rFonts w:ascii="Times New Roman" w:hAnsi="Times New Roman"/>
                <w:b w:val="0"/>
                <w:sz w:val="20"/>
              </w:rPr>
              <w:t>n8n</w:t>
            </w:r>
          </w:p>
        </w:tc>
        <w:tc>
          <w:tcPr>
            <w:tcW w:type="dxa" w:w="2160"/>
            <w:shd w:val="clear" w:color="auto" w:fill="FFFFFF"/>
          </w:tcPr>
          <w:p>
            <w:r>
              <w:rPr>
                <w:rFonts w:ascii="Times New Roman" w:hAnsi="Times New Roman"/>
                <w:b w:val="0"/>
                <w:sz w:val="20"/>
              </w:rPr>
              <w:t>n8n Workflow</w:t>
            </w:r>
          </w:p>
        </w:tc>
        <w:tc>
          <w:tcPr>
            <w:tcW w:type="dxa" w:w="1440"/>
            <w:shd w:val="clear" w:color="auto" w:fill="FFFFFF"/>
          </w:tcPr>
          <w:p>
            <w:r>
              <w:rPr>
                <w:rFonts w:ascii="Times New Roman" w:hAnsi="Times New Roman"/>
                <w:b w:val="0"/>
                <w:sz w:val="20"/>
              </w:rPr>
              <w:t>5678</w:t>
            </w:r>
          </w:p>
        </w:tc>
        <w:tc>
          <w:tcPr>
            <w:tcW w:type="dxa" w:w="2448"/>
            <w:shd w:val="clear" w:color="auto" w:fill="FFFFFF"/>
          </w:tcPr>
          <w:p>
            <w:r>
              <w:rPr>
                <w:rFonts w:ascii="Times New Roman" w:hAnsi="Times New Roman"/>
                <w:b w:val="0"/>
                <w:sz w:val="20"/>
              </w:rPr>
              <w:t>Private or port 8443 (optional)</w:t>
            </w:r>
          </w:p>
        </w:tc>
        <w:tc>
          <w:tcPr>
            <w:tcW w:type="dxa" w:w="2592"/>
            <w:shd w:val="clear" w:color="auto" w:fill="FFFFFF"/>
          </w:tcPr>
          <w:p>
            <w:r>
              <w:rPr>
                <w:rFonts w:ascii="Times New Roman" w:hAnsi="Times New Roman"/>
                <w:b w:val="0"/>
                <w:sz w:val="20"/>
              </w:rPr>
              <w:t>n8n_data</w:t>
            </w:r>
          </w:p>
        </w:tc>
      </w:tr>
      <w:tr>
        <w:tc>
          <w:tcPr>
            <w:tcW w:type="dxa" w:w="1584"/>
            <w:shd w:val="clear" w:color="auto" w:fill="EBF3FB"/>
          </w:tcPr>
          <w:p>
            <w:r>
              <w:rPr>
                <w:rFonts w:ascii="Times New Roman" w:hAnsi="Times New Roman"/>
                <w:b w:val="0"/>
                <w:sz w:val="20"/>
              </w:rPr>
              <w:t>Supabase</w:t>
            </w:r>
          </w:p>
        </w:tc>
        <w:tc>
          <w:tcPr>
            <w:tcW w:type="dxa" w:w="2160"/>
            <w:shd w:val="clear" w:color="auto" w:fill="EBF3FB"/>
          </w:tcPr>
          <w:p>
            <w:r>
              <w:rPr>
                <w:rFonts w:ascii="Times New Roman" w:hAnsi="Times New Roman"/>
                <w:b w:val="0"/>
                <w:sz w:val="20"/>
              </w:rPr>
              <w:t>Managed Cloud</w:t>
            </w:r>
          </w:p>
        </w:tc>
        <w:tc>
          <w:tcPr>
            <w:tcW w:type="dxa" w:w="1440"/>
            <w:shd w:val="clear" w:color="auto" w:fill="EBF3FB"/>
          </w:tcPr>
          <w:p>
            <w:r>
              <w:rPr>
                <w:rFonts w:ascii="Times New Roman" w:hAnsi="Times New Roman"/>
                <w:b w:val="0"/>
                <w:sz w:val="20"/>
              </w:rPr>
              <w:t>N/A</w:t>
            </w:r>
          </w:p>
        </w:tc>
        <w:tc>
          <w:tcPr>
            <w:tcW w:type="dxa" w:w="2448"/>
            <w:shd w:val="clear" w:color="auto" w:fill="EBF3FB"/>
          </w:tcPr>
          <w:p>
            <w:r>
              <w:rPr>
                <w:rFonts w:ascii="Times New Roman" w:hAnsi="Times New Roman"/>
                <w:b w:val="0"/>
                <w:sz w:val="20"/>
              </w:rPr>
              <w:t>External HTTPS (managed)</w:t>
            </w:r>
          </w:p>
        </w:tc>
        <w:tc>
          <w:tcPr>
            <w:tcW w:type="dxa" w:w="2592"/>
            <w:shd w:val="clear" w:color="auto" w:fill="EBF3FB"/>
          </w:tcPr>
          <w:p>
            <w:r>
              <w:rPr>
                <w:rFonts w:ascii="Times New Roman" w:hAnsi="Times New Roman"/>
                <w:b w:val="0"/>
                <w:sz w:val="20"/>
              </w:rPr>
              <w:t>Managed by Supabase</w:t>
            </w:r>
          </w:p>
        </w:tc>
      </w:tr>
    </w:tbl>
    <w:p/>
    <w:p>
      <w:pPr>
        <w:spacing w:after="120"/>
        <w:ind w:firstLine="0"/>
        <w:jc w:val="both"/>
      </w:pPr>
      <w:r>
        <w:rPr>
          <w:rFonts w:ascii="Times New Roman" w:hAnsi="Times New Roman"/>
          <w:b w:val="0"/>
          <w:sz w:val="22"/>
        </w:rPr>
        <w:t>Figure 19.1 shows the local Docker Compose deployment, including the Next.js frontend, FastAPI inference service, Mosquitto MQTT broker, NGINX reverse proxy, optional n8n automation container, shared Docker network, exposed ports, persistent volumes, and managed Supabase connection.</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19_1_local_docker_compose_1781690553274.png"/>
                    <pic:cNvPicPr/>
                  </pic:nvPicPr>
                  <pic:blipFill>
                    <a:blip r:embed="rId10"/>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0"/>
        </w:rPr>
        <w:t>Figure 19.1: Local Docker Compose Deployment Architecture — showing all containers on the asculticor-network bridge, persistent volumes, port mappings, and the external Supabase cloud connection.</w:t>
      </w:r>
    </w:p>
    <w:p>
      <w:pPr>
        <w:spacing w:before="240" w:after="80"/>
      </w:pPr>
      <w:r>
        <w:rPr>
          <w:rFonts w:ascii="Times New Roman" w:hAnsi="Times New Roman"/>
          <w:b/>
          <w:sz w:val="24"/>
        </w:rPr>
        <w:t>19.4 Cloud VM Deployment</w:t>
      </w:r>
    </w:p>
    <w:p>
      <w:pPr>
        <w:spacing w:after="120"/>
        <w:ind w:firstLine="0"/>
        <w:jc w:val="both"/>
      </w:pPr>
      <w:r>
        <w:rPr>
          <w:rFonts w:ascii="Times New Roman" w:hAnsi="Times New Roman"/>
          <w:b/>
          <w:sz w:val="22"/>
        </w:rPr>
        <w:t xml:space="preserve">Cloud Target Platform: </w:t>
      </w:r>
      <w:r>
        <w:rPr>
          <w:rFonts w:ascii="Times New Roman" w:hAnsi="Times New Roman"/>
          <w:b w:val="0"/>
          <w:sz w:val="22"/>
        </w:rPr>
        <w:t>The cloud deployment uses one Hostinger VPS running Linux and Docker Compose. The selected VPS is identified by the public IP address 187.127.224.4 and the Hostinger-provided hostname srv1621744.hstgr.cloud. This hostname gives the team an immediately usable public address even before buying or configuring a custom domain.</w:t>
      </w:r>
    </w:p>
    <w:p>
      <w:pPr>
        <w:spacing w:after="120"/>
        <w:ind w:firstLine="0"/>
        <w:jc w:val="both"/>
      </w:pPr>
      <w:r>
        <w:rPr>
          <w:rFonts w:ascii="Times New Roman" w:hAnsi="Times New Roman"/>
          <w:b/>
          <w:sz w:val="22"/>
        </w:rPr>
        <w:t xml:space="preserve">Architecture Consistency: </w:t>
      </w:r>
      <w:r>
        <w:rPr>
          <w:rFonts w:ascii="Times New Roman" w:hAnsi="Times New Roman"/>
          <w:b w:val="0"/>
          <w:sz w:val="22"/>
        </w:rPr>
        <w:t>The deployment keeps the same service architecture used in local development. The Next.js frontend, FastAPI inference service, Mosquitto broker, NGINX reverse proxy, and optional n8n automation service run as Docker containers on the VM. Supabase remains a managed cloud service outside the VM and provides authentication, PostgreSQL database tables, Row Level Security, storage, and edge functions.</w:t>
      </w:r>
    </w:p>
    <w:p>
      <w:pPr>
        <w:spacing w:after="120"/>
        <w:ind w:firstLine="0"/>
        <w:jc w:val="both"/>
      </w:pPr>
      <w:r>
        <w:rPr>
          <w:rFonts w:ascii="Times New Roman" w:hAnsi="Times New Roman"/>
          <w:b/>
          <w:sz w:val="22"/>
        </w:rPr>
        <w:t xml:space="preserve">NGINX as the Public Entry Point: </w:t>
      </w:r>
      <w:r>
        <w:rPr>
          <w:rFonts w:ascii="Times New Roman" w:hAnsi="Times New Roman"/>
          <w:b w:val="0"/>
          <w:sz w:val="22"/>
        </w:rPr>
        <w:t>Cloud architecture follows a simple security rule: NGINX is the main public entry point. Public users access the dashboard through HTTPS at https://srv1621744.hstgr.cloud. NGINX forwards web requests to the frontend container and can proxy selected internal routes to other services. Internal service ports should remain private to the VM or Docker network unless the team intentionally exposes them.</w:t>
      </w:r>
    </w:p>
    <w:p>
      <w:pPr>
        <w:spacing w:after="120"/>
        <w:ind w:firstLine="0"/>
        <w:jc w:val="both"/>
      </w:pPr>
      <w:r>
        <w:rPr>
          <w:rFonts w:ascii="Times New Roman" w:hAnsi="Times New Roman"/>
          <w:b/>
          <w:sz w:val="22"/>
        </w:rPr>
        <w:t xml:space="preserve">TLS Certificate Management: </w:t>
      </w:r>
      <w:r>
        <w:rPr>
          <w:rFonts w:ascii="Times New Roman" w:hAnsi="Times New Roman"/>
          <w:b w:val="0"/>
          <w:sz w:val="22"/>
        </w:rPr>
        <w:t>TLS certificates are mounted into the NGINX container from NGINX/certs. In production-like deployment, certificates are generated through Let's Encrypt using Certbot. The NGINX template supports TLS for the main application domain and also supports n8n either through a separate subdomain or a separate HTTPS port when a subdomain is not available.</w:t>
      </w:r>
    </w:p>
    <w:p>
      <w:pPr>
        <w:spacing w:after="120"/>
        <w:ind w:firstLine="0"/>
        <w:jc w:val="both"/>
      </w:pPr>
      <w:r>
        <w:rPr>
          <w:rFonts w:ascii="Times New Roman" w:hAnsi="Times New Roman"/>
          <w:b w:val="0"/>
          <w:sz w:val="22"/>
        </w:rPr>
        <w:t>Figure 19.2 shows the cloud VM deployment, where public HTTPS traffic reaches NGINX, NGINX routes requests to private Docker services, n8n runs inside the deployment network, Mosquitto handles device communication, and Supabase provides managed authentication, database, and storage.</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19_2_cloud_vm_deployment_1781690578195.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sz w:val="20"/>
        </w:rPr>
        <w:t>Figure 19.2: Cloud VM Deployment Architecture — showing the Hostinger VPS with public/private network boundary, NGINX as the TLS entry point, private Docker services, and managed Supabase cloud connection.</w:t>
      </w:r>
    </w:p>
    <w:p>
      <w:pPr>
        <w:spacing w:before="160" w:after="40"/>
      </w:pPr>
      <w:r>
        <w:rPr>
          <w:rFonts w:ascii="Times New Roman" w:hAnsi="Times New Roman"/>
          <w:b/>
          <w:sz w:val="22"/>
        </w:rPr>
        <w:t>19.4.1 Hostinger VPS Target</w:t>
      </w:r>
    </w:p>
    <w:p>
      <w:pPr>
        <w:spacing w:after="120"/>
        <w:ind w:firstLine="0"/>
        <w:jc w:val="both"/>
      </w:pPr>
      <w:r>
        <w:rPr>
          <w:rFonts w:ascii="Times New Roman" w:hAnsi="Times New Roman"/>
          <w:b w:val="0"/>
          <w:sz w:val="22"/>
        </w:rPr>
        <w:t>The following table documents the key configuration values for the Hostinger VPS deployment target.</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pPr>
              <w:jc w:val="center"/>
            </w:pPr>
            <w:r>
              <w:rPr>
                <w:rFonts w:ascii="Times New Roman" w:hAnsi="Times New Roman"/>
                <w:b/>
                <w:color w:val="FFFFFF"/>
                <w:sz w:val="20"/>
              </w:rPr>
              <w:t>Item</w:t>
            </w:r>
          </w:p>
        </w:tc>
        <w:tc>
          <w:tcPr>
            <w:tcW w:type="dxa" w:w="6048"/>
            <w:shd w:val="clear" w:color="auto" w:fill="1F3864"/>
          </w:tcPr>
          <w:p>
            <w:pPr>
              <w:jc w:val="center"/>
            </w:pPr>
            <w:r>
              <w:rPr>
                <w:rFonts w:ascii="Times New Roman" w:hAnsi="Times New Roman"/>
                <w:b/>
                <w:color w:val="FFFFFF"/>
                <w:sz w:val="20"/>
              </w:rPr>
              <w:t>Value</w:t>
            </w:r>
          </w:p>
        </w:tc>
      </w:tr>
      <w:tr>
        <w:tc>
          <w:tcPr>
            <w:tcW w:type="dxa" w:w="3600"/>
            <w:shd w:val="clear" w:color="auto" w:fill="FFFFFF"/>
          </w:tcPr>
          <w:p>
            <w:r>
              <w:rPr>
                <w:rFonts w:ascii="Times New Roman" w:hAnsi="Times New Roman"/>
                <w:b w:val="0"/>
                <w:sz w:val="20"/>
              </w:rPr>
              <w:t>VPS Provider</w:t>
            </w:r>
          </w:p>
        </w:tc>
        <w:tc>
          <w:tcPr>
            <w:tcW w:type="dxa" w:w="6048"/>
            <w:shd w:val="clear" w:color="auto" w:fill="FFFFFF"/>
          </w:tcPr>
          <w:p>
            <w:r>
              <w:rPr>
                <w:rFonts w:ascii="Times New Roman" w:hAnsi="Times New Roman"/>
                <w:b w:val="0"/>
                <w:sz w:val="20"/>
              </w:rPr>
              <w:t>Hostinger</w:t>
            </w:r>
          </w:p>
        </w:tc>
      </w:tr>
      <w:tr>
        <w:tc>
          <w:tcPr>
            <w:tcW w:type="dxa" w:w="3600"/>
            <w:shd w:val="clear" w:color="auto" w:fill="EBF3FB"/>
          </w:tcPr>
          <w:p>
            <w:r>
              <w:rPr>
                <w:rFonts w:ascii="Times New Roman" w:hAnsi="Times New Roman"/>
                <w:b w:val="0"/>
                <w:sz w:val="20"/>
              </w:rPr>
              <w:t>Public IP</w:t>
            </w:r>
          </w:p>
        </w:tc>
        <w:tc>
          <w:tcPr>
            <w:tcW w:type="dxa" w:w="6048"/>
            <w:shd w:val="clear" w:color="auto" w:fill="EBF3FB"/>
          </w:tcPr>
          <w:p>
            <w:r>
              <w:rPr>
                <w:rFonts w:ascii="Times New Roman" w:hAnsi="Times New Roman"/>
                <w:b w:val="0"/>
                <w:sz w:val="20"/>
              </w:rPr>
              <w:t>187.127.224.4</w:t>
            </w:r>
          </w:p>
        </w:tc>
      </w:tr>
      <w:tr>
        <w:tc>
          <w:tcPr>
            <w:tcW w:type="dxa" w:w="3600"/>
            <w:shd w:val="clear" w:color="auto" w:fill="FFFFFF"/>
          </w:tcPr>
          <w:p>
            <w:r>
              <w:rPr>
                <w:rFonts w:ascii="Times New Roman" w:hAnsi="Times New Roman"/>
                <w:b w:val="0"/>
                <w:sz w:val="20"/>
              </w:rPr>
              <w:t>Hostname</w:t>
            </w:r>
          </w:p>
        </w:tc>
        <w:tc>
          <w:tcPr>
            <w:tcW w:type="dxa" w:w="6048"/>
            <w:shd w:val="clear" w:color="auto" w:fill="FFFFFF"/>
          </w:tcPr>
          <w:p>
            <w:r>
              <w:rPr>
                <w:rFonts w:ascii="Times New Roman" w:hAnsi="Times New Roman"/>
                <w:b w:val="0"/>
                <w:sz w:val="20"/>
              </w:rPr>
              <w:t>srv1621744.hstgr.cloud</w:t>
            </w:r>
          </w:p>
        </w:tc>
      </w:tr>
      <w:tr>
        <w:tc>
          <w:tcPr>
            <w:tcW w:type="dxa" w:w="3600"/>
            <w:shd w:val="clear" w:color="auto" w:fill="EBF3FB"/>
          </w:tcPr>
          <w:p>
            <w:r>
              <w:rPr>
                <w:rFonts w:ascii="Times New Roman" w:hAnsi="Times New Roman"/>
                <w:b w:val="0"/>
                <w:sz w:val="20"/>
              </w:rPr>
              <w:t>Main Application URL</w:t>
            </w:r>
          </w:p>
        </w:tc>
        <w:tc>
          <w:tcPr>
            <w:tcW w:type="dxa" w:w="6048"/>
            <w:shd w:val="clear" w:color="auto" w:fill="EBF3FB"/>
          </w:tcPr>
          <w:p>
            <w:r>
              <w:rPr>
                <w:rFonts w:ascii="Times New Roman" w:hAnsi="Times New Roman"/>
                <w:b w:val="0"/>
                <w:sz w:val="20"/>
              </w:rPr>
              <w:t>https://srv1621744.hstgr.cloud</w:t>
            </w:r>
          </w:p>
        </w:tc>
      </w:tr>
      <w:tr>
        <w:tc>
          <w:tcPr>
            <w:tcW w:type="dxa" w:w="3600"/>
            <w:shd w:val="clear" w:color="auto" w:fill="FFFFFF"/>
          </w:tcPr>
          <w:p>
            <w:r>
              <w:rPr>
                <w:rFonts w:ascii="Times New Roman" w:hAnsi="Times New Roman"/>
                <w:b w:val="0"/>
                <w:sz w:val="20"/>
              </w:rPr>
              <w:t>Optional n8n URL</w:t>
            </w:r>
          </w:p>
        </w:tc>
        <w:tc>
          <w:tcPr>
            <w:tcW w:type="dxa" w:w="6048"/>
            <w:shd w:val="clear" w:color="auto" w:fill="FFFFFF"/>
          </w:tcPr>
          <w:p>
            <w:r>
              <w:rPr>
                <w:rFonts w:ascii="Times New Roman" w:hAnsi="Times New Roman"/>
                <w:b w:val="0"/>
                <w:sz w:val="20"/>
              </w:rPr>
              <w:t>https://srv1621744.hstgr.cloud:8443</w:t>
            </w:r>
          </w:p>
        </w:tc>
      </w:tr>
      <w:tr>
        <w:tc>
          <w:tcPr>
            <w:tcW w:type="dxa" w:w="3600"/>
            <w:shd w:val="clear" w:color="auto" w:fill="EBF3FB"/>
          </w:tcPr>
          <w:p>
            <w:r>
              <w:rPr>
                <w:rFonts w:ascii="Times New Roman" w:hAnsi="Times New Roman"/>
                <w:b w:val="0"/>
                <w:sz w:val="20"/>
              </w:rPr>
              <w:t>Main Deployment Directory</w:t>
            </w:r>
          </w:p>
        </w:tc>
        <w:tc>
          <w:tcPr>
            <w:tcW w:type="dxa" w:w="6048"/>
            <w:shd w:val="clear" w:color="auto" w:fill="EBF3FB"/>
          </w:tcPr>
          <w:p>
            <w:r>
              <w:rPr>
                <w:rFonts w:ascii="Times New Roman" w:hAnsi="Times New Roman"/>
                <w:b w:val="0"/>
                <w:sz w:val="20"/>
              </w:rPr>
              <w:t xml:space="preserve">  /opt/asculticor</w:t>
            </w:r>
          </w:p>
        </w:tc>
      </w:tr>
      <w:tr>
        <w:tc>
          <w:tcPr>
            <w:tcW w:type="dxa" w:w="3600"/>
            <w:shd w:val="clear" w:color="auto" w:fill="FFFFFF"/>
          </w:tcPr>
          <w:p>
            <w:r>
              <w:rPr>
                <w:rFonts w:ascii="Times New Roman" w:hAnsi="Times New Roman"/>
                <w:b w:val="0"/>
                <w:sz w:val="20"/>
              </w:rPr>
              <w:t>Main Compose Files</w:t>
            </w:r>
          </w:p>
        </w:tc>
        <w:tc>
          <w:tcPr>
            <w:tcW w:type="dxa" w:w="6048"/>
            <w:shd w:val="clear" w:color="auto" w:fill="FFFFFF"/>
          </w:tcPr>
          <w:p>
            <w:r>
              <w:rPr>
                <w:rFonts w:ascii="Times New Roman" w:hAnsi="Times New Roman"/>
                <w:b w:val="0"/>
                <w:sz w:val="20"/>
              </w:rPr>
              <w:t>docker-compose.yml + docker-compose.cloud.yml</w:t>
            </w:r>
          </w:p>
        </w:tc>
      </w:tr>
      <w:tr>
        <w:tc>
          <w:tcPr>
            <w:tcW w:type="dxa" w:w="3600"/>
            <w:shd w:val="clear" w:color="auto" w:fill="EBF3FB"/>
          </w:tcPr>
          <w:p>
            <w:r>
              <w:rPr>
                <w:rFonts w:ascii="Times New Roman" w:hAnsi="Times New Roman"/>
                <w:b w:val="0"/>
                <w:sz w:val="20"/>
              </w:rPr>
              <w:t>Public Entrypoint</w:t>
            </w:r>
          </w:p>
        </w:tc>
        <w:tc>
          <w:tcPr>
            <w:tcW w:type="dxa" w:w="6048"/>
            <w:shd w:val="clear" w:color="auto" w:fill="EBF3FB"/>
          </w:tcPr>
          <w:p>
            <w:r>
              <w:rPr>
                <w:rFonts w:ascii="Times New Roman" w:hAnsi="Times New Roman"/>
                <w:b w:val="0"/>
                <w:sz w:val="20"/>
              </w:rPr>
              <w:t>NGINX (TLS termination)</w:t>
            </w:r>
          </w:p>
        </w:tc>
      </w:tr>
      <w:tr>
        <w:tc>
          <w:tcPr>
            <w:tcW w:type="dxa" w:w="3600"/>
            <w:shd w:val="clear" w:color="auto" w:fill="FFFFFF"/>
          </w:tcPr>
          <w:p>
            <w:r>
              <w:rPr>
                <w:rFonts w:ascii="Times New Roman" w:hAnsi="Times New Roman"/>
                <w:b w:val="0"/>
                <w:sz w:val="20"/>
              </w:rPr>
              <w:t>Managed Backend</w:t>
            </w:r>
          </w:p>
        </w:tc>
        <w:tc>
          <w:tcPr>
            <w:tcW w:type="dxa" w:w="6048"/>
            <w:shd w:val="clear" w:color="auto" w:fill="FFFFFF"/>
          </w:tcPr>
          <w:p>
            <w:r>
              <w:rPr>
                <w:rFonts w:ascii="Times New Roman" w:hAnsi="Times New Roman"/>
                <w:b w:val="0"/>
                <w:sz w:val="20"/>
              </w:rPr>
              <w:t>Supabase Cloud (Auth, DB, Storage)</w:t>
            </w:r>
          </w:p>
        </w:tc>
      </w:tr>
      <w:tr>
        <w:tc>
          <w:tcPr>
            <w:tcW w:type="dxa" w:w="3600"/>
            <w:shd w:val="clear" w:color="auto" w:fill="EBF3FB"/>
          </w:tcPr>
          <w:p>
            <w:r>
              <w:rPr>
                <w:rFonts w:ascii="Times New Roman" w:hAnsi="Times New Roman"/>
                <w:b w:val="0"/>
                <w:sz w:val="20"/>
              </w:rPr>
              <w:t>Recommended OS</w:t>
            </w:r>
          </w:p>
        </w:tc>
        <w:tc>
          <w:tcPr>
            <w:tcW w:type="dxa" w:w="6048"/>
            <w:shd w:val="clear" w:color="auto" w:fill="EBF3FB"/>
          </w:tcPr>
          <w:p>
            <w:r>
              <w:rPr>
                <w:rFonts w:ascii="Times New Roman" w:hAnsi="Times New Roman"/>
                <w:b w:val="0"/>
                <w:sz w:val="20"/>
              </w:rPr>
              <w:t>Ubuntu or Debian Linux</w:t>
            </w:r>
          </w:p>
        </w:tc>
      </w:tr>
    </w:tbl>
    <w:p/>
    <w:p>
      <w:pPr>
        <w:spacing w:before="160" w:after="40"/>
      </w:pPr>
      <w:r>
        <w:rPr>
          <w:rFonts w:ascii="Times New Roman" w:hAnsi="Times New Roman"/>
          <w:b/>
          <w:sz w:val="22"/>
        </w:rPr>
        <w:t>19.4.2 Firewall And Public Port Plan</w:t>
      </w:r>
    </w:p>
    <w:p>
      <w:pPr>
        <w:spacing w:after="120"/>
        <w:ind w:firstLine="0"/>
        <w:jc w:val="both"/>
      </w:pPr>
      <w:r>
        <w:rPr>
          <w:rFonts w:ascii="Times New Roman" w:hAnsi="Times New Roman"/>
          <w:b/>
          <w:sz w:val="22"/>
        </w:rPr>
        <w:t xml:space="preserve">UFW Firewall Configuration: </w:t>
      </w:r>
      <w:r>
        <w:rPr>
          <w:rFonts w:ascii="Times New Roman" w:hAnsi="Times New Roman"/>
          <w:b w:val="0"/>
          <w:sz w:val="22"/>
        </w:rPr>
        <w:t>The firewall should expose only the ports required for administration and public access. This port plan allows the team to demonstrate the cloud dashboard without exposing every internal service, and clearly separates the current staging deployment from a fully hardened IoT production deployment.</w:t>
      </w:r>
    </w:p>
    <w:tbl>
      <w:tblPr>
        <w:tblStyle w:val="TableGrid"/>
        <w:tblW w:type="auto" w:w="0"/>
        <w:tblLook w:firstColumn="1" w:firstRow="1" w:lastColumn="0" w:lastRow="0" w:noHBand="0" w:noVBand="1" w:val="04A0"/>
      </w:tblPr>
      <w:tblGrid>
        <w:gridCol w:w="2280"/>
        <w:gridCol w:w="2280"/>
        <w:gridCol w:w="2280"/>
        <w:gridCol w:w="2280"/>
      </w:tblGrid>
      <w:tr>
        <w:tc>
          <w:tcPr>
            <w:tcW w:type="dxa" w:w="864"/>
            <w:shd w:val="clear" w:color="auto" w:fill="1F3864"/>
          </w:tcPr>
          <w:p>
            <w:pPr>
              <w:jc w:val="center"/>
            </w:pPr>
            <w:r>
              <w:rPr>
                <w:rFonts w:ascii="Times New Roman" w:hAnsi="Times New Roman"/>
                <w:b/>
                <w:color w:val="FFFFFF"/>
                <w:sz w:val="20"/>
              </w:rPr>
              <w:t>Port</w:t>
            </w:r>
          </w:p>
        </w:tc>
        <w:tc>
          <w:tcPr>
            <w:tcW w:type="dxa" w:w="1152"/>
            <w:shd w:val="clear" w:color="auto" w:fill="1F3864"/>
          </w:tcPr>
          <w:p>
            <w:pPr>
              <w:jc w:val="center"/>
            </w:pPr>
            <w:r>
              <w:rPr>
                <w:rFonts w:ascii="Times New Roman" w:hAnsi="Times New Roman"/>
                <w:b/>
                <w:color w:val="FFFFFF"/>
                <w:sz w:val="20"/>
              </w:rPr>
              <w:t>Protocol</w:t>
            </w:r>
          </w:p>
        </w:tc>
        <w:tc>
          <w:tcPr>
            <w:tcW w:type="dxa" w:w="2592"/>
            <w:shd w:val="clear" w:color="auto" w:fill="1F3864"/>
          </w:tcPr>
          <w:p>
            <w:pPr>
              <w:jc w:val="center"/>
            </w:pPr>
            <w:r>
              <w:rPr>
                <w:rFonts w:ascii="Times New Roman" w:hAnsi="Times New Roman"/>
                <w:b/>
                <w:color w:val="FFFFFF"/>
                <w:sz w:val="20"/>
              </w:rPr>
              <w:t>Purpose</w:t>
            </w:r>
          </w:p>
        </w:tc>
        <w:tc>
          <w:tcPr>
            <w:tcW w:type="dxa" w:w="4320"/>
            <w:shd w:val="clear" w:color="auto" w:fill="1F3864"/>
          </w:tcPr>
          <w:p>
            <w:pPr>
              <w:jc w:val="center"/>
            </w:pPr>
            <w:r>
              <w:rPr>
                <w:rFonts w:ascii="Times New Roman" w:hAnsi="Times New Roman"/>
                <w:b/>
                <w:color w:val="FFFFFF"/>
                <w:sz w:val="20"/>
              </w:rPr>
              <w:t>Public Exposure Decision</w:t>
            </w:r>
          </w:p>
        </w:tc>
      </w:tr>
      <w:tr>
        <w:tc>
          <w:tcPr>
            <w:tcW w:type="dxa" w:w="864"/>
            <w:shd w:val="clear" w:color="auto" w:fill="FFFFFF"/>
          </w:tcPr>
          <w:p>
            <w:r>
              <w:rPr>
                <w:rFonts w:ascii="Times New Roman" w:hAnsi="Times New Roman"/>
                <w:b w:val="0"/>
                <w:sz w:val="20"/>
              </w:rPr>
              <w:t>22</w:t>
            </w:r>
          </w:p>
        </w:tc>
        <w:tc>
          <w:tcPr>
            <w:tcW w:type="dxa" w:w="1152"/>
            <w:shd w:val="clear" w:color="auto" w:fill="FFFFFF"/>
          </w:tcPr>
          <w:p>
            <w:r>
              <w:rPr>
                <w:rFonts w:ascii="Times New Roman" w:hAnsi="Times New Roman"/>
                <w:b w:val="0"/>
                <w:sz w:val="20"/>
              </w:rPr>
              <w:t>TCP</w:t>
            </w:r>
          </w:p>
        </w:tc>
        <w:tc>
          <w:tcPr>
            <w:tcW w:type="dxa" w:w="2592"/>
            <w:shd w:val="clear" w:color="auto" w:fill="FFFFFF"/>
          </w:tcPr>
          <w:p>
            <w:r>
              <w:rPr>
                <w:rFonts w:ascii="Times New Roman" w:hAnsi="Times New Roman"/>
                <w:b w:val="0"/>
                <w:sz w:val="20"/>
              </w:rPr>
              <w:t>SSH administration</w:t>
            </w:r>
          </w:p>
        </w:tc>
        <w:tc>
          <w:tcPr>
            <w:tcW w:type="dxa" w:w="4320"/>
            <w:shd w:val="clear" w:color="auto" w:fill="FFFFFF"/>
          </w:tcPr>
          <w:p>
            <w:r>
              <w:rPr>
                <w:rFonts w:ascii="Times New Roman" w:hAnsi="Times New Roman"/>
                <w:b w:val="0"/>
                <w:sz w:val="20"/>
              </w:rPr>
              <w:t>Open only for trusted administrators</w:t>
            </w:r>
          </w:p>
        </w:tc>
      </w:tr>
      <w:tr>
        <w:tc>
          <w:tcPr>
            <w:tcW w:type="dxa" w:w="864"/>
            <w:shd w:val="clear" w:color="auto" w:fill="EBF3FB"/>
          </w:tcPr>
          <w:p>
            <w:r>
              <w:rPr>
                <w:rFonts w:ascii="Times New Roman" w:hAnsi="Times New Roman"/>
                <w:b w:val="0"/>
                <w:sz w:val="20"/>
              </w:rPr>
              <w:t>80</w:t>
            </w:r>
          </w:p>
        </w:tc>
        <w:tc>
          <w:tcPr>
            <w:tcW w:type="dxa" w:w="1152"/>
            <w:shd w:val="clear" w:color="auto" w:fill="EBF3FB"/>
          </w:tcPr>
          <w:p>
            <w:r>
              <w:rPr>
                <w:rFonts w:ascii="Times New Roman" w:hAnsi="Times New Roman"/>
                <w:b w:val="0"/>
                <w:sz w:val="20"/>
              </w:rPr>
              <w:t>TCP</w:t>
            </w:r>
          </w:p>
        </w:tc>
        <w:tc>
          <w:tcPr>
            <w:tcW w:type="dxa" w:w="2592"/>
            <w:shd w:val="clear" w:color="auto" w:fill="EBF3FB"/>
          </w:tcPr>
          <w:p>
            <w:r>
              <w:rPr>
                <w:rFonts w:ascii="Times New Roman" w:hAnsi="Times New Roman"/>
                <w:b w:val="0"/>
                <w:sz w:val="20"/>
              </w:rPr>
              <w:t>HTTP + certificate challenge</w:t>
            </w:r>
          </w:p>
        </w:tc>
        <w:tc>
          <w:tcPr>
            <w:tcW w:type="dxa" w:w="4320"/>
            <w:shd w:val="clear" w:color="auto" w:fill="EBF3FB"/>
          </w:tcPr>
          <w:p>
            <w:r>
              <w:rPr>
                <w:rFonts w:ascii="Times New Roman" w:hAnsi="Times New Roman"/>
                <w:b w:val="0"/>
                <w:sz w:val="20"/>
              </w:rPr>
              <w:t>Open for NGINX and Certbot</w:t>
            </w:r>
          </w:p>
        </w:tc>
      </w:tr>
      <w:tr>
        <w:tc>
          <w:tcPr>
            <w:tcW w:type="dxa" w:w="864"/>
            <w:shd w:val="clear" w:color="auto" w:fill="FFFFFF"/>
          </w:tcPr>
          <w:p>
            <w:r>
              <w:rPr>
                <w:rFonts w:ascii="Times New Roman" w:hAnsi="Times New Roman"/>
                <w:b w:val="0"/>
                <w:sz w:val="20"/>
              </w:rPr>
              <w:t>443</w:t>
            </w:r>
          </w:p>
        </w:tc>
        <w:tc>
          <w:tcPr>
            <w:tcW w:type="dxa" w:w="1152"/>
            <w:shd w:val="clear" w:color="auto" w:fill="FFFFFF"/>
          </w:tcPr>
          <w:p>
            <w:r>
              <w:rPr>
                <w:rFonts w:ascii="Times New Roman" w:hAnsi="Times New Roman"/>
                <w:b w:val="0"/>
                <w:sz w:val="20"/>
              </w:rPr>
              <w:t>TCP</w:t>
            </w:r>
          </w:p>
        </w:tc>
        <w:tc>
          <w:tcPr>
            <w:tcW w:type="dxa" w:w="2592"/>
            <w:shd w:val="clear" w:color="auto" w:fill="FFFFFF"/>
          </w:tcPr>
          <w:p>
            <w:r>
              <w:rPr>
                <w:rFonts w:ascii="Times New Roman" w:hAnsi="Times New Roman"/>
                <w:b w:val="0"/>
                <w:sz w:val="20"/>
              </w:rPr>
              <w:t>HTTPS application</w:t>
            </w:r>
          </w:p>
        </w:tc>
        <w:tc>
          <w:tcPr>
            <w:tcW w:type="dxa" w:w="4320"/>
            <w:shd w:val="clear" w:color="auto" w:fill="FFFFFF"/>
          </w:tcPr>
          <w:p>
            <w:r>
              <w:rPr>
                <w:rFonts w:ascii="Times New Roman" w:hAnsi="Times New Roman"/>
                <w:b w:val="0"/>
                <w:sz w:val="20"/>
              </w:rPr>
              <w:t>Open — main dashboard public access</w:t>
            </w:r>
          </w:p>
        </w:tc>
      </w:tr>
      <w:tr>
        <w:tc>
          <w:tcPr>
            <w:tcW w:type="dxa" w:w="864"/>
            <w:shd w:val="clear" w:color="auto" w:fill="EBF3FB"/>
          </w:tcPr>
          <w:p>
            <w:r>
              <w:rPr>
                <w:rFonts w:ascii="Times New Roman" w:hAnsi="Times New Roman"/>
                <w:b w:val="0"/>
                <w:sz w:val="20"/>
              </w:rPr>
              <w:t>8443</w:t>
            </w:r>
          </w:p>
        </w:tc>
        <w:tc>
          <w:tcPr>
            <w:tcW w:type="dxa" w:w="1152"/>
            <w:shd w:val="clear" w:color="auto" w:fill="EBF3FB"/>
          </w:tcPr>
          <w:p>
            <w:r>
              <w:rPr>
                <w:rFonts w:ascii="Times New Roman" w:hAnsi="Times New Roman"/>
                <w:b w:val="0"/>
                <w:sz w:val="20"/>
              </w:rPr>
              <w:t>TCP</w:t>
            </w:r>
          </w:p>
        </w:tc>
        <w:tc>
          <w:tcPr>
            <w:tcW w:type="dxa" w:w="2592"/>
            <w:shd w:val="clear" w:color="auto" w:fill="EBF3FB"/>
          </w:tcPr>
          <w:p>
            <w:r>
              <w:rPr>
                <w:rFonts w:ascii="Times New Roman" w:hAnsi="Times New Roman"/>
                <w:b w:val="0"/>
                <w:sz w:val="20"/>
              </w:rPr>
              <w:t>Optional HTTPS n8n access</w:t>
            </w:r>
          </w:p>
        </w:tc>
        <w:tc>
          <w:tcPr>
            <w:tcW w:type="dxa" w:w="4320"/>
            <w:shd w:val="clear" w:color="auto" w:fill="EBF3FB"/>
          </w:tcPr>
          <w:p>
            <w:r>
              <w:rPr>
                <w:rFonts w:ascii="Times New Roman" w:hAnsi="Times New Roman"/>
                <w:b w:val="0"/>
                <w:sz w:val="20"/>
              </w:rPr>
              <w:t>Open only if n8n is intentionally public for the team</w:t>
            </w:r>
          </w:p>
        </w:tc>
      </w:tr>
      <w:tr>
        <w:tc>
          <w:tcPr>
            <w:tcW w:type="dxa" w:w="864"/>
            <w:shd w:val="clear" w:color="auto" w:fill="FFFFFF"/>
          </w:tcPr>
          <w:p>
            <w:r>
              <w:rPr>
                <w:rFonts w:ascii="Times New Roman" w:hAnsi="Times New Roman"/>
                <w:b w:val="0"/>
                <w:sz w:val="20"/>
              </w:rPr>
              <w:t>3000</w:t>
            </w:r>
          </w:p>
        </w:tc>
        <w:tc>
          <w:tcPr>
            <w:tcW w:type="dxa" w:w="1152"/>
            <w:shd w:val="clear" w:color="auto" w:fill="FFFFFF"/>
          </w:tcPr>
          <w:p>
            <w:r>
              <w:rPr>
                <w:rFonts w:ascii="Times New Roman" w:hAnsi="Times New Roman"/>
                <w:b w:val="0"/>
                <w:sz w:val="20"/>
              </w:rPr>
              <w:t>TCP</w:t>
            </w:r>
          </w:p>
        </w:tc>
        <w:tc>
          <w:tcPr>
            <w:tcW w:type="dxa" w:w="2592"/>
            <w:shd w:val="clear" w:color="auto" w:fill="FFFFFF"/>
          </w:tcPr>
          <w:p>
            <w:r>
              <w:rPr>
                <w:rFonts w:ascii="Times New Roman" w:hAnsi="Times New Roman"/>
                <w:b w:val="0"/>
                <w:sz w:val="20"/>
              </w:rPr>
              <w:t>Next.js frontend container</w:t>
            </w:r>
          </w:p>
        </w:tc>
        <w:tc>
          <w:tcPr>
            <w:tcW w:type="dxa" w:w="4320"/>
            <w:shd w:val="clear" w:color="auto" w:fill="FFFFFF"/>
          </w:tcPr>
          <w:p>
            <w:r>
              <w:rPr>
                <w:rFonts w:ascii="Times New Roman" w:hAnsi="Times New Roman"/>
                <w:b w:val="0"/>
                <w:sz w:val="20"/>
              </w:rPr>
              <w:t>Keep private (internal Docker only)</w:t>
            </w:r>
          </w:p>
        </w:tc>
      </w:tr>
      <w:tr>
        <w:tc>
          <w:tcPr>
            <w:tcW w:type="dxa" w:w="864"/>
            <w:shd w:val="clear" w:color="auto" w:fill="EBF3FB"/>
          </w:tcPr>
          <w:p>
            <w:r>
              <w:rPr>
                <w:rFonts w:ascii="Times New Roman" w:hAnsi="Times New Roman"/>
                <w:b w:val="0"/>
                <w:sz w:val="20"/>
              </w:rPr>
              <w:t>8000</w:t>
            </w:r>
          </w:p>
        </w:tc>
        <w:tc>
          <w:tcPr>
            <w:tcW w:type="dxa" w:w="1152"/>
            <w:shd w:val="clear" w:color="auto" w:fill="EBF3FB"/>
          </w:tcPr>
          <w:p>
            <w:r>
              <w:rPr>
                <w:rFonts w:ascii="Times New Roman" w:hAnsi="Times New Roman"/>
                <w:b w:val="0"/>
                <w:sz w:val="20"/>
              </w:rPr>
              <w:t>TCP</w:t>
            </w:r>
          </w:p>
        </w:tc>
        <w:tc>
          <w:tcPr>
            <w:tcW w:type="dxa" w:w="2592"/>
            <w:shd w:val="clear" w:color="auto" w:fill="EBF3FB"/>
          </w:tcPr>
          <w:p>
            <w:r>
              <w:rPr>
                <w:rFonts w:ascii="Times New Roman" w:hAnsi="Times New Roman"/>
                <w:b w:val="0"/>
                <w:sz w:val="20"/>
              </w:rPr>
              <w:t>FastAPI inference container</w:t>
            </w:r>
          </w:p>
        </w:tc>
        <w:tc>
          <w:tcPr>
            <w:tcW w:type="dxa" w:w="4320"/>
            <w:shd w:val="clear" w:color="auto" w:fill="EBF3FB"/>
          </w:tcPr>
          <w:p>
            <w:r>
              <w:rPr>
                <w:rFonts w:ascii="Times New Roman" w:hAnsi="Times New Roman"/>
                <w:b w:val="0"/>
                <w:sz w:val="20"/>
              </w:rPr>
              <w:t>Keep private (internal Docker only)</w:t>
            </w:r>
          </w:p>
        </w:tc>
      </w:tr>
      <w:tr>
        <w:tc>
          <w:tcPr>
            <w:tcW w:type="dxa" w:w="864"/>
            <w:shd w:val="clear" w:color="auto" w:fill="FFFFFF"/>
          </w:tcPr>
          <w:p>
            <w:r>
              <w:rPr>
                <w:rFonts w:ascii="Times New Roman" w:hAnsi="Times New Roman"/>
                <w:b w:val="0"/>
                <w:sz w:val="20"/>
              </w:rPr>
              <w:t>1883</w:t>
            </w:r>
          </w:p>
        </w:tc>
        <w:tc>
          <w:tcPr>
            <w:tcW w:type="dxa" w:w="1152"/>
            <w:shd w:val="clear" w:color="auto" w:fill="FFFFFF"/>
          </w:tcPr>
          <w:p>
            <w:r>
              <w:rPr>
                <w:rFonts w:ascii="Times New Roman" w:hAnsi="Times New Roman"/>
                <w:b w:val="0"/>
                <w:sz w:val="20"/>
              </w:rPr>
              <w:t>TCP</w:t>
            </w:r>
          </w:p>
        </w:tc>
        <w:tc>
          <w:tcPr>
            <w:tcW w:type="dxa" w:w="2592"/>
            <w:shd w:val="clear" w:color="auto" w:fill="FFFFFF"/>
          </w:tcPr>
          <w:p>
            <w:r>
              <w:rPr>
                <w:rFonts w:ascii="Times New Roman" w:hAnsi="Times New Roman"/>
                <w:b w:val="0"/>
                <w:sz w:val="20"/>
              </w:rPr>
              <w:t>MQTT TCP broker</w:t>
            </w:r>
          </w:p>
        </w:tc>
        <w:tc>
          <w:tcPr>
            <w:tcW w:type="dxa" w:w="4320"/>
            <w:shd w:val="clear" w:color="auto" w:fill="FFFFFF"/>
          </w:tcPr>
          <w:p>
            <w:r>
              <w:rPr>
                <w:rFonts w:ascii="Times New Roman" w:hAnsi="Times New Roman"/>
                <w:b w:val="0"/>
                <w:sz w:val="20"/>
              </w:rPr>
              <w:t>Keep private (VPN/TLS required for remote devices)</w:t>
            </w:r>
          </w:p>
        </w:tc>
      </w:tr>
      <w:tr>
        <w:tc>
          <w:tcPr>
            <w:tcW w:type="dxa" w:w="864"/>
            <w:shd w:val="clear" w:color="auto" w:fill="EBF3FB"/>
          </w:tcPr>
          <w:p>
            <w:r>
              <w:rPr>
                <w:rFonts w:ascii="Times New Roman" w:hAnsi="Times New Roman"/>
                <w:b w:val="0"/>
                <w:sz w:val="20"/>
              </w:rPr>
              <w:t>9001</w:t>
            </w:r>
          </w:p>
        </w:tc>
        <w:tc>
          <w:tcPr>
            <w:tcW w:type="dxa" w:w="1152"/>
            <w:shd w:val="clear" w:color="auto" w:fill="EBF3FB"/>
          </w:tcPr>
          <w:p>
            <w:r>
              <w:rPr>
                <w:rFonts w:ascii="Times New Roman" w:hAnsi="Times New Roman"/>
                <w:b w:val="0"/>
                <w:sz w:val="20"/>
              </w:rPr>
              <w:t>TCP</w:t>
            </w:r>
          </w:p>
        </w:tc>
        <w:tc>
          <w:tcPr>
            <w:tcW w:type="dxa" w:w="2592"/>
            <w:shd w:val="clear" w:color="auto" w:fill="EBF3FB"/>
          </w:tcPr>
          <w:p>
            <w:r>
              <w:rPr>
                <w:rFonts w:ascii="Times New Roman" w:hAnsi="Times New Roman"/>
                <w:b w:val="0"/>
                <w:sz w:val="20"/>
              </w:rPr>
              <w:t>MQTT WebSocket listener</w:t>
            </w:r>
          </w:p>
        </w:tc>
        <w:tc>
          <w:tcPr>
            <w:tcW w:type="dxa" w:w="4320"/>
            <w:shd w:val="clear" w:color="auto" w:fill="EBF3FB"/>
          </w:tcPr>
          <w:p>
            <w:r>
              <w:rPr>
                <w:rFonts w:ascii="Times New Roman" w:hAnsi="Times New Roman"/>
                <w:b w:val="0"/>
                <w:sz w:val="20"/>
              </w:rPr>
              <w:t>Keep private unless intentionally proxied</w:t>
            </w:r>
          </w:p>
        </w:tc>
      </w:tr>
      <w:tr>
        <w:tc>
          <w:tcPr>
            <w:tcW w:type="dxa" w:w="864"/>
            <w:shd w:val="clear" w:color="auto" w:fill="FFFFFF"/>
          </w:tcPr>
          <w:p>
            <w:r>
              <w:rPr>
                <w:rFonts w:ascii="Times New Roman" w:hAnsi="Times New Roman"/>
                <w:b w:val="0"/>
                <w:sz w:val="20"/>
              </w:rPr>
              <w:t>5678</w:t>
            </w:r>
          </w:p>
        </w:tc>
        <w:tc>
          <w:tcPr>
            <w:tcW w:type="dxa" w:w="1152"/>
            <w:shd w:val="clear" w:color="auto" w:fill="FFFFFF"/>
          </w:tcPr>
          <w:p>
            <w:r>
              <w:rPr>
                <w:rFonts w:ascii="Times New Roman" w:hAnsi="Times New Roman"/>
                <w:b w:val="0"/>
                <w:sz w:val="20"/>
              </w:rPr>
              <w:t>TCP</w:t>
            </w:r>
          </w:p>
        </w:tc>
        <w:tc>
          <w:tcPr>
            <w:tcW w:type="dxa" w:w="2592"/>
            <w:shd w:val="clear" w:color="auto" w:fill="FFFFFF"/>
          </w:tcPr>
          <w:p>
            <w:r>
              <w:rPr>
                <w:rFonts w:ascii="Times New Roman" w:hAnsi="Times New Roman"/>
                <w:b w:val="0"/>
                <w:sz w:val="20"/>
              </w:rPr>
              <w:t>n8n container</w:t>
            </w:r>
          </w:p>
        </w:tc>
        <w:tc>
          <w:tcPr>
            <w:tcW w:type="dxa" w:w="4320"/>
            <w:shd w:val="clear" w:color="auto" w:fill="FFFFFF"/>
          </w:tcPr>
          <w:p>
            <w:r>
              <w:rPr>
                <w:rFonts w:ascii="Times New Roman" w:hAnsi="Times New Roman"/>
                <w:b w:val="0"/>
                <w:sz w:val="20"/>
              </w:rPr>
              <w:t>Keep private (SSH tunnel or NGINX port 8443)</w:t>
            </w:r>
          </w:p>
        </w:tc>
      </w:tr>
    </w:tbl>
    <w:p/>
    <w:p>
      <w:pPr>
        <w:spacing w:before="160" w:after="40"/>
      </w:pPr>
      <w:r>
        <w:rPr>
          <w:rFonts w:ascii="Times New Roman" w:hAnsi="Times New Roman"/>
          <w:b/>
          <w:sz w:val="22"/>
        </w:rPr>
        <w:t>19.4.3 Supabase Auth Configuration for Hostinger</w:t>
      </w:r>
    </w:p>
    <w:p>
      <w:pPr>
        <w:spacing w:after="120"/>
        <w:ind w:firstLine="0"/>
        <w:jc w:val="both"/>
      </w:pPr>
      <w:r>
        <w:rPr>
          <w:rFonts w:ascii="Times New Roman" w:hAnsi="Times New Roman"/>
          <w:b/>
          <w:sz w:val="22"/>
        </w:rPr>
        <w:t xml:space="preserve">Supabase Settings Required: </w:t>
      </w:r>
      <w:r>
        <w:rPr>
          <w:rFonts w:ascii="Times New Roman" w:hAnsi="Times New Roman"/>
          <w:b w:val="0"/>
          <w:sz w:val="22"/>
        </w:rPr>
        <w:t>Supabase Auth must be configured for the cloud hostname. The following values must be set in the Supabase project dashboard to allow the deployed application to authenticate correctly.</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pPr>
              <w:jc w:val="center"/>
            </w:pPr>
            <w:r>
              <w:rPr>
                <w:rFonts w:ascii="Times New Roman" w:hAnsi="Times New Roman"/>
                <w:b/>
                <w:color w:val="FFFFFF"/>
                <w:sz w:val="20"/>
              </w:rPr>
              <w:t>Supabase Setting</w:t>
            </w:r>
          </w:p>
        </w:tc>
        <w:tc>
          <w:tcPr>
            <w:tcW w:type="dxa" w:w="6048"/>
            <w:shd w:val="clear" w:color="auto" w:fill="1F3864"/>
          </w:tcPr>
          <w:p>
            <w:pPr>
              <w:jc w:val="center"/>
            </w:pPr>
            <w:r>
              <w:rPr>
                <w:rFonts w:ascii="Times New Roman" w:hAnsi="Times New Roman"/>
                <w:b/>
                <w:color w:val="FFFFFF"/>
                <w:sz w:val="20"/>
              </w:rPr>
              <w:t>Hostinger Value</w:t>
            </w:r>
          </w:p>
        </w:tc>
      </w:tr>
      <w:tr>
        <w:tc>
          <w:tcPr>
            <w:tcW w:type="dxa" w:w="3600"/>
            <w:shd w:val="clear" w:color="auto" w:fill="FFFFFF"/>
          </w:tcPr>
          <w:p>
            <w:r>
              <w:rPr>
                <w:rFonts w:ascii="Times New Roman" w:hAnsi="Times New Roman"/>
                <w:b w:val="0"/>
                <w:sz w:val="20"/>
              </w:rPr>
              <w:t>Site URL</w:t>
            </w:r>
          </w:p>
        </w:tc>
        <w:tc>
          <w:tcPr>
            <w:tcW w:type="dxa" w:w="6048"/>
            <w:shd w:val="clear" w:color="auto" w:fill="FFFFFF"/>
          </w:tcPr>
          <w:p>
            <w:r>
              <w:rPr>
                <w:rFonts w:ascii="Times New Roman" w:hAnsi="Times New Roman"/>
                <w:b w:val="0"/>
                <w:sz w:val="20"/>
              </w:rPr>
              <w:t>https://srv1621744.hstgr.cloud</w:t>
            </w:r>
          </w:p>
        </w:tc>
      </w:tr>
      <w:tr>
        <w:tc>
          <w:tcPr>
            <w:tcW w:type="dxa" w:w="3600"/>
            <w:shd w:val="clear" w:color="auto" w:fill="EBF3FB"/>
          </w:tcPr>
          <w:p>
            <w:r>
              <w:rPr>
                <w:rFonts w:ascii="Times New Roman" w:hAnsi="Times New Roman"/>
                <w:b w:val="0"/>
                <w:sz w:val="20"/>
              </w:rPr>
              <w:t>Redirect URL</w:t>
            </w:r>
          </w:p>
        </w:tc>
        <w:tc>
          <w:tcPr>
            <w:tcW w:type="dxa" w:w="6048"/>
            <w:shd w:val="clear" w:color="auto" w:fill="EBF3FB"/>
          </w:tcPr>
          <w:p>
            <w:r>
              <w:rPr>
                <w:rFonts w:ascii="Times New Roman" w:hAnsi="Times New Roman"/>
                <w:b w:val="0"/>
                <w:sz w:val="20"/>
              </w:rPr>
              <w:t>https://srv1621744.hstgr.cloud/auth/callback</w:t>
            </w:r>
          </w:p>
        </w:tc>
      </w:tr>
      <w:tr>
        <w:tc>
          <w:tcPr>
            <w:tcW w:type="dxa" w:w="3600"/>
            <w:shd w:val="clear" w:color="auto" w:fill="FFFFFF"/>
          </w:tcPr>
          <w:p>
            <w:r>
              <w:rPr>
                <w:rFonts w:ascii="Times New Roman" w:hAnsi="Times New Roman"/>
                <w:b w:val="0"/>
                <w:sz w:val="20"/>
              </w:rPr>
              <w:t>Edge Function CORS Origin</w:t>
            </w:r>
          </w:p>
        </w:tc>
        <w:tc>
          <w:tcPr>
            <w:tcW w:type="dxa" w:w="6048"/>
            <w:shd w:val="clear" w:color="auto" w:fill="FFFFFF"/>
          </w:tcPr>
          <w:p>
            <w:r>
              <w:rPr>
                <w:rFonts w:ascii="Times New Roman" w:hAnsi="Times New Roman"/>
                <w:b w:val="0"/>
                <w:sz w:val="20"/>
              </w:rPr>
              <w:t>https://srv1621744.hstgr.cloud</w:t>
            </w:r>
          </w:p>
        </w:tc>
      </w:tr>
    </w:tbl>
    <w:p/>
    <w:p>
      <w:pPr>
        <w:spacing w:before="160" w:after="40"/>
      </w:pPr>
      <w:r>
        <w:rPr>
          <w:rFonts w:ascii="Times New Roman" w:hAnsi="Times New Roman"/>
          <w:b/>
          <w:sz w:val="22"/>
        </w:rPr>
        <w:t>19.4.4 Rollout Procedure</w:t>
      </w:r>
    </w:p>
    <w:p>
      <w:pPr>
        <w:spacing w:after="120"/>
        <w:ind w:firstLine="0"/>
        <w:jc w:val="both"/>
      </w:pPr>
      <w:r>
        <w:rPr>
          <w:rFonts w:ascii="Times New Roman" w:hAnsi="Times New Roman"/>
          <w:b/>
          <w:sz w:val="22"/>
        </w:rPr>
        <w:t xml:space="preserve">Step-by-Step Rollout: </w:t>
      </w:r>
      <w:r>
        <w:rPr>
          <w:rFonts w:ascii="Times New Roman" w:hAnsi="Times New Roman"/>
          <w:b w:val="0"/>
          <w:sz w:val="22"/>
        </w:rPr>
        <w:t>The rollout procedure starts by connecting to the VPS via SSH, then updates the system, installs Docker, Git, UFW, and Certbot, clones the repository, configures the environment file, generates TLS certificates, configures Supabase Auth, and starts the stack. The recommended cloud deployment command is:</w:t>
      </w:r>
    </w:p>
    <w:p>
      <w:pPr>
        <w:ind w:left="850"/>
      </w:pPr>
      <w:r>
        <w:rPr>
          <w:rFonts w:ascii="Courier New" w:hAnsi="Courier New"/>
          <w:sz w:val="18"/>
        </w:rPr>
        <w:t xml:space="preserve">    ssh root@187.127.224.4</w:t>
      </w:r>
    </w:p>
    <w:p>
      <w:pPr>
        <w:ind w:left="850"/>
      </w:pPr>
      <w:r>
        <w:rPr>
          <w:rFonts w:ascii="Courier New" w:hAnsi="Courier New"/>
          <w:sz w:val="18"/>
        </w:rPr>
        <w:t xml:space="preserve">    cd /opt &amp;&amp; git clone https://github.com/Mahmoudmetwall2y/Graduation-project.git asculticor</w:t>
      </w:r>
    </w:p>
    <w:p>
      <w:pPr>
        <w:ind w:left="850"/>
      </w:pPr>
      <w:r>
        <w:rPr>
          <w:rFonts w:ascii="Courier New" w:hAnsi="Courier New"/>
          <w:sz w:val="18"/>
        </w:rPr>
        <w:t xml:space="preserve">    cd asculticor &amp;&amp; cp .env.cloud.example .env &amp;&amp; nano .env</w:t>
      </w:r>
    </w:p>
    <w:p>
      <w:pPr>
        <w:ind w:left="850"/>
      </w:pPr>
      <w:r>
        <w:rPr>
          <w:rFonts w:ascii="Courier New" w:hAnsi="Courier New"/>
          <w:sz w:val="18"/>
        </w:rPr>
        <w:t xml:space="preserve">    certbot certonly --standalone -d srv1621744.hstgr.cloud</w:t>
      </w:r>
    </w:p>
    <w:p>
      <w:pPr>
        <w:ind w:left="850"/>
      </w:pPr>
      <w:r>
        <w:rPr>
          <w:rFonts w:ascii="Courier New" w:hAnsi="Courier New"/>
          <w:sz w:val="18"/>
        </w:rPr>
        <w:t xml:space="preserve">    mkdir -p NGINX/certs</w:t>
      </w:r>
    </w:p>
    <w:p>
      <w:pPr>
        <w:ind w:left="850"/>
      </w:pPr>
      <w:r>
        <w:rPr>
          <w:rFonts w:ascii="Courier New" w:hAnsi="Courier New"/>
          <w:sz w:val="18"/>
        </w:rPr>
        <w:t xml:space="preserve">    cp /etc/letsencrypt/live/srv1621744.hstgr.cloud/fullchain.pem NGINX/certs/fullchain.pem</w:t>
      </w:r>
    </w:p>
    <w:p>
      <w:pPr>
        <w:ind w:left="850"/>
      </w:pPr>
      <w:r>
        <w:rPr>
          <w:rFonts w:ascii="Courier New" w:hAnsi="Courier New"/>
          <w:sz w:val="18"/>
        </w:rPr>
        <w:t xml:space="preserve">    cp /etc/letsencrypt/live/srv1621744.hstgr.cloud/privkey.pem NGINX/certs/privkey.pem</w:t>
      </w:r>
    </w:p>
    <w:p>
      <w:pPr>
        <w:ind w:left="850"/>
      </w:pPr>
      <w:r>
        <w:rPr>
          <w:rFonts w:ascii="Courier New" w:hAnsi="Courier New"/>
          <w:sz w:val="18"/>
        </w:rPr>
        <w:t xml:space="preserve">    docker compose --env-file .env -f docker-compose.yml -f docker-compose.cloud.yml up -d --build</w:t>
      </w:r>
    </w:p>
    <w:p/>
    <w:p>
      <w:pPr>
        <w:spacing w:before="160" w:after="40"/>
      </w:pPr>
      <w:r>
        <w:rPr>
          <w:rFonts w:ascii="Times New Roman" w:hAnsi="Times New Roman"/>
          <w:b/>
          <w:sz w:val="22"/>
        </w:rPr>
        <w:t>19.4.5 Device Connectivity Boundary</w:t>
      </w:r>
    </w:p>
    <w:p>
      <w:pPr>
        <w:spacing w:after="120"/>
        <w:ind w:firstLine="0"/>
        <w:jc w:val="both"/>
      </w:pPr>
      <w:r>
        <w:rPr>
          <w:rFonts w:ascii="Times New Roman" w:hAnsi="Times New Roman"/>
          <w:b/>
          <w:sz w:val="22"/>
        </w:rPr>
        <w:t xml:space="preserve">Initial Deployment Boundary: </w:t>
      </w:r>
      <w:r>
        <w:rPr>
          <w:rFonts w:ascii="Times New Roman" w:hAnsi="Times New Roman"/>
          <w:b w:val="0"/>
          <w:sz w:val="22"/>
        </w:rPr>
        <w:t>The Hostinger deployment is suitable for remote dashboard access, teammate testing, n8n automation, report generation, and service-to-service communication on the VM. However, the safe first rollout does not treat public MQTT as production ready. With MQTT_BIND_ADDRESS=127.0.0.1, the MQTT broker is not reachable directly from remote ESP32 devices over the public internet.</w:t>
      </w:r>
    </w:p>
    <w:p>
      <w:pPr>
        <w:spacing w:after="120"/>
        <w:ind w:firstLine="0"/>
        <w:jc w:val="both"/>
      </w:pPr>
      <w:r>
        <w:rPr>
          <w:rFonts w:ascii="Times New Roman" w:hAnsi="Times New Roman"/>
          <w:b/>
          <w:sz w:val="22"/>
        </w:rPr>
        <w:t xml:space="preserve">Future Hardening Path: </w:t>
      </w:r>
      <w:r>
        <w:rPr>
          <w:rFonts w:ascii="Times New Roman" w:hAnsi="Times New Roman"/>
          <w:b w:val="0"/>
          <w:sz w:val="22"/>
        </w:rPr>
        <w:t>If physical ESP32 devices must publish directly to the Hostinger VPS from outside the local network, the team should first add MQTT over TLS, a VPN or private tunnel, or a managed IoT broker. Only after that hardening should ports such as 1883 or 9001 be opened beyond the VM. This boundary is important because ECG and PCG streams are sensitive and because MQTT credentials should not be exposed through an unencrypted public broker.</w:t>
      </w:r>
    </w:p>
    <w:p>
      <w:pPr>
        <w:spacing w:before="240" w:after="80"/>
      </w:pPr>
      <w:r>
        <w:rPr>
          <w:rFonts w:ascii="Times New Roman" w:hAnsi="Times New Roman"/>
          <w:b/>
          <w:sz w:val="24"/>
        </w:rPr>
        <w:t>19.5 Environment Variables</w:t>
      </w:r>
    </w:p>
    <w:p>
      <w:pPr>
        <w:spacing w:after="120"/>
        <w:ind w:firstLine="0"/>
        <w:jc w:val="both"/>
      </w:pPr>
      <w:r>
        <w:rPr>
          <w:rFonts w:ascii="Times New Roman" w:hAnsi="Times New Roman"/>
          <w:b/>
          <w:sz w:val="22"/>
        </w:rPr>
        <w:t xml:space="preserve">Configuration Strategy: </w:t>
      </w:r>
      <w:r>
        <w:rPr>
          <w:rFonts w:ascii="Times New Roman" w:hAnsi="Times New Roman"/>
          <w:b w:val="0"/>
          <w:sz w:val="22"/>
        </w:rPr>
        <w:t>Environment variables are used to configure the same codebase for local development, cloud staging, and future production environments. This keeps secrets out of source code and allows deployment-specific values to change without editing application files.</w:t>
      </w:r>
    </w:p>
    <w:p>
      <w:pPr>
        <w:spacing w:after="120"/>
        <w:ind w:firstLine="0"/>
        <w:jc w:val="both"/>
      </w:pPr>
      <w:r>
        <w:rPr>
          <w:rFonts w:ascii="Times New Roman" w:hAnsi="Times New Roman"/>
          <w:b/>
          <w:sz w:val="22"/>
        </w:rPr>
        <w:t xml:space="preserve">Security Constraint: </w:t>
      </w:r>
      <w:r>
        <w:rPr>
          <w:rFonts w:ascii="Times New Roman" w:hAnsi="Times New Roman"/>
          <w:b w:val="0"/>
          <w:sz w:val="22"/>
        </w:rPr>
        <w:t>The book documents variable names and purpose only. It never includes real values for service-role keys, JWTs, API keys, internal tokens, MQTT passwords, n8n passwords, encryption keys, database URLs containing passwords, or production patient data.</w:t>
      </w:r>
    </w:p>
    <w:p>
      <w:pPr>
        <w:spacing w:before="160" w:after="40"/>
      </w:pPr>
      <w:r>
        <w:rPr>
          <w:rFonts w:ascii="Times New Roman" w:hAnsi="Times New Roman"/>
          <w:b/>
          <w:sz w:val="22"/>
        </w:rPr>
        <w:t>Table 19.1: Environment Variable Reference</w:t>
      </w:r>
    </w:p>
    <w:tbl>
      <w:tblPr>
        <w:tblStyle w:val="TableGrid"/>
        <w:tblW w:type="auto" w:w="0"/>
        <w:tblLook w:firstColumn="1" w:firstRow="1" w:lastColumn="0" w:lastRow="0" w:noHBand="0" w:noVBand="1" w:val="04A0"/>
      </w:tblPr>
      <w:tblGrid>
        <w:gridCol w:w="4561"/>
        <w:gridCol w:w="4561"/>
      </w:tblGrid>
      <w:tr>
        <w:tc>
          <w:tcPr>
            <w:tcW w:type="dxa" w:w="4032"/>
            <w:shd w:val="clear" w:color="auto" w:fill="1F3864"/>
          </w:tcPr>
          <w:p>
            <w:pPr>
              <w:jc w:val="center"/>
            </w:pPr>
            <w:r>
              <w:rPr>
                <w:rFonts w:ascii="Times New Roman" w:hAnsi="Times New Roman"/>
                <w:b/>
                <w:color w:val="FFFFFF"/>
                <w:sz w:val="20"/>
              </w:rPr>
              <w:t>Variable</w:t>
            </w:r>
          </w:p>
        </w:tc>
        <w:tc>
          <w:tcPr>
            <w:tcW w:type="dxa" w:w="5616"/>
            <w:shd w:val="clear" w:color="auto" w:fill="1F3864"/>
          </w:tcPr>
          <w:p>
            <w:pPr>
              <w:jc w:val="center"/>
            </w:pPr>
            <w:r>
              <w:rPr>
                <w:rFonts w:ascii="Times New Roman" w:hAnsi="Times New Roman"/>
                <w:b/>
                <w:color w:val="FFFFFF"/>
                <w:sz w:val="20"/>
              </w:rPr>
              <w:t>Purpose</w:t>
            </w:r>
          </w:p>
        </w:tc>
      </w:tr>
      <w:tr>
        <w:tc>
          <w:tcPr>
            <w:tcW w:type="dxa" w:w="4032"/>
            <w:shd w:val="clear" w:color="auto" w:fill="FFFFFF"/>
          </w:tcPr>
          <w:p>
            <w:r>
              <w:rPr>
                <w:rFonts w:ascii="Times New Roman" w:hAnsi="Times New Roman"/>
                <w:b w:val="0"/>
                <w:sz w:val="20"/>
              </w:rPr>
              <w:t>APP_DOMAIN</w:t>
            </w:r>
          </w:p>
        </w:tc>
        <w:tc>
          <w:tcPr>
            <w:tcW w:type="dxa" w:w="5616"/>
            <w:shd w:val="clear" w:color="auto" w:fill="FFFFFF"/>
          </w:tcPr>
          <w:p>
            <w:r>
              <w:rPr>
                <w:rFonts w:ascii="Times New Roman" w:hAnsi="Times New Roman"/>
                <w:b w:val="0"/>
                <w:sz w:val="20"/>
              </w:rPr>
              <w:t>Public domain for the application</w:t>
            </w:r>
          </w:p>
        </w:tc>
      </w:tr>
      <w:tr>
        <w:tc>
          <w:tcPr>
            <w:tcW w:type="dxa" w:w="4032"/>
            <w:shd w:val="clear" w:color="auto" w:fill="EBF3FB"/>
          </w:tcPr>
          <w:p>
            <w:r>
              <w:rPr>
                <w:rFonts w:ascii="Times New Roman" w:hAnsi="Times New Roman"/>
                <w:b w:val="0"/>
                <w:sz w:val="20"/>
              </w:rPr>
              <w:t>DEVICE_BOOTSTRAP_PUBLIC_BASE_URL</w:t>
            </w:r>
          </w:p>
        </w:tc>
        <w:tc>
          <w:tcPr>
            <w:tcW w:type="dxa" w:w="5616"/>
            <w:shd w:val="clear" w:color="auto" w:fill="EBF3FB"/>
          </w:tcPr>
          <w:p>
            <w:r>
              <w:rPr>
                <w:rFonts w:ascii="Times New Roman" w:hAnsi="Times New Roman"/>
                <w:b w:val="0"/>
                <w:sz w:val="20"/>
              </w:rPr>
              <w:t>Public base URL used by devices during bootstrap</w:t>
            </w:r>
          </w:p>
        </w:tc>
      </w:tr>
      <w:tr>
        <w:tc>
          <w:tcPr>
            <w:tcW w:type="dxa" w:w="4032"/>
            <w:shd w:val="clear" w:color="auto" w:fill="FFFFFF"/>
          </w:tcPr>
          <w:p>
            <w:r>
              <w:rPr>
                <w:rFonts w:ascii="Times New Roman" w:hAnsi="Times New Roman"/>
                <w:b w:val="0"/>
                <w:sz w:val="20"/>
              </w:rPr>
              <w:t>SUPABASE_URL</w:t>
            </w:r>
          </w:p>
        </w:tc>
        <w:tc>
          <w:tcPr>
            <w:tcW w:type="dxa" w:w="5616"/>
            <w:shd w:val="clear" w:color="auto" w:fill="FFFFFF"/>
          </w:tcPr>
          <w:p>
            <w:r>
              <w:rPr>
                <w:rFonts w:ascii="Times New Roman" w:hAnsi="Times New Roman"/>
                <w:b w:val="0"/>
                <w:sz w:val="20"/>
              </w:rPr>
              <w:t>Supabase project URL</w:t>
            </w:r>
          </w:p>
        </w:tc>
      </w:tr>
      <w:tr>
        <w:tc>
          <w:tcPr>
            <w:tcW w:type="dxa" w:w="4032"/>
            <w:shd w:val="clear" w:color="auto" w:fill="EBF3FB"/>
          </w:tcPr>
          <w:p>
            <w:r>
              <w:rPr>
                <w:rFonts w:ascii="Times New Roman" w:hAnsi="Times New Roman"/>
                <w:b w:val="0"/>
                <w:sz w:val="20"/>
              </w:rPr>
              <w:t>SUPABASE_ANON_KEY</w:t>
            </w:r>
          </w:p>
        </w:tc>
        <w:tc>
          <w:tcPr>
            <w:tcW w:type="dxa" w:w="5616"/>
            <w:shd w:val="clear" w:color="auto" w:fill="EBF3FB"/>
          </w:tcPr>
          <w:p>
            <w:r>
              <w:rPr>
                <w:rFonts w:ascii="Times New Roman" w:hAnsi="Times New Roman"/>
                <w:b w:val="0"/>
                <w:sz w:val="20"/>
              </w:rPr>
              <w:t>Public anon key used by browser-safe Supabase clients</w:t>
            </w:r>
          </w:p>
        </w:tc>
      </w:tr>
      <w:tr>
        <w:tc>
          <w:tcPr>
            <w:tcW w:type="dxa" w:w="4032"/>
            <w:shd w:val="clear" w:color="auto" w:fill="FFFFFF"/>
          </w:tcPr>
          <w:p>
            <w:r>
              <w:rPr>
                <w:rFonts w:ascii="Times New Roman" w:hAnsi="Times New Roman"/>
                <w:b w:val="0"/>
                <w:sz w:val="20"/>
              </w:rPr>
              <w:t>SUPABASE_SERVICE_ROLE_KEY</w:t>
            </w:r>
          </w:p>
        </w:tc>
        <w:tc>
          <w:tcPr>
            <w:tcW w:type="dxa" w:w="5616"/>
            <w:shd w:val="clear" w:color="auto" w:fill="FFFFFF"/>
          </w:tcPr>
          <w:p>
            <w:r>
              <w:rPr>
                <w:rFonts w:ascii="Times New Roman" w:hAnsi="Times New Roman"/>
                <w:b w:val="0"/>
                <w:sz w:val="20"/>
              </w:rPr>
              <w:t>Privileged backend key used only by server services</w:t>
            </w:r>
          </w:p>
        </w:tc>
      </w:tr>
      <w:tr>
        <w:tc>
          <w:tcPr>
            <w:tcW w:type="dxa" w:w="4032"/>
            <w:shd w:val="clear" w:color="auto" w:fill="EBF3FB"/>
          </w:tcPr>
          <w:p>
            <w:r>
              <w:rPr>
                <w:rFonts w:ascii="Times New Roman" w:hAnsi="Times New Roman"/>
                <w:b w:val="0"/>
                <w:sz w:val="20"/>
              </w:rPr>
              <w:t>MQTT_USERNAME</w:t>
            </w:r>
          </w:p>
        </w:tc>
        <w:tc>
          <w:tcPr>
            <w:tcW w:type="dxa" w:w="5616"/>
            <w:shd w:val="clear" w:color="auto" w:fill="EBF3FB"/>
          </w:tcPr>
          <w:p>
            <w:r>
              <w:rPr>
                <w:rFonts w:ascii="Times New Roman" w:hAnsi="Times New Roman"/>
                <w:b w:val="0"/>
                <w:sz w:val="20"/>
              </w:rPr>
              <w:t>Administrative MQTT username</w:t>
            </w:r>
          </w:p>
        </w:tc>
      </w:tr>
      <w:tr>
        <w:tc>
          <w:tcPr>
            <w:tcW w:type="dxa" w:w="4032"/>
            <w:shd w:val="clear" w:color="auto" w:fill="FFFFFF"/>
          </w:tcPr>
          <w:p>
            <w:r>
              <w:rPr>
                <w:rFonts w:ascii="Times New Roman" w:hAnsi="Times New Roman"/>
                <w:b w:val="0"/>
                <w:sz w:val="20"/>
              </w:rPr>
              <w:t>MQTT_PASSWORD</w:t>
            </w:r>
          </w:p>
        </w:tc>
        <w:tc>
          <w:tcPr>
            <w:tcW w:type="dxa" w:w="5616"/>
            <w:shd w:val="clear" w:color="auto" w:fill="FFFFFF"/>
          </w:tcPr>
          <w:p>
            <w:r>
              <w:rPr>
                <w:rFonts w:ascii="Times New Roman" w:hAnsi="Times New Roman"/>
                <w:b w:val="0"/>
                <w:sz w:val="20"/>
              </w:rPr>
              <w:t>Administrative MQTT password (secret)</w:t>
            </w:r>
          </w:p>
        </w:tc>
      </w:tr>
      <w:tr>
        <w:tc>
          <w:tcPr>
            <w:tcW w:type="dxa" w:w="4032"/>
            <w:shd w:val="clear" w:color="auto" w:fill="EBF3FB"/>
          </w:tcPr>
          <w:p>
            <w:r>
              <w:rPr>
                <w:rFonts w:ascii="Times New Roman" w:hAnsi="Times New Roman"/>
                <w:b w:val="0"/>
                <w:sz w:val="20"/>
              </w:rPr>
              <w:t>MQTT_DEVICE_PASSWORD_PEPPER</w:t>
            </w:r>
          </w:p>
        </w:tc>
        <w:tc>
          <w:tcPr>
            <w:tcW w:type="dxa" w:w="5616"/>
            <w:shd w:val="clear" w:color="auto" w:fill="EBF3FB"/>
          </w:tcPr>
          <w:p>
            <w:r>
              <w:rPr>
                <w:rFonts w:ascii="Times New Roman" w:hAnsi="Times New Roman"/>
                <w:b w:val="0"/>
                <w:sz w:val="20"/>
              </w:rPr>
              <w:t>Secret used when deriving per-device MQTT credentials</w:t>
            </w:r>
          </w:p>
        </w:tc>
      </w:tr>
      <w:tr>
        <w:tc>
          <w:tcPr>
            <w:tcW w:type="dxa" w:w="4032"/>
            <w:shd w:val="clear" w:color="auto" w:fill="FFFFFF"/>
          </w:tcPr>
          <w:p>
            <w:r>
              <w:rPr>
                <w:rFonts w:ascii="Times New Roman" w:hAnsi="Times New Roman"/>
                <w:b w:val="0"/>
                <w:sz w:val="20"/>
              </w:rPr>
              <w:t>MQTT_BIND_ADDRESS</w:t>
            </w:r>
          </w:p>
        </w:tc>
        <w:tc>
          <w:tcPr>
            <w:tcW w:type="dxa" w:w="5616"/>
            <w:shd w:val="clear" w:color="auto" w:fill="FFFFFF"/>
          </w:tcPr>
          <w:p>
            <w:r>
              <w:rPr>
                <w:rFonts w:ascii="Times New Roman" w:hAnsi="Times New Roman"/>
                <w:b w:val="0"/>
                <w:sz w:val="20"/>
              </w:rPr>
              <w:t>Bind address for MQTT TCP listener</w:t>
            </w:r>
          </w:p>
        </w:tc>
      </w:tr>
      <w:tr>
        <w:tc>
          <w:tcPr>
            <w:tcW w:type="dxa" w:w="4032"/>
            <w:shd w:val="clear" w:color="auto" w:fill="EBF3FB"/>
          </w:tcPr>
          <w:p>
            <w:r>
              <w:rPr>
                <w:rFonts w:ascii="Times New Roman" w:hAnsi="Times New Roman"/>
                <w:b w:val="0"/>
                <w:sz w:val="20"/>
              </w:rPr>
              <w:t>MQTT_WS_BIND_ADDRESS</w:t>
            </w:r>
          </w:p>
        </w:tc>
        <w:tc>
          <w:tcPr>
            <w:tcW w:type="dxa" w:w="5616"/>
            <w:shd w:val="clear" w:color="auto" w:fill="EBF3FB"/>
          </w:tcPr>
          <w:p>
            <w:r>
              <w:rPr>
                <w:rFonts w:ascii="Times New Roman" w:hAnsi="Times New Roman"/>
                <w:b w:val="0"/>
                <w:sz w:val="20"/>
              </w:rPr>
              <w:t>Bind address for MQTT WebSocket listener</w:t>
            </w:r>
          </w:p>
        </w:tc>
      </w:tr>
      <w:tr>
        <w:tc>
          <w:tcPr>
            <w:tcW w:type="dxa" w:w="4032"/>
            <w:shd w:val="clear" w:color="auto" w:fill="FFFFFF"/>
          </w:tcPr>
          <w:p>
            <w:r>
              <w:rPr>
                <w:rFonts w:ascii="Times New Roman" w:hAnsi="Times New Roman"/>
                <w:b w:val="0"/>
                <w:sz w:val="20"/>
              </w:rPr>
              <w:t>DEVICE_BOOTSTRAP_MQTT_HOST</w:t>
            </w:r>
          </w:p>
        </w:tc>
        <w:tc>
          <w:tcPr>
            <w:tcW w:type="dxa" w:w="5616"/>
            <w:shd w:val="clear" w:color="auto" w:fill="FFFFFF"/>
          </w:tcPr>
          <w:p>
            <w:r>
              <w:rPr>
                <w:rFonts w:ascii="Times New Roman" w:hAnsi="Times New Roman"/>
                <w:b w:val="0"/>
                <w:sz w:val="20"/>
              </w:rPr>
              <w:t>MQTT host returned to provisioned devices</w:t>
            </w:r>
          </w:p>
        </w:tc>
      </w:tr>
      <w:tr>
        <w:tc>
          <w:tcPr>
            <w:tcW w:type="dxa" w:w="4032"/>
            <w:shd w:val="clear" w:color="auto" w:fill="EBF3FB"/>
          </w:tcPr>
          <w:p>
            <w:r>
              <w:rPr>
                <w:rFonts w:ascii="Times New Roman" w:hAnsi="Times New Roman"/>
                <w:b w:val="0"/>
                <w:sz w:val="20"/>
              </w:rPr>
              <w:t>DEVICE_BOOTSTRAP_MQTT_PORT</w:t>
            </w:r>
          </w:p>
        </w:tc>
        <w:tc>
          <w:tcPr>
            <w:tcW w:type="dxa" w:w="5616"/>
            <w:shd w:val="clear" w:color="auto" w:fill="EBF3FB"/>
          </w:tcPr>
          <w:p>
            <w:r>
              <w:rPr>
                <w:rFonts w:ascii="Times New Roman" w:hAnsi="Times New Roman"/>
                <w:b w:val="0"/>
                <w:sz w:val="20"/>
              </w:rPr>
              <w:t>MQTT port returned to provisioned devices</w:t>
            </w:r>
          </w:p>
        </w:tc>
      </w:tr>
      <w:tr>
        <w:tc>
          <w:tcPr>
            <w:tcW w:type="dxa" w:w="4032"/>
            <w:shd w:val="clear" w:color="auto" w:fill="FFFFFF"/>
          </w:tcPr>
          <w:p>
            <w:r>
              <w:rPr>
                <w:rFonts w:ascii="Times New Roman" w:hAnsi="Times New Roman"/>
                <w:b w:val="0"/>
                <w:sz w:val="20"/>
              </w:rPr>
              <w:t>DEVICE_BOOTSTRAP_MQTT_TLS</w:t>
            </w:r>
          </w:p>
        </w:tc>
        <w:tc>
          <w:tcPr>
            <w:tcW w:type="dxa" w:w="5616"/>
            <w:shd w:val="clear" w:color="auto" w:fill="FFFFFF"/>
          </w:tcPr>
          <w:p>
            <w:r>
              <w:rPr>
                <w:rFonts w:ascii="Times New Roman" w:hAnsi="Times New Roman"/>
                <w:b w:val="0"/>
                <w:sz w:val="20"/>
              </w:rPr>
              <w:t>Indicates whether devices should use TLS for MQTT</w:t>
            </w:r>
          </w:p>
        </w:tc>
      </w:tr>
      <w:tr>
        <w:tc>
          <w:tcPr>
            <w:tcW w:type="dxa" w:w="4032"/>
            <w:shd w:val="clear" w:color="auto" w:fill="EBF3FB"/>
          </w:tcPr>
          <w:p>
            <w:r>
              <w:rPr>
                <w:rFonts w:ascii="Times New Roman" w:hAnsi="Times New Roman"/>
                <w:b w:val="0"/>
                <w:sz w:val="20"/>
              </w:rPr>
              <w:t>FRONTEND_BIND_ADDRESS</w:t>
            </w:r>
          </w:p>
        </w:tc>
        <w:tc>
          <w:tcPr>
            <w:tcW w:type="dxa" w:w="5616"/>
            <w:shd w:val="clear" w:color="auto" w:fill="EBF3FB"/>
          </w:tcPr>
          <w:p>
            <w:r>
              <w:rPr>
                <w:rFonts w:ascii="Times New Roman" w:hAnsi="Times New Roman"/>
                <w:b w:val="0"/>
                <w:sz w:val="20"/>
              </w:rPr>
              <w:t>Bind address for the Next.js service</w:t>
            </w:r>
          </w:p>
        </w:tc>
      </w:tr>
      <w:tr>
        <w:tc>
          <w:tcPr>
            <w:tcW w:type="dxa" w:w="4032"/>
            <w:shd w:val="clear" w:color="auto" w:fill="FFFFFF"/>
          </w:tcPr>
          <w:p>
            <w:r>
              <w:rPr>
                <w:rFonts w:ascii="Times New Roman" w:hAnsi="Times New Roman"/>
                <w:b w:val="0"/>
                <w:sz w:val="20"/>
              </w:rPr>
              <w:t>INFERENCE_BIND_ADDRESS</w:t>
            </w:r>
          </w:p>
        </w:tc>
        <w:tc>
          <w:tcPr>
            <w:tcW w:type="dxa" w:w="5616"/>
            <w:shd w:val="clear" w:color="auto" w:fill="FFFFFF"/>
          </w:tcPr>
          <w:p>
            <w:r>
              <w:rPr>
                <w:rFonts w:ascii="Times New Roman" w:hAnsi="Times New Roman"/>
                <w:b w:val="0"/>
                <w:sz w:val="20"/>
              </w:rPr>
              <w:t>Bind address for the FastAPI inference service</w:t>
            </w:r>
          </w:p>
        </w:tc>
      </w:tr>
      <w:tr>
        <w:tc>
          <w:tcPr>
            <w:tcW w:type="dxa" w:w="4032"/>
            <w:shd w:val="clear" w:color="auto" w:fill="EBF3FB"/>
          </w:tcPr>
          <w:p>
            <w:r>
              <w:rPr>
                <w:rFonts w:ascii="Times New Roman" w:hAnsi="Times New Roman"/>
                <w:b w:val="0"/>
                <w:sz w:val="20"/>
              </w:rPr>
              <w:t>NGINX_SERVER_NAME</w:t>
            </w:r>
          </w:p>
        </w:tc>
        <w:tc>
          <w:tcPr>
            <w:tcW w:type="dxa" w:w="5616"/>
            <w:shd w:val="clear" w:color="auto" w:fill="EBF3FB"/>
          </w:tcPr>
          <w:p>
            <w:r>
              <w:rPr>
                <w:rFonts w:ascii="Times New Roman" w:hAnsi="Times New Roman"/>
                <w:b w:val="0"/>
                <w:sz w:val="20"/>
              </w:rPr>
              <w:t>Domain served by NGINX for the main application</w:t>
            </w:r>
          </w:p>
        </w:tc>
      </w:tr>
      <w:tr>
        <w:tc>
          <w:tcPr>
            <w:tcW w:type="dxa" w:w="4032"/>
            <w:shd w:val="clear" w:color="auto" w:fill="FFFFFF"/>
          </w:tcPr>
          <w:p>
            <w:r>
              <w:rPr>
                <w:rFonts w:ascii="Times New Roman" w:hAnsi="Times New Roman"/>
                <w:b w:val="0"/>
                <w:sz w:val="20"/>
              </w:rPr>
              <w:t>NGINX_SSL_CERT_PATH</w:t>
            </w:r>
          </w:p>
        </w:tc>
        <w:tc>
          <w:tcPr>
            <w:tcW w:type="dxa" w:w="5616"/>
            <w:shd w:val="clear" w:color="auto" w:fill="FFFFFF"/>
          </w:tcPr>
          <w:p>
            <w:r>
              <w:rPr>
                <w:rFonts w:ascii="Times New Roman" w:hAnsi="Times New Roman"/>
                <w:b w:val="0"/>
                <w:sz w:val="20"/>
              </w:rPr>
              <w:t>Certificate path inside the NGINX container</w:t>
            </w:r>
          </w:p>
        </w:tc>
      </w:tr>
      <w:tr>
        <w:tc>
          <w:tcPr>
            <w:tcW w:type="dxa" w:w="4032"/>
            <w:shd w:val="clear" w:color="auto" w:fill="EBF3FB"/>
          </w:tcPr>
          <w:p>
            <w:r>
              <w:rPr>
                <w:rFonts w:ascii="Times New Roman" w:hAnsi="Times New Roman"/>
                <w:b w:val="0"/>
                <w:sz w:val="20"/>
              </w:rPr>
              <w:t>NGINX_SSL_KEY_PATH</w:t>
            </w:r>
          </w:p>
        </w:tc>
        <w:tc>
          <w:tcPr>
            <w:tcW w:type="dxa" w:w="5616"/>
            <w:shd w:val="clear" w:color="auto" w:fill="EBF3FB"/>
          </w:tcPr>
          <w:p>
            <w:r>
              <w:rPr>
                <w:rFonts w:ascii="Times New Roman" w:hAnsi="Times New Roman"/>
                <w:b w:val="0"/>
                <w:sz w:val="20"/>
              </w:rPr>
              <w:t>Private key path inside the NGINX container</w:t>
            </w:r>
          </w:p>
        </w:tc>
      </w:tr>
      <w:tr>
        <w:tc>
          <w:tcPr>
            <w:tcW w:type="dxa" w:w="4032"/>
            <w:shd w:val="clear" w:color="auto" w:fill="FFFFFF"/>
          </w:tcPr>
          <w:p>
            <w:r>
              <w:rPr>
                <w:rFonts w:ascii="Times New Roman" w:hAnsi="Times New Roman"/>
                <w:b w:val="0"/>
                <w:sz w:val="20"/>
              </w:rPr>
              <w:t>INTERNAL_API_TOKEN</w:t>
            </w:r>
          </w:p>
        </w:tc>
        <w:tc>
          <w:tcPr>
            <w:tcW w:type="dxa" w:w="5616"/>
            <w:shd w:val="clear" w:color="auto" w:fill="FFFFFF"/>
          </w:tcPr>
          <w:p>
            <w:r>
              <w:rPr>
                <w:rFonts w:ascii="Times New Roman" w:hAnsi="Times New Roman"/>
                <w:b w:val="0"/>
                <w:sz w:val="20"/>
              </w:rPr>
              <w:t>Shared token for protected frontend operational routes</w:t>
            </w:r>
          </w:p>
        </w:tc>
      </w:tr>
      <w:tr>
        <w:tc>
          <w:tcPr>
            <w:tcW w:type="dxa" w:w="4032"/>
            <w:shd w:val="clear" w:color="auto" w:fill="EBF3FB"/>
          </w:tcPr>
          <w:p>
            <w:r>
              <w:rPr>
                <w:rFonts w:ascii="Times New Roman" w:hAnsi="Times New Roman"/>
                <w:b w:val="0"/>
                <w:sz w:val="20"/>
              </w:rPr>
              <w:t>INFERENCE_INTERNAL_TOKEN</w:t>
            </w:r>
          </w:p>
        </w:tc>
        <w:tc>
          <w:tcPr>
            <w:tcW w:type="dxa" w:w="5616"/>
            <w:shd w:val="clear" w:color="auto" w:fill="EBF3FB"/>
          </w:tcPr>
          <w:p>
            <w:r>
              <w:rPr>
                <w:rFonts w:ascii="Times New Roman" w:hAnsi="Times New Roman"/>
                <w:b w:val="0"/>
                <w:sz w:val="20"/>
              </w:rPr>
              <w:t>Shared token for protected inference operational endpoints</w:t>
            </w:r>
          </w:p>
        </w:tc>
      </w:tr>
      <w:tr>
        <w:tc>
          <w:tcPr>
            <w:tcW w:type="dxa" w:w="4032"/>
            <w:shd w:val="clear" w:color="auto" w:fill="FFFFFF"/>
          </w:tcPr>
          <w:p>
            <w:r>
              <w:rPr>
                <w:rFonts w:ascii="Times New Roman" w:hAnsi="Times New Roman"/>
                <w:b w:val="0"/>
                <w:sz w:val="20"/>
              </w:rPr>
              <w:t>ALLOWED_ORIGINS</w:t>
            </w:r>
          </w:p>
        </w:tc>
        <w:tc>
          <w:tcPr>
            <w:tcW w:type="dxa" w:w="5616"/>
            <w:shd w:val="clear" w:color="auto" w:fill="FFFFFF"/>
          </w:tcPr>
          <w:p>
            <w:r>
              <w:rPr>
                <w:rFonts w:ascii="Times New Roman" w:hAnsi="Times New Roman"/>
                <w:b w:val="0"/>
                <w:sz w:val="20"/>
              </w:rPr>
              <w:t>Allowed browser origins for CORS</w:t>
            </w:r>
          </w:p>
        </w:tc>
      </w:tr>
      <w:tr>
        <w:tc>
          <w:tcPr>
            <w:tcW w:type="dxa" w:w="4032"/>
            <w:shd w:val="clear" w:color="auto" w:fill="EBF3FB"/>
          </w:tcPr>
          <w:p>
            <w:r>
              <w:rPr>
                <w:rFonts w:ascii="Times New Roman" w:hAnsi="Times New Roman"/>
                <w:b w:val="0"/>
                <w:sz w:val="20"/>
              </w:rPr>
              <w:t>TRUSTED_HOSTS</w:t>
            </w:r>
          </w:p>
        </w:tc>
        <w:tc>
          <w:tcPr>
            <w:tcW w:type="dxa" w:w="5616"/>
            <w:shd w:val="clear" w:color="auto" w:fill="EBF3FB"/>
          </w:tcPr>
          <w:p>
            <w:r>
              <w:rPr>
                <w:rFonts w:ascii="Times New Roman" w:hAnsi="Times New Roman"/>
                <w:b w:val="0"/>
                <w:sz w:val="20"/>
              </w:rPr>
              <w:t>Hostnames accepted by trusted host middleware</w:t>
            </w:r>
          </w:p>
        </w:tc>
      </w:tr>
      <w:tr>
        <w:tc>
          <w:tcPr>
            <w:tcW w:type="dxa" w:w="4032"/>
            <w:shd w:val="clear" w:color="auto" w:fill="FFFFFF"/>
          </w:tcPr>
          <w:p>
            <w:r>
              <w:rPr>
                <w:rFonts w:ascii="Times New Roman" w:hAnsi="Times New Roman"/>
                <w:b w:val="0"/>
                <w:sz w:val="20"/>
              </w:rPr>
              <w:t>SECURITY_HEADERS_ENABLED</w:t>
            </w:r>
          </w:p>
        </w:tc>
        <w:tc>
          <w:tcPr>
            <w:tcW w:type="dxa" w:w="5616"/>
            <w:shd w:val="clear" w:color="auto" w:fill="FFFFFF"/>
          </w:tcPr>
          <w:p>
            <w:r>
              <w:rPr>
                <w:rFonts w:ascii="Times New Roman" w:hAnsi="Times New Roman"/>
                <w:b w:val="0"/>
                <w:sz w:val="20"/>
              </w:rPr>
              <w:t>Enables security headers in the inference service</w:t>
            </w:r>
          </w:p>
        </w:tc>
      </w:tr>
      <w:tr>
        <w:tc>
          <w:tcPr>
            <w:tcW w:type="dxa" w:w="4032"/>
            <w:shd w:val="clear" w:color="auto" w:fill="EBF3FB"/>
          </w:tcPr>
          <w:p>
            <w:r>
              <w:rPr>
                <w:rFonts w:ascii="Times New Roman" w:hAnsi="Times New Roman"/>
                <w:b w:val="0"/>
                <w:sz w:val="20"/>
              </w:rPr>
              <w:t>CSP_POLICY</w:t>
            </w:r>
          </w:p>
        </w:tc>
        <w:tc>
          <w:tcPr>
            <w:tcW w:type="dxa" w:w="5616"/>
            <w:shd w:val="clear" w:color="auto" w:fill="EBF3FB"/>
          </w:tcPr>
          <w:p>
            <w:r>
              <w:rPr>
                <w:rFonts w:ascii="Times New Roman" w:hAnsi="Times New Roman"/>
                <w:b w:val="0"/>
                <w:sz w:val="20"/>
              </w:rPr>
              <w:t>Content Security Policy value</w:t>
            </w:r>
          </w:p>
        </w:tc>
      </w:tr>
      <w:tr>
        <w:tc>
          <w:tcPr>
            <w:tcW w:type="dxa" w:w="4032"/>
            <w:shd w:val="clear" w:color="auto" w:fill="FFFFFF"/>
          </w:tcPr>
          <w:p>
            <w:r>
              <w:rPr>
                <w:rFonts w:ascii="Times New Roman" w:hAnsi="Times New Roman"/>
                <w:b w:val="0"/>
                <w:sz w:val="20"/>
              </w:rPr>
              <w:t>LLM_PROVIDER</w:t>
            </w:r>
          </w:p>
        </w:tc>
        <w:tc>
          <w:tcPr>
            <w:tcW w:type="dxa" w:w="5616"/>
            <w:shd w:val="clear" w:color="auto" w:fill="FFFFFF"/>
          </w:tcPr>
          <w:p>
            <w:r>
              <w:rPr>
                <w:rFonts w:ascii="Times New Roman" w:hAnsi="Times New Roman"/>
                <w:b w:val="0"/>
                <w:sz w:val="20"/>
              </w:rPr>
              <w:t>Selects demo or external LLM provider</w:t>
            </w:r>
          </w:p>
        </w:tc>
      </w:tr>
      <w:tr>
        <w:tc>
          <w:tcPr>
            <w:tcW w:type="dxa" w:w="4032"/>
            <w:shd w:val="clear" w:color="auto" w:fill="EBF3FB"/>
          </w:tcPr>
          <w:p>
            <w:r>
              <w:rPr>
                <w:rFonts w:ascii="Times New Roman" w:hAnsi="Times New Roman"/>
                <w:b w:val="0"/>
                <w:sz w:val="20"/>
              </w:rPr>
              <w:t>CLAUDE_API_KEY</w:t>
            </w:r>
          </w:p>
        </w:tc>
        <w:tc>
          <w:tcPr>
            <w:tcW w:type="dxa" w:w="5616"/>
            <w:shd w:val="clear" w:color="auto" w:fill="EBF3FB"/>
          </w:tcPr>
          <w:p>
            <w:r>
              <w:rPr>
                <w:rFonts w:ascii="Times New Roman" w:hAnsi="Times New Roman"/>
                <w:b w:val="0"/>
                <w:sz w:val="20"/>
              </w:rPr>
              <w:t>Optional Anthropic Claude provider key (secret)</w:t>
            </w:r>
          </w:p>
        </w:tc>
      </w:tr>
      <w:tr>
        <w:tc>
          <w:tcPr>
            <w:tcW w:type="dxa" w:w="4032"/>
            <w:shd w:val="clear" w:color="auto" w:fill="FFFFFF"/>
          </w:tcPr>
          <w:p>
            <w:r>
              <w:rPr>
                <w:rFonts w:ascii="Times New Roman" w:hAnsi="Times New Roman"/>
                <w:b w:val="0"/>
                <w:sz w:val="20"/>
              </w:rPr>
              <w:t>OPENAI_API_KEY</w:t>
            </w:r>
          </w:p>
        </w:tc>
        <w:tc>
          <w:tcPr>
            <w:tcW w:type="dxa" w:w="5616"/>
            <w:shd w:val="clear" w:color="auto" w:fill="FFFFFF"/>
          </w:tcPr>
          <w:p>
            <w:r>
              <w:rPr>
                <w:rFonts w:ascii="Times New Roman" w:hAnsi="Times New Roman"/>
                <w:b w:val="0"/>
                <w:sz w:val="20"/>
              </w:rPr>
              <w:t>Optional OpenAI provider key (secret)</w:t>
            </w:r>
          </w:p>
        </w:tc>
      </w:tr>
      <w:tr>
        <w:tc>
          <w:tcPr>
            <w:tcW w:type="dxa" w:w="4032"/>
            <w:shd w:val="clear" w:color="auto" w:fill="EBF3FB"/>
          </w:tcPr>
          <w:p>
            <w:r>
              <w:rPr>
                <w:rFonts w:ascii="Times New Roman" w:hAnsi="Times New Roman"/>
                <w:b w:val="0"/>
                <w:sz w:val="20"/>
              </w:rPr>
              <w:t>ASCULTICOR_ALERT_EMAIL_TO</w:t>
            </w:r>
          </w:p>
        </w:tc>
        <w:tc>
          <w:tcPr>
            <w:tcW w:type="dxa" w:w="5616"/>
            <w:shd w:val="clear" w:color="auto" w:fill="EBF3FB"/>
          </w:tcPr>
          <w:p>
            <w:r>
              <w:rPr>
                <w:rFonts w:ascii="Times New Roman" w:hAnsi="Times New Roman"/>
                <w:b w:val="0"/>
                <w:sz w:val="20"/>
              </w:rPr>
              <w:t>Default alert notification recipient email</w:t>
            </w:r>
          </w:p>
        </w:tc>
      </w:tr>
      <w:tr>
        <w:tc>
          <w:tcPr>
            <w:tcW w:type="dxa" w:w="4032"/>
            <w:shd w:val="clear" w:color="auto" w:fill="FFFFFF"/>
          </w:tcPr>
          <w:p>
            <w:r>
              <w:rPr>
                <w:rFonts w:ascii="Times New Roman" w:hAnsi="Times New Roman"/>
                <w:b w:val="0"/>
                <w:sz w:val="20"/>
              </w:rPr>
              <w:t>CORS_ORIGIN</w:t>
            </w:r>
          </w:p>
        </w:tc>
        <w:tc>
          <w:tcPr>
            <w:tcW w:type="dxa" w:w="5616"/>
            <w:shd w:val="clear" w:color="auto" w:fill="FFFFFF"/>
          </w:tcPr>
          <w:p>
            <w:r>
              <w:rPr>
                <w:rFonts w:ascii="Times New Roman" w:hAnsi="Times New Roman"/>
                <w:b w:val="0"/>
                <w:sz w:val="20"/>
              </w:rPr>
              <w:t>Origin allowed by Supabase Edge Functions</w:t>
            </w:r>
          </w:p>
        </w:tc>
      </w:tr>
      <w:tr>
        <w:tc>
          <w:tcPr>
            <w:tcW w:type="dxa" w:w="4032"/>
            <w:shd w:val="clear" w:color="auto" w:fill="EBF3FB"/>
          </w:tcPr>
          <w:p>
            <w:r>
              <w:rPr>
                <w:rFonts w:ascii="Times New Roman" w:hAnsi="Times New Roman"/>
                <w:b w:val="0"/>
                <w:sz w:val="20"/>
              </w:rPr>
              <w:t>N8N_USER</w:t>
            </w:r>
          </w:p>
        </w:tc>
        <w:tc>
          <w:tcPr>
            <w:tcW w:type="dxa" w:w="5616"/>
            <w:shd w:val="clear" w:color="auto" w:fill="EBF3FB"/>
          </w:tcPr>
          <w:p>
            <w:r>
              <w:rPr>
                <w:rFonts w:ascii="Times New Roman" w:hAnsi="Times New Roman"/>
                <w:b w:val="0"/>
                <w:sz w:val="20"/>
              </w:rPr>
              <w:t>n8n basic authentication username</w:t>
            </w:r>
          </w:p>
        </w:tc>
      </w:tr>
      <w:tr>
        <w:tc>
          <w:tcPr>
            <w:tcW w:type="dxa" w:w="4032"/>
            <w:shd w:val="clear" w:color="auto" w:fill="FFFFFF"/>
          </w:tcPr>
          <w:p>
            <w:r>
              <w:rPr>
                <w:rFonts w:ascii="Times New Roman" w:hAnsi="Times New Roman"/>
                <w:b w:val="0"/>
                <w:sz w:val="20"/>
              </w:rPr>
              <w:t>N8N_PASSWORD</w:t>
            </w:r>
          </w:p>
        </w:tc>
        <w:tc>
          <w:tcPr>
            <w:tcW w:type="dxa" w:w="5616"/>
            <w:shd w:val="clear" w:color="auto" w:fill="FFFFFF"/>
          </w:tcPr>
          <w:p>
            <w:r>
              <w:rPr>
                <w:rFonts w:ascii="Times New Roman" w:hAnsi="Times New Roman"/>
                <w:b w:val="0"/>
                <w:sz w:val="20"/>
              </w:rPr>
              <w:t>n8n basic authentication password (secret)</w:t>
            </w:r>
          </w:p>
        </w:tc>
      </w:tr>
      <w:tr>
        <w:tc>
          <w:tcPr>
            <w:tcW w:type="dxa" w:w="4032"/>
            <w:shd w:val="clear" w:color="auto" w:fill="EBF3FB"/>
          </w:tcPr>
          <w:p>
            <w:r>
              <w:rPr>
                <w:rFonts w:ascii="Times New Roman" w:hAnsi="Times New Roman"/>
                <w:b w:val="0"/>
                <w:sz w:val="20"/>
              </w:rPr>
              <w:t>N8N_ENCRYPTION_KEY</w:t>
            </w:r>
          </w:p>
        </w:tc>
        <w:tc>
          <w:tcPr>
            <w:tcW w:type="dxa" w:w="5616"/>
            <w:shd w:val="clear" w:color="auto" w:fill="EBF3FB"/>
          </w:tcPr>
          <w:p>
            <w:r>
              <w:rPr>
                <w:rFonts w:ascii="Times New Roman" w:hAnsi="Times New Roman"/>
                <w:b w:val="0"/>
                <w:sz w:val="20"/>
              </w:rPr>
              <w:t>n8n credential encryption key (secret)</w:t>
            </w:r>
          </w:p>
        </w:tc>
      </w:tr>
      <w:tr>
        <w:tc>
          <w:tcPr>
            <w:tcW w:type="dxa" w:w="4032"/>
            <w:shd w:val="clear" w:color="auto" w:fill="FFFFFF"/>
          </w:tcPr>
          <w:p>
            <w:r>
              <w:rPr>
                <w:rFonts w:ascii="Times New Roman" w:hAnsi="Times New Roman"/>
                <w:b w:val="0"/>
                <w:sz w:val="20"/>
              </w:rPr>
              <w:t>N8N_EDITOR_BASE_URL</w:t>
            </w:r>
          </w:p>
        </w:tc>
        <w:tc>
          <w:tcPr>
            <w:tcW w:type="dxa" w:w="5616"/>
            <w:shd w:val="clear" w:color="auto" w:fill="FFFFFF"/>
          </w:tcPr>
          <w:p>
            <w:r>
              <w:rPr>
                <w:rFonts w:ascii="Times New Roman" w:hAnsi="Times New Roman"/>
                <w:b w:val="0"/>
                <w:sz w:val="20"/>
              </w:rPr>
              <w:t>Public URL for the n8n editor</w:t>
            </w:r>
          </w:p>
        </w:tc>
      </w:tr>
      <w:tr>
        <w:tc>
          <w:tcPr>
            <w:tcW w:type="dxa" w:w="4032"/>
            <w:shd w:val="clear" w:color="auto" w:fill="EBF3FB"/>
          </w:tcPr>
          <w:p>
            <w:r>
              <w:rPr>
                <w:rFonts w:ascii="Times New Roman" w:hAnsi="Times New Roman"/>
                <w:b w:val="0"/>
                <w:sz w:val="20"/>
              </w:rPr>
              <w:t>N8N_WEBHOOK_URL</w:t>
            </w:r>
          </w:p>
        </w:tc>
        <w:tc>
          <w:tcPr>
            <w:tcW w:type="dxa" w:w="5616"/>
            <w:shd w:val="clear" w:color="auto" w:fill="EBF3FB"/>
          </w:tcPr>
          <w:p>
            <w:r>
              <w:rPr>
                <w:rFonts w:ascii="Times New Roman" w:hAnsi="Times New Roman"/>
                <w:b w:val="0"/>
                <w:sz w:val="20"/>
              </w:rPr>
              <w:t>Public webhook base URL for n8n</w:t>
            </w:r>
          </w:p>
        </w:tc>
      </w:tr>
    </w:tbl>
    <w:p/>
    <w:p>
      <w:pPr>
        <w:spacing w:before="160" w:after="40"/>
      </w:pPr>
      <w:r>
        <w:rPr>
          <w:rFonts w:ascii="Times New Roman" w:hAnsi="Times New Roman"/>
          <w:b/>
          <w:sz w:val="22"/>
        </w:rPr>
        <w:t>Table 19.2: Hostinger VPS Environment Plan</w:t>
      </w:r>
    </w:p>
    <w:tbl>
      <w:tblPr>
        <w:tblStyle w:val="TableGrid"/>
        <w:tblW w:type="auto" w:w="0"/>
        <w:tblLook w:firstColumn="1" w:firstRow="1" w:lastColumn="0" w:lastRow="0" w:noHBand="0" w:noVBand="1" w:val="04A0"/>
      </w:tblPr>
      <w:tblGrid>
        <w:gridCol w:w="4561"/>
        <w:gridCol w:w="4561"/>
      </w:tblGrid>
      <w:tr>
        <w:tc>
          <w:tcPr>
            <w:tcW w:type="dxa" w:w="4032"/>
            <w:shd w:val="clear" w:color="auto" w:fill="1F3864"/>
          </w:tcPr>
          <w:p>
            <w:pPr>
              <w:jc w:val="center"/>
            </w:pPr>
            <w:r>
              <w:rPr>
                <w:rFonts w:ascii="Times New Roman" w:hAnsi="Times New Roman"/>
                <w:b/>
                <w:color w:val="FFFFFF"/>
                <w:sz w:val="20"/>
              </w:rPr>
              <w:t>Variable</w:t>
            </w:r>
          </w:p>
        </w:tc>
        <w:tc>
          <w:tcPr>
            <w:tcW w:type="dxa" w:w="5616"/>
            <w:shd w:val="clear" w:color="auto" w:fill="1F3864"/>
          </w:tcPr>
          <w:p>
            <w:pPr>
              <w:jc w:val="center"/>
            </w:pPr>
            <w:r>
              <w:rPr>
                <w:rFonts w:ascii="Times New Roman" w:hAnsi="Times New Roman"/>
                <w:b/>
                <w:color w:val="FFFFFF"/>
                <w:sz w:val="20"/>
              </w:rPr>
              <w:t>Hostinger Deployment Value or Rule</w:t>
            </w:r>
          </w:p>
        </w:tc>
      </w:tr>
      <w:tr>
        <w:tc>
          <w:tcPr>
            <w:tcW w:type="dxa" w:w="4032"/>
            <w:shd w:val="clear" w:color="auto" w:fill="FFFFFF"/>
          </w:tcPr>
          <w:p>
            <w:r>
              <w:rPr>
                <w:rFonts w:ascii="Times New Roman" w:hAnsi="Times New Roman"/>
                <w:b w:val="0"/>
                <w:sz w:val="20"/>
              </w:rPr>
              <w:t>APP_DOMAIN</w:t>
            </w:r>
          </w:p>
        </w:tc>
        <w:tc>
          <w:tcPr>
            <w:tcW w:type="dxa" w:w="5616"/>
            <w:shd w:val="clear" w:color="auto" w:fill="FFFFFF"/>
          </w:tcPr>
          <w:p>
            <w:r>
              <w:rPr>
                <w:rFonts w:ascii="Times New Roman" w:hAnsi="Times New Roman"/>
                <w:b w:val="0"/>
                <w:sz w:val="20"/>
              </w:rPr>
              <w:t>srv1621744.hstgr.cloud</w:t>
            </w:r>
          </w:p>
        </w:tc>
      </w:tr>
      <w:tr>
        <w:tc>
          <w:tcPr>
            <w:tcW w:type="dxa" w:w="4032"/>
            <w:shd w:val="clear" w:color="auto" w:fill="EBF3FB"/>
          </w:tcPr>
          <w:p>
            <w:r>
              <w:rPr>
                <w:rFonts w:ascii="Times New Roman" w:hAnsi="Times New Roman"/>
                <w:b w:val="0"/>
                <w:sz w:val="20"/>
              </w:rPr>
              <w:t>DEVICE_BOOTSTRAP_PUBLIC_BASE_URL</w:t>
            </w:r>
          </w:p>
        </w:tc>
        <w:tc>
          <w:tcPr>
            <w:tcW w:type="dxa" w:w="5616"/>
            <w:shd w:val="clear" w:color="auto" w:fill="EBF3FB"/>
          </w:tcPr>
          <w:p>
            <w:r>
              <w:rPr>
                <w:rFonts w:ascii="Times New Roman" w:hAnsi="Times New Roman"/>
                <w:b w:val="0"/>
                <w:sz w:val="20"/>
              </w:rPr>
              <w:t>https://srv1621744.hstgr.cloud</w:t>
            </w:r>
          </w:p>
        </w:tc>
      </w:tr>
      <w:tr>
        <w:tc>
          <w:tcPr>
            <w:tcW w:type="dxa" w:w="4032"/>
            <w:shd w:val="clear" w:color="auto" w:fill="FFFFFF"/>
          </w:tcPr>
          <w:p>
            <w:r>
              <w:rPr>
                <w:rFonts w:ascii="Times New Roman" w:hAnsi="Times New Roman"/>
                <w:b w:val="0"/>
                <w:sz w:val="20"/>
              </w:rPr>
              <w:t>DEVICE_BOOTSTRAP_MQTT_HOST</w:t>
            </w:r>
          </w:p>
        </w:tc>
        <w:tc>
          <w:tcPr>
            <w:tcW w:type="dxa" w:w="5616"/>
            <w:shd w:val="clear" w:color="auto" w:fill="FFFFFF"/>
          </w:tcPr>
          <w:p>
            <w:r>
              <w:rPr>
                <w:rFonts w:ascii="Times New Roman" w:hAnsi="Times New Roman"/>
                <w:b w:val="0"/>
                <w:sz w:val="20"/>
              </w:rPr>
              <w:t>srv1621744.hstgr.cloud</w:t>
            </w:r>
          </w:p>
        </w:tc>
      </w:tr>
      <w:tr>
        <w:tc>
          <w:tcPr>
            <w:tcW w:type="dxa" w:w="4032"/>
            <w:shd w:val="clear" w:color="auto" w:fill="EBF3FB"/>
          </w:tcPr>
          <w:p>
            <w:r>
              <w:rPr>
                <w:rFonts w:ascii="Times New Roman" w:hAnsi="Times New Roman"/>
                <w:b w:val="0"/>
                <w:sz w:val="20"/>
              </w:rPr>
              <w:t>NGINX_SERVER_NAME</w:t>
            </w:r>
          </w:p>
        </w:tc>
        <w:tc>
          <w:tcPr>
            <w:tcW w:type="dxa" w:w="5616"/>
            <w:shd w:val="clear" w:color="auto" w:fill="EBF3FB"/>
          </w:tcPr>
          <w:p>
            <w:r>
              <w:rPr>
                <w:rFonts w:ascii="Times New Roman" w:hAnsi="Times New Roman"/>
                <w:b w:val="0"/>
                <w:sz w:val="20"/>
              </w:rPr>
              <w:t>srv1621744.hstgr.cloud</w:t>
            </w:r>
          </w:p>
        </w:tc>
      </w:tr>
      <w:tr>
        <w:tc>
          <w:tcPr>
            <w:tcW w:type="dxa" w:w="4032"/>
            <w:shd w:val="clear" w:color="auto" w:fill="FFFFFF"/>
          </w:tcPr>
          <w:p>
            <w:r>
              <w:rPr>
                <w:rFonts w:ascii="Times New Roman" w:hAnsi="Times New Roman"/>
                <w:b w:val="0"/>
                <w:sz w:val="20"/>
              </w:rPr>
              <w:t>ALLOWED_ORIGINS</w:t>
            </w:r>
          </w:p>
        </w:tc>
        <w:tc>
          <w:tcPr>
            <w:tcW w:type="dxa" w:w="5616"/>
            <w:shd w:val="clear" w:color="auto" w:fill="FFFFFF"/>
          </w:tcPr>
          <w:p>
            <w:r>
              <w:rPr>
                <w:rFonts w:ascii="Times New Roman" w:hAnsi="Times New Roman"/>
                <w:b w:val="0"/>
                <w:sz w:val="20"/>
              </w:rPr>
              <w:t>https://srv1621744.hstgr.cloud</w:t>
            </w:r>
          </w:p>
        </w:tc>
      </w:tr>
      <w:tr>
        <w:tc>
          <w:tcPr>
            <w:tcW w:type="dxa" w:w="4032"/>
            <w:shd w:val="clear" w:color="auto" w:fill="EBF3FB"/>
          </w:tcPr>
          <w:p>
            <w:r>
              <w:rPr>
                <w:rFonts w:ascii="Times New Roman" w:hAnsi="Times New Roman"/>
                <w:b w:val="0"/>
                <w:sz w:val="20"/>
              </w:rPr>
              <w:t>TRUSTED_HOSTS</w:t>
            </w:r>
          </w:p>
        </w:tc>
        <w:tc>
          <w:tcPr>
            <w:tcW w:type="dxa" w:w="5616"/>
            <w:shd w:val="clear" w:color="auto" w:fill="EBF3FB"/>
          </w:tcPr>
          <w:p>
            <w:r>
              <w:rPr>
                <w:rFonts w:ascii="Times New Roman" w:hAnsi="Times New Roman"/>
                <w:b w:val="0"/>
                <w:sz w:val="20"/>
              </w:rPr>
              <w:t>srv1621744.hstgr.cloud,localhost,127.0.0.1</w:t>
            </w:r>
          </w:p>
        </w:tc>
      </w:tr>
      <w:tr>
        <w:tc>
          <w:tcPr>
            <w:tcW w:type="dxa" w:w="4032"/>
            <w:shd w:val="clear" w:color="auto" w:fill="FFFFFF"/>
          </w:tcPr>
          <w:p>
            <w:r>
              <w:rPr>
                <w:rFonts w:ascii="Times New Roman" w:hAnsi="Times New Roman"/>
                <w:b w:val="0"/>
                <w:sz w:val="20"/>
              </w:rPr>
              <w:t>CORS_ORIGIN</w:t>
            </w:r>
          </w:p>
        </w:tc>
        <w:tc>
          <w:tcPr>
            <w:tcW w:type="dxa" w:w="5616"/>
            <w:shd w:val="clear" w:color="auto" w:fill="FFFFFF"/>
          </w:tcPr>
          <w:p>
            <w:r>
              <w:rPr>
                <w:rFonts w:ascii="Times New Roman" w:hAnsi="Times New Roman"/>
                <w:b w:val="0"/>
                <w:sz w:val="20"/>
              </w:rPr>
              <w:t>https://srv1621744.hstgr.cloud</w:t>
            </w:r>
          </w:p>
        </w:tc>
      </w:tr>
      <w:tr>
        <w:tc>
          <w:tcPr>
            <w:tcW w:type="dxa" w:w="4032"/>
            <w:shd w:val="clear" w:color="auto" w:fill="EBF3FB"/>
          </w:tcPr>
          <w:p>
            <w:r>
              <w:rPr>
                <w:rFonts w:ascii="Times New Roman" w:hAnsi="Times New Roman"/>
                <w:b w:val="0"/>
                <w:sz w:val="20"/>
              </w:rPr>
              <w:t>FRONTEND_BIND_ADDRESS</w:t>
            </w:r>
          </w:p>
        </w:tc>
        <w:tc>
          <w:tcPr>
            <w:tcW w:type="dxa" w:w="5616"/>
            <w:shd w:val="clear" w:color="auto" w:fill="EBF3FB"/>
          </w:tcPr>
          <w:p>
            <w:r>
              <w:rPr>
                <w:rFonts w:ascii="Times New Roman" w:hAnsi="Times New Roman"/>
                <w:b w:val="0"/>
                <w:sz w:val="20"/>
              </w:rPr>
              <w:t>127.0.0.1</w:t>
            </w:r>
          </w:p>
        </w:tc>
      </w:tr>
      <w:tr>
        <w:tc>
          <w:tcPr>
            <w:tcW w:type="dxa" w:w="4032"/>
            <w:shd w:val="clear" w:color="auto" w:fill="FFFFFF"/>
          </w:tcPr>
          <w:p>
            <w:r>
              <w:rPr>
                <w:rFonts w:ascii="Times New Roman" w:hAnsi="Times New Roman"/>
                <w:b w:val="0"/>
                <w:sz w:val="20"/>
              </w:rPr>
              <w:t>INFERENCE_BIND_ADDRESS</w:t>
            </w:r>
          </w:p>
        </w:tc>
        <w:tc>
          <w:tcPr>
            <w:tcW w:type="dxa" w:w="5616"/>
            <w:shd w:val="clear" w:color="auto" w:fill="FFFFFF"/>
          </w:tcPr>
          <w:p>
            <w:r>
              <w:rPr>
                <w:rFonts w:ascii="Times New Roman" w:hAnsi="Times New Roman"/>
                <w:b w:val="0"/>
                <w:sz w:val="20"/>
              </w:rPr>
              <w:t>127.0.0.1</w:t>
            </w:r>
          </w:p>
        </w:tc>
      </w:tr>
      <w:tr>
        <w:tc>
          <w:tcPr>
            <w:tcW w:type="dxa" w:w="4032"/>
            <w:shd w:val="clear" w:color="auto" w:fill="EBF3FB"/>
          </w:tcPr>
          <w:p>
            <w:r>
              <w:rPr>
                <w:rFonts w:ascii="Times New Roman" w:hAnsi="Times New Roman"/>
                <w:b w:val="0"/>
                <w:sz w:val="20"/>
              </w:rPr>
              <w:t>MQTT_BIND_ADDRESS</w:t>
            </w:r>
          </w:p>
        </w:tc>
        <w:tc>
          <w:tcPr>
            <w:tcW w:type="dxa" w:w="5616"/>
            <w:shd w:val="clear" w:color="auto" w:fill="EBF3FB"/>
          </w:tcPr>
          <w:p>
            <w:r>
              <w:rPr>
                <w:rFonts w:ascii="Times New Roman" w:hAnsi="Times New Roman"/>
                <w:b w:val="0"/>
                <w:sz w:val="20"/>
              </w:rPr>
              <w:t>127.0.0.1 (safe first rollout)</w:t>
            </w:r>
          </w:p>
        </w:tc>
      </w:tr>
      <w:tr>
        <w:tc>
          <w:tcPr>
            <w:tcW w:type="dxa" w:w="4032"/>
            <w:shd w:val="clear" w:color="auto" w:fill="FFFFFF"/>
          </w:tcPr>
          <w:p>
            <w:r>
              <w:rPr>
                <w:rFonts w:ascii="Times New Roman" w:hAnsi="Times New Roman"/>
                <w:b w:val="0"/>
                <w:sz w:val="20"/>
              </w:rPr>
              <w:t>MQTT_WS_BIND_ADDRESS</w:t>
            </w:r>
          </w:p>
        </w:tc>
        <w:tc>
          <w:tcPr>
            <w:tcW w:type="dxa" w:w="5616"/>
            <w:shd w:val="clear" w:color="auto" w:fill="FFFFFF"/>
          </w:tcPr>
          <w:p>
            <w:r>
              <w:rPr>
                <w:rFonts w:ascii="Times New Roman" w:hAnsi="Times New Roman"/>
                <w:b w:val="0"/>
                <w:sz w:val="20"/>
              </w:rPr>
              <w:t>127.0.0.1 (safe first rollout)</w:t>
            </w:r>
          </w:p>
        </w:tc>
      </w:tr>
      <w:tr>
        <w:tc>
          <w:tcPr>
            <w:tcW w:type="dxa" w:w="4032"/>
            <w:shd w:val="clear" w:color="auto" w:fill="EBF3FB"/>
          </w:tcPr>
          <w:p>
            <w:r>
              <w:rPr>
                <w:rFonts w:ascii="Times New Roman" w:hAnsi="Times New Roman"/>
                <w:b w:val="0"/>
                <w:sz w:val="20"/>
              </w:rPr>
              <w:t>N8N_EDITOR_BASE_URL</w:t>
            </w:r>
          </w:p>
        </w:tc>
        <w:tc>
          <w:tcPr>
            <w:tcW w:type="dxa" w:w="5616"/>
            <w:shd w:val="clear" w:color="auto" w:fill="EBF3FB"/>
          </w:tcPr>
          <w:p>
            <w:r>
              <w:rPr>
                <w:rFonts w:ascii="Times New Roman" w:hAnsi="Times New Roman"/>
                <w:b w:val="0"/>
                <w:sz w:val="20"/>
              </w:rPr>
              <w:t>https://srv1621744.hstgr.cloud:8443 (if n8n exposed)</w:t>
            </w:r>
          </w:p>
        </w:tc>
      </w:tr>
      <w:tr>
        <w:tc>
          <w:tcPr>
            <w:tcW w:type="dxa" w:w="4032"/>
            <w:shd w:val="clear" w:color="auto" w:fill="FFFFFF"/>
          </w:tcPr>
          <w:p>
            <w:r>
              <w:rPr>
                <w:rFonts w:ascii="Times New Roman" w:hAnsi="Times New Roman"/>
                <w:b w:val="0"/>
                <w:sz w:val="20"/>
              </w:rPr>
              <w:t>N8N_WEBHOOK_URL</w:t>
            </w:r>
          </w:p>
        </w:tc>
        <w:tc>
          <w:tcPr>
            <w:tcW w:type="dxa" w:w="5616"/>
            <w:shd w:val="clear" w:color="auto" w:fill="FFFFFF"/>
          </w:tcPr>
          <w:p>
            <w:r>
              <w:rPr>
                <w:rFonts w:ascii="Times New Roman" w:hAnsi="Times New Roman"/>
                <w:b w:val="0"/>
                <w:sz w:val="20"/>
              </w:rPr>
              <w:t>https://srv1621744.hstgr.cloud:8443/ (if n8n exposed)</w:t>
            </w:r>
          </w:p>
        </w:tc>
      </w:tr>
      <w:tr>
        <w:tc>
          <w:tcPr>
            <w:tcW w:type="dxa" w:w="4032"/>
            <w:shd w:val="clear" w:color="auto" w:fill="EBF3FB"/>
          </w:tcPr>
          <w:p>
            <w:r>
              <w:rPr>
                <w:rFonts w:ascii="Times New Roman" w:hAnsi="Times New Roman"/>
                <w:b w:val="0"/>
                <w:sz w:val="20"/>
              </w:rPr>
              <w:t>NGINX_N8N_ALT_HTTPS_PORT</w:t>
            </w:r>
          </w:p>
        </w:tc>
        <w:tc>
          <w:tcPr>
            <w:tcW w:type="dxa" w:w="5616"/>
            <w:shd w:val="clear" w:color="auto" w:fill="EBF3FB"/>
          </w:tcPr>
          <w:p>
            <w:r>
              <w:rPr>
                <w:rFonts w:ascii="Times New Roman" w:hAnsi="Times New Roman"/>
                <w:b w:val="0"/>
                <w:sz w:val="20"/>
              </w:rPr>
              <w:t>8443</w:t>
            </w:r>
          </w:p>
        </w:tc>
      </w:tr>
      <w:tr>
        <w:tc>
          <w:tcPr>
            <w:tcW w:type="dxa" w:w="4032"/>
            <w:shd w:val="clear" w:color="auto" w:fill="FFFFFF"/>
          </w:tcPr>
          <w:p>
            <w:r>
              <w:rPr>
                <w:rFonts w:ascii="Times New Roman" w:hAnsi="Times New Roman"/>
                <w:b w:val="0"/>
                <w:sz w:val="20"/>
              </w:rPr>
              <w:t>Secret variables</w:t>
            </w:r>
          </w:p>
        </w:tc>
        <w:tc>
          <w:tcPr>
            <w:tcW w:type="dxa" w:w="5616"/>
            <w:shd w:val="clear" w:color="auto" w:fill="FFFFFF"/>
          </w:tcPr>
          <w:p>
            <w:r>
              <w:rPr>
                <w:rFonts w:ascii="Times New Roman" w:hAnsi="Times New Roman"/>
                <w:b w:val="0"/>
                <w:sz w:val="20"/>
              </w:rPr>
              <w:t>Fill on the VPS only — do not publish in the book</w:t>
            </w:r>
          </w:p>
        </w:tc>
      </w:tr>
    </w:tbl>
    <w:p/>
    <w:p>
      <w:pPr>
        <w:spacing w:before="240" w:after="80"/>
      </w:pPr>
      <w:r>
        <w:rPr>
          <w:rFonts w:ascii="Times New Roman" w:hAnsi="Times New Roman"/>
          <w:b/>
          <w:sz w:val="24"/>
        </w:rPr>
        <w:t>19.6 Monitoring And Logs</w:t>
      </w:r>
    </w:p>
    <w:p>
      <w:pPr>
        <w:spacing w:after="120"/>
        <w:ind w:firstLine="0"/>
        <w:jc w:val="both"/>
      </w:pPr>
      <w:r>
        <w:rPr>
          <w:rFonts w:ascii="Times New Roman" w:hAnsi="Times New Roman"/>
          <w:b/>
          <w:sz w:val="22"/>
        </w:rPr>
        <w:t xml:space="preserve">Monitoring Philosophy: </w:t>
      </w:r>
      <w:r>
        <w:rPr>
          <w:rFonts w:ascii="Times New Roman" w:hAnsi="Times New Roman"/>
          <w:b w:val="0"/>
          <w:sz w:val="22"/>
        </w:rPr>
        <w:t>Monitoring verifies whether the deployed system is healthy and whether data is flowing across services. The project includes several operational signals that can be checked during development, demos, and cloud deployment.</w:t>
      </w:r>
    </w:p>
    <w:p>
      <w:pPr>
        <w:spacing w:after="120"/>
        <w:ind w:firstLine="0"/>
        <w:jc w:val="both"/>
      </w:pPr>
      <w:r>
        <w:rPr>
          <w:rFonts w:ascii="Times New Roman" w:hAnsi="Times New Roman"/>
          <w:b/>
          <w:sz w:val="22"/>
        </w:rPr>
        <w:t xml:space="preserve">Health Endpoints: </w:t>
      </w:r>
      <w:r>
        <w:rPr>
          <w:rFonts w:ascii="Times New Roman" w:hAnsi="Times New Roman"/>
          <w:b w:val="0"/>
          <w:sz w:val="22"/>
        </w:rPr>
        <w:t>The frontend exposes an application health route at /api/health. The inference service exposes /health, which reports service status, MQTT connection state, Supabase connectivity, storage connectivity, model load status, demo mode, and active sessions. The inference service also includes protected /config and /metrics endpoints that require INFERENCE_INTERNAL_TOKEN.</w:t>
      </w:r>
    </w:p>
    <w:p>
      <w:pPr>
        <w:spacing w:after="120"/>
        <w:ind w:firstLine="0"/>
        <w:jc w:val="both"/>
      </w:pPr>
      <w:r>
        <w:rPr>
          <w:rFonts w:ascii="Times New Roman" w:hAnsi="Times New Roman"/>
          <w:b/>
          <w:sz w:val="22"/>
        </w:rPr>
        <w:t xml:space="preserve">Docker Log Diagnostics: </w:t>
      </w:r>
      <w:r>
        <w:rPr>
          <w:rFonts w:ascii="Times New Roman" w:hAnsi="Times New Roman"/>
          <w:b w:val="0"/>
          <w:sz w:val="22"/>
        </w:rPr>
        <w:t>Docker logs are the main first-level diagnostic tool. docker compose logs can be used to inspect startup errors, MQTT connection problems, missing environment variables, model loading failures, Supabase errors, and NGINX proxy problems. Mosquitto writes broker logs to stdout and to its persistent log volume. The inference service uses structured logs, which makes it easier to search by level, service, and message.</w:t>
      </w:r>
    </w:p>
    <w:p>
      <w:pPr>
        <w:spacing w:after="120"/>
        <w:ind w:firstLine="0"/>
        <w:jc w:val="both"/>
      </w:pPr>
      <w:r>
        <w:rPr>
          <w:rFonts w:ascii="Times New Roman" w:hAnsi="Times New Roman"/>
          <w:b/>
          <w:sz w:val="22"/>
        </w:rPr>
        <w:t xml:space="preserve">Database-Level Monitoring: </w:t>
      </w:r>
      <w:r>
        <w:rPr>
          <w:rFonts w:ascii="Times New Roman" w:hAnsi="Times New Roman"/>
          <w:b w:val="0"/>
          <w:sz w:val="22"/>
        </w:rPr>
        <w:t>Application-level monitoring also comes from the database. Device records store last_seen_at values and telemetry, which can be used to detect offline devices. Live metrics show signal quality and active session behavior. LLM report rows show pending, completed, or failed report states. Device alerts, workflow logs, and audit logs provide additional visibility into operational and security events.</w:t>
      </w:r>
    </w:p>
    <w:p>
      <w:pPr>
        <w:spacing w:after="120"/>
        <w:ind w:firstLine="0"/>
        <w:jc w:val="both"/>
      </w:pPr>
      <w:r>
        <w:rPr>
          <w:rFonts w:ascii="Times New Roman" w:hAnsi="Times New Roman"/>
          <w:b/>
          <w:sz w:val="22"/>
        </w:rPr>
        <w:t xml:space="preserve">n8n Workflow Monitoring: </w:t>
      </w:r>
      <w:r>
        <w:rPr>
          <w:rFonts w:ascii="Times New Roman" w:hAnsi="Times New Roman"/>
          <w:b w:val="0"/>
          <w:sz w:val="22"/>
        </w:rPr>
        <w:t>n8n contributes workflow-level monitoring. Each workflow execution has a status, timestamp, inputs, outputs, and error information. This is useful for report processing, daily digests, clinical alerts, device health checks, and escalation workflows. In a future production version, important errors should be routed to email, chat, or incident management channels.</w:t>
      </w:r>
    </w:p>
    <w:p>
      <w:pPr>
        <w:spacing w:after="120"/>
        <w:ind w:firstLine="0"/>
        <w:jc w:val="both"/>
      </w:pPr>
      <w:r>
        <w:rPr>
          <w:rFonts w:ascii="Times New Roman" w:hAnsi="Times New Roman"/>
          <w:b w:val="0"/>
          <w:sz w:val="22"/>
        </w:rPr>
        <w:t>Recommended deployment verification commands include:</w:t>
      </w:r>
    </w:p>
    <w:p>
      <w:pPr>
        <w:ind w:left="850"/>
      </w:pPr>
      <w:r>
        <w:rPr>
          <w:rFonts w:ascii="Courier New" w:hAnsi="Courier New"/>
          <w:sz w:val="18"/>
        </w:rPr>
        <w:t xml:space="preserve">    docker compose --env-file .env -f docker-compose.yml -f docker-compose.cloud.yml ps</w:t>
      </w:r>
    </w:p>
    <w:p>
      <w:pPr>
        <w:ind w:left="850"/>
      </w:pPr>
      <w:r>
        <w:rPr>
          <w:rFonts w:ascii="Courier New" w:hAnsi="Courier New"/>
          <w:sz w:val="18"/>
        </w:rPr>
        <w:t xml:space="preserve">    curl -f https://srv1621744.hstgr.cloud/</w:t>
      </w:r>
    </w:p>
    <w:p>
      <w:pPr>
        <w:ind w:left="850"/>
      </w:pPr>
      <w:r>
        <w:rPr>
          <w:rFonts w:ascii="Courier New" w:hAnsi="Courier New"/>
          <w:sz w:val="18"/>
        </w:rPr>
        <w:t xml:space="preserve">    curl -f https://srv1621744.hstgr.cloud/api/health</w:t>
      </w:r>
    </w:p>
    <w:p>
      <w:pPr>
        <w:ind w:left="850"/>
      </w:pPr>
      <w:r>
        <w:rPr>
          <w:rFonts w:ascii="Courier New" w:hAnsi="Courier New"/>
          <w:sz w:val="18"/>
        </w:rPr>
        <w:t xml:space="preserve">    curl -f http://127.0.0.1:8000/health</w:t>
      </w:r>
    </w:p>
    <w:p>
      <w:pPr>
        <w:ind w:left="850"/>
      </w:pPr>
      <w:r>
        <w:rPr>
          <w:rFonts w:ascii="Courier New" w:hAnsi="Courier New"/>
          <w:sz w:val="18"/>
        </w:rPr>
        <w:t xml:space="preserve">    curl -f http://127.0.0.1:8000/config -H "x-internal-token: $INFERENCE_INTERNAL_TOKEN"</w:t>
      </w:r>
    </w:p>
    <w:p>
      <w:pPr>
        <w:ind w:left="850"/>
      </w:pPr>
      <w:r>
        <w:rPr>
          <w:rFonts w:ascii="Courier New" w:hAnsi="Courier New"/>
          <w:sz w:val="18"/>
        </w:rPr>
        <w:t xml:space="preserve">    curl -f http://127.0.0.1:8000/metrics -H "x-internal-token: $INFERENCE_INTERNAL_TOKEN"</w:t>
      </w:r>
    </w:p>
    <w:p>
      <w:pPr>
        <w:ind w:left="850"/>
      </w:pPr>
      <w:r>
        <w:rPr>
          <w:rFonts w:ascii="Courier New" w:hAnsi="Courier New"/>
          <w:sz w:val="18"/>
        </w:rPr>
        <w:t xml:space="preserve">    ufw status</w:t>
      </w:r>
    </w:p>
    <w:p>
      <w:pPr>
        <w:ind w:left="850"/>
      </w:pPr>
      <w:r>
        <w:rPr>
          <w:rFonts w:ascii="Courier New" w:hAnsi="Courier New"/>
          <w:sz w:val="18"/>
        </w:rPr>
        <w:t xml:space="preserve">    ss -tulpn</w:t>
      </w:r>
    </w:p>
    <w:p/>
    <w:p>
      <w:pPr>
        <w:spacing w:before="240" w:after="80"/>
      </w:pPr>
      <w:r>
        <w:rPr>
          <w:rFonts w:ascii="Times New Roman" w:hAnsi="Times New Roman"/>
          <w:b/>
          <w:sz w:val="24"/>
        </w:rPr>
        <w:t>19.7 Backup And Maintenance</w:t>
      </w:r>
    </w:p>
    <w:p>
      <w:pPr>
        <w:spacing w:after="120"/>
        <w:ind w:firstLine="0"/>
        <w:jc w:val="both"/>
      </w:pPr>
      <w:r>
        <w:rPr>
          <w:rFonts w:ascii="Times New Roman" w:hAnsi="Times New Roman"/>
          <w:b/>
          <w:sz w:val="22"/>
        </w:rPr>
        <w:t xml:space="preserve">Backup Importance: </w:t>
      </w:r>
      <w:r>
        <w:rPr>
          <w:rFonts w:ascii="Times New Roman" w:hAnsi="Times New Roman"/>
          <w:b w:val="0"/>
          <w:sz w:val="22"/>
        </w:rPr>
        <w:t>Backup and maintenance are required because the system stores database records, raw recordings, generated reports, model artifacts, workflow definitions, and environment configuration. A failure in any of these areas could affect demos, testing, or future research work.</w:t>
      </w:r>
    </w:p>
    <w:p>
      <w:pPr>
        <w:spacing w:after="120"/>
        <w:ind w:firstLine="0"/>
        <w:jc w:val="both"/>
      </w:pPr>
      <w:r>
        <w:rPr>
          <w:rFonts w:ascii="Times New Roman" w:hAnsi="Times New Roman"/>
          <w:b/>
          <w:sz w:val="22"/>
        </w:rPr>
        <w:t xml:space="preserve">Supabase Database and Storage Backups: </w:t>
      </w:r>
      <w:r>
        <w:rPr>
          <w:rFonts w:ascii="Times New Roman" w:hAnsi="Times New Roman"/>
          <w:b w:val="0"/>
          <w:sz w:val="22"/>
        </w:rPr>
        <w:t>Supabase database backups should be enabled for the project database. The team should also keep migration files under source control so the schema can be recreated. Supabase Storage backups are important because recordings and uploaded artifacts may not be recoverable from database rows alone. If recordings are stored in a private bucket, backup copies must remain private as well.</w:t>
      </w:r>
    </w:p>
    <w:p>
      <w:pPr>
        <w:spacing w:after="120"/>
        <w:ind w:firstLine="0"/>
        <w:jc w:val="both"/>
      </w:pPr>
      <w:r>
        <w:rPr>
          <w:rFonts w:ascii="Times New Roman" w:hAnsi="Times New Roman"/>
          <w:b/>
          <w:sz w:val="22"/>
        </w:rPr>
        <w:t xml:space="preserve">Docker Volume Backups: </w:t>
      </w:r>
      <w:r>
        <w:rPr>
          <w:rFonts w:ascii="Times New Roman" w:hAnsi="Times New Roman"/>
          <w:b w:val="0"/>
          <w:sz w:val="22"/>
        </w:rPr>
        <w:t>The Hostinger VPS should preserve persistent Docker volumes. Mosquitto uses volumes for broker data and logs. n8n uses a volume for workflows and encrypted credentials. These volumes should be backed up before major updates. n8n workflows should also be exported as JSON files so they can be restored or reviewed independently of the running container.</w:t>
      </w:r>
    </w:p>
    <w:p>
      <w:pPr>
        <w:spacing w:after="120"/>
        <w:ind w:firstLine="0"/>
        <w:jc w:val="both"/>
      </w:pPr>
      <w:r>
        <w:rPr>
          <w:rFonts w:ascii="Times New Roman" w:hAnsi="Times New Roman"/>
          <w:b/>
          <w:sz w:val="22"/>
        </w:rPr>
        <w:t xml:space="preserve">Model Artifact Versioning: </w:t>
      </w:r>
      <w:r>
        <w:rPr>
          <w:rFonts w:ascii="Times New Roman" w:hAnsi="Times New Roman"/>
          <w:b w:val="0"/>
          <w:sz w:val="22"/>
        </w:rPr>
        <w:t>Model artifacts should be versioned. Each deployed model should be tied to a preprocessing version, training run, validation result, and expected input shape. The inference service already exposes model status through health checks, but production operations should also track which model version is currently deployed and how to roll back to a previous version.</w:t>
      </w:r>
    </w:p>
    <w:p>
      <w:pPr>
        <w:spacing w:after="120"/>
        <w:ind w:firstLine="0"/>
        <w:jc w:val="both"/>
      </w:pPr>
      <w:r>
        <w:rPr>
          <w:rFonts w:ascii="Times New Roman" w:hAnsi="Times New Roman"/>
          <w:b/>
          <w:sz w:val="22"/>
        </w:rPr>
        <w:t xml:space="preserve">Credential Rotation: </w:t>
      </w:r>
      <w:r>
        <w:rPr>
          <w:rFonts w:ascii="Times New Roman" w:hAnsi="Times New Roman"/>
          <w:b w:val="0"/>
          <w:sz w:val="22"/>
        </w:rPr>
        <w:t>Credential rotation is part of maintenance. Service-role keys, MQTT administrative credentials, per-device credentials, n8n passwords, n8n encryption keys, and internal API tokens should be rotated if exposed or after a planned interval. After credential changes, containers must be restarted and dependent services must be tested again.</w:t>
      </w:r>
    </w:p>
    <w:p>
      <w:pPr>
        <w:spacing w:before="160" w:after="40"/>
      </w:pPr>
      <w:r>
        <w:rPr>
          <w:rFonts w:ascii="Times New Roman" w:hAnsi="Times New Roman"/>
          <w:b/>
          <w:sz w:val="22"/>
        </w:rPr>
        <w:t>Table 19.4: Backup and Recovery Matrix</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1F3864"/>
          </w:tcPr>
          <w:p>
            <w:pPr>
              <w:jc w:val="center"/>
            </w:pPr>
            <w:r>
              <w:rPr>
                <w:rFonts w:ascii="Times New Roman" w:hAnsi="Times New Roman"/>
                <w:b/>
                <w:color w:val="FFFFFF"/>
                <w:sz w:val="20"/>
              </w:rPr>
              <w:t>Component</w:t>
            </w:r>
          </w:p>
        </w:tc>
        <w:tc>
          <w:tcPr>
            <w:tcW w:type="dxa" w:w="2880"/>
            <w:shd w:val="clear" w:color="auto" w:fill="1F3864"/>
          </w:tcPr>
          <w:p>
            <w:pPr>
              <w:jc w:val="center"/>
            </w:pPr>
            <w:r>
              <w:rPr>
                <w:rFonts w:ascii="Times New Roman" w:hAnsi="Times New Roman"/>
                <w:b/>
                <w:color w:val="FFFFFF"/>
                <w:sz w:val="20"/>
              </w:rPr>
              <w:t>Backup Method</w:t>
            </w:r>
          </w:p>
        </w:tc>
        <w:tc>
          <w:tcPr>
            <w:tcW w:type="dxa" w:w="2880"/>
            <w:shd w:val="clear" w:color="auto" w:fill="1F3864"/>
          </w:tcPr>
          <w:p>
            <w:pPr>
              <w:jc w:val="center"/>
            </w:pPr>
            <w:r>
              <w:rPr>
                <w:rFonts w:ascii="Times New Roman" w:hAnsi="Times New Roman"/>
                <w:b/>
                <w:color w:val="FFFFFF"/>
                <w:sz w:val="20"/>
              </w:rPr>
              <w:t>Recovery Steps</w:t>
            </w:r>
          </w:p>
        </w:tc>
        <w:tc>
          <w:tcPr>
            <w:tcW w:type="dxa" w:w="1296"/>
            <w:shd w:val="clear" w:color="auto" w:fill="1F3864"/>
          </w:tcPr>
          <w:p>
            <w:pPr>
              <w:jc w:val="center"/>
            </w:pPr>
            <w:r>
              <w:rPr>
                <w:rFonts w:ascii="Times New Roman" w:hAnsi="Times New Roman"/>
                <w:b/>
                <w:color w:val="FFFFFF"/>
                <w:sz w:val="20"/>
              </w:rPr>
              <w:t>Priority</w:t>
            </w:r>
          </w:p>
        </w:tc>
      </w:tr>
      <w:tr>
        <w:tc>
          <w:tcPr>
            <w:tcW w:type="dxa" w:w="2160"/>
            <w:shd w:val="clear" w:color="auto" w:fill="FFFFFF"/>
          </w:tcPr>
          <w:p>
            <w:r>
              <w:rPr>
                <w:rFonts w:ascii="Times New Roman" w:hAnsi="Times New Roman"/>
                <w:b w:val="0"/>
                <w:sz w:val="20"/>
              </w:rPr>
              <w:t>Supabase Database</w:t>
            </w:r>
          </w:p>
        </w:tc>
        <w:tc>
          <w:tcPr>
            <w:tcW w:type="dxa" w:w="2880"/>
            <w:shd w:val="clear" w:color="auto" w:fill="FFFFFF"/>
          </w:tcPr>
          <w:p>
            <w:r>
              <w:rPr>
                <w:rFonts w:ascii="Times New Roman" w:hAnsi="Times New Roman"/>
                <w:b w:val="0"/>
                <w:sz w:val="20"/>
              </w:rPr>
              <w:t>Supabase built-in backup + migration files in Git</w:t>
            </w:r>
          </w:p>
        </w:tc>
        <w:tc>
          <w:tcPr>
            <w:tcW w:type="dxa" w:w="2880"/>
            <w:shd w:val="clear" w:color="auto" w:fill="FFFFFF"/>
          </w:tcPr>
          <w:p>
            <w:r>
              <w:rPr>
                <w:rFonts w:ascii="Times New Roman" w:hAnsi="Times New Roman"/>
                <w:b w:val="0"/>
                <w:sz w:val="20"/>
              </w:rPr>
              <w:t>Restore from backup or re-run migrations</w:t>
            </w:r>
          </w:p>
        </w:tc>
        <w:tc>
          <w:tcPr>
            <w:tcW w:type="dxa" w:w="1296"/>
            <w:shd w:val="clear" w:color="auto" w:fill="FFFFFF"/>
          </w:tcPr>
          <w:p>
            <w:r>
              <w:rPr>
                <w:rFonts w:ascii="Times New Roman" w:hAnsi="Times New Roman"/>
                <w:b w:val="0"/>
                <w:sz w:val="20"/>
              </w:rPr>
              <w:t>Critical</w:t>
            </w:r>
          </w:p>
        </w:tc>
      </w:tr>
      <w:tr>
        <w:tc>
          <w:tcPr>
            <w:tcW w:type="dxa" w:w="2160"/>
            <w:shd w:val="clear" w:color="auto" w:fill="EBF3FB"/>
          </w:tcPr>
          <w:p>
            <w:r>
              <w:rPr>
                <w:rFonts w:ascii="Times New Roman" w:hAnsi="Times New Roman"/>
                <w:b w:val="0"/>
                <w:sz w:val="20"/>
              </w:rPr>
              <w:t>Supabase Storage</w:t>
            </w:r>
          </w:p>
        </w:tc>
        <w:tc>
          <w:tcPr>
            <w:tcW w:type="dxa" w:w="2880"/>
            <w:shd w:val="clear" w:color="auto" w:fill="EBF3FB"/>
          </w:tcPr>
          <w:p>
            <w:r>
              <w:rPr>
                <w:rFonts w:ascii="Times New Roman" w:hAnsi="Times New Roman"/>
                <w:b w:val="0"/>
                <w:sz w:val="20"/>
              </w:rPr>
              <w:t>Private bucket backup copy</w:t>
            </w:r>
          </w:p>
        </w:tc>
        <w:tc>
          <w:tcPr>
            <w:tcW w:type="dxa" w:w="2880"/>
            <w:shd w:val="clear" w:color="auto" w:fill="EBF3FB"/>
          </w:tcPr>
          <w:p>
            <w:r>
              <w:rPr>
                <w:rFonts w:ascii="Times New Roman" w:hAnsi="Times New Roman"/>
                <w:b w:val="0"/>
                <w:sz w:val="20"/>
              </w:rPr>
              <w:t>Re-upload from backup to private bucket</w:t>
            </w:r>
          </w:p>
        </w:tc>
        <w:tc>
          <w:tcPr>
            <w:tcW w:type="dxa" w:w="1296"/>
            <w:shd w:val="clear" w:color="auto" w:fill="EBF3FB"/>
          </w:tcPr>
          <w:p>
            <w:r>
              <w:rPr>
                <w:rFonts w:ascii="Times New Roman" w:hAnsi="Times New Roman"/>
                <w:b w:val="0"/>
                <w:sz w:val="20"/>
              </w:rPr>
              <w:t>Critical</w:t>
            </w:r>
          </w:p>
        </w:tc>
      </w:tr>
      <w:tr>
        <w:tc>
          <w:tcPr>
            <w:tcW w:type="dxa" w:w="2160"/>
            <w:shd w:val="clear" w:color="auto" w:fill="FFFFFF"/>
          </w:tcPr>
          <w:p>
            <w:r>
              <w:rPr>
                <w:rFonts w:ascii="Times New Roman" w:hAnsi="Times New Roman"/>
                <w:b w:val="0"/>
                <w:sz w:val="20"/>
              </w:rPr>
              <w:t>n8n Workflows</w:t>
            </w:r>
          </w:p>
        </w:tc>
        <w:tc>
          <w:tcPr>
            <w:tcW w:type="dxa" w:w="2880"/>
            <w:shd w:val="clear" w:color="auto" w:fill="FFFFFF"/>
          </w:tcPr>
          <w:p>
            <w:r>
              <w:rPr>
                <w:rFonts w:ascii="Times New Roman" w:hAnsi="Times New Roman"/>
                <w:b w:val="0"/>
                <w:sz w:val="20"/>
              </w:rPr>
              <w:t>Volume backup + JSON export</w:t>
            </w:r>
          </w:p>
        </w:tc>
        <w:tc>
          <w:tcPr>
            <w:tcW w:type="dxa" w:w="2880"/>
            <w:shd w:val="clear" w:color="auto" w:fill="FFFFFF"/>
          </w:tcPr>
          <w:p>
            <w:r>
              <w:rPr>
                <w:rFonts w:ascii="Times New Roman" w:hAnsi="Times New Roman"/>
                <w:b w:val="0"/>
                <w:sz w:val="20"/>
              </w:rPr>
              <w:t>Re-import JSON or restore volume</w:t>
            </w:r>
          </w:p>
        </w:tc>
        <w:tc>
          <w:tcPr>
            <w:tcW w:type="dxa" w:w="1296"/>
            <w:shd w:val="clear" w:color="auto" w:fill="FFFFFF"/>
          </w:tcPr>
          <w:p>
            <w:r>
              <w:rPr>
                <w:rFonts w:ascii="Times New Roman" w:hAnsi="Times New Roman"/>
                <w:b w:val="0"/>
                <w:sz w:val="20"/>
              </w:rPr>
              <w:t>High</w:t>
            </w:r>
          </w:p>
        </w:tc>
      </w:tr>
      <w:tr>
        <w:tc>
          <w:tcPr>
            <w:tcW w:type="dxa" w:w="2160"/>
            <w:shd w:val="clear" w:color="auto" w:fill="EBF3FB"/>
          </w:tcPr>
          <w:p>
            <w:r>
              <w:rPr>
                <w:rFonts w:ascii="Times New Roman" w:hAnsi="Times New Roman"/>
                <w:b w:val="0"/>
                <w:sz w:val="20"/>
              </w:rPr>
              <w:t>Mosquitto Data/Logs</w:t>
            </w:r>
          </w:p>
        </w:tc>
        <w:tc>
          <w:tcPr>
            <w:tcW w:type="dxa" w:w="2880"/>
            <w:shd w:val="clear" w:color="auto" w:fill="EBF3FB"/>
          </w:tcPr>
          <w:p>
            <w:r>
              <w:rPr>
                <w:rFonts w:ascii="Times New Roman" w:hAnsi="Times New Roman"/>
                <w:b w:val="0"/>
                <w:sz w:val="20"/>
              </w:rPr>
              <w:t>Docker volume backup</w:t>
            </w:r>
          </w:p>
        </w:tc>
        <w:tc>
          <w:tcPr>
            <w:tcW w:type="dxa" w:w="2880"/>
            <w:shd w:val="clear" w:color="auto" w:fill="EBF3FB"/>
          </w:tcPr>
          <w:p>
            <w:r>
              <w:rPr>
                <w:rFonts w:ascii="Times New Roman" w:hAnsi="Times New Roman"/>
                <w:b w:val="0"/>
                <w:sz w:val="20"/>
              </w:rPr>
              <w:t>Restore volume before container start</w:t>
            </w:r>
          </w:p>
        </w:tc>
        <w:tc>
          <w:tcPr>
            <w:tcW w:type="dxa" w:w="1296"/>
            <w:shd w:val="clear" w:color="auto" w:fill="EBF3FB"/>
          </w:tcPr>
          <w:p>
            <w:r>
              <w:rPr>
                <w:rFonts w:ascii="Times New Roman" w:hAnsi="Times New Roman"/>
                <w:b w:val="0"/>
                <w:sz w:val="20"/>
              </w:rPr>
              <w:t>High</w:t>
            </w:r>
          </w:p>
        </w:tc>
      </w:tr>
      <w:tr>
        <w:tc>
          <w:tcPr>
            <w:tcW w:type="dxa" w:w="2160"/>
            <w:shd w:val="clear" w:color="auto" w:fill="FFFFFF"/>
          </w:tcPr>
          <w:p>
            <w:r>
              <w:rPr>
                <w:rFonts w:ascii="Times New Roman" w:hAnsi="Times New Roman"/>
                <w:b w:val="0"/>
                <w:sz w:val="20"/>
              </w:rPr>
              <w:t>ML Model Artifacts</w:t>
            </w:r>
          </w:p>
        </w:tc>
        <w:tc>
          <w:tcPr>
            <w:tcW w:type="dxa" w:w="2880"/>
            <w:shd w:val="clear" w:color="auto" w:fill="FFFFFF"/>
          </w:tcPr>
          <w:p>
            <w:r>
              <w:rPr>
                <w:rFonts w:ascii="Times New Roman" w:hAnsi="Times New Roman"/>
                <w:b w:val="0"/>
                <w:sz w:val="20"/>
              </w:rPr>
              <w:t>Versioned file storage (Git LFS or cloud storage)</w:t>
            </w:r>
          </w:p>
        </w:tc>
        <w:tc>
          <w:tcPr>
            <w:tcW w:type="dxa" w:w="2880"/>
            <w:shd w:val="clear" w:color="auto" w:fill="FFFFFF"/>
          </w:tcPr>
          <w:p>
            <w:r>
              <w:rPr>
                <w:rFonts w:ascii="Times New Roman" w:hAnsi="Times New Roman"/>
                <w:b w:val="0"/>
                <w:sz w:val="20"/>
              </w:rPr>
              <w:t>Copy correct version to models/ directory</w:t>
            </w:r>
          </w:p>
        </w:tc>
        <w:tc>
          <w:tcPr>
            <w:tcW w:type="dxa" w:w="1296"/>
            <w:shd w:val="clear" w:color="auto" w:fill="FFFFFF"/>
          </w:tcPr>
          <w:p>
            <w:r>
              <w:rPr>
                <w:rFonts w:ascii="Times New Roman" w:hAnsi="Times New Roman"/>
                <w:b w:val="0"/>
                <w:sz w:val="20"/>
              </w:rPr>
              <w:t>High</w:t>
            </w:r>
          </w:p>
        </w:tc>
      </w:tr>
      <w:tr>
        <w:tc>
          <w:tcPr>
            <w:tcW w:type="dxa" w:w="2160"/>
            <w:shd w:val="clear" w:color="auto" w:fill="EBF3FB"/>
          </w:tcPr>
          <w:p>
            <w:r>
              <w:rPr>
                <w:rFonts w:ascii="Times New Roman" w:hAnsi="Times New Roman"/>
                <w:b w:val="0"/>
                <w:sz w:val="20"/>
              </w:rPr>
              <w:t>TLS Certificates</w:t>
            </w:r>
          </w:p>
        </w:tc>
        <w:tc>
          <w:tcPr>
            <w:tcW w:type="dxa" w:w="2880"/>
            <w:shd w:val="clear" w:color="auto" w:fill="EBF3FB"/>
          </w:tcPr>
          <w:p>
            <w:r>
              <w:rPr>
                <w:rFonts w:ascii="Times New Roman" w:hAnsi="Times New Roman"/>
                <w:b w:val="0"/>
                <w:sz w:val="20"/>
              </w:rPr>
              <w:t>Copy from /etc/letsencrypt or Certbot renewal</w:t>
            </w:r>
          </w:p>
        </w:tc>
        <w:tc>
          <w:tcPr>
            <w:tcW w:type="dxa" w:w="2880"/>
            <w:shd w:val="clear" w:color="auto" w:fill="EBF3FB"/>
          </w:tcPr>
          <w:p>
            <w:r>
              <w:rPr>
                <w:rFonts w:ascii="Times New Roman" w:hAnsi="Times New Roman"/>
                <w:b w:val="0"/>
                <w:sz w:val="20"/>
              </w:rPr>
              <w:t>Re-run Certbot or restore certs directory</w:t>
            </w:r>
          </w:p>
        </w:tc>
        <w:tc>
          <w:tcPr>
            <w:tcW w:type="dxa" w:w="1296"/>
            <w:shd w:val="clear" w:color="auto" w:fill="EBF3FB"/>
          </w:tcPr>
          <w:p>
            <w:r>
              <w:rPr>
                <w:rFonts w:ascii="Times New Roman" w:hAnsi="Times New Roman"/>
                <w:b w:val="0"/>
                <w:sz w:val="20"/>
              </w:rPr>
              <w:t>High</w:t>
            </w:r>
          </w:p>
        </w:tc>
      </w:tr>
      <w:tr>
        <w:tc>
          <w:tcPr>
            <w:tcW w:type="dxa" w:w="2160"/>
            <w:shd w:val="clear" w:color="auto" w:fill="FFFFFF"/>
          </w:tcPr>
          <w:p>
            <w:r>
              <w:rPr>
                <w:rFonts w:ascii="Times New Roman" w:hAnsi="Times New Roman"/>
                <w:b w:val="0"/>
                <w:sz w:val="20"/>
              </w:rPr>
              <w:t>.env File</w:t>
            </w:r>
          </w:p>
        </w:tc>
        <w:tc>
          <w:tcPr>
            <w:tcW w:type="dxa" w:w="2880"/>
            <w:shd w:val="clear" w:color="auto" w:fill="FFFFFF"/>
          </w:tcPr>
          <w:p>
            <w:r>
              <w:rPr>
                <w:rFonts w:ascii="Times New Roman" w:hAnsi="Times New Roman"/>
                <w:b w:val="0"/>
                <w:sz w:val="20"/>
              </w:rPr>
              <w:t>Encrypted offline copy (restricted access)</w:t>
            </w:r>
          </w:p>
        </w:tc>
        <w:tc>
          <w:tcPr>
            <w:tcW w:type="dxa" w:w="2880"/>
            <w:shd w:val="clear" w:color="auto" w:fill="FFFFFF"/>
          </w:tcPr>
          <w:p>
            <w:r>
              <w:rPr>
                <w:rFonts w:ascii="Times New Roman" w:hAnsi="Times New Roman"/>
                <w:b w:val="0"/>
                <w:sz w:val="20"/>
              </w:rPr>
              <w:t>Restore and restart all containers</w:t>
            </w:r>
          </w:p>
        </w:tc>
        <w:tc>
          <w:tcPr>
            <w:tcW w:type="dxa" w:w="1296"/>
            <w:shd w:val="clear" w:color="auto" w:fill="FFFFFF"/>
          </w:tcPr>
          <w:p>
            <w:r>
              <w:rPr>
                <w:rFonts w:ascii="Times New Roman" w:hAnsi="Times New Roman"/>
                <w:b w:val="0"/>
                <w:sz w:val="20"/>
              </w:rPr>
              <w:t>Critical</w:t>
            </w:r>
          </w:p>
        </w:tc>
      </w:tr>
      <w:tr>
        <w:tc>
          <w:tcPr>
            <w:tcW w:type="dxa" w:w="2160"/>
            <w:shd w:val="clear" w:color="auto" w:fill="EBF3FB"/>
          </w:tcPr>
          <w:p>
            <w:r>
              <w:rPr>
                <w:rFonts w:ascii="Times New Roman" w:hAnsi="Times New Roman"/>
                <w:b w:val="0"/>
                <w:sz w:val="20"/>
              </w:rPr>
              <w:t>NGINX Config</w:t>
            </w:r>
          </w:p>
        </w:tc>
        <w:tc>
          <w:tcPr>
            <w:tcW w:type="dxa" w:w="2880"/>
            <w:shd w:val="clear" w:color="auto" w:fill="EBF3FB"/>
          </w:tcPr>
          <w:p>
            <w:r>
              <w:rPr>
                <w:rFonts w:ascii="Times New Roman" w:hAnsi="Times New Roman"/>
                <w:b w:val="0"/>
                <w:sz w:val="20"/>
              </w:rPr>
              <w:t>Version-controlled in Git repository</w:t>
            </w:r>
          </w:p>
        </w:tc>
        <w:tc>
          <w:tcPr>
            <w:tcW w:type="dxa" w:w="2880"/>
            <w:shd w:val="clear" w:color="auto" w:fill="EBF3FB"/>
          </w:tcPr>
          <w:p>
            <w:r>
              <w:rPr>
                <w:rFonts w:ascii="Times New Roman" w:hAnsi="Times New Roman"/>
                <w:b w:val="0"/>
                <w:sz w:val="20"/>
              </w:rPr>
              <w:t>git pull and restart NGINX container</w:t>
            </w:r>
          </w:p>
        </w:tc>
        <w:tc>
          <w:tcPr>
            <w:tcW w:type="dxa" w:w="1296"/>
            <w:shd w:val="clear" w:color="auto" w:fill="EBF3FB"/>
          </w:tcPr>
          <w:p>
            <w:r>
              <w:rPr>
                <w:rFonts w:ascii="Times New Roman" w:hAnsi="Times New Roman"/>
                <w:b w:val="0"/>
                <w:sz w:val="20"/>
              </w:rPr>
              <w:t>Medium</w:t>
            </w:r>
          </w:p>
        </w:tc>
      </w:tr>
    </w:tbl>
    <w:p/>
    <w:p>
      <w:pPr>
        <w:spacing w:after="120"/>
        <w:ind w:firstLine="0"/>
        <w:jc w:val="both"/>
      </w:pPr>
      <w:r>
        <w:rPr>
          <w:rFonts w:ascii="Times New Roman" w:hAnsi="Times New Roman"/>
          <w:b w:val="0"/>
          <w:sz w:val="22"/>
        </w:rPr>
        <w:t>A normal maintenance update should follow this controlled sequence:</w:t>
      </w:r>
    </w:p>
    <w:p>
      <w:pPr>
        <w:pStyle w:val="ListBullet"/>
      </w:pPr>
      <w:r>
        <w:rPr>
          <w:rFonts w:ascii="Times New Roman" w:hAnsi="Times New Roman"/>
          <w:b w:val="0"/>
          <w:sz w:val="22"/>
        </w:rPr>
        <w:t>1. Pull or copy the new application version (git pull on the VPS).</w:t>
      </w:r>
    </w:p>
    <w:p>
      <w:pPr>
        <w:pStyle w:val="ListBullet"/>
      </w:pPr>
      <w:r>
        <w:rPr>
          <w:rFonts w:ascii="Times New Roman" w:hAnsi="Times New Roman"/>
          <w:b w:val="0"/>
          <w:sz w:val="22"/>
        </w:rPr>
        <w:t>2. Review environment changes in the updated .env.cloud.example template.</w:t>
      </w:r>
    </w:p>
    <w:p>
      <w:pPr>
        <w:pStyle w:val="ListBullet"/>
      </w:pPr>
      <w:r>
        <w:rPr>
          <w:rFonts w:ascii="Times New Roman" w:hAnsi="Times New Roman"/>
          <w:b w:val="0"/>
          <w:sz w:val="22"/>
        </w:rPr>
        <w:t>3. Validate Compose configuration: docker compose config &gt; /dev/null</w:t>
      </w:r>
    </w:p>
    <w:p>
      <w:pPr>
        <w:pStyle w:val="ListBullet"/>
      </w:pPr>
      <w:r>
        <w:rPr>
          <w:rFonts w:ascii="Times New Roman" w:hAnsi="Times New Roman"/>
          <w:b w:val="0"/>
          <w:sz w:val="22"/>
        </w:rPr>
        <w:t>4. Rebuild and restart containers: docker compose up -d --build</w:t>
      </w:r>
    </w:p>
    <w:p>
      <w:pPr>
        <w:pStyle w:val="ListBullet"/>
      </w:pPr>
      <w:r>
        <w:rPr>
          <w:rFonts w:ascii="Times New Roman" w:hAnsi="Times New Roman"/>
          <w:b w:val="0"/>
          <w:sz w:val="22"/>
        </w:rPr>
        <w:t>5. Verify container status: docker compose ps</w:t>
      </w:r>
    </w:p>
    <w:p>
      <w:pPr>
        <w:pStyle w:val="ListBullet"/>
      </w:pPr>
      <w:r>
        <w:rPr>
          <w:rFonts w:ascii="Times New Roman" w:hAnsi="Times New Roman"/>
          <w:b w:val="0"/>
          <w:sz w:val="22"/>
        </w:rPr>
        <w:t>6. Run health checks: curl https://srv1621744.hstgr.cloud/api/health</w:t>
      </w:r>
    </w:p>
    <w:p>
      <w:pPr>
        <w:pStyle w:val="ListBullet"/>
      </w:pPr>
      <w:r>
        <w:rPr>
          <w:rFonts w:ascii="Times New Roman" w:hAnsi="Times New Roman"/>
          <w:b w:val="0"/>
          <w:sz w:val="22"/>
        </w:rPr>
        <w:t>7. Verify login, MQTT connectivity, inference, and n8n workflows.</w:t>
      </w:r>
    </w:p>
    <w:p>
      <w:pPr>
        <w:pStyle w:val="ListBullet"/>
      </w:pPr>
      <w:r>
        <w:rPr>
          <w:rFonts w:ascii="Times New Roman" w:hAnsi="Times New Roman"/>
          <w:b w:val="0"/>
          <w:sz w:val="22"/>
        </w:rPr>
        <w:t>8. Review logs for errors: docker compose logs -f nginx frontend inference</w:t>
      </w:r>
    </w:p>
    <w:p/>
    <w:p>
      <w:pPr>
        <w:spacing w:before="240" w:after="80"/>
      </w:pPr>
      <w:r>
        <w:rPr>
          <w:rFonts w:ascii="Times New Roman" w:hAnsi="Times New Roman"/>
          <w:b/>
          <w:sz w:val="24"/>
        </w:rPr>
        <w:t>19.8 Production Checklist</w:t>
      </w:r>
    </w:p>
    <w:p>
      <w:pPr>
        <w:spacing w:after="120"/>
        <w:ind w:firstLine="0"/>
        <w:jc w:val="both"/>
      </w:pPr>
      <w:r>
        <w:rPr>
          <w:rFonts w:ascii="Times New Roman" w:hAnsi="Times New Roman"/>
          <w:b/>
          <w:sz w:val="22"/>
        </w:rPr>
        <w:t xml:space="preserve">Production Readiness Checklist: </w:t>
      </w:r>
      <w:r>
        <w:rPr>
          <w:rFonts w:ascii="Times New Roman" w:hAnsi="Times New Roman"/>
          <w:b w:val="0"/>
          <w:sz w:val="22"/>
        </w:rPr>
        <w:t>Before the platform is used outside a controlled academic or demo environment, the following checklist should be completed. This checklist shows that the DevOps workstream is not limited to starting containers — it also covers the operational discipline needed to keep a connected health-monitoring prototype reliable, secure, and explainable.</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pPr>
              <w:jc w:val="center"/>
            </w:pPr>
            <w:r>
              <w:rPr>
                <w:rFonts w:ascii="Times New Roman" w:hAnsi="Times New Roman"/>
                <w:b/>
                <w:color w:val="FFFFFF"/>
                <w:sz w:val="20"/>
              </w:rPr>
              <w:t>Area</w:t>
            </w:r>
          </w:p>
        </w:tc>
        <w:tc>
          <w:tcPr>
            <w:tcW w:type="dxa" w:w="7056"/>
            <w:shd w:val="clear" w:color="auto" w:fill="1F3864"/>
          </w:tcPr>
          <w:p>
            <w:pPr>
              <w:jc w:val="center"/>
            </w:pPr>
            <w:r>
              <w:rPr>
                <w:rFonts w:ascii="Times New Roman" w:hAnsi="Times New Roman"/>
                <w:b/>
                <w:color w:val="FFFFFF"/>
                <w:sz w:val="20"/>
              </w:rPr>
              <w:t>Checklist Item</w:t>
            </w:r>
          </w:p>
        </w:tc>
      </w:tr>
      <w:tr>
        <w:tc>
          <w:tcPr>
            <w:tcW w:type="dxa" w:w="2592"/>
            <w:shd w:val="clear" w:color="auto" w:fill="FFFFFF"/>
          </w:tcPr>
          <w:p>
            <w:r>
              <w:rPr>
                <w:rFonts w:ascii="Times New Roman" w:hAnsi="Times New Roman"/>
                <w:b w:val="0"/>
                <w:sz w:val="20"/>
              </w:rPr>
              <w:t>VPS Reachability</w:t>
            </w:r>
          </w:p>
        </w:tc>
        <w:tc>
          <w:tcPr>
            <w:tcW w:type="dxa" w:w="7056"/>
            <w:shd w:val="clear" w:color="auto" w:fill="FFFFFF"/>
          </w:tcPr>
          <w:p>
            <w:r>
              <w:rPr>
                <w:rFonts w:ascii="Times New Roman" w:hAnsi="Times New Roman"/>
                <w:b w:val="0"/>
                <w:sz w:val="20"/>
              </w:rPr>
              <w:t>SSH connection to 187.127.224.4 confirmed and secured</w:t>
            </w:r>
          </w:p>
        </w:tc>
      </w:tr>
      <w:tr>
        <w:tc>
          <w:tcPr>
            <w:tcW w:type="dxa" w:w="2592"/>
            <w:shd w:val="clear" w:color="auto" w:fill="EBF3FB"/>
          </w:tcPr>
          <w:p>
            <w:r>
              <w:rPr>
                <w:rFonts w:ascii="Times New Roman" w:hAnsi="Times New Roman"/>
                <w:b w:val="0"/>
                <w:sz w:val="20"/>
              </w:rPr>
              <w:t>HTTPS Application</w:t>
            </w:r>
          </w:p>
        </w:tc>
        <w:tc>
          <w:tcPr>
            <w:tcW w:type="dxa" w:w="7056"/>
            <w:shd w:val="clear" w:color="auto" w:fill="EBF3FB"/>
          </w:tcPr>
          <w:p>
            <w:r>
              <w:rPr>
                <w:rFonts w:ascii="Times New Roman" w:hAnsi="Times New Roman"/>
                <w:b w:val="0"/>
                <w:sz w:val="20"/>
              </w:rPr>
              <w:t>Browser or curl confirms https://srv1621744.hstgr.cloud is reachable</w:t>
            </w:r>
          </w:p>
        </w:tc>
      </w:tr>
      <w:tr>
        <w:tc>
          <w:tcPr>
            <w:tcW w:type="dxa" w:w="2592"/>
            <w:shd w:val="clear" w:color="auto" w:fill="FFFFFF"/>
          </w:tcPr>
          <w:p>
            <w:r>
              <w:rPr>
                <w:rFonts w:ascii="Times New Roman" w:hAnsi="Times New Roman"/>
                <w:b w:val="0"/>
                <w:sz w:val="20"/>
              </w:rPr>
              <w:t>Health Endpoint</w:t>
            </w:r>
          </w:p>
        </w:tc>
        <w:tc>
          <w:tcPr>
            <w:tcW w:type="dxa" w:w="7056"/>
            <w:shd w:val="clear" w:color="auto" w:fill="FFFFFF"/>
          </w:tcPr>
          <w:p>
            <w:r>
              <w:rPr>
                <w:rFonts w:ascii="Times New Roman" w:hAnsi="Times New Roman"/>
                <w:b w:val="0"/>
                <w:sz w:val="20"/>
              </w:rPr>
              <w:t>Successful response from https://srv1621744.hstgr.cloud/api/health</w:t>
            </w:r>
          </w:p>
        </w:tc>
      </w:tr>
      <w:tr>
        <w:tc>
          <w:tcPr>
            <w:tcW w:type="dxa" w:w="2592"/>
            <w:shd w:val="clear" w:color="auto" w:fill="EBF3FB"/>
          </w:tcPr>
          <w:p>
            <w:r>
              <w:rPr>
                <w:rFonts w:ascii="Times New Roman" w:hAnsi="Times New Roman"/>
                <w:b w:val="0"/>
                <w:sz w:val="20"/>
              </w:rPr>
              <w:t>Inference Health</w:t>
            </w:r>
          </w:p>
        </w:tc>
        <w:tc>
          <w:tcPr>
            <w:tcW w:type="dxa" w:w="7056"/>
            <w:shd w:val="clear" w:color="auto" w:fill="EBF3FB"/>
          </w:tcPr>
          <w:p>
            <w:r>
              <w:rPr>
                <w:rFonts w:ascii="Times New Roman" w:hAnsi="Times New Roman"/>
                <w:b w:val="0"/>
                <w:sz w:val="20"/>
              </w:rPr>
              <w:t>Successful local VM response from http://127.0.0.1:8000/health</w:t>
            </w:r>
          </w:p>
        </w:tc>
      </w:tr>
      <w:tr>
        <w:tc>
          <w:tcPr>
            <w:tcW w:type="dxa" w:w="2592"/>
            <w:shd w:val="clear" w:color="auto" w:fill="FFFFFF"/>
          </w:tcPr>
          <w:p>
            <w:r>
              <w:rPr>
                <w:rFonts w:ascii="Times New Roman" w:hAnsi="Times New Roman"/>
                <w:b w:val="0"/>
                <w:sz w:val="20"/>
              </w:rPr>
              <w:t>Container Status</w:t>
            </w:r>
          </w:p>
        </w:tc>
        <w:tc>
          <w:tcPr>
            <w:tcW w:type="dxa" w:w="7056"/>
            <w:shd w:val="clear" w:color="auto" w:fill="FFFFFF"/>
          </w:tcPr>
          <w:p>
            <w:r>
              <w:rPr>
                <w:rFonts w:ascii="Times New Roman" w:hAnsi="Times New Roman"/>
                <w:b w:val="0"/>
                <w:sz w:val="20"/>
              </w:rPr>
              <w:t>docker compose ps shows all required services running</w:t>
            </w:r>
          </w:p>
        </w:tc>
      </w:tr>
      <w:tr>
        <w:tc>
          <w:tcPr>
            <w:tcW w:type="dxa" w:w="2592"/>
            <w:shd w:val="clear" w:color="auto" w:fill="EBF3FB"/>
          </w:tcPr>
          <w:p>
            <w:r>
              <w:rPr>
                <w:rFonts w:ascii="Times New Roman" w:hAnsi="Times New Roman"/>
                <w:b w:val="0"/>
                <w:sz w:val="20"/>
              </w:rPr>
              <w:t>TLS Certificate</w:t>
            </w:r>
          </w:p>
        </w:tc>
        <w:tc>
          <w:tcPr>
            <w:tcW w:type="dxa" w:w="7056"/>
            <w:shd w:val="clear" w:color="auto" w:fill="EBF3FB"/>
          </w:tcPr>
          <w:p>
            <w:r>
              <w:rPr>
                <w:rFonts w:ascii="Times New Roman" w:hAnsi="Times New Roman"/>
                <w:b w:val="0"/>
                <w:sz w:val="20"/>
              </w:rPr>
              <w:t>Certificate issued for srv1621744.hstgr.cloud (via Certbot)</w:t>
            </w:r>
          </w:p>
        </w:tc>
      </w:tr>
      <w:tr>
        <w:tc>
          <w:tcPr>
            <w:tcW w:type="dxa" w:w="2592"/>
            <w:shd w:val="clear" w:color="auto" w:fill="FFFFFF"/>
          </w:tcPr>
          <w:p>
            <w:r>
              <w:rPr>
                <w:rFonts w:ascii="Times New Roman" w:hAnsi="Times New Roman"/>
                <w:b w:val="0"/>
                <w:sz w:val="20"/>
              </w:rPr>
              <w:t>Firewall</w:t>
            </w:r>
          </w:p>
        </w:tc>
        <w:tc>
          <w:tcPr>
            <w:tcW w:type="dxa" w:w="7056"/>
            <w:shd w:val="clear" w:color="auto" w:fill="FFFFFF"/>
          </w:tcPr>
          <w:p>
            <w:r>
              <w:rPr>
                <w:rFonts w:ascii="Times New Roman" w:hAnsi="Times New Roman"/>
                <w:b w:val="0"/>
                <w:sz w:val="20"/>
              </w:rPr>
              <w:t>UFW status shows only required public ports (22, 80, 443, 8443)</w:t>
            </w:r>
          </w:p>
        </w:tc>
      </w:tr>
      <w:tr>
        <w:tc>
          <w:tcPr>
            <w:tcW w:type="dxa" w:w="2592"/>
            <w:shd w:val="clear" w:color="auto" w:fill="EBF3FB"/>
          </w:tcPr>
          <w:p>
            <w:r>
              <w:rPr>
                <w:rFonts w:ascii="Times New Roman" w:hAnsi="Times New Roman"/>
                <w:b w:val="0"/>
                <w:sz w:val="20"/>
              </w:rPr>
              <w:t>n8n Access</w:t>
            </w:r>
          </w:p>
        </w:tc>
        <w:tc>
          <w:tcPr>
            <w:tcW w:type="dxa" w:w="7056"/>
            <w:shd w:val="clear" w:color="auto" w:fill="EBF3FB"/>
          </w:tcPr>
          <w:p>
            <w:r>
              <w:rPr>
                <w:rFonts w:ascii="Times New Roman" w:hAnsi="Times New Roman"/>
                <w:b w:val="0"/>
                <w:sz w:val="20"/>
              </w:rPr>
              <w:t>n8n reachable by SSH tunnel or https://srv1621744.hstgr.cloud:8443</w:t>
            </w:r>
          </w:p>
        </w:tc>
      </w:tr>
      <w:tr>
        <w:tc>
          <w:tcPr>
            <w:tcW w:type="dxa" w:w="2592"/>
            <w:shd w:val="clear" w:color="auto" w:fill="FFFFFF"/>
          </w:tcPr>
          <w:p>
            <w:r>
              <w:rPr>
                <w:rFonts w:ascii="Times New Roman" w:hAnsi="Times New Roman"/>
                <w:b w:val="0"/>
                <w:sz w:val="20"/>
              </w:rPr>
              <w:t>Supabase Settings</w:t>
            </w:r>
          </w:p>
        </w:tc>
        <w:tc>
          <w:tcPr>
            <w:tcW w:type="dxa" w:w="7056"/>
            <w:shd w:val="clear" w:color="auto" w:fill="FFFFFF"/>
          </w:tcPr>
          <w:p>
            <w:r>
              <w:rPr>
                <w:rFonts w:ascii="Times New Roman" w:hAnsi="Times New Roman"/>
                <w:b w:val="0"/>
                <w:sz w:val="20"/>
              </w:rPr>
              <w:t>Auth redirect and CORS configured for the Hostinger hostname</w:t>
            </w:r>
          </w:p>
        </w:tc>
      </w:tr>
      <w:tr>
        <w:tc>
          <w:tcPr>
            <w:tcW w:type="dxa" w:w="2592"/>
            <w:shd w:val="clear" w:color="auto" w:fill="EBF3FB"/>
          </w:tcPr>
          <w:p>
            <w:r>
              <w:rPr>
                <w:rFonts w:ascii="Times New Roman" w:hAnsi="Times New Roman"/>
                <w:b w:val="0"/>
                <w:sz w:val="20"/>
              </w:rPr>
              <w:t>MQTT Security</w:t>
            </w:r>
          </w:p>
        </w:tc>
        <w:tc>
          <w:tcPr>
            <w:tcW w:type="dxa" w:w="7056"/>
            <w:shd w:val="clear" w:color="auto" w:fill="EBF3FB"/>
          </w:tcPr>
          <w:p>
            <w:r>
              <w:rPr>
                <w:rFonts w:ascii="Times New Roman" w:hAnsi="Times New Roman"/>
                <w:b w:val="0"/>
                <w:sz w:val="20"/>
              </w:rPr>
              <w:t>MQTT broker bound to loopback; remote devices use secured path</w:t>
            </w:r>
          </w:p>
        </w:tc>
      </w:tr>
      <w:tr>
        <w:tc>
          <w:tcPr>
            <w:tcW w:type="dxa" w:w="2592"/>
            <w:shd w:val="clear" w:color="auto" w:fill="FFFFFF"/>
          </w:tcPr>
          <w:p>
            <w:r>
              <w:rPr>
                <w:rFonts w:ascii="Times New Roman" w:hAnsi="Times New Roman"/>
                <w:b w:val="0"/>
                <w:sz w:val="20"/>
              </w:rPr>
              <w:t>Environment Secrets</w:t>
            </w:r>
          </w:p>
        </w:tc>
        <w:tc>
          <w:tcPr>
            <w:tcW w:type="dxa" w:w="7056"/>
            <w:shd w:val="clear" w:color="auto" w:fill="FFFFFF"/>
          </w:tcPr>
          <w:p>
            <w:r>
              <w:rPr>
                <w:rFonts w:ascii="Times New Roman" w:hAnsi="Times New Roman"/>
                <w:b w:val="0"/>
                <w:sz w:val="20"/>
              </w:rPr>
              <w:t>Secrets filled on VPS only; .env not in Git or screenshots</w:t>
            </w:r>
          </w:p>
        </w:tc>
      </w:tr>
      <w:tr>
        <w:tc>
          <w:tcPr>
            <w:tcW w:type="dxa" w:w="2592"/>
            <w:shd w:val="clear" w:color="auto" w:fill="EBF3FB"/>
          </w:tcPr>
          <w:p>
            <w:r>
              <w:rPr>
                <w:rFonts w:ascii="Times New Roman" w:hAnsi="Times New Roman"/>
                <w:b w:val="0"/>
                <w:sz w:val="20"/>
              </w:rPr>
              <w:t>Backups Enabled</w:t>
            </w:r>
          </w:p>
        </w:tc>
        <w:tc>
          <w:tcPr>
            <w:tcW w:type="dxa" w:w="7056"/>
            <w:shd w:val="clear" w:color="auto" w:fill="EBF3FB"/>
          </w:tcPr>
          <w:p>
            <w:r>
              <w:rPr>
                <w:rFonts w:ascii="Times New Roman" w:hAnsi="Times New Roman"/>
                <w:b w:val="0"/>
                <w:sz w:val="20"/>
              </w:rPr>
              <w:t>Supabase, volumes, n8n, and model artifact backups scheduled</w:t>
            </w:r>
          </w:p>
        </w:tc>
      </w:tr>
      <w:tr>
        <w:tc>
          <w:tcPr>
            <w:tcW w:type="dxa" w:w="2592"/>
            <w:shd w:val="clear" w:color="auto" w:fill="FFFFFF"/>
          </w:tcPr>
          <w:p>
            <w:r>
              <w:rPr>
                <w:rFonts w:ascii="Times New Roman" w:hAnsi="Times New Roman"/>
                <w:b w:val="0"/>
                <w:sz w:val="20"/>
              </w:rPr>
              <w:t>Restore Tested</w:t>
            </w:r>
          </w:p>
        </w:tc>
        <w:tc>
          <w:tcPr>
            <w:tcW w:type="dxa" w:w="7056"/>
            <w:shd w:val="clear" w:color="auto" w:fill="FFFFFF"/>
          </w:tcPr>
          <w:p>
            <w:r>
              <w:rPr>
                <w:rFonts w:ascii="Times New Roman" w:hAnsi="Times New Roman"/>
                <w:b w:val="0"/>
                <w:sz w:val="20"/>
              </w:rPr>
              <w:t>At least one restore path tested before relying on backups</w:t>
            </w:r>
          </w:p>
        </w:tc>
      </w:tr>
      <w:tr>
        <w:tc>
          <w:tcPr>
            <w:tcW w:type="dxa" w:w="2592"/>
            <w:shd w:val="clear" w:color="auto" w:fill="EBF3FB"/>
          </w:tcPr>
          <w:p>
            <w:r>
              <w:rPr>
                <w:rFonts w:ascii="Times New Roman" w:hAnsi="Times New Roman"/>
                <w:b w:val="0"/>
                <w:sz w:val="20"/>
              </w:rPr>
              <w:t>Logs Reviewed</w:t>
            </w:r>
          </w:p>
        </w:tc>
        <w:tc>
          <w:tcPr>
            <w:tcW w:type="dxa" w:w="7056"/>
            <w:shd w:val="clear" w:color="auto" w:fill="EBF3FB"/>
          </w:tcPr>
          <w:p>
            <w:r>
              <w:rPr>
                <w:rFonts w:ascii="Times New Roman" w:hAnsi="Times New Roman"/>
                <w:b w:val="0"/>
                <w:sz w:val="20"/>
              </w:rPr>
              <w:t>NGINX, frontend, inference, Mosquitto, and n8n logs reviewed after deployment</w:t>
            </w:r>
          </w:p>
        </w:tc>
      </w:tr>
      <w:tr>
        <w:tc>
          <w:tcPr>
            <w:tcW w:type="dxa" w:w="2592"/>
            <w:shd w:val="clear" w:color="auto" w:fill="FFFFFF"/>
          </w:tcPr>
          <w:p>
            <w:r>
              <w:rPr>
                <w:rFonts w:ascii="Times New Roman" w:hAnsi="Times New Roman"/>
                <w:b w:val="0"/>
                <w:sz w:val="20"/>
              </w:rPr>
              <w:t>Medical Disclaimer</w:t>
            </w:r>
          </w:p>
        </w:tc>
        <w:tc>
          <w:tcPr>
            <w:tcW w:type="dxa" w:w="7056"/>
            <w:shd w:val="clear" w:color="auto" w:fill="FFFFFF"/>
          </w:tcPr>
          <w:p>
            <w:r>
              <w:rPr>
                <w:rFonts w:ascii="Times New Roman" w:hAnsi="Times New Roman"/>
                <w:b w:val="0"/>
                <w:sz w:val="20"/>
              </w:rPr>
              <w:t>AI-generated report disclaimer visible to all dashboard users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