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ptos Display" w:hAnsi="Aptos Display"/>
          <w:b/>
          <w:color w:val="1F4E78"/>
          <w:sz w:val="50"/>
        </w:rPr>
        <w:t>Fakturama Image-to-Cash Automation</w:t>
      </w:r>
    </w:p>
    <w:p>
      <w:pPr>
        <w:spacing w:after="280"/>
        <w:jc w:val="center"/>
      </w:pPr>
      <w:r>
        <w:rPr>
          <w:rFonts w:ascii="Aptos Display" w:hAnsi="Aptos Display"/>
          <w:color w:val="5B6573"/>
          <w:sz w:val="26"/>
        </w:rPr>
        <w:t>Part 1 — Design Document</w:t>
      </w:r>
    </w:p>
    <w:tbl>
      <w:tblPr>
        <w:tblW w:type="auto" w:w="0"/>
        <w:jc w:val="center"/>
        <w:tblLayout w:type="fixed"/>
        <w:tblLook w:firstColumn="1" w:firstRow="1" w:lastColumn="0" w:lastRow="0" w:noHBand="0" w:noVBand="1" w:val="04A0"/>
      </w:tblPr>
      <w:tblGrid>
        <w:gridCol w:w="3427"/>
        <w:gridCol w:w="3427"/>
        <w:gridCol w:w="3427"/>
      </w:tblGrid>
      <w:tr>
        <w:tc>
          <w:tcPr>
            <w:tcW w:type="dxa" w:w="3024"/>
            <w:vAlign w:val="center"/>
            <w:tcMar>
              <w:top w:w="80" w:type="dxa"/>
              <w:start w:w="100" w:type="dxa"/>
              <w:bottom w:w="80" w:type="dxa"/>
              <w:end w:w="100" w:type="dxa"/>
            </w:tcMar>
            <w:shd w:fill="1F4E78"/>
          </w:tcPr>
          <w:p>
            <w:pPr>
              <w:jc w:val="center"/>
            </w:pPr>
            <w:r>
              <w:rPr>
                <w:b/>
                <w:color w:val="FFFFFF"/>
                <w:sz w:val="16"/>
              </w:rPr>
              <w:t>INPUT</w:t>
            </w:r>
          </w:p>
        </w:tc>
        <w:tc>
          <w:tcPr>
            <w:tcW w:type="dxa" w:w="3024"/>
            <w:vAlign w:val="center"/>
            <w:tcMar>
              <w:top w:w="80" w:type="dxa"/>
              <w:start w:w="100" w:type="dxa"/>
              <w:bottom w:w="80" w:type="dxa"/>
              <w:end w:w="100" w:type="dxa"/>
            </w:tcMar>
            <w:shd w:fill="1F4E78"/>
          </w:tcPr>
          <w:p>
            <w:pPr>
              <w:jc w:val="center"/>
            </w:pPr>
            <w:r>
              <w:rPr>
                <w:b/>
                <w:color w:val="FFFFFF"/>
                <w:sz w:val="16"/>
              </w:rPr>
              <w:t>OUTPUT</w:t>
            </w:r>
          </w:p>
        </w:tc>
        <w:tc>
          <w:tcPr>
            <w:tcW w:type="dxa" w:w="3024"/>
            <w:vAlign w:val="center"/>
            <w:tcMar>
              <w:top w:w="80" w:type="dxa"/>
              <w:start w:w="100" w:type="dxa"/>
              <w:bottom w:w="80" w:type="dxa"/>
              <w:end w:w="100" w:type="dxa"/>
            </w:tcMar>
            <w:shd w:fill="1F4E78"/>
          </w:tcPr>
          <w:p>
            <w:pPr>
              <w:jc w:val="center"/>
            </w:pPr>
            <w:r>
              <w:rPr>
                <w:b/>
                <w:color w:val="FFFFFF"/>
                <w:sz w:val="16"/>
              </w:rPr>
              <w:t>SAFETY RULE</w:t>
            </w:r>
          </w:p>
        </w:tc>
      </w:tr>
      <w:tr>
        <w:tc>
          <w:tcPr>
            <w:tcW w:type="dxa" w:w="3024"/>
            <w:vAlign w:val="center"/>
            <w:tcMar>
              <w:top w:w="80" w:type="dxa"/>
              <w:start w:w="100" w:type="dxa"/>
              <w:bottom w:w="80" w:type="dxa"/>
              <w:end w:w="100" w:type="dxa"/>
            </w:tcMar>
            <w:shd w:fill="EEF5FA"/>
          </w:tcPr>
          <w:p>
            <w:pPr>
              <w:jc w:val="center"/>
            </w:pPr>
            <w:r>
              <w:rPr>
                <w:sz w:val="17"/>
              </w:rPr>
              <w:t>One order image</w:t>
            </w:r>
          </w:p>
        </w:tc>
        <w:tc>
          <w:tcPr>
            <w:tcW w:type="dxa" w:w="3024"/>
            <w:vAlign w:val="center"/>
            <w:tcMar>
              <w:top w:w="80" w:type="dxa"/>
              <w:start w:w="100" w:type="dxa"/>
              <w:bottom w:w="80" w:type="dxa"/>
              <w:end w:w="100" w:type="dxa"/>
            </w:tcMar>
            <w:shd w:fill="EEF5FA"/>
          </w:tcPr>
          <w:p>
            <w:pPr>
              <w:jc w:val="center"/>
            </w:pPr>
            <w:r>
              <w:rPr>
                <w:sz w:val="17"/>
              </w:rPr>
              <w:t>Verified Order + linked Invoice</w:t>
            </w:r>
          </w:p>
        </w:tc>
        <w:tc>
          <w:tcPr>
            <w:tcW w:type="dxa" w:w="3024"/>
            <w:vAlign w:val="center"/>
            <w:tcMar>
              <w:top w:w="80" w:type="dxa"/>
              <w:start w:w="100" w:type="dxa"/>
              <w:bottom w:w="80" w:type="dxa"/>
              <w:end w:w="100" w:type="dxa"/>
            </w:tcMar>
            <w:shd w:fill="EEF5FA"/>
          </w:tcPr>
          <w:p>
            <w:pPr>
              <w:jc w:val="center"/>
            </w:pPr>
            <w:r>
              <w:rPr>
                <w:sz w:val="17"/>
              </w:rPr>
              <w:t>Stop instead of guessing</w:t>
            </w:r>
          </w:p>
        </w:tc>
      </w:tr>
    </w:tbl>
    <w:p>
      <w:pPr>
        <w:pStyle w:val="Heading1"/>
        <w:keepNext/>
      </w:pPr>
      <w:r>
        <w:t>1. Purpose</w:t>
      </w:r>
    </w:p>
    <w:p>
      <w:r>
        <w:t>The system receives one scanned or photographed purchase order. It extracts the business data, validates it, and then operates Fakturama to resolve or create the Debtor, Products, and VAT rates. It builds an Order, creates a linked Invoice, applies the source payment status, and verifies every important action before continuing.</w:t>
      </w:r>
    </w:p>
    <w:p>
      <w:r>
        <w:t>The design uses a fail-closed approach. Missing information, conflicting totals, uncertain identities, ambiguous UI controls, or failed read-back checks cause human review. The system never invents accounting data just to complete a run.</w:t>
      </w:r>
    </w:p>
    <w:p>
      <w:pPr>
        <w:pStyle w:val="Heading1"/>
        <w:keepNext/>
      </w:pPr>
      <w:r>
        <w:t>2. High-Level Architecture</w:t>
      </w:r>
    </w:p>
    <w:tbl>
      <w:tblPr>
        <w:tblW w:type="auto" w:w="0"/>
        <w:jc w:val="center"/>
        <w:tblLayout w:type="fixed"/>
        <w:tblLook w:firstColumn="1" w:firstRow="1" w:lastColumn="0" w:lastRow="0" w:noHBand="0" w:noVBand="1" w:val="04A0"/>
      </w:tblPr>
      <w:tblGrid>
        <w:gridCol w:w="2056"/>
        <w:gridCol w:w="2056"/>
        <w:gridCol w:w="2056"/>
        <w:gridCol w:w="2056"/>
        <w:gridCol w:w="2056"/>
      </w:tblGrid>
      <w:tr>
        <w:tc>
          <w:tcPr>
            <w:tcW w:type="dxa" w:w="1843"/>
            <w:vAlign w:val="center"/>
            <w:tcMar>
              <w:top w:w="90" w:type="dxa"/>
              <w:start w:w="70" w:type="dxa"/>
              <w:bottom w:w="90" w:type="dxa"/>
              <w:end w:w="70" w:type="dxa"/>
            </w:tcMar>
            <w:shd w:fill="D9EAF7"/>
          </w:tcPr>
          <w:p>
            <w:pPr>
              <w:jc w:val="center"/>
            </w:pPr>
            <w:r>
              <w:rPr>
                <w:b/>
                <w:color w:val="1F4E78"/>
              </w:rPr>
              <w:t>1</w:t>
              <w:br/>
              <w:t>Image</w:t>
              <w:br/>
            </w:r>
            <w:r>
              <w:rPr>
                <w:color w:val="5B6573"/>
                <w:sz w:val="15"/>
              </w:rPr>
              <w:t>Local input</w:t>
            </w:r>
          </w:p>
        </w:tc>
        <w:tc>
          <w:tcPr>
            <w:tcW w:type="dxa" w:w="1843"/>
            <w:vAlign w:val="center"/>
            <w:tcMar>
              <w:top w:w="90" w:type="dxa"/>
              <w:start w:w="70" w:type="dxa"/>
              <w:bottom w:w="90" w:type="dxa"/>
              <w:end w:w="70" w:type="dxa"/>
            </w:tcMar>
            <w:shd w:fill="EEF5FA"/>
          </w:tcPr>
          <w:p>
            <w:pPr>
              <w:jc w:val="center"/>
            </w:pPr>
            <w:r>
              <w:rPr>
                <w:b/>
                <w:color w:val="1F4E78"/>
              </w:rPr>
              <w:t>2</w:t>
              <w:br/>
              <w:t>OCR</w:t>
              <w:br/>
            </w:r>
            <w:r>
              <w:rPr>
                <w:color w:val="5B6573"/>
                <w:sz w:val="15"/>
              </w:rPr>
              <w:t>Text + boxes</w:t>
            </w:r>
          </w:p>
        </w:tc>
        <w:tc>
          <w:tcPr>
            <w:tcW w:type="dxa" w:w="1843"/>
            <w:vAlign w:val="center"/>
            <w:tcMar>
              <w:top w:w="90" w:type="dxa"/>
              <w:start w:w="70" w:type="dxa"/>
              <w:bottom w:w="90" w:type="dxa"/>
              <w:end w:w="70" w:type="dxa"/>
            </w:tcMar>
            <w:shd w:fill="D9EAF7"/>
          </w:tcPr>
          <w:p>
            <w:pPr>
              <w:jc w:val="center"/>
            </w:pPr>
            <w:r>
              <w:rPr>
                <w:b/>
                <w:color w:val="1F4E78"/>
              </w:rPr>
              <w:t>3</w:t>
              <w:br/>
              <w:t>Extraction</w:t>
              <w:br/>
            </w:r>
            <w:r>
              <w:rPr>
                <w:color w:val="5B6573"/>
                <w:sz w:val="15"/>
              </w:rPr>
              <w:t>Field claims</w:t>
            </w:r>
          </w:p>
        </w:tc>
        <w:tc>
          <w:tcPr>
            <w:tcW w:type="dxa" w:w="1843"/>
            <w:vAlign w:val="center"/>
            <w:tcMar>
              <w:top w:w="90" w:type="dxa"/>
              <w:start w:w="70" w:type="dxa"/>
              <w:bottom w:w="90" w:type="dxa"/>
              <w:end w:w="70" w:type="dxa"/>
            </w:tcMar>
            <w:shd w:fill="EEF5FA"/>
          </w:tcPr>
          <w:p>
            <w:pPr>
              <w:jc w:val="center"/>
            </w:pPr>
            <w:r>
              <w:rPr>
                <w:b/>
                <w:color w:val="1F4E78"/>
              </w:rPr>
              <w:t>4</w:t>
              <w:br/>
              <w:t>Validation</w:t>
              <w:br/>
            </w:r>
            <w:r>
              <w:rPr>
                <w:color w:val="5B6573"/>
                <w:sz w:val="15"/>
              </w:rPr>
              <w:t>Safe decision</w:t>
            </w:r>
          </w:p>
        </w:tc>
        <w:tc>
          <w:tcPr>
            <w:tcW w:type="dxa" w:w="1843"/>
            <w:vAlign w:val="center"/>
            <w:tcMar>
              <w:top w:w="90" w:type="dxa"/>
              <w:start w:w="70" w:type="dxa"/>
              <w:bottom w:w="90" w:type="dxa"/>
              <w:end w:w="70" w:type="dxa"/>
            </w:tcMar>
            <w:shd w:fill="D9EAF7"/>
          </w:tcPr>
          <w:p>
            <w:pPr>
              <w:jc w:val="center"/>
            </w:pPr>
            <w:r>
              <w:rPr>
                <w:b/>
                <w:color w:val="1F4E78"/>
              </w:rPr>
              <w:t>5</w:t>
              <w:br/>
              <w:t>Fakturama</w:t>
              <w:br/>
            </w:r>
            <w:r>
              <w:rPr>
                <w:color w:val="5B6573"/>
                <w:sz w:val="15"/>
              </w:rPr>
              <w:t>Order + Invoice</w:t>
            </w:r>
          </w:p>
        </w:tc>
      </w:tr>
    </w:tbl>
    <w:p>
      <w:pPr>
        <w:pStyle w:val="Heading1"/>
        <w:keepNext/>
      </w:pPr>
      <w:r>
        <w:t>3. Main Design Principles</w:t>
      </w:r>
    </w:p>
    <w:p>
      <w:pPr>
        <w:pStyle w:val="ListBullet"/>
      </w:pPr>
      <w:r>
        <w:t>Keep image reading, validation, and desktop automation as separate modules so each part can be tested alone.</w:t>
      </w:r>
    </w:p>
    <w:p>
      <w:pPr>
        <w:pStyle w:val="ListBullet"/>
      </w:pPr>
      <w:r>
        <w:t>Attach OCR evidence to every important extracted value so the source of each value is visible.</w:t>
      </w:r>
    </w:p>
    <w:p>
      <w:pPr>
        <w:pStyle w:val="ListBullet"/>
      </w:pPr>
      <w:r>
        <w:t>Use exact business identities such as customer details and Product SKU; never choose the first similar match.</w:t>
      </w:r>
    </w:p>
    <w:p>
      <w:pPr>
        <w:pStyle w:val="ListBullet"/>
      </w:pPr>
      <w:r>
        <w:t>Use observable UI conditions and read-back checks rather than fixed delays or blind mouse actions.</w:t>
      </w:r>
    </w:p>
    <w:p>
      <w:pPr>
        <w:pStyle w:val="ListBullet"/>
      </w:pPr>
      <w:r>
        <w:t>Save audit artifacts for success, review, and failure so the operator can understand what happened.</w:t>
      </w:r>
    </w:p>
    <w:p>
      <w:r>
        <w:br w:type="page"/>
      </w:r>
    </w:p>
    <w:p>
      <w:pPr>
        <w:pStyle w:val="Heading1"/>
        <w:keepNext/>
      </w:pPr>
      <w:r>
        <w:t>4. Image Extraction Strategy</w:t>
      </w:r>
    </w:p>
    <w:p>
      <w:pPr>
        <w:pStyle w:val="Heading2"/>
        <w:keepNext/>
      </w:pPr>
      <w:r>
        <w:t>4.1 Image preparation</w:t>
      </w:r>
    </w:p>
    <w:p>
      <w:r>
        <w:t>OpenCV prepares the image before OCR. It may correct rotation and perspective, reduce noise, and improve contrast. The original image is always preserved. Preprocessing is used only to improve readability; it must not change the meaning of the document.</w:t>
      </w:r>
    </w:p>
    <w:p>
      <w:pPr>
        <w:pStyle w:val="Heading2"/>
        <w:keepNext/>
      </w:pPr>
      <w:r>
        <w:t>4.2 OCR and document evidence</w:t>
      </w:r>
    </w:p>
    <w:p>
      <w:r>
        <w:t>PaddleOCR runs locally and returns recognized text, confidence, bounding boxes, and reading order. Bounding boxes show how text is arranged. They help connect a label with the value below it, separate billing and delivery columns, and rebuild product rows and totals.</w:t>
      </w:r>
    </w:p>
    <w:p>
      <w:r>
        <w:t>The OCR output is converted into one standard evidence document. Every text span receives an evidence ID. The original image is not sent to the language model; only OCR text and layout evidence are sent.</w:t>
      </w:r>
    </w:p>
    <w:p>
      <w:pPr>
        <w:pStyle w:val="Heading2"/>
        <w:keepNext/>
      </w:pPr>
      <w:r>
        <w:t>4.3 Hybrid extraction</w:t>
      </w:r>
    </w:p>
    <w:p>
      <w:r>
        <w:t>The system combines local rules with a text-only language model. Local rules handle facts that can be proven from structure, including clear item tables, labeled totals, decimal formats, and clearly separated address blocks. The language model handles semantic fields such as customer identity, payment meaning, and less predictable labels.</w:t>
      </w:r>
    </w:p>
    <w:p>
      <w:r>
        <w:t>The model returns small field claims. Each claim contains a field name, value, evidence IDs, and an optional ambiguity note. Unknown fields and unsupported evidence IDs are rejected. If a value cannot be found in its cited OCR text, it is not trusted.</w:t>
      </w:r>
    </w:p>
    <w:p>
      <w:pPr>
        <w:pStyle w:val="Heading1"/>
        <w:keepNext/>
      </w:pPr>
      <w:r>
        <w:t>5. Deterministic Validation</w:t>
      </w:r>
    </w:p>
    <w:p>
      <w:r>
        <w:t>Before Fakturama is opened, local code checks:</w:t>
      </w:r>
    </w:p>
    <w:p>
      <w:pPr>
        <w:pStyle w:val="ListBullet"/>
      </w:pPr>
      <w:r>
        <w:t>Required dates, references, addresses, payment fields, products, and totals are present.</w:t>
      </w:r>
    </w:p>
    <w:p>
      <w:pPr>
        <w:pStyle w:val="ListBullet"/>
      </w:pPr>
      <w:r>
        <w:t>Dates, currency, quantities, prices, discounts, and VAT values have valid formats.</w:t>
      </w:r>
    </w:p>
    <w:p>
      <w:pPr>
        <w:pStyle w:val="ListBullet"/>
      </w:pPr>
      <w:r>
        <w:t>Each line total matches quantity × unit net price after discount.</w:t>
      </w:r>
    </w:p>
    <w:p>
      <w:pPr>
        <w:pStyle w:val="ListBullet"/>
      </w:pPr>
      <w:r>
        <w:t>VAT and gross totals match the printed and locally calculated amounts within one cent.</w:t>
      </w:r>
    </w:p>
    <w:p>
      <w:pPr>
        <w:pStyle w:val="ListBullet"/>
      </w:pPr>
      <w:r>
        <w:t>A PAID order has a printed payment date, while contradictory payment information is rejected.</w:t>
      </w:r>
    </w:p>
    <w:p>
      <w:pPr>
        <w:pStyle w:val="ListBullet"/>
      </w:pPr>
      <w:r>
        <w:t>Critical values are grounded in OCR evidence and do not contain unresolved ambiguity.</w:t>
      </w:r>
    </w:p>
    <w:tbl>
      <w:tblPr>
        <w:tblW w:type="auto" w:w="0"/>
        <w:jc w:val="center"/>
        <w:tblLook w:firstColumn="1" w:firstRow="1" w:lastColumn="0" w:lastRow="0" w:noHBand="0" w:noVBand="1" w:val="04A0"/>
      </w:tblPr>
      <w:tblGrid>
        <w:gridCol w:w="10282"/>
      </w:tblGrid>
      <w:tr>
        <w:tc>
          <w:tcPr>
            <w:tcW w:type="dxa" w:w="10282"/>
            <w:shd w:fill="EEF5FA"/>
            <w:tcMar>
              <w:top w:w="110" w:type="dxa"/>
              <w:start w:w="130" w:type="dxa"/>
              <w:bottom w:w="110" w:type="dxa"/>
              <w:end w:w="130" w:type="dxa"/>
            </w:tcMar>
          </w:tcPr>
          <w:p>
            <w:r>
              <w:rPr>
                <w:b/>
                <w:color w:val="1F4E78"/>
              </w:rPr>
              <w:t xml:space="preserve">Decision gate: </w:t>
            </w:r>
            <w:r>
              <w:t>Only a complete and internally consistent order may enter the Fakturama writing workflow. Otherwise, the run produces a review packet and stops.</w:t>
            </w:r>
          </w:p>
        </w:tc>
      </w:tr>
    </w:tbl>
    <w:p>
      <w:r>
        <w:br w:type="page"/>
      </w:r>
    </w:p>
    <w:p>
      <w:pPr>
        <w:pStyle w:val="Heading1"/>
        <w:keepNext/>
      </w:pPr>
      <w:r>
        <w:t>6. Fakturama Control Discovery</w:t>
      </w:r>
    </w:p>
    <w:p>
      <w:r>
        <w:t>The preferred control method is Windows UI Automation. The system reads Fakturama's accessibility tree and searches by control type, accessible name, active editor, and parent section. For example, it finds the Date field inside the current Order editor rather than searching the whole application for any control named Date.</w:t>
      </w:r>
    </w:p>
    <w:p>
      <w:pPr>
        <w:pStyle w:val="ListBullet"/>
      </w:pPr>
      <w:r>
        <w:t>Buttons, tabs, text fields, tables, checkboxes, and dialogs are located by semantic properties.</w:t>
      </w:r>
    </w:p>
    <w:p>
      <w:pPr>
        <w:pStyle w:val="ListBullet"/>
      </w:pPr>
      <w:r>
        <w:t>Searches are scoped to the active window, tab, dialog, or group to avoid matching an unrelated control.</w:t>
      </w:r>
    </w:p>
    <w:p>
      <w:pPr>
        <w:pStyle w:val="ListBullet"/>
      </w:pPr>
      <w:r>
        <w:t>Unlabeled controls are found relative to a known section only when that relationship is stable and verifiable.</w:t>
      </w:r>
    </w:p>
    <w:p>
      <w:pPr>
        <w:pStyle w:val="ListBullet"/>
      </w:pPr>
      <w:r>
        <w:t>A version and language profile stores expected names for the supported Fakturama installation.</w:t>
      </w:r>
    </w:p>
    <w:p>
      <w:pPr>
        <w:pStyle w:val="ListBullet"/>
      </w:pPr>
      <w:r>
        <w:t>Fixed screen coordinates are avoided because resizing, scaling, and layout changes can break them.</w:t>
      </w:r>
    </w:p>
    <w:p>
      <w:pPr>
        <w:pStyle w:val="Heading1"/>
        <w:keepNext/>
      </w:pPr>
      <w:r>
        <w:t>7. Waiting and Verification</w:t>
      </w:r>
    </w:p>
    <w:p>
      <w:r>
        <w:t>The automation waits for a visible result instead of sleeping for a fixed number of seconds. It waits for windows to appear, lists to become stable, dialogs to close, editor tabs to open, and saved rows to appear. After writing a field, it reads the value back. A failed or different read-back stops the workflow.</w:t>
      </w:r>
    </w:p>
    <w:p>
      <w:pPr>
        <w:pStyle w:val="Heading1"/>
        <w:keepNext/>
      </w:pPr>
      <w:r>
        <w:t>8. End-to-End Fakturama Workflow</w:t>
      </w:r>
    </w:p>
    <w:p>
      <w:pPr>
        <w:pStyle w:val="ListNumber"/>
      </w:pPr>
      <w:r>
        <w:rPr>
          <w:b/>
        </w:rPr>
        <w:t xml:space="preserve">Open the Order. </w:t>
      </w:r>
      <w:r>
        <w:t>Create a new Order, leave Fakturama's proposed number unchanged, and enter the source date, reference, VAT mode, and price mode.</w:t>
      </w:r>
    </w:p>
    <w:p>
      <w:pPr>
        <w:pStyle w:val="ListNumber"/>
      </w:pPr>
      <w:r>
        <w:rPr>
          <w:b/>
        </w:rPr>
        <w:t xml:space="preserve">Resolve the Debtor. </w:t>
      </w:r>
      <w:r>
        <w:t>Search using exact identity and address fields. Select one verified match, create a Debtor when none exists, or stop when matches conflict or are duplicated.</w:t>
      </w:r>
    </w:p>
    <w:p>
      <w:pPr>
        <w:pStyle w:val="ListNumber"/>
      </w:pPr>
      <w:r>
        <w:rPr>
          <w:b/>
        </w:rPr>
        <w:t xml:space="preserve">Resolve VAT and Products. </w:t>
      </w:r>
      <w:r>
        <w:t>For each item, search by exact SKU. Verify an existing Product or create it. Search and verify the VAT rate before creating a missing rate.</w:t>
      </w:r>
    </w:p>
    <w:p>
      <w:pPr>
        <w:pStyle w:val="ListNumber"/>
      </w:pPr>
      <w:r>
        <w:rPr>
          <w:b/>
        </w:rPr>
        <w:t xml:space="preserve">Build the Order. </w:t>
      </w:r>
      <w:r>
        <w:t>Add every Product and enter quantity, unit price, VAT, discount, and line total. Compare every row and document total with the validated source.</w:t>
      </w:r>
    </w:p>
    <w:p>
      <w:pPr>
        <w:pStyle w:val="ListNumber"/>
      </w:pPr>
      <w:r>
        <w:rPr>
          <w:b/>
        </w:rPr>
        <w:t xml:space="preserve">Create the linked Invoice. </w:t>
      </w:r>
      <w:r>
        <w:t>Save the verified Order, find it in Documents, and use the follow-up-document action so the new Invoice remains linked to that Order.</w:t>
      </w:r>
    </w:p>
    <w:p>
      <w:pPr>
        <w:pStyle w:val="ListNumber"/>
      </w:pPr>
      <w:r>
        <w:rPr>
          <w:b/>
        </w:rPr>
        <w:t xml:space="preserve">Apply payment and verify. </w:t>
      </w:r>
      <w:r>
        <w:t>Select the source payment method and status. For PAID input, enter the printed payment date and amount. Save once, then confirm the Invoice and key values persisted.</w:t>
      </w:r>
    </w:p>
    <w:p>
      <w:r>
        <w:br w:type="page"/>
      </w:r>
    </w:p>
    <w:p>
      <w:pPr>
        <w:pStyle w:val="Heading1"/>
        <w:keepNext/>
      </w:pPr>
      <w:r>
        <w:t>9. Human Review and Recovery</w:t>
      </w:r>
    </w:p>
    <w:p>
      <w:r>
        <w:t>Human review is required when:</w:t>
      </w:r>
    </w:p>
    <w:p>
      <w:pPr>
        <w:pStyle w:val="ListBullet"/>
      </w:pPr>
      <w:r>
        <w:t>A required field is missing, uncertain, or not supported by OCR evidence.</w:t>
      </w:r>
    </w:p>
    <w:p>
      <w:pPr>
        <w:pStyle w:val="ListBullet"/>
      </w:pPr>
      <w:r>
        <w:t>Financial values disagree or an important identifier has weak evidence.</w:t>
      </w:r>
    </w:p>
    <w:p>
      <w:pPr>
        <w:pStyle w:val="ListBullet"/>
      </w:pPr>
      <w:r>
        <w:t>Multiple Debtors, Products, VAT rates, or payment methods match.</w:t>
      </w:r>
    </w:p>
    <w:p>
      <w:pPr>
        <w:pStyle w:val="ListBullet"/>
      </w:pPr>
      <w:r>
        <w:t>Existing Fakturama data conflicts with the source image.</w:t>
      </w:r>
    </w:p>
    <w:p>
      <w:pPr>
        <w:pStyle w:val="ListBullet"/>
      </w:pPr>
      <w:r>
        <w:t>A UI control cannot be identified safely or a written value fails read-back.</w:t>
      </w:r>
    </w:p>
    <w:p>
      <w:pPr>
        <w:pStyle w:val="ListBullet"/>
      </w:pPr>
      <w:r>
        <w:t>The required business action is not defined clearly enough to automate without guessing.</w:t>
      </w:r>
    </w:p>
    <w:p>
      <w:r>
        <w:t>The review packet contains the original image reference, OCR evidence, structured data, validation issues, events, and relevant image crops or screenshots. No later UI write is allowed after review becomes necessary.</w:t>
      </w:r>
    </w:p>
    <w:p>
      <w:pPr>
        <w:pStyle w:val="Heading1"/>
        <w:keepNext/>
      </w:pPr>
      <w:r>
        <w:t>10. Tradeoffs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F4E78"/>
            <w:tcMar>
              <w:top w:w="80" w:type="dxa"/>
              <w:start w:w="100" w:type="dxa"/>
              <w:bottom w:w="80" w:type="dxa"/>
              <w:end w:w="100" w:type="dxa"/>
            </w:tcMar>
          </w:tcPr>
          <w:p>
            <w:pPr>
              <w:jc w:val="center"/>
            </w:pPr>
            <w:r>
              <w:rPr>
                <w:b/>
                <w:color w:val="FFFFFF"/>
              </w:rPr>
              <w:t>Choice</w:t>
            </w:r>
          </w:p>
        </w:tc>
        <w:tc>
          <w:tcPr>
            <w:tcW w:type="dxa" w:w="3427"/>
            <w:shd w:fill="1F4E78"/>
            <w:tcMar>
              <w:top w:w="80" w:type="dxa"/>
              <w:start w:w="100" w:type="dxa"/>
              <w:bottom w:w="80" w:type="dxa"/>
              <w:end w:w="100" w:type="dxa"/>
            </w:tcMar>
          </w:tcPr>
          <w:p>
            <w:pPr>
              <w:jc w:val="center"/>
            </w:pPr>
            <w:r>
              <w:rPr>
                <w:b/>
                <w:color w:val="FFFFFF"/>
              </w:rPr>
              <w:t>Benefit</w:t>
            </w:r>
          </w:p>
        </w:tc>
        <w:tc>
          <w:tcPr>
            <w:tcW w:type="dxa" w:w="3427"/>
            <w:shd w:fill="1F4E78"/>
            <w:tcMar>
              <w:top w:w="80" w:type="dxa"/>
              <w:start w:w="100" w:type="dxa"/>
              <w:bottom w:w="80" w:type="dxa"/>
              <w:end w:w="100" w:type="dxa"/>
            </w:tcMar>
          </w:tcPr>
          <w:p>
            <w:pPr>
              <w:jc w:val="center"/>
            </w:pPr>
            <w:r>
              <w:rPr>
                <w:b/>
                <w:color w:val="FFFFFF"/>
              </w:rPr>
              <w:t>Cost / Risk</w:t>
            </w:r>
          </w:p>
        </w:tc>
      </w:tr>
      <w:tr>
        <w:tc>
          <w:tcPr>
            <w:tcW w:type="dxa" w:w="3427"/>
            <w:tcMar>
              <w:top w:w="80" w:type="dxa"/>
              <w:start w:w="100" w:type="dxa"/>
              <w:bottom w:w="80" w:type="dxa"/>
              <w:end w:w="100" w:type="dxa"/>
            </w:tcMar>
          </w:tcPr>
          <w:p>
            <w:r>
              <w:t>Local PaddleOCR</w:t>
            </w:r>
          </w:p>
        </w:tc>
        <w:tc>
          <w:tcPr>
            <w:tcW w:type="dxa" w:w="3427"/>
            <w:tcMar>
              <w:top w:w="80" w:type="dxa"/>
              <w:start w:w="100" w:type="dxa"/>
              <w:bottom w:w="80" w:type="dxa"/>
              <w:end w:w="100" w:type="dxa"/>
            </w:tcMar>
          </w:tcPr>
          <w:p>
            <w:r>
              <w:t>Image stays local; provides layout boxes</w:t>
            </w:r>
          </w:p>
        </w:tc>
        <w:tc>
          <w:tcPr>
            <w:tcW w:type="dxa" w:w="3427"/>
            <w:tcMar>
              <w:top w:w="80" w:type="dxa"/>
              <w:start w:w="100" w:type="dxa"/>
              <w:bottom w:w="80" w:type="dxa"/>
              <w:end w:w="100" w:type="dxa"/>
            </w:tcMar>
          </w:tcPr>
          <w:p>
            <w:r>
              <w:t>Can be slow on CPU and weaker on damaged images</w:t>
            </w:r>
          </w:p>
        </w:tc>
      </w:tr>
      <w:tr>
        <w:tc>
          <w:tcPr>
            <w:tcW w:type="dxa" w:w="3427"/>
            <w:tcMar>
              <w:top w:w="80" w:type="dxa"/>
              <w:start w:w="100" w:type="dxa"/>
              <w:bottom w:w="80" w:type="dxa"/>
              <w:end w:w="100" w:type="dxa"/>
            </w:tcMar>
            <w:shd w:fill="EEF5FA"/>
          </w:tcPr>
          <w:p>
            <w:r>
              <w:t>Text-only LLM</w:t>
            </w:r>
          </w:p>
        </w:tc>
        <w:tc>
          <w:tcPr>
            <w:tcW w:type="dxa" w:w="3427"/>
            <w:tcMar>
              <w:top w:w="80" w:type="dxa"/>
              <w:start w:w="100" w:type="dxa"/>
              <w:bottom w:w="80" w:type="dxa"/>
              <w:end w:w="100" w:type="dxa"/>
            </w:tcMar>
            <w:shd w:fill="EEF5FA"/>
          </w:tcPr>
          <w:p>
            <w:r>
              <w:t>Supports new layouts without one parser per supplier</w:t>
            </w:r>
          </w:p>
        </w:tc>
        <w:tc>
          <w:tcPr>
            <w:tcW w:type="dxa" w:w="3427"/>
            <w:tcMar>
              <w:top w:w="80" w:type="dxa"/>
              <w:start w:w="100" w:type="dxa"/>
              <w:bottom w:w="80" w:type="dxa"/>
              <w:end w:w="100" w:type="dxa"/>
            </w:tcMar>
            <w:shd w:fill="EEF5FA"/>
          </w:tcPr>
          <w:p>
            <w:r>
              <w:t>Output may vary, so evidence checks are mandatory</w:t>
            </w:r>
          </w:p>
        </w:tc>
      </w:tr>
      <w:tr>
        <w:tc>
          <w:tcPr>
            <w:tcW w:type="dxa" w:w="3427"/>
            <w:tcMar>
              <w:top w:w="80" w:type="dxa"/>
              <w:start w:w="100" w:type="dxa"/>
              <w:bottom w:w="80" w:type="dxa"/>
              <w:end w:w="100" w:type="dxa"/>
            </w:tcMar>
          </w:tcPr>
          <w:p>
            <w:r>
              <w:t>Windows UI Automation</w:t>
            </w:r>
          </w:p>
        </w:tc>
        <w:tc>
          <w:tcPr>
            <w:tcW w:type="dxa" w:w="3427"/>
            <w:tcMar>
              <w:top w:w="80" w:type="dxa"/>
              <w:start w:w="100" w:type="dxa"/>
              <w:bottom w:w="80" w:type="dxa"/>
              <w:end w:w="100" w:type="dxa"/>
            </w:tcMar>
          </w:tcPr>
          <w:p>
            <w:r>
              <w:t>More stable than fixed coordinates</w:t>
            </w:r>
          </w:p>
        </w:tc>
        <w:tc>
          <w:tcPr>
            <w:tcW w:type="dxa" w:w="3427"/>
            <w:tcMar>
              <w:top w:w="80" w:type="dxa"/>
              <w:start w:w="100" w:type="dxa"/>
              <w:bottom w:w="80" w:type="dxa"/>
              <w:end w:w="100" w:type="dxa"/>
            </w:tcMar>
          </w:tcPr>
          <w:p>
            <w:r>
              <w:t>Some desktop controls expose incomplete accessibility data</w:t>
            </w:r>
          </w:p>
        </w:tc>
      </w:tr>
      <w:tr>
        <w:tc>
          <w:tcPr>
            <w:tcW w:type="dxa" w:w="3427"/>
            <w:tcMar>
              <w:top w:w="80" w:type="dxa"/>
              <w:start w:w="100" w:type="dxa"/>
              <w:bottom w:w="80" w:type="dxa"/>
              <w:end w:w="100" w:type="dxa"/>
            </w:tcMar>
            <w:shd w:fill="EEF5FA"/>
          </w:tcPr>
          <w:p>
            <w:r>
              <w:t>Fail closed</w:t>
            </w:r>
          </w:p>
        </w:tc>
        <w:tc>
          <w:tcPr>
            <w:tcW w:type="dxa" w:w="3427"/>
            <w:tcMar>
              <w:top w:w="80" w:type="dxa"/>
              <w:start w:w="100" w:type="dxa"/>
              <w:bottom w:w="80" w:type="dxa"/>
              <w:end w:w="100" w:type="dxa"/>
            </w:tcMar>
            <w:shd w:fill="EEF5FA"/>
          </w:tcPr>
          <w:p>
            <w:r>
              <w:t>Protects accounting data and prevents guessing</w:t>
            </w:r>
          </w:p>
        </w:tc>
        <w:tc>
          <w:tcPr>
            <w:tcW w:type="dxa" w:w="3427"/>
            <w:tcMar>
              <w:top w:w="80" w:type="dxa"/>
              <w:start w:w="100" w:type="dxa"/>
              <w:bottom w:w="80" w:type="dxa"/>
              <w:end w:w="100" w:type="dxa"/>
            </w:tcMar>
            <w:shd w:fill="EEF5FA"/>
          </w:tcPr>
          <w:p>
            <w:r>
              <w:t>More documents may require human review</w:t>
            </w:r>
          </w:p>
        </w:tc>
      </w:tr>
    </w:tbl>
    <w:p>
      <w:pPr>
        <w:pStyle w:val="Heading1"/>
        <w:keepNext/>
      </w:pPr>
      <w:r>
        <w:t>11. Known Limits</w:t>
      </w:r>
    </w:p>
    <w:p>
      <w:pPr>
        <w:pStyle w:val="ListBullet"/>
      </w:pPr>
      <w:r>
        <w:t>Very poor photographs or unfamiliar layouts may still require manual review.</w:t>
      </w:r>
    </w:p>
    <w:p>
      <w:pPr>
        <w:pStyle w:val="ListBullet"/>
      </w:pPr>
      <w:r>
        <w:t>The UI profile must match the installed Fakturama version, language, and visible workspace.</w:t>
      </w:r>
    </w:p>
    <w:p>
      <w:pPr>
        <w:pStyle w:val="ListBullet"/>
      </w:pPr>
      <w:r>
        <w:t>Cross-process resume is intentionally conservative because a previous run may already have saved a real record.</w:t>
      </w:r>
    </w:p>
    <w:p>
      <w:pPr>
        <w:pStyle w:val="ListBullet"/>
      </w:pPr>
      <w:r>
        <w:t>When billing and delivery differ, the current recording workflow assigns only the Main Invoice address and continues without creating a second address; the extracted delivery remains in the audit record.</w:t>
      </w:r>
    </w:p>
    <w:p>
      <w:pPr>
        <w:pStyle w:val="Heading1"/>
        <w:keepNext/>
      </w:pPr>
      <w:r>
        <w:t>12. Expected Result</w:t>
      </w:r>
    </w:p>
    <w:p>
      <w:r>
        <w:t>A successful run produces a verified Debtor, verified Products and VAT records, a saved Order, a linked Invoice, correct payment information, and a complete audit trail. The central rule is simple: extract carefully, prove every important value, verify every UI action, and stop whenever a safe decision cannot be made.</w:t>
      </w:r>
    </w:p>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5"/>
      </w:rPr>
      <w:t>FAKTURAMA IMAGE-TO-CASH  |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Aptos" w:hAnsi="Aptos"/>
      <w:color w:val="20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Display" w:hAnsi="Aptos Display"/>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87"/>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hanging="187"/>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Fakturama Image-to-Cash Automation — Design Document</dc:title>
  <dc:subject>No-code system design for order-image extraction and Fakturama automation</dc:subject>
  <dc:creator>python-docx</dc:creator>
  <cp:keywords>Fakturama, OCR, UI automation, invoice, design</cp:keywords>
  <dc:description>generated by python-docx</dc:description>
  <cp:lastModifiedBy/>
  <cp:revision>1</cp:revision>
  <dcterms:created xsi:type="dcterms:W3CDTF">2013-12-23T23:15:00Z</dcterms:created>
  <dcterms:modified xsi:type="dcterms:W3CDTF">2013-12-23T23:15:00Z</dcterms:modified>
  <cp:category/>
</cp:coreProperties>
</file>