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d'Analyse des Urgences au Québec</w:t>
      </w:r>
    </w:p>
    <w:p>
      <w:pPr>
        <w:jc w:val="center"/>
      </w:pPr>
      <w:r>
        <w:rPr>
          <w:i/>
          <w:sz w:val="28"/>
        </w:rPr>
        <w:t>Projet de Session - Intelligence Artificielle (Session Hiver 2026)</w:t>
      </w:r>
    </w:p>
    <w:p>
      <w:pPr>
        <w:jc w:val="center"/>
      </w:pPr>
      <w:r>
        <w:t>__________________________________________________</w:t>
      </w:r>
    </w:p>
    <w:p>
      <w:pPr>
        <w:pStyle w:val="Heading1"/>
      </w:pPr>
      <w:r>
        <w:t>1. Introduction et Objectifs</w:t>
      </w:r>
    </w:p>
    <w:p>
      <w:r>
        <w:t>Ce rapport présente une analyse approfondie de la saturation des services d'urgence au Québec. L'objectif est d'utiliser la théorie de l'information (Entropie de Shannon) pour quantifier l'incertitude du système et identifier les zones critiques nécessitant une intervention.</w:t>
      </w:r>
    </w:p>
    <w:p>
      <w:pPr>
        <w:pStyle w:val="Heading1"/>
      </w:pPr>
      <w:r>
        <w:t>2. Préparation et Nettoyage des Données</w:t>
      </w:r>
    </w:p>
    <w:p>
      <w:r>
        <w:t>Nous avons traité les données ministérielles en utilisant l'encodage Latin-1 pour assurer la compatibilité avec la nomenclature française. Le nettoyage a porté sur la normalisation des noms de colonnes et la gestion des valeurs manquantes.</w:t>
      </w:r>
    </w:p>
    <w:p>
      <w:pPr>
        <w:pStyle w:val="Heading1"/>
      </w:pPr>
      <w:r>
        <w:t>3. Analyse Scientifique (Entropie de Shannon)</w:t>
      </w:r>
    </w:p>
    <w:p>
      <w:r>
        <w:t>Suivant la méthodologie du Professeur Hafed, nous avons calculé l'entropie initiale du système après avoir catégorisé les installations selon leur taux d'occupation (Normal, Élevé, Critique).</w:t>
      </w:r>
    </w:p>
    <w:tbl>
      <w:tblPr>
        <w:tblW w:type="auto" w:w="0"/>
        <w:tblLook w:firstColumn="1" w:firstRow="1" w:lastColumn="0" w:lastRow="0" w:noHBand="0" w:noVBand="1" w:val="04A0"/>
      </w:tblPr>
      <w:tblGrid>
        <w:gridCol w:w="4320"/>
        <w:gridCol w:w="4320"/>
      </w:tblGrid>
      <w:tr>
        <w:tc>
          <w:tcPr>
            <w:tcW w:type="dxa" w:w="4320"/>
          </w:tcPr>
          <w:p>
            <w:r>
              <w:t>Métrique</w:t>
            </w:r>
          </w:p>
        </w:tc>
        <w:tc>
          <w:tcPr>
            <w:tcW w:type="dxa" w:w="4320"/>
          </w:tcPr>
          <w:p>
            <w:r>
              <w:t>Valeur</w:t>
            </w:r>
          </w:p>
        </w:tc>
      </w:tr>
      <w:tr>
        <w:tc>
          <w:tcPr>
            <w:tcW w:type="dxa" w:w="4320"/>
          </w:tcPr>
          <w:p>
            <w:r>
              <w:t>Entropie Initiale (E0)</w:t>
            </w:r>
          </w:p>
        </w:tc>
        <w:tc>
          <w:tcPr>
            <w:tcW w:type="dxa" w:w="4320"/>
          </w:tcPr>
          <w:p>
            <w:r>
              <w:t>1.5626</w:t>
            </w:r>
          </w:p>
        </w:tc>
      </w:tr>
    </w:tbl>
    <w:p>
      <w:r>
        <w:br/>
        <w:t>Interprétation : Un score de 1.56 indique une forte hétérogénéité, ce qui signifie que la situation varie énormément d'un hôpital à l'autre.</w:t>
      </w:r>
    </w:p>
    <w:p>
      <w:pPr>
        <w:pStyle w:val="Heading1"/>
      </w:pPr>
      <w:r>
        <w:t>4. Analyse de Corrélation et Insights</w:t>
      </w:r>
    </w:p>
    <w:p>
      <w:r>
        <w:t>Nous avons mesuré la relation entre le taux d'occupation et l'attente prolongée (&gt; 24h). Le coefficient de corrélation est de 0.6251, confirmant que l'engorgement des lits est le facteur prédominant de l'attente.</w:t>
      </w:r>
    </w:p>
    <w:p>
      <w:pPr>
        <w:jc w:val="center"/>
      </w:pPr>
      <w:r>
        <w:t>[INSÉRER LE GRAPHIQUE 'correlation_plot.png' ICI]</w:t>
      </w:r>
    </w:p>
    <w:p>
      <w:pPr>
        <w:pStyle w:val="Heading1"/>
      </w:pPr>
      <w:r>
        <w:t>5. Installations les plus Critiques</w:t>
      </w:r>
    </w:p>
    <w:tbl>
      <w:tblPr>
        <w:tblW w:type="auto" w:w="0"/>
        <w:tblLook w:firstColumn="1" w:firstRow="1" w:lastColumn="0" w:lastRow="0" w:noHBand="0" w:noVBand="1" w:val="04A0"/>
      </w:tblPr>
      <w:tblGrid>
        <w:gridCol w:w="4320"/>
        <w:gridCol w:w="4320"/>
      </w:tblGrid>
      <w:tr>
        <w:tc>
          <w:tcPr>
            <w:tcW w:type="dxa" w:w="4320"/>
          </w:tcPr>
          <w:p>
            <w:r>
              <w:t>Installation</w:t>
            </w:r>
          </w:p>
        </w:tc>
        <w:tc>
          <w:tcPr>
            <w:tcW w:type="dxa" w:w="4320"/>
          </w:tcPr>
          <w:p>
            <w:r>
              <w:t>Taux d'Occupation</w:t>
            </w:r>
          </w:p>
        </w:tc>
      </w:tr>
      <w:tr>
        <w:tc>
          <w:tcPr>
            <w:tcW w:type="dxa" w:w="4320"/>
          </w:tcPr>
          <w:p>
            <w:r>
              <w:t>Hôpital Royal Victoria</w:t>
            </w:r>
          </w:p>
        </w:tc>
        <w:tc>
          <w:tcPr>
            <w:tcW w:type="dxa" w:w="4320"/>
          </w:tcPr>
          <w:p>
            <w:r>
              <w:t>193.94%</w:t>
            </w:r>
          </w:p>
        </w:tc>
      </w:tr>
      <w:tr>
        <w:tc>
          <w:tcPr>
            <w:tcW w:type="dxa" w:w="4320"/>
          </w:tcPr>
          <w:p>
            <w:r>
              <w:t>Hôpital de Sept-Îles</w:t>
            </w:r>
          </w:p>
        </w:tc>
        <w:tc>
          <w:tcPr>
            <w:tcW w:type="dxa" w:w="4320"/>
          </w:tcPr>
          <w:p>
            <w:r>
              <w:t>170.00%</w:t>
            </w:r>
          </w:p>
        </w:tc>
      </w:tr>
      <w:tr>
        <w:tc>
          <w:tcPr>
            <w:tcW w:type="dxa" w:w="4320"/>
          </w:tcPr>
          <w:p>
            <w:r>
              <w:t>Hôpital Le Royer</w:t>
            </w:r>
          </w:p>
        </w:tc>
        <w:tc>
          <w:tcPr>
            <w:tcW w:type="dxa" w:w="4320"/>
          </w:tcPr>
          <w:p>
            <w:r>
              <w:t>160.00%</w:t>
            </w:r>
          </w:p>
        </w:tc>
      </w:tr>
      <w:tr>
        <w:tc>
          <w:tcPr>
            <w:tcW w:type="dxa" w:w="4320"/>
          </w:tcPr>
          <w:p>
            <w:r>
              <w:t>Hôpital de Maria</w:t>
            </w:r>
          </w:p>
        </w:tc>
        <w:tc>
          <w:tcPr>
            <w:tcW w:type="dxa" w:w="4320"/>
          </w:tcPr>
          <w:p>
            <w:r>
              <w:t>160.00%</w:t>
            </w:r>
          </w:p>
        </w:tc>
      </w:tr>
      <w:tr>
        <w:tc>
          <w:tcPr>
            <w:tcW w:type="dxa" w:w="4320"/>
          </w:tcPr>
          <w:p>
            <w:r>
              <w:t>Hôpital de Saint-Jérôme</w:t>
            </w:r>
          </w:p>
        </w:tc>
        <w:tc>
          <w:tcPr>
            <w:tcW w:type="dxa" w:w="4320"/>
          </w:tcPr>
          <w:p>
            <w:r>
              <w:t>153.19%</w:t>
            </w:r>
          </w:p>
        </w:tc>
      </w:tr>
    </w:tbl>
    <w:p>
      <w:pPr>
        <w:pStyle w:val="Heading1"/>
      </w:pPr>
      <w:r>
        <w:t>6. Conclusion</w:t>
      </w:r>
    </w:p>
    <w:p>
      <w:r>
        <w:t>Cette analyse EDA constitue la base de notre futur modèle prédictif. Elle démontre que certaines installations fonctionnent à près de 200% de leur capacité, créant un risque majeur pour la sécurité des soins.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