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Verdana" w:cs="Verdana" w:eastAsia="Verdana" w:hAnsi="Verdana"/>
          <w:b w:val="1"/>
          <w:i w:val="1"/>
          <w:color w:val="d83832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d83832"/>
          <w:sz w:val="16"/>
          <w:szCs w:val="16"/>
          <w:rtl w:val="0"/>
        </w:rPr>
        <w:t xml:space="preserve">RISK MITIGATION, MONITORING, AND MANAGEMENT (RMMM) PLAN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The RMMM Plan maybe developed in the form of a document. Alternatively, an organization may create a set of Risk Information Sheets (RIS) [often in electronic form] that contain all pertinent information outlined below. IMPORTANT note: Like most software engineering documents, the RMMM Plan evolves over time.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1.0 Introduction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This section provides an overview of the RMMM Plan.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1.1 Scope and intent of RMMM activities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 description of the overall RMMM focus including objectives, organizational responsibilities.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 1.2 Risk management organizational role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Description of who has responsibility for risk management.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2.0 Project risks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This section describes all known project risks.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2.1 Risk table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 presentation of all risks, probabilities and impact.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2.1.1 Description of risk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6"/>
          <w:szCs w:val="16"/>
          <w:rtl w:val="0"/>
        </w:rPr>
        <w:t xml:space="preserve">m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Risk m is described along with relevant subconditions. Section2.1.1 is repeated for each of m risks.</w:t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2.1.2 Probability and impact for risk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6"/>
          <w:szCs w:val="16"/>
          <w:rtl w:val="0"/>
        </w:rPr>
        <w:t xml:space="preserve">m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Probability and impact for risk m is described Section 2.1.2 is repeated for each of m risks.</w:t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2.2 Risk refinement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High probability/high impact risks are refined using the CTC approach.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3.0 Risk mitigation, monitoring, and management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This section discusses RMMM for each risk.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3.1 Risk mitigation for risk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6"/>
          <w:szCs w:val="16"/>
          <w:rtl w:val="0"/>
        </w:rPr>
        <w:t xml:space="preserve"> m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How do we avoid risk m? Section 3.1 is repeated for each of m risks.</w:t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3.2 Risk monitoring for risk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6"/>
          <w:szCs w:val="16"/>
          <w:rtl w:val="0"/>
        </w:rPr>
        <w:t xml:space="preserve">m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What conditions do we monitor to determine whether risk m is becoming more or less likely? Section3.2 is repeated for each of m risks.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3.3 Risk management for risk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6"/>
          <w:szCs w:val="16"/>
          <w:rtl w:val="0"/>
        </w:rPr>
        <w:t xml:space="preserve">m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What contingency plans should we put into plan under the assumption that risk m will occur? Section 3.3 is repeated for each of m risks.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4.0 Special conditions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 discussion of special conditions that may trigger project critical risks and the actions required should these conditions occur.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