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标题与副标题 -->
    <w:p>
      <w:pPr>
        <w:jc w:val="center"/>
        <w:spacing w:before="240" w:after="120"/>
      </w:pPr>
      <w:r>
        <w:rPr>
          <w:b/>
          <w:sz w:val="44"/>
          <w:color w:val="1E3A8A"/>
        </w:rPr>
        <w:t>嵌入式 C 静态分析与覆盖度量工程报告</w:t>
      </w:r>
    </w:p>
    <w:p>
      <w:pPr>
        <w:jc w:val="center"/>
        <w:spacing w:after="240"/>
      </w:pPr>
      <w:r>
        <w:rPr>
          <w:sz w:val="20"/>
          <w:color w:val="64748B"/>
        </w:rPr>
        <w:t>Embedded C Safety &amp; Coverage Verification Report</w:t>
      </w:r>
    </w:p>
    <w:p>
      <w:pPr>
        <w:pBdr>
          <w:bottom w:val="single" w:sz="12" w:space="1" w:color="2563EB"/>
        </w:pBdr>
      </w:pPr>
    </w:p>
    <!-- 工程元数据信息表 --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</w:tblBorders>
      </w:tblP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分析源文件:</w:t>
            </w:r>
          </w:p>
        </w:tc>
        <w:tc>
          <w:tcPr>
            <w:tcW w:w="3800" w:type="pct"/>
          </w:tcPr>
          <w:p>
            <w:r>
              <w:t>main_embedded.c</w:t>
            </w:r>
          </w:p>
        </w:tc>
      </w:t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生成时间:</w:t>
            </w:r>
          </w:p>
        </w:tc>
        <w:tc>
          <w:tcPr>
            <w:tcW w:w="3800" w:type="pct"/>
          </w:tcPr>
          <w:p>
            <w:r>
              <w:t>2026-09-30 19:19:19</w:t>
            </w:r>
          </w:p>
        </w:tc>
      </w:t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分析规则规范:</w:t>
            </w:r>
          </w:p>
        </w:tc>
        <w:tc>
          <w:tcPr>
            <w:tcW w:w="3800" w:type="pct"/>
          </w:tcPr>
          <w:p>
            <w:r>
              <w:t>MISRA C:2012 / 嵌入式硬件安全 / McCabe 圈复杂度</w:t>
            </w:r>
          </w:p>
        </w:tc>
      </w:tr>
    </w:tbl>
    <w:p>
      <w:pPr>
        <w:spacing w:before="240" w:after="120"/>
      </w:pPr>
      <w:r>
        <w:rPr>
          <w:b/>
          <w:sz w:val="28"/>
          <w:color w:val="0F172A"/>
        </w:rPr>
        <w:t>一、核心质量与执行指标总览 (Executive Summary)</w:t>
      </w:r>
    </w:p>
    <!-- 4 个 KPI 卡片表格 -->
  docXml += QString(
R"(  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V w:val="single" w:sz="6" w:space="0" w:color="CBD5E1"/>
        </w:tblBorders>
      </w:tblPr>
      <w:tr>
        <w:tc>
          <w:tcPr>
            <w:tcW w:w="1250" w:type="pct"/>
            <w:shd w:val="clear" w:color="auto" w:fill="F0FDF4"/>
          </w:tcPr>
          <w:p>
            <w:pPr>
              <w:jc w:val="center"/>
            </w:pPr>
            <w:r>
              <w:rPr>
                <w:sz w:val="18"/>
                <w:color w:val="166534"/>
              </w:rPr>
              <w:t>语句覆盖率 (Statement)</w:t>
            </w:r>
          </w:p>
          <w:p>
            <w:pPr>
              <w:jc w:val="center"/>
            </w:pPr>
            <w:r>
              <w:rPr>
                <w:b/>
                <w:sz w:val="36"/>
                <w:color w:val="16A34A"/>
              </w:rPr>
              <w:t>0.0%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已覆盖 0 / 80 行</w:t>
            </w:r>
          </w:p>
        </w:tc>
        <w:tc>
          <w:tcPr>
            <w:tcW w:w="1250" w:type="pct"/>
            <w:shd w:val="clear" w:color="auto" w:fill="EFF6FF"/>
          </w:tcPr>
          <w:p>
            <w:pPr>
              <w:jc w:val="center"/>
            </w:pPr>
            <w:r>
              <w:rPr>
                <w:sz w:val="18"/>
                <w:color w:val="1E40AF"/>
              </w:rPr>
              <w:t>分支覆盖率 (Branch)</w:t>
            </w:r>
          </w:p>
          <w:p>
            <w:pPr>
              <w:jc w:val="center"/>
            </w:pPr>
            <w:r>
              <w:rPr>
                <w:b/>
                <w:sz w:val="36"/>
                <w:color w:val="2563EB"/>
              </w:rPr>
              <w:t>0.0%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已命中 0 / 18 分支</w:t>
            </w:r>
          </w:p>
        </w:tc>
        <w:tc>
          <w:tcPr>
            <w:tcW w:w="1250" w:type="pct"/>
            <w:shd w:val="clear" w:color="auto" w:fill="FEF2F2"/>
          </w:tcPr>
          <w:p>
            <w:pPr>
              <w:jc w:val="center"/>
            </w:pPr>
            <w:r>
              <w:rPr>
                <w:sz w:val="18"/>
                <w:color w:val="991B1B"/>
              </w:rPr>
              <w:t>静态缺陷项 (Issues)</w:t>
            </w:r>
          </w:p>
          <w:p>
            <w:pPr>
              <w:jc w:val="center"/>
            </w:pPr>
            <w:r>
              <w:rPr>
                <w:b/>
                <w:sz w:val="36"/>
                <w:color w:val="DC2626"/>
              </w:rPr>
              <w:t>1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严重 1 | 警告 0</w:t>
            </w:r>
          </w:p>
        </w:tc>
        <w:tc>
          <w:tcPr>
            <w:tcW w:w="1250" w:type="pct"/>
            <w:shd w:val="clear" w:color="auto" w:fill="FFFBEB"/>
          </w:tcPr>
          <w:p>
            <w:pPr>
              <w:jc w:val="center"/>
            </w:pPr>
            <w:r>
              <w:rPr>
                <w:sz w:val="18"/>
                <w:color w:val="92400E"/>
              </w:rPr>
              <w:t>最高圈复杂度 (McCabe)</w:t>
            </w:r>
          </w:p>
          <w:p>
            <w:pPr>
              <w:jc w:val="center"/>
            </w:pPr>
            <w:r>
              <w:rPr>
                <w:b/>
                <w:sz w:val="36"/>
                <w:color w:val="D97706"/>
              </w:rPr>
              <w:t>17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函数总数: 5 个</w:t>
            </w:r>
          </w:p>
        </w:tc>
      </w:tr>
    </w:tbl>
    <w:p>
      <w:pPr>
        <w:spacing w:before="360" w:after="120"/>
      </w:pPr>
      <w:r>
        <w:rPr>
          <w:b/>
          <w:sz w:val="28"/>
          <w:color w:val="0F172A"/>
        </w:rPr>
        <w:t>二、MISRA C:2012 与嵌入式静态安全缺陷列表</w:t>
      </w:r>
    </w:p>
    <!-- 静态缺陷详细表格 --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w="1200" w:type="pct"/>
            <w:shd w:val="clear" w:color="auto" w:fill="1E293B"/>
          </w:tcPr>
          <w:p>
            <w:r>
              <w:rPr>
                <w:b/>
                <w:color w:val="FFFFFF"/>
              </w:rPr>
              <w:t>规则编号</w:t>
            </w:r>
          </w:p>
        </w:tc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行号</w:t>
            </w:r>
          </w:p>
        </w:tc>
        <w:tc>
          <w:tcPr>
            <w:tcW w:w="1400" w:type="pct"/>
            <w:shd w:val="clear" w:color="auto" w:fill="1E293B"/>
          </w:tcPr>
          <w:p>
            <w:r>
              <w:rPr>
                <w:b/>
                <w:color w:val="FFFFFF"/>
              </w:rPr>
              <w:t>缺陷描述</w:t>
            </w:r>
          </w:p>
        </w:tc>
        <w:tc>
          <w:tcPr>
            <w:tcW w:w="1200" w:type="pct"/>
            <w:shd w:val="clear" w:color="auto" w:fill="1E293B"/>
          </w:tcPr>
          <w:p>
            <w:r>
              <w:rPr>
                <w:b/>
                <w:color w:val="FFFFFF"/>
              </w:rPr>
              <w:t>修复建议</w:t>
            </w:r>
          </w:p>
        </w:tc>
      </w:tr>
      <w:tr>
        <w:tc>
          <w:p>
            <w:r>
              <w:rPr>
                <w:b/>
                <w:color w:val="DC2626"/>
              </w:rPr>
              <w:t>错误 (Error)</w:t>
            </w:r>
          </w:p>
        </w:tc>
        <w:tc>
          <w:p>
            <w:r>
              <w:rPr>
                <w:b/>
              </w:rPr>
              <w:t>METRIC-CYCLOMATIC-COMPLEXITY</w:t>
            </w:r>
          </w:p>
        </w:tc>
        <w:tc>
          <w:p>
            <w:r>
              <w:t>L55:1</w:t>
            </w:r>
          </w:p>
        </w:tc>
        <w:tc>
          <w:p>
            <w:r>
              <w:t>函数 'Task_100Hz_StateMachine' 圈复杂度为 17（阈值: 10），分支过多，测试和维护难度极大。</w:t>
            </w:r>
          </w:p>
        </w:tc>
        <w:tc>
          <w:p>
            <w:r>
              <w:rPr>
                <w:color w:val="0369A1"/>
              </w:rPr>
              <w:t>将该函数拆解为单一职责的多个子函数或采用表驱动法重构。</w:t>
            </w:r>
          </w:p>
        </w:tc>
      </w:tr>
    </w:tbl>
    <w:p>
      <w:pPr>
        <w:spacing w:before="360" w:after="120"/>
      </w:pPr>
      <w:r>
        <w:rPr>
          <w:b/>
          <w:sz w:val="28"/>
          <w:color w:val="0F172A"/>
        </w:rPr>
        <w:t>三、函数复杂度与代码结构度量清单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800" w:type="pct"/>
            <w:shd w:val="clear" w:color="auto" w:fill="1E293B"/>
          </w:tcPr>
          <w:p>
            <w:r>
              <w:rPr>
                <w:b/>
                <w:color w:val="FFFFFF"/>
              </w:rPr>
              <w:t>函数名称</w:t>
            </w:r>
          </w:p>
        </w:tc>
        <w:tc>
          <w:tcPr>
            <w:tcW w:w="800" w:type="pct"/>
            <w:shd w:val="clear" w:color="auto" w:fill="1E293B"/>
          </w:tcPr>
          <w:p>
            <w:r>
              <w:rPr>
                <w:b/>
                <w:color w:val="FFFFFF"/>
              </w:rPr>
              <w:t>行号范围</w:t>
            </w:r>
          </w:p>
        </w:tc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代码行(LOC)</w:t>
            </w:r>
          </w:p>
        </w:tc>
        <w:tc>
          <w:tcPr>
            <w:tcW w:w="800" w:type="pct"/>
            <w:shd w:val="clear" w:color="auto" w:fill="1E293B"/>
          </w:tcPr>
          <w:p>
            <w:r>
              <w:rPr>
                <w:b/>
                <w:color w:val="FFFFFF"/>
              </w:rPr>
              <w:t>圈复杂度(CC)</w:t>
            </w:r>
          </w:p>
        </w:tc>
        <w:tc>
          <w:tcPr>
            <w:tcW w:w="1000" w:type="pct"/>
            <w:shd w:val="clear" w:color="auto" w:fill="1E293B"/>
          </w:tcPr>
          <w:p>
            <w:r>
              <w:rPr>
                <w:b/>
                <w:color w:val="FFFFFF"/>
              </w:rPr>
              <w:t>风险评估</w:t>
            </w:r>
          </w:p>
        </w:tc>
      </w:tr>
      <w:tr>
        <w:tc>
          <w:p>
            <w:r>
              <w:rPr>
                <w:b/>
              </w:rPr>
              <w:t>ISR_10kHz_CurrentLoop</w:t>
            </w:r>
          </w:p>
        </w:tc>
        <w:tc>
          <w:p>
            <w:r>
              <w:t>L32 ~ L50</w:t>
            </w:r>
          </w:p>
        </w:tc>
        <w:tc>
          <w:p>
            <w:r>
              <w:t>19</w:t>
            </w:r>
          </w:p>
        </w:tc>
        <w:tc>
          <w:p>
            <w:r>
              <w:rPr>
                <w:b/>
              </w:rPr>
              <w:t>3</w:t>
            </w:r>
          </w:p>
        </w:tc>
        <w:tc>
          <w:p>
            <w:r>
              <w:rPr>
                <w:b/>
                <w:color w:val="16A34A"/>
              </w:rPr>
              <w:t>结构清晰 (良好)</w:t>
            </w:r>
          </w:p>
        </w:tc>
      </w:tr>
      <w:tr>
        <w:tc>
          <w:p>
            <w:r>
              <w:rPr>
                <w:b/>
              </w:rPr>
              <w:t>Task_100Hz_StateMachine</w:t>
            </w:r>
          </w:p>
        </w:tc>
        <w:tc>
          <w:p>
            <w:r>
              <w:t>L55 ~ L144</w:t>
            </w:r>
          </w:p>
        </w:tc>
        <w:tc>
          <w:p>
            <w:r>
              <w:t>90</w:t>
            </w:r>
          </w:p>
        </w:tc>
        <w:tc>
          <w:p>
            <w:r>
              <w:rPr>
                <w:b/>
              </w:rPr>
              <w:t>17</w:t>
            </w:r>
          </w:p>
        </w:tc>
        <w:tc>
          <w:p>
            <w:r>
              <w:rPr>
                <w:b/>
                <w:color w:val="DC2626"/>
              </w:rPr>
              <w:t>极高风险 (强制重构)</w:t>
            </w:r>
          </w:p>
        </w:tc>
      </w:tr>
      <w:tr>
        <w:tc>
          <w:p>
            <w:r>
              <w:rPr>
                <w:b/>
              </w:rPr>
              <w:t>Task_10Hz_Diagnostics</w:t>
            </w:r>
          </w:p>
        </w:tc>
        <w:tc>
          <w:p>
            <w:r>
              <w:t>L149 ~ L163</w:t>
            </w:r>
          </w:p>
        </w:tc>
        <w:tc>
          <w:p>
            <w:r>
              <w:t>15</w:t>
            </w:r>
          </w:p>
        </w:tc>
        <w:tc>
          <w:p>
            <w:r>
              <w:rPr>
                <w:b/>
              </w:rPr>
              <w:t>3</w:t>
            </w:r>
          </w:p>
        </w:tc>
        <w:tc>
          <w:p>
            <w:r>
              <w:rPr>
                <w:b/>
                <w:color w:val="16A34A"/>
              </w:rPr>
              <w:t>结构清晰 (良好)</w:t>
            </w:r>
          </w:p>
        </w:tc>
      </w:tr>
      <w:tr>
        <w:tc>
          <w:p>
            <w:r>
              <w:rPr>
                <w:b/>
              </w:rPr>
              <w:t>System_Hardware_Init</w:t>
            </w:r>
          </w:p>
        </w:tc>
        <w:tc>
          <w:p>
            <w:r>
              <w:t>L168 ~ L192</w:t>
            </w:r>
          </w:p>
        </w:tc>
        <w:tc>
          <w:p>
            <w:r>
              <w:t>25</w:t>
            </w:r>
          </w:p>
        </w:tc>
        <w:tc>
          <w:p>
            <w:r>
              <w:rPr>
                <w:b/>
              </w:rPr>
              <w:t>5</w:t>
            </w:r>
          </w:p>
        </w:tc>
        <w:tc>
          <w:p>
            <w:r>
              <w:rPr>
                <w:b/>
                <w:color w:val="16A34A"/>
              </w:rPr>
              <w:t>结构清晰 (良好)</w:t>
            </w:r>
          </w:p>
        </w:tc>
      </w:tr>
      <w:tr>
        <w:tc>
          <w:p>
            <w:r>
              <w:rPr>
                <w:b/>
              </w:rPr>
              <w:t>main</w:t>
            </w:r>
          </w:p>
        </w:tc>
        <w:tc>
          <w:p>
            <w:r>
              <w:t>L197 ~ L237</w:t>
            </w:r>
          </w:p>
        </w:tc>
        <w:tc>
          <w:p>
            <w:r>
              <w:t>41</w:t>
            </w:r>
          </w:p>
        </w:tc>
        <w:tc>
          <w:p>
            <w:r>
              <w:rPr>
                <w:b/>
              </w:rPr>
              <w:t>7</w:t>
            </w:r>
          </w:p>
        </w:tc>
        <w:tc>
          <w:p>
            <w:r>
              <w:rPr>
                <w:b/>
                <w:color w:val="2563EB"/>
              </w:rPr>
              <w:t>中等复杂度</w:t>
            </w:r>
          </w:p>
        </w:tc>
      </w:tr>
    </w:tbl>
    <w:p>
      <w:pPr>
        <w:jc w:val="center"/>
        <w:spacing w:before="480"/>
      </w:pPr>
      <w:r>
        <w:rPr>
          <w:sz w:val="18"/>
          <w:color w:val="94A3B8"/>
        </w:rPr>
        <w:t>— 本报告由 嵌入式 C 覆盖分析与静态分析套件 自动生成 —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