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!-- 标题与副标题 -->
    <w:p>
      <w:pPr>
        <w:jc w:val="center"/>
        <w:spacing w:before="240" w:after="120"/>
      </w:pPr>
      <w:r>
        <w:rPr>
          <w:b/>
          <w:sz w:val="44"/>
          <w:color w:val="1E3A8A"/>
        </w:rPr>
        <w:t>嵌入式 C 静态分析与覆盖度量工程报告</w:t>
      </w:r>
    </w:p>
    <w:p>
      <w:pPr>
        <w:jc w:val="center"/>
        <w:spacing w:after="240"/>
      </w:pPr>
      <w:r>
        <w:rPr>
          <w:sz w:val="20"/>
          <w:color w:val="64748B"/>
        </w:rPr>
        <w:t>Embedded C Safety &amp; Coverage Verification Report</w:t>
      </w:r>
    </w:p>
    <w:p>
      <w:pPr>
        <w:pBdr>
          <w:bottom w:val="single" w:sz="12" w:space="1" w:color="2563EB"/>
        </w:pBdr>
      </w:pPr>
    </w:p>
    <!-- 工程元数据信息表 -->
    <w:tbl>
      <w:tblPr>
        <w:tblW w:w="5000" w:type="pct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</w:tblBorders>
      </w:tblPr>
      <w:tr>
        <w:tc>
          <w:tcPr>
            <w:tcW w:w="1200" w:type="pct"/>
            <w:shd w:val="clear" w:color="auto" w:fill="F8FAFC"/>
          </w:tcPr>
          <w:p>
            <w:r>
              <w:rPr>
                <w:b/>
              </w:rPr>
              <w:t>分析源文件:</w:t>
            </w:r>
          </w:p>
        </w:tc>
        <w:tc>
          <w:tcPr>
            <w:tcW w:w="3800" w:type="pct"/>
          </w:tcPr>
          <w:p>
            <w:r>
              <w:t>motor_controller.c</w:t>
            </w:r>
          </w:p>
        </w:tc>
      </w:tr>
      <w:tr>
        <w:tc>
          <w:tcPr>
            <w:tcW w:w="1200" w:type="pct"/>
            <w:shd w:val="clear" w:color="auto" w:fill="F8FAFC"/>
          </w:tcPr>
          <w:p>
            <w:r>
              <w:rPr>
                <w:b/>
              </w:rPr>
              <w:t>生成时间:</w:t>
            </w:r>
          </w:p>
        </w:tc>
        <w:tc>
          <w:tcPr>
            <w:tcW w:w="3800" w:type="pct"/>
          </w:tcPr>
          <w:p>
            <w:r>
              <w:t>2026-09-30 17:53:33</w:t>
            </w:r>
          </w:p>
        </w:tc>
      </w:tr>
      <w:tr>
        <w:tc>
          <w:tcPr>
            <w:tcW w:w="1200" w:type="pct"/>
            <w:shd w:val="clear" w:color="auto" w:fill="F8FAFC"/>
          </w:tcPr>
          <w:p>
            <w:r>
              <w:rPr>
                <w:b/>
              </w:rPr>
              <w:t>分析规则规范:</w:t>
            </w:r>
          </w:p>
        </w:tc>
        <w:tc>
          <w:tcPr>
            <w:tcW w:w="3800" w:type="pct"/>
          </w:tcPr>
          <w:p>
            <w:r>
              <w:t>MISRA C:2012 / 嵌入式硬件安全 / McCabe 圈复杂度</w:t>
            </w:r>
          </w:p>
        </w:tc>
      </w:tr>
    </w:tbl>
    <w:p>
      <w:pPr>
        <w:spacing w:before="240" w:after="120"/>
      </w:pPr>
      <w:r>
        <w:rPr>
          <w:b/>
          <w:sz w:val="28"/>
          <w:color w:val="0F172A"/>
        </w:rPr>
        <w:t>一、核心质量与执行指标总览 (Executive Summary)</w:t>
      </w:r>
    </w:p>
    <!-- 4 个 KPI 卡片表格 -->
  docXml += QString(
R"(  
    <w:tbl>
      <w:tblPr>
        <w:tblW w:w="5000" w:type="pct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V w:val="single" w:sz="6" w:space="0" w:color="CBD5E1"/>
        </w:tblBorders>
      </w:tblPr>
      <w:tr>
        <w:tc>
          <w:tcPr>
            <w:tcW w:w="1250" w:type="pct"/>
            <w:shd w:val="clear" w:color="auto" w:fill="F0FDF4"/>
          </w:tcPr>
          <w:p>
            <w:pPr>
              <w:jc w:val="center"/>
            </w:pPr>
            <w:r>
              <w:rPr>
                <w:sz w:val="18"/>
                <w:color w:val="166534"/>
              </w:rPr>
              <w:t>语句覆盖率 (Statement)</w:t>
            </w:r>
          </w:p>
          <w:p>
            <w:pPr>
              <w:jc w:val="center"/>
            </w:pPr>
            <w:r>
              <w:rPr>
                <w:b/>
                <w:sz w:val="36"/>
                <w:color w:val="16A34A"/>
              </w:rPr>
              <w:t>0.0%</w:t>
            </w:r>
          </w:p>
          <w:p>
            <w:pPr>
              <w:jc w:val="center"/>
            </w:pPr>
            <w:r>
              <w:rPr>
                <w:sz w:val="16"/>
                <w:color w:val="64748B"/>
              </w:rPr>
              <w:t>已覆盖 0 / 63 行</w:t>
            </w:r>
          </w:p>
        </w:tc>
        <w:tc>
          <w:tcPr>
            <w:tcW w:w="1250" w:type="pct"/>
            <w:shd w:val="clear" w:color="auto" w:fill="EFF6FF"/>
          </w:tcPr>
          <w:p>
            <w:pPr>
              <w:jc w:val="center"/>
            </w:pPr>
            <w:r>
              <w:rPr>
                <w:sz w:val="18"/>
                <w:color w:val="1E40AF"/>
              </w:rPr>
              <w:t>分支覆盖率 (Branch)</w:t>
            </w:r>
          </w:p>
          <w:p>
            <w:pPr>
              <w:jc w:val="center"/>
            </w:pPr>
            <w:r>
              <w:rPr>
                <w:b/>
                <w:sz w:val="36"/>
                <w:color w:val="2563EB"/>
              </w:rPr>
              <w:t>0.0%</w:t>
            </w:r>
          </w:p>
          <w:p>
            <w:pPr>
              <w:jc w:val="center"/>
            </w:pPr>
            <w:r>
              <w:rPr>
                <w:sz w:val="16"/>
                <w:color w:val="64748B"/>
              </w:rPr>
              <w:t>已命中 0 / 15 分支</w:t>
            </w:r>
          </w:p>
        </w:tc>
        <w:tc>
          <w:tcPr>
            <w:tcW w:w="1250" w:type="pct"/>
            <w:shd w:val="clear" w:color="auto" w:fill="FEF2F2"/>
          </w:tcPr>
          <w:p>
            <w:pPr>
              <w:jc w:val="center"/>
            </w:pPr>
            <w:r>
              <w:rPr>
                <w:sz w:val="18"/>
                <w:color w:val="991B1B"/>
              </w:rPr>
              <w:t>静态缺陷项 (Issues)</w:t>
            </w:r>
          </w:p>
          <w:p>
            <w:pPr>
              <w:jc w:val="center"/>
            </w:pPr>
            <w:r>
              <w:rPr>
                <w:b/>
                <w:sz w:val="36"/>
                <w:color w:val="DC2626"/>
              </w:rPr>
              <w:t>5</w:t>
            </w:r>
          </w:p>
          <w:p>
            <w:pPr>
              <w:jc w:val="center"/>
            </w:pPr>
            <w:r>
              <w:rPr>
                <w:sz w:val="16"/>
                <w:color w:val="64748B"/>
              </w:rPr>
              <w:t>严重 2 | 警告 3</w:t>
            </w:r>
          </w:p>
        </w:tc>
        <w:tc>
          <w:tcPr>
            <w:tcW w:w="1250" w:type="pct"/>
            <w:shd w:val="clear" w:color="auto" w:fill="FFFBEB"/>
          </w:tcPr>
          <w:p>
            <w:pPr>
              <w:jc w:val="center"/>
            </w:pPr>
            <w:r>
              <w:rPr>
                <w:sz w:val="18"/>
                <w:color w:val="92400E"/>
              </w:rPr>
              <w:t>最高圈复杂度 (McCabe)</w:t>
            </w:r>
          </w:p>
          <w:p>
            <w:pPr>
              <w:jc w:val="center"/>
            </w:pPr>
            <w:r>
              <w:rPr>
                <w:b/>
                <w:sz w:val="36"/>
                <w:color w:val="D97706"/>
              </w:rPr>
              <w:t>15</w:t>
            </w:r>
          </w:p>
          <w:p>
            <w:pPr>
              <w:jc w:val="center"/>
            </w:pPr>
            <w:r>
              <w:rPr>
                <w:sz w:val="16"/>
                <w:color w:val="64748B"/>
              </w:rPr>
              <w:t>函数总数: 4 个</w:t>
            </w:r>
          </w:p>
        </w:tc>
      </w:tr>
    </w:tbl>
    <w:p>
      <w:pPr>
        <w:spacing w:before="360" w:after="120"/>
      </w:pPr>
      <w:r>
        <w:rPr>
          <w:b/>
          <w:sz w:val="28"/>
          <w:color w:val="0F172A"/>
        </w:rPr>
        <w:t>二、MISRA C:2012 与嵌入式静态安全缺陷列表</w:t>
      </w:r>
    </w:p>
    <!-- 静态缺陷详细表格 --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r>
        <w:tc>
          <w:tcPr>
            <w:tcW w:w="600" w:type="pct"/>
            <w:shd w:val="clear" w:color="auto" w:fill="1E293B"/>
          </w:tcPr>
          <w:p>
            <w:r>
              <w:rPr>
                <w:b/>
                <w:color w:val="FFFFFF"/>
              </w:rPr>
              <w:t>级别</w:t>
            </w:r>
          </w:p>
        </w:tc>
        <w:tc>
          <w:tcPr>
            <w:tcW w:w="1200" w:type="pct"/>
            <w:shd w:val="clear" w:color="auto" w:fill="1E293B"/>
          </w:tcPr>
          <w:p>
            <w:r>
              <w:rPr>
                <w:b/>
                <w:color w:val="FFFFFF"/>
              </w:rPr>
              <w:t>规则编号</w:t>
            </w:r>
          </w:p>
        </w:tc>
        <w:tc>
          <w:tcPr>
            <w:tcW w:w="600" w:type="pct"/>
            <w:shd w:val="clear" w:color="auto" w:fill="1E293B"/>
          </w:tcPr>
          <w:p>
            <w:r>
              <w:rPr>
                <w:b/>
                <w:color w:val="FFFFFF"/>
              </w:rPr>
              <w:t>行号</w:t>
            </w:r>
          </w:p>
        </w:tc>
        <w:tc>
          <w:tcPr>
            <w:tcW w:w="1400" w:type="pct"/>
            <w:shd w:val="clear" w:color="auto" w:fill="1E293B"/>
          </w:tcPr>
          <w:p>
            <w:r>
              <w:rPr>
                <w:b/>
                <w:color w:val="FFFFFF"/>
              </w:rPr>
              <w:t>缺陷描述</w:t>
            </w:r>
          </w:p>
        </w:tc>
        <w:tc>
          <w:tcPr>
            <w:tcW w:w="1200" w:type="pct"/>
            <w:shd w:val="clear" w:color="auto" w:fill="1E293B"/>
          </w:tcPr>
          <w:p>
            <w:r>
              <w:rPr>
                <w:b/>
                <w:color w:val="FFFFFF"/>
              </w:rPr>
              <w:t>修复建议</w:t>
            </w:r>
          </w:p>
        </w:tc>
      </w:tr>
      <w:tr>
        <w:tc>
          <w:p>
            <w:r>
              <w:rPr>
                <w:b/>
                <w:color w:val="D97706"/>
              </w:rPr>
              <w:t>警告 (Warning)</w:t>
            </w:r>
          </w:p>
        </w:tc>
        <w:tc>
          <w:p>
            <w:r>
              <w:rPr>
                <w:b/>
              </w:rPr>
              <w:t>EMB-VOLATILE-01</w:t>
            </w:r>
          </w:p>
        </w:tc>
        <w:tc>
          <w:p>
            <w:r>
              <w:t>L11:25</w:t>
            </w:r>
          </w:p>
        </w:tc>
        <w:tc>
          <w:p>
            <w:r>
              <w:t>内存映射硬件寄存器直接访问 '(uint32_t*)0x40021000' 缺少 'volatile' 修饰符，编译器可能会将读取优化掉。</w:t>
            </w:r>
          </w:p>
        </w:tc>
        <w:tc>
          <w:p>
            <w:r>
              <w:rPr>
                <w:color w:val="0369A1"/>
              </w:rPr>
              <w:t>使用 volatile 限定指针，如 '*(volatile uint32_t*)0x...'。</w:t>
            </w:r>
          </w:p>
        </w:tc>
      </w:tr>
      <w:tr>
        <w:tc>
          <w:p>
            <w:r>
              <w:rPr>
                <w:b/>
                <w:color w:val="DC2626"/>
              </w:rPr>
              <w:t>严重违规 (Critical)</w:t>
            </w:r>
          </w:p>
        </w:tc>
        <w:tc>
          <w:p>
            <w:r>
              <w:rPr>
                <w:b/>
              </w:rPr>
              <w:t>MISRA-C-2012-Rule-21.3</w:t>
            </w:r>
          </w:p>
        </w:tc>
        <w:tc>
          <w:p>
            <w:r>
              <w:t>L26:26</w:t>
            </w:r>
          </w:p>
        </w:tc>
        <w:tc>
          <w:p>
            <w:r>
              <w:t>在安全关键嵌入式系统中严禁使用动态内存分配函数 'malloc'。</w:t>
            </w:r>
          </w:p>
        </w:tc>
        <w:tc>
          <w:p>
            <w:r>
              <w:rPr>
                <w:color w:val="0369A1"/>
              </w:rPr>
              <w:t>改用具有确定性执行时间的静态预分配缓冲区或内存池架构。</w:t>
            </w:r>
          </w:p>
        </w:tc>
      </w:tr>
      <w:tr>
        <w:tc>
          <w:p>
            <w:r>
              <w:rPr>
                <w:b/>
                <w:color w:val="DC2626"/>
              </w:rPr>
              <w:t>严重违规 (Critical)</w:t>
            </w:r>
          </w:p>
        </w:tc>
        <w:tc>
          <w:p>
            <w:r>
              <w:rPr>
                <w:b/>
              </w:rPr>
              <w:t>MISRA-C-2012-Rule-21.3</w:t>
            </w:r>
          </w:p>
        </w:tc>
        <w:tc>
          <w:p>
            <w:r>
              <w:t>L28:9</w:t>
            </w:r>
          </w:p>
        </w:tc>
        <w:tc>
          <w:p>
            <w:r>
              <w:t>在安全关键嵌入式系统中严禁使用动态内存分配函数 'free'。</w:t>
            </w:r>
          </w:p>
        </w:tc>
        <w:tc>
          <w:p>
            <w:r>
              <w:rPr>
                <w:color w:val="0369A1"/>
              </w:rPr>
              <w:t>改用具有确定性执行时间的静态预分配缓冲区或内存池架构。</w:t>
            </w:r>
          </w:p>
        </w:tc>
      </w:tr>
      <w:tr>
        <w:tc>
          <w:p>
            <w:r>
              <w:rPr>
                <w:b/>
                <w:color w:val="D97706"/>
              </w:rPr>
              <w:t>警告 (Warning)</w:t>
            </w:r>
          </w:p>
        </w:tc>
        <w:tc>
          <w:p>
            <w:r>
              <w:rPr>
                <w:b/>
              </w:rPr>
              <w:t>MISRA-C-2012-Rule-12.1</w:t>
            </w:r>
          </w:p>
        </w:tc>
        <w:tc>
          <w:p>
            <w:r>
              <w:t>L85:9</w:t>
            </w:r>
          </w:p>
        </w:tc>
        <w:tc>
          <w:p>
            <w:r>
              <w:t>浮点数恒等比较 'speed_cmd == 0.0f' 易受精度与舍入误差影响。</w:t>
            </w:r>
          </w:p>
        </w:tc>
        <w:tc>
          <w:p>
            <w:r>
              <w:rPr>
                <w:color w:val="0369A1"/>
              </w:rPr>
              <w:t>使用误差阈值比较：fabsf(val - target) &lt; EPSILON。</w:t>
            </w:r>
          </w:p>
        </w:tc>
      </w:tr>
      <w:tr>
        <w:tc>
          <w:p>
            <w:r>
              <w:rPr>
                <w:b/>
                <w:color w:val="D97706"/>
              </w:rPr>
              <w:t>警告 (Warning)</w:t>
            </w:r>
          </w:p>
        </w:tc>
        <w:tc>
          <w:p>
            <w:r>
              <w:rPr>
                <w:b/>
              </w:rPr>
              <w:t>METRIC-CYCLOMATIC-COMPLEXITY</w:t>
            </w:r>
          </w:p>
        </w:tc>
        <w:tc>
          <w:p>
            <w:r>
              <w:t>L70:1</w:t>
            </w:r>
          </w:p>
        </w:tc>
        <w:tc>
          <w:p>
            <w:r>
              <w:t>函数 'motor_controller_update' 圈复杂度为 15（阈值: 10），分支过多，测试和维护难度极大。</w:t>
            </w:r>
          </w:p>
        </w:tc>
        <w:tc>
          <w:p>
            <w:r>
              <w:rPr>
                <w:color w:val="0369A1"/>
              </w:rPr>
              <w:t>将该函数拆解为单一职责的多个子函数或采用表驱动法重构。</w:t>
            </w:r>
          </w:p>
        </w:tc>
      </w:tr>
    </w:tbl>
    <w:p>
      <w:pPr>
        <w:spacing w:before="360" w:after="120"/>
      </w:pPr>
      <w:r>
        <w:rPr>
          <w:b/>
          <w:sz w:val="28"/>
          <w:color w:val="0F172A"/>
        </w:rPr>
        <w:t>三、函数复杂度与代码结构度量清单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r>
        <w:tc>
          <w:tcPr>
            <w:tcW w:w="1800" w:type="pct"/>
            <w:shd w:val="clear" w:color="auto" w:fill="1E293B"/>
          </w:tcPr>
          <w:p>
            <w:r>
              <w:rPr>
                <w:b/>
                <w:color w:val="FFFFFF"/>
              </w:rPr>
              <w:t>函数名称</w:t>
            </w:r>
          </w:p>
        </w:tc>
        <w:tc>
          <w:tcPr>
            <w:tcW w:w="800" w:type="pct"/>
            <w:shd w:val="clear" w:color="auto" w:fill="1E293B"/>
          </w:tcPr>
          <w:p>
            <w:r>
              <w:rPr>
                <w:b/>
                <w:color w:val="FFFFFF"/>
              </w:rPr>
              <w:t>行号范围</w:t>
            </w:r>
          </w:p>
        </w:tc>
        <w:tc>
          <w:tcPr>
            <w:tcW w:w="600" w:type="pct"/>
            <w:shd w:val="clear" w:color="auto" w:fill="1E293B"/>
          </w:tcPr>
          <w:p>
            <w:r>
              <w:rPr>
                <w:b/>
                <w:color w:val="FFFFFF"/>
              </w:rPr>
              <w:t>代码行(LOC)</w:t>
            </w:r>
          </w:p>
        </w:tc>
        <w:tc>
          <w:tcPr>
            <w:tcW w:w="800" w:type="pct"/>
            <w:shd w:val="clear" w:color="auto" w:fill="1E293B"/>
          </w:tcPr>
          <w:p>
            <w:r>
              <w:rPr>
                <w:b/>
                <w:color w:val="FFFFFF"/>
              </w:rPr>
              <w:t>圈复杂度(CC)</w:t>
            </w:r>
          </w:p>
        </w:tc>
        <w:tc>
          <w:tcPr>
            <w:tcW w:w="1000" w:type="pct"/>
            <w:shd w:val="clear" w:color="auto" w:fill="1E293B"/>
          </w:tcPr>
          <w:p>
            <w:r>
              <w:rPr>
                <w:b/>
                <w:color w:val="FFFFFF"/>
              </w:rPr>
              <w:t>风险评估</w:t>
            </w:r>
          </w:p>
        </w:tc>
      </w:tr>
      <w:tr>
        <w:tc>
          <w:p>
            <w:r>
              <w:rPr>
                <w:b/>
              </w:rPr>
              <w:t>motor_controller_init</w:t>
            </w:r>
          </w:p>
        </w:tc>
        <w:tc>
          <w:p>
            <w:r>
              <w:t>L13 ~ L30</w:t>
            </w:r>
          </w:p>
        </w:tc>
        <w:tc>
          <w:p>
            <w:r>
              <w:t>18</w:t>
            </w:r>
          </w:p>
        </w:tc>
        <w:tc>
          <w:p>
            <w:r>
              <w:rPr>
                <w:b/>
              </w:rPr>
              <w:t>3</w:t>
            </w:r>
          </w:p>
        </w:tc>
        <w:tc>
          <w:p>
            <w:r>
              <w:rPr>
                <w:b/>
                <w:color w:val="16A34A"/>
              </w:rPr>
              <w:t>结构清晰 (良好)</w:t>
            </w:r>
          </w:p>
        </w:tc>
      </w:tr>
      <w:tr>
        <w:tc>
          <w:p>
            <w:r>
              <w:rPr>
                <w:b/>
              </w:rPr>
              <w:t>motor_check_safety</w:t>
            </w:r>
          </w:p>
        </w:tc>
        <w:tc>
          <w:p>
            <w:r>
              <w:t>L32 ~ L59</w:t>
            </w:r>
          </w:p>
        </w:tc>
        <w:tc>
          <w:p>
            <w:r>
              <w:t>28</w:t>
            </w:r>
          </w:p>
        </w:tc>
        <w:tc>
          <w:p>
            <w:r>
              <w:rPr>
                <w:b/>
              </w:rPr>
              <w:t>6</w:t>
            </w:r>
          </w:p>
        </w:tc>
        <w:tc>
          <w:p>
            <w:r>
              <w:rPr>
                <w:b/>
                <w:color w:val="2563EB"/>
              </w:rPr>
              <w:t>中等复杂度</w:t>
            </w:r>
          </w:p>
        </w:tc>
      </w:tr>
      <w:tr>
        <w:tc>
          <w:p>
            <w:r>
              <w:rPr>
                <w:b/>
              </w:rPr>
              <w:t>motor_emergency_shutdown</w:t>
            </w:r>
          </w:p>
        </w:tc>
        <w:tc>
          <w:p>
            <w:r>
              <w:t>L61 ~ L68</w:t>
            </w:r>
          </w:p>
        </w:tc>
        <w:tc>
          <w:p>
            <w:r>
              <w:t>8</w:t>
            </w:r>
          </w:p>
        </w:tc>
        <w:tc>
          <w:p>
            <w:r>
              <w:rPr>
                <w:b/>
              </w:rPr>
              <w:t>2</w:t>
            </w:r>
          </w:p>
        </w:tc>
        <w:tc>
          <w:p>
            <w:r>
              <w:rPr>
                <w:b/>
                <w:color w:val="16A34A"/>
              </w:rPr>
              <w:t>结构清晰 (良好)</w:t>
            </w:r>
          </w:p>
        </w:tc>
      </w:tr>
      <w:tr>
        <w:tc>
          <w:p>
            <w:r>
              <w:rPr>
                <w:b/>
              </w:rPr>
              <w:t>motor_controller_update</w:t>
            </w:r>
          </w:p>
        </w:tc>
        <w:tc>
          <w:p>
            <w:r>
              <w:t>L70 ~ L136</w:t>
            </w:r>
          </w:p>
        </w:tc>
        <w:tc>
          <w:p>
            <w:r>
              <w:t>67</w:t>
            </w:r>
          </w:p>
        </w:tc>
        <w:tc>
          <w:p>
            <w:r>
              <w:rPr>
                <w:b/>
              </w:rPr>
              <w:t>15</w:t>
            </w:r>
          </w:p>
        </w:tc>
        <w:tc>
          <w:p>
            <w:r>
              <w:rPr>
                <w:b/>
                <w:color w:val="D97706"/>
              </w:rPr>
              <w:t>偏高警告 (建议优化)</w:t>
            </w:r>
          </w:p>
        </w:tc>
      </w:tr>
    </w:tbl>
    <w:p>
      <w:pPr>
        <w:jc w:val="center"/>
        <w:spacing w:before="480"/>
      </w:pPr>
      <w:r>
        <w:rPr>
          <w:sz w:val="18"/>
          <w:color w:val="94A3B8"/>
        </w:rPr>
        <w:t>— 本报告由 嵌入式 C 覆盖分析与静态分析套件 自动生成 —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color w:val="1E293B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