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DE6F5" w14:textId="77777777" w:rsidR="006E469E" w:rsidRDefault="006E469E" w:rsidP="006E469E">
      <w:pPr>
        <w:jc w:val="center"/>
        <w:rPr>
          <w:rFonts w:cs="Times New Roman"/>
          <w:b/>
          <w:color w:val="1B1C1D"/>
          <w:szCs w:val="24"/>
        </w:rPr>
      </w:pPr>
    </w:p>
    <w:p w14:paraId="0080715C" w14:textId="77777777" w:rsidR="006E469E" w:rsidRDefault="006E469E" w:rsidP="006E469E">
      <w:pPr>
        <w:jc w:val="center"/>
        <w:rPr>
          <w:rFonts w:cs="Times New Roman"/>
          <w:b/>
          <w:color w:val="1B1C1D"/>
          <w:szCs w:val="24"/>
        </w:rPr>
      </w:pPr>
    </w:p>
    <w:p w14:paraId="69902D52" w14:textId="77777777" w:rsidR="006E469E" w:rsidRDefault="006E469E" w:rsidP="006E469E">
      <w:pPr>
        <w:jc w:val="center"/>
        <w:rPr>
          <w:rFonts w:cs="Times New Roman"/>
          <w:b/>
          <w:color w:val="1B1C1D"/>
          <w:szCs w:val="24"/>
        </w:rPr>
      </w:pPr>
    </w:p>
    <w:p w14:paraId="17F89ABA" w14:textId="77777777" w:rsidR="006E469E" w:rsidRDefault="006E469E" w:rsidP="006E469E">
      <w:pPr>
        <w:jc w:val="center"/>
        <w:rPr>
          <w:rFonts w:cs="Times New Roman"/>
          <w:b/>
          <w:color w:val="1B1C1D"/>
          <w:szCs w:val="24"/>
        </w:rPr>
      </w:pPr>
    </w:p>
    <w:p w14:paraId="43B14A4E" w14:textId="77777777" w:rsidR="006E469E" w:rsidRDefault="006E469E" w:rsidP="006E469E">
      <w:pPr>
        <w:jc w:val="center"/>
        <w:rPr>
          <w:rFonts w:cs="Times New Roman"/>
          <w:b/>
          <w:color w:val="1B1C1D"/>
          <w:szCs w:val="24"/>
        </w:rPr>
      </w:pPr>
    </w:p>
    <w:p w14:paraId="5D7E90AF" w14:textId="77777777" w:rsidR="00F5391B" w:rsidRDefault="00F5391B" w:rsidP="006E469E">
      <w:pPr>
        <w:jc w:val="center"/>
        <w:rPr>
          <w:rFonts w:cs="Times New Roman"/>
          <w:b/>
          <w:color w:val="1B1C1D"/>
          <w:szCs w:val="24"/>
        </w:rPr>
      </w:pPr>
    </w:p>
    <w:p w14:paraId="10D4E865" w14:textId="77777777" w:rsidR="00F5391B" w:rsidRDefault="00F5391B" w:rsidP="006E469E">
      <w:pPr>
        <w:jc w:val="center"/>
        <w:rPr>
          <w:rFonts w:cs="Times New Roman"/>
          <w:b/>
          <w:color w:val="1B1C1D"/>
          <w:szCs w:val="24"/>
        </w:rPr>
      </w:pPr>
    </w:p>
    <w:p w14:paraId="54522E6B" w14:textId="6A61D0EF" w:rsidR="006E469E" w:rsidRPr="00F5391B" w:rsidRDefault="006E469E" w:rsidP="006E469E">
      <w:pPr>
        <w:jc w:val="center"/>
        <w:rPr>
          <w:rFonts w:cs="Times New Roman"/>
          <w:b/>
          <w:color w:val="1B1C1D"/>
          <w:szCs w:val="24"/>
        </w:rPr>
      </w:pPr>
      <w:r w:rsidRPr="00F5391B">
        <w:rPr>
          <w:rFonts w:cs="Times New Roman"/>
          <w:b/>
          <w:color w:val="1B1C1D"/>
          <w:szCs w:val="24"/>
        </w:rPr>
        <w:t>La Evolución y Gerencia Estratégica del Área Informática</w:t>
      </w:r>
    </w:p>
    <w:p w14:paraId="4FCC09ED" w14:textId="77777777" w:rsidR="006E469E" w:rsidRPr="006E469E" w:rsidRDefault="006E469E" w:rsidP="006E469E">
      <w:pPr>
        <w:ind w:firstLine="0"/>
        <w:jc w:val="center"/>
        <w:rPr>
          <w:rFonts w:cs="Times New Roman"/>
          <w:bCs/>
          <w:color w:val="1B1C1D"/>
          <w:szCs w:val="24"/>
        </w:rPr>
      </w:pPr>
    </w:p>
    <w:p w14:paraId="73EA2A8A" w14:textId="2868AAC6" w:rsidR="006E469E" w:rsidRDefault="006E469E" w:rsidP="006E469E">
      <w:pPr>
        <w:jc w:val="center"/>
        <w:rPr>
          <w:rFonts w:cs="Times New Roman"/>
          <w:bCs/>
          <w:color w:val="1B1C1D"/>
          <w:szCs w:val="24"/>
        </w:rPr>
      </w:pPr>
      <w:r w:rsidRPr="006E469E">
        <w:rPr>
          <w:rFonts w:cs="Times New Roman"/>
          <w:bCs/>
          <w:color w:val="1B1C1D"/>
          <w:szCs w:val="24"/>
        </w:rPr>
        <w:t>Manuel</w:t>
      </w:r>
      <w:r>
        <w:rPr>
          <w:rFonts w:cs="Times New Roman"/>
          <w:bCs/>
          <w:color w:val="1B1C1D"/>
          <w:szCs w:val="24"/>
        </w:rPr>
        <w:t xml:space="preserve"> </w:t>
      </w:r>
      <w:r w:rsidRPr="006E469E">
        <w:rPr>
          <w:rFonts w:cs="Times New Roman"/>
          <w:bCs/>
          <w:color w:val="1B1C1D"/>
          <w:szCs w:val="24"/>
        </w:rPr>
        <w:t>Hernández</w:t>
      </w:r>
    </w:p>
    <w:p w14:paraId="4DDBC38B" w14:textId="405BA34F" w:rsidR="006E469E" w:rsidRDefault="006E469E" w:rsidP="006E469E">
      <w:pPr>
        <w:jc w:val="center"/>
        <w:rPr>
          <w:rFonts w:cs="Times New Roman"/>
          <w:bCs/>
          <w:color w:val="1B1C1D"/>
          <w:szCs w:val="24"/>
        </w:rPr>
      </w:pPr>
      <w:r>
        <w:rPr>
          <w:rFonts w:cs="Times New Roman"/>
          <w:bCs/>
          <w:color w:val="1B1C1D"/>
          <w:szCs w:val="24"/>
        </w:rPr>
        <w:t xml:space="preserve">Universidad </w:t>
      </w:r>
      <w:r w:rsidR="00F5391B">
        <w:rPr>
          <w:rFonts w:cs="Times New Roman"/>
          <w:bCs/>
          <w:color w:val="1B1C1D"/>
          <w:szCs w:val="24"/>
        </w:rPr>
        <w:t>N</w:t>
      </w:r>
      <w:r>
        <w:rPr>
          <w:rFonts w:cs="Times New Roman"/>
          <w:bCs/>
          <w:color w:val="1B1C1D"/>
          <w:szCs w:val="24"/>
        </w:rPr>
        <w:t xml:space="preserve">acional </w:t>
      </w:r>
      <w:r w:rsidR="00F5391B">
        <w:rPr>
          <w:rFonts w:cs="Times New Roman"/>
          <w:bCs/>
          <w:color w:val="1B1C1D"/>
          <w:szCs w:val="24"/>
        </w:rPr>
        <w:t>E</w:t>
      </w:r>
      <w:r>
        <w:rPr>
          <w:rFonts w:cs="Times New Roman"/>
          <w:bCs/>
          <w:color w:val="1B1C1D"/>
          <w:szCs w:val="24"/>
        </w:rPr>
        <w:t xml:space="preserve">xperimental de la </w:t>
      </w:r>
      <w:r w:rsidR="00F5391B">
        <w:rPr>
          <w:rFonts w:cs="Times New Roman"/>
          <w:bCs/>
          <w:color w:val="1B1C1D"/>
          <w:szCs w:val="24"/>
        </w:rPr>
        <w:t>F</w:t>
      </w:r>
      <w:r>
        <w:rPr>
          <w:rFonts w:cs="Times New Roman"/>
          <w:bCs/>
          <w:color w:val="1B1C1D"/>
          <w:szCs w:val="24"/>
        </w:rPr>
        <w:t xml:space="preserve">uerza </w:t>
      </w:r>
      <w:r w:rsidR="00F5391B">
        <w:rPr>
          <w:rFonts w:cs="Times New Roman"/>
          <w:bCs/>
          <w:color w:val="1B1C1D"/>
          <w:szCs w:val="24"/>
        </w:rPr>
        <w:t>A</w:t>
      </w:r>
      <w:r>
        <w:rPr>
          <w:rFonts w:cs="Times New Roman"/>
          <w:bCs/>
          <w:color w:val="1B1C1D"/>
          <w:szCs w:val="24"/>
        </w:rPr>
        <w:t>rmada</w:t>
      </w:r>
    </w:p>
    <w:p w14:paraId="0345DCB2" w14:textId="5FBD6988" w:rsidR="006E469E" w:rsidRDefault="006E469E" w:rsidP="006E469E">
      <w:pPr>
        <w:jc w:val="center"/>
        <w:rPr>
          <w:rFonts w:cs="Times New Roman"/>
          <w:bCs/>
          <w:color w:val="1B1C1D"/>
          <w:szCs w:val="24"/>
        </w:rPr>
      </w:pPr>
      <w:r>
        <w:rPr>
          <w:rFonts w:cs="Times New Roman"/>
          <w:bCs/>
          <w:color w:val="1B1C1D"/>
          <w:szCs w:val="24"/>
        </w:rPr>
        <w:t xml:space="preserve">Ingeniería de </w:t>
      </w:r>
      <w:r w:rsidR="00F5391B">
        <w:rPr>
          <w:rFonts w:cs="Times New Roman"/>
          <w:bCs/>
          <w:color w:val="1B1C1D"/>
          <w:szCs w:val="24"/>
        </w:rPr>
        <w:t>S</w:t>
      </w:r>
      <w:r>
        <w:rPr>
          <w:rFonts w:cs="Times New Roman"/>
          <w:bCs/>
          <w:color w:val="1B1C1D"/>
          <w:szCs w:val="24"/>
        </w:rPr>
        <w:t>istemas</w:t>
      </w:r>
    </w:p>
    <w:p w14:paraId="5AB89899" w14:textId="4334A85D" w:rsidR="006E469E" w:rsidRDefault="006E469E" w:rsidP="006E469E">
      <w:pPr>
        <w:jc w:val="center"/>
        <w:rPr>
          <w:rFonts w:cs="Times New Roman"/>
          <w:bCs/>
          <w:color w:val="1B1C1D"/>
          <w:szCs w:val="24"/>
        </w:rPr>
      </w:pPr>
      <w:r>
        <w:rPr>
          <w:rFonts w:cs="Times New Roman"/>
          <w:bCs/>
          <w:color w:val="1B1C1D"/>
          <w:szCs w:val="24"/>
        </w:rPr>
        <w:t xml:space="preserve">Gerencia de la </w:t>
      </w:r>
      <w:r w:rsidR="00F5391B">
        <w:rPr>
          <w:rFonts w:cs="Times New Roman"/>
          <w:bCs/>
          <w:color w:val="1B1C1D"/>
          <w:szCs w:val="24"/>
        </w:rPr>
        <w:t>I</w:t>
      </w:r>
      <w:r>
        <w:rPr>
          <w:rFonts w:cs="Times New Roman"/>
          <w:bCs/>
          <w:color w:val="1B1C1D"/>
          <w:szCs w:val="24"/>
        </w:rPr>
        <w:t>nformática</w:t>
      </w:r>
    </w:p>
    <w:p w14:paraId="0DF9BD7F" w14:textId="0BC6ECAC" w:rsidR="00F5391B" w:rsidRDefault="00F5391B" w:rsidP="006E469E">
      <w:pPr>
        <w:jc w:val="center"/>
        <w:rPr>
          <w:rFonts w:cs="Times New Roman"/>
          <w:bCs/>
          <w:color w:val="1B1C1D"/>
          <w:szCs w:val="24"/>
        </w:rPr>
      </w:pPr>
      <w:r>
        <w:rPr>
          <w:rFonts w:cs="Times New Roman"/>
          <w:bCs/>
          <w:color w:val="1B1C1D"/>
          <w:szCs w:val="24"/>
        </w:rPr>
        <w:t>PhD. José Leonardo Márquez</w:t>
      </w:r>
    </w:p>
    <w:p w14:paraId="508FA2A5" w14:textId="053F6C23" w:rsidR="00F5391B" w:rsidRPr="006E469E" w:rsidRDefault="00EE15AD" w:rsidP="006E469E">
      <w:pPr>
        <w:jc w:val="center"/>
        <w:rPr>
          <w:rFonts w:cs="Times New Roman"/>
          <w:bCs/>
          <w:color w:val="1B1C1D"/>
          <w:szCs w:val="24"/>
        </w:rPr>
      </w:pPr>
      <w:r>
        <w:rPr>
          <w:rFonts w:cs="Times New Roman"/>
          <w:bCs/>
          <w:color w:val="1B1C1D"/>
          <w:szCs w:val="24"/>
        </w:rPr>
        <w:t>01</w:t>
      </w:r>
      <w:r w:rsidR="00F5391B">
        <w:rPr>
          <w:rFonts w:cs="Times New Roman"/>
          <w:bCs/>
          <w:color w:val="1B1C1D"/>
          <w:szCs w:val="24"/>
        </w:rPr>
        <w:t xml:space="preserve"> de </w:t>
      </w:r>
      <w:r>
        <w:rPr>
          <w:rFonts w:cs="Times New Roman"/>
          <w:bCs/>
          <w:color w:val="1B1C1D"/>
          <w:szCs w:val="24"/>
        </w:rPr>
        <w:t>mayo de 2025</w:t>
      </w:r>
    </w:p>
    <w:p w14:paraId="25262ADD" w14:textId="6FCBAE49" w:rsidR="006E469E" w:rsidRDefault="006E469E" w:rsidP="006E469E">
      <w:pPr>
        <w:jc w:val="center"/>
        <w:rPr>
          <w:rFonts w:cs="Times New Roman"/>
          <w:b/>
          <w:color w:val="1B1C1D"/>
          <w:szCs w:val="24"/>
        </w:rPr>
      </w:pPr>
      <w:r>
        <w:rPr>
          <w:rFonts w:cs="Times New Roman"/>
          <w:b/>
          <w:color w:val="1B1C1D"/>
          <w:szCs w:val="24"/>
        </w:rPr>
        <w:br w:type="page"/>
      </w:r>
    </w:p>
    <w:p w14:paraId="15F61266" w14:textId="77777777" w:rsidR="00EE15AD" w:rsidRPr="00EE15AD" w:rsidRDefault="00EE15AD" w:rsidP="00EE15AD">
      <w:pPr>
        <w:pStyle w:val="Ttulo1"/>
        <w:spacing w:before="0" w:after="0"/>
        <w:rPr>
          <w:rFonts w:ascii="Times" w:hAnsi="Times" w:cs="Times"/>
          <w:color w:val="1B1C1D"/>
          <w:sz w:val="24"/>
          <w:szCs w:val="24"/>
        </w:rPr>
      </w:pPr>
      <w:r w:rsidRPr="00EE15AD">
        <w:rPr>
          <w:rFonts w:ascii="Times" w:hAnsi="Times" w:cs="Times"/>
          <w:color w:val="1B1C1D"/>
          <w:sz w:val="24"/>
          <w:szCs w:val="24"/>
        </w:rPr>
        <w:lastRenderedPageBreak/>
        <w:t>La Gerencia de la Informática: Evolución, Planificación y Estrategia en la Era Digital</w:t>
      </w:r>
    </w:p>
    <w:p w14:paraId="27F4F3C0" w14:textId="77777777" w:rsidR="004C0D62" w:rsidRDefault="004C0D62" w:rsidP="004C0D62">
      <w:r>
        <w:t>El área de la informática, de soporte técnico a actor estratégico vital, exige gestión integrada con objetivos de negocio. Este ensayo explora su evolución, planificación, gerencia y tendencias, vinculándolas con principios administrativos.</w:t>
      </w:r>
    </w:p>
    <w:p w14:paraId="7B37CBE9" w14:textId="77777777" w:rsidR="004C0D62" w:rsidRDefault="004C0D62" w:rsidP="004C0D62">
      <w:r>
        <w:t xml:space="preserve">La evolución informática se ve en sus modelos básicos y organización de servicios. Pasó de mainframes centralizados a arquitecturas distribuidas 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(Laudon, 2004). Esto cambió estructuras de TI de jerárquicas (Fayol, 1983) a flexibles y multidisciplinarias (Chiavenato, 2002). La organización de servicios se profesionalizó con ITIL (Alonso, 2005), optimizando eficiencia y satisfacción. La tecnología es agente de cambio en el desarrollo organizacional (</w:t>
      </w:r>
      <w:proofErr w:type="spellStart"/>
      <w:r>
        <w:t>Etkin</w:t>
      </w:r>
      <w:proofErr w:type="spellEnd"/>
      <w:r>
        <w:t>, 2005), reconfigurando procesos y cultura.</w:t>
      </w:r>
    </w:p>
    <w:p w14:paraId="2696AE92" w14:textId="77777777" w:rsidR="004C0D62" w:rsidRDefault="004C0D62" w:rsidP="004C0D62">
      <w:r>
        <w:t>La planificación informática es indispensable para alinear TI y negocio, siendo "esqueleto de la competitividad" (Laudon, 2004). Ayuda a mitigar riesgos (Llorens, 2005). Modelos siguen el ciclo de vida de sistemas (Kendall &amp; Kendall, 1991). La mejora continua en infraestructura y procesos utiliza modelos como PDCA (Juran, 1990), abarcando requerimientos técnicos y humanos (Chiavenato, 2002).</w:t>
      </w:r>
    </w:p>
    <w:p w14:paraId="7DB3D381" w14:textId="77777777" w:rsidR="004C0D62" w:rsidRDefault="004C0D62" w:rsidP="004C0D62">
      <w:r>
        <w:t>La gerencia en informática impulsa productividad (Meyer, 1990) e innovación (</w:t>
      </w:r>
      <w:proofErr w:type="spellStart"/>
      <w:r>
        <w:t>Etkin</w:t>
      </w:r>
      <w:proofErr w:type="spellEnd"/>
      <w:r>
        <w:t>, 2005). Sus áreas básicas incluyen gestión de proyectos (Llorens, 2005), talento (Chiavenato, 2002) e infraestructura (</w:t>
      </w:r>
      <w:proofErr w:type="spellStart"/>
      <w:r>
        <w:t>Hawryszkiewycz</w:t>
      </w:r>
      <w:proofErr w:type="spellEnd"/>
      <w:r>
        <w:t>, 1991). La organización gerencial a menudo es matricial, con el CIO reportando a la alta dirección (Laudon, 2004).</w:t>
      </w:r>
    </w:p>
    <w:p w14:paraId="76C5EC1A" w14:textId="77777777" w:rsidR="004C0D62" w:rsidRDefault="004C0D62" w:rsidP="004C0D62">
      <w:r>
        <w:t>Las tendencias actuales dictan necesidades y estrategias. Destacan Low-</w:t>
      </w:r>
      <w:proofErr w:type="spellStart"/>
      <w:r>
        <w:t>Code</w:t>
      </w:r>
      <w:proofErr w:type="spellEnd"/>
      <w:r>
        <w:t>/No-</w:t>
      </w:r>
      <w:proofErr w:type="spellStart"/>
      <w:r>
        <w:t>Code</w:t>
      </w:r>
      <w:proofErr w:type="spellEnd"/>
      <w:r>
        <w:t xml:space="preserve"> (Alonso, 2005) y la ciberseguridad (Kendall, 2005). Las estrategias incluyen IT </w:t>
      </w:r>
      <w:proofErr w:type="spellStart"/>
      <w:r>
        <w:t>Governance</w:t>
      </w:r>
      <w:proofErr w:type="spellEnd"/>
      <w:r>
        <w:t xml:space="preserve"> (Laudon, 2004) y un enfoque en la experiencia del usuario (</w:t>
      </w:r>
      <w:proofErr w:type="spellStart"/>
      <w:r>
        <w:t>Horovitz</w:t>
      </w:r>
      <w:proofErr w:type="spellEnd"/>
      <w:r>
        <w:t>, 1990).</w:t>
      </w:r>
    </w:p>
    <w:p w14:paraId="21FFA58C" w14:textId="77777777" w:rsidR="004C0D62" w:rsidRDefault="004C0D62" w:rsidP="004C0D62">
      <w:r>
        <w:lastRenderedPageBreak/>
        <w:t>Estos aspectos se vinculan con conceptos fundamentales de administración y gerencia. Administrar TI aplica principios de Fayol (1983) y Taylor (1994) a recursos tecnológicos (Laudon, 2004). Principios como división del trabajo y unidad de mando se reflejan en TI (Chiavenato, 2002; Kendall &amp; Kendall, 1991). Las funciones del gerente de TI son aplicaciones de funciones gerenciales clásicas (Juran, 1990). Las habilidades críticas van más allá de lo técnico (Alonso, 2005), incluyendo interpersonales (</w:t>
      </w:r>
      <w:proofErr w:type="spellStart"/>
      <w:r>
        <w:t>Etkin</w:t>
      </w:r>
      <w:proofErr w:type="spellEnd"/>
      <w:r>
        <w:t>, 2005). Las tendencias gerenciales en TI, como el liderazgo adaptativo (Lewin &amp; Kelly, 1990), gestionan cambio y agilidad.</w:t>
      </w:r>
    </w:p>
    <w:p w14:paraId="677EA853" w14:textId="77777777" w:rsidR="004C0D62" w:rsidRDefault="004C0D62" w:rsidP="004C0D62">
      <w:r>
        <w:t>En síntesis, la gerencia de la informática integra evolución tecnológica y principios administrativos para el éxito organizacional. Planificación estratégica, organización eficiente, gerencia con visión de negocio y adaptación a tendencias son clave. La integración técnico-humana y la alineación con objetivos estratégicos, usando sistemas de información gerencial (Laudon, 2004), son fundamentales.</w:t>
      </w:r>
    </w:p>
    <w:p w14:paraId="0D4CE517" w14:textId="77777777" w:rsidR="004C0D62" w:rsidRDefault="004C0D62">
      <w:pPr>
        <w:spacing w:line="240" w:lineRule="auto"/>
        <w:ind w:firstLine="0"/>
      </w:pPr>
      <w:r>
        <w:br w:type="page"/>
      </w:r>
    </w:p>
    <w:p w14:paraId="010C6866" w14:textId="479A80D2" w:rsidR="004C0D62" w:rsidRPr="004C0D62" w:rsidRDefault="004C0D62" w:rsidP="004C0D62">
      <w:pPr>
        <w:rPr>
          <w:b/>
          <w:bCs/>
        </w:rPr>
      </w:pPr>
      <w:r w:rsidRPr="004C0D62">
        <w:rPr>
          <w:b/>
          <w:bCs/>
        </w:rPr>
        <w:lastRenderedPageBreak/>
        <w:t>Referencias</w:t>
      </w:r>
    </w:p>
    <w:p w14:paraId="540DC847" w14:textId="77777777" w:rsidR="004C0D62" w:rsidRDefault="004C0D62" w:rsidP="004C0D62">
      <w:r>
        <w:t>Alonso, G. (2005). Gestión de servicios de tecnologías de información. Pearson Educación.</w:t>
      </w:r>
    </w:p>
    <w:p w14:paraId="2FC9209D" w14:textId="77777777" w:rsidR="004C0D62" w:rsidRDefault="004C0D62" w:rsidP="004C0D62">
      <w:r>
        <w:t>Chiavenato, I. (2002). Administración de recursos humanos. McGraw-Hill.</w:t>
      </w:r>
    </w:p>
    <w:p w14:paraId="51F4FDA7" w14:textId="77777777" w:rsidR="004C0D62" w:rsidRDefault="004C0D62" w:rsidP="004C0D62">
      <w:proofErr w:type="spellStart"/>
      <w:r>
        <w:t>Etkin</w:t>
      </w:r>
      <w:proofErr w:type="spellEnd"/>
      <w:r>
        <w:t>, J. (2005). Gestión de la complejidad en las organizaciones. Ediciones Granica.</w:t>
      </w:r>
    </w:p>
    <w:p w14:paraId="3EB3C89C" w14:textId="77777777" w:rsidR="004C0D62" w:rsidRPr="004C0D62" w:rsidRDefault="004C0D62" w:rsidP="004C0D62">
      <w:pPr>
        <w:rPr>
          <w:lang w:val="en-US"/>
        </w:rPr>
      </w:pPr>
      <w:r>
        <w:t xml:space="preserve">Fayol, H. (1983). Administración industrial y general. Ediciones Orbis. </w:t>
      </w:r>
      <w:r w:rsidRPr="004C0D62">
        <w:rPr>
          <w:lang w:val="en-US"/>
        </w:rPr>
        <w:t xml:space="preserve">(Obra original </w:t>
      </w:r>
      <w:proofErr w:type="spellStart"/>
      <w:r w:rsidRPr="004C0D62">
        <w:rPr>
          <w:lang w:val="en-US"/>
        </w:rPr>
        <w:t>publicada</w:t>
      </w:r>
      <w:proofErr w:type="spellEnd"/>
      <w:r w:rsidRPr="004C0D62">
        <w:rPr>
          <w:lang w:val="en-US"/>
        </w:rPr>
        <w:t xml:space="preserve"> </w:t>
      </w:r>
      <w:proofErr w:type="spellStart"/>
      <w:r w:rsidRPr="004C0D62">
        <w:rPr>
          <w:lang w:val="en-US"/>
        </w:rPr>
        <w:t>en</w:t>
      </w:r>
      <w:proofErr w:type="spellEnd"/>
      <w:r w:rsidRPr="004C0D62">
        <w:rPr>
          <w:lang w:val="en-US"/>
        </w:rPr>
        <w:t xml:space="preserve"> 1916)</w:t>
      </w:r>
    </w:p>
    <w:p w14:paraId="1223D374" w14:textId="77777777" w:rsidR="004C0D62" w:rsidRDefault="004C0D62" w:rsidP="004C0D62">
      <w:proofErr w:type="spellStart"/>
      <w:r w:rsidRPr="004C0D62">
        <w:rPr>
          <w:lang w:val="en-US"/>
        </w:rPr>
        <w:t>Hawryszkiewycz</w:t>
      </w:r>
      <w:proofErr w:type="spellEnd"/>
      <w:r w:rsidRPr="004C0D62">
        <w:rPr>
          <w:lang w:val="en-US"/>
        </w:rPr>
        <w:t xml:space="preserve">, I. T. (1991). Introduction to systems analysis and design. </w:t>
      </w:r>
      <w:r>
        <w:t>Prentice Hall.</w:t>
      </w:r>
    </w:p>
    <w:p w14:paraId="0373C743" w14:textId="77777777" w:rsidR="004C0D62" w:rsidRPr="004C0D62" w:rsidRDefault="004C0D62" w:rsidP="004C0D62">
      <w:pPr>
        <w:rPr>
          <w:lang w:val="en-US"/>
        </w:rPr>
      </w:pPr>
      <w:proofErr w:type="spellStart"/>
      <w:r>
        <w:t>Horovitz</w:t>
      </w:r>
      <w:proofErr w:type="spellEnd"/>
      <w:r>
        <w:t xml:space="preserve">, J. (1990). La calidad del servicio: A la conquista del cliente. </w:t>
      </w:r>
      <w:r w:rsidRPr="004C0D62">
        <w:rPr>
          <w:lang w:val="en-US"/>
        </w:rPr>
        <w:t>McGraw-Hill.</w:t>
      </w:r>
    </w:p>
    <w:p w14:paraId="0BAFF8B6" w14:textId="77777777" w:rsidR="004C0D62" w:rsidRPr="004C0D62" w:rsidRDefault="004C0D62" w:rsidP="004C0D62">
      <w:pPr>
        <w:rPr>
          <w:lang w:val="en-US"/>
        </w:rPr>
      </w:pPr>
      <w:r w:rsidRPr="004C0D62">
        <w:rPr>
          <w:lang w:val="en-US"/>
        </w:rPr>
        <w:t>Juran, J. M. (1990). Juran on quality planning. Free Press.</w:t>
      </w:r>
    </w:p>
    <w:p w14:paraId="78E50766" w14:textId="77777777" w:rsidR="004C0D62" w:rsidRPr="004C0D62" w:rsidRDefault="004C0D62" w:rsidP="004C0D62">
      <w:pPr>
        <w:rPr>
          <w:lang w:val="en-US"/>
        </w:rPr>
      </w:pPr>
      <w:r>
        <w:t xml:space="preserve">Kendall, K. E. (2005). Análisis y diseño de sistemas (6a ed.). </w:t>
      </w:r>
      <w:r w:rsidRPr="004C0D62">
        <w:rPr>
          <w:lang w:val="en-US"/>
        </w:rPr>
        <w:t xml:space="preserve">Pearson </w:t>
      </w:r>
      <w:proofErr w:type="spellStart"/>
      <w:r w:rsidRPr="004C0D62">
        <w:rPr>
          <w:lang w:val="en-US"/>
        </w:rPr>
        <w:t>Educación</w:t>
      </w:r>
      <w:proofErr w:type="spellEnd"/>
      <w:r w:rsidRPr="004C0D62">
        <w:rPr>
          <w:lang w:val="en-US"/>
        </w:rPr>
        <w:t>.</w:t>
      </w:r>
    </w:p>
    <w:p w14:paraId="0559D77C" w14:textId="77777777" w:rsidR="004C0D62" w:rsidRDefault="004C0D62" w:rsidP="004C0D62">
      <w:r w:rsidRPr="004C0D62">
        <w:rPr>
          <w:lang w:val="en-US"/>
        </w:rPr>
        <w:t xml:space="preserve">Kendall, K. E., &amp; Kendall, J. E. (1991). </w:t>
      </w:r>
      <w:r>
        <w:t>Análisis y diseño de sistemas. Prentice-Hall Hispanoamericana.</w:t>
      </w:r>
    </w:p>
    <w:p w14:paraId="62AC543C" w14:textId="77777777" w:rsidR="004C0D62" w:rsidRPr="004C0D62" w:rsidRDefault="004C0D62" w:rsidP="004C0D62">
      <w:pPr>
        <w:rPr>
          <w:lang w:val="en-US"/>
        </w:rPr>
      </w:pPr>
      <w:r>
        <w:t xml:space="preserve">Laudon, K. C. (2004). Sistemas de información gerencial: Administración de la empresa digital. </w:t>
      </w:r>
      <w:r w:rsidRPr="004C0D62">
        <w:rPr>
          <w:lang w:val="en-US"/>
        </w:rPr>
        <w:t xml:space="preserve">Pearson </w:t>
      </w:r>
      <w:proofErr w:type="spellStart"/>
      <w:r w:rsidRPr="004C0D62">
        <w:rPr>
          <w:lang w:val="en-US"/>
        </w:rPr>
        <w:t>Educación</w:t>
      </w:r>
      <w:proofErr w:type="spellEnd"/>
      <w:r w:rsidRPr="004C0D62">
        <w:rPr>
          <w:lang w:val="en-US"/>
        </w:rPr>
        <w:t>.</w:t>
      </w:r>
    </w:p>
    <w:p w14:paraId="082877BD" w14:textId="77777777" w:rsidR="004C0D62" w:rsidRDefault="004C0D62" w:rsidP="004C0D62">
      <w:r w:rsidRPr="004C0D62">
        <w:rPr>
          <w:lang w:val="en-US"/>
        </w:rPr>
        <w:t xml:space="preserve">Lewin, K., &amp; Kelly, D. (1990). Resolving social conflicts and field theory in social science. </w:t>
      </w:r>
      <w:r>
        <w:t xml:space="preserve">American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>.</w:t>
      </w:r>
    </w:p>
    <w:p w14:paraId="13863D64" w14:textId="77777777" w:rsidR="004C0D62" w:rsidRDefault="004C0D62" w:rsidP="004C0D62">
      <w:r>
        <w:t>Llorens, F. (2005). Gestión de proyectos informáticos. McGraw-Hill.</w:t>
      </w:r>
    </w:p>
    <w:p w14:paraId="1FEDF3DB" w14:textId="77777777" w:rsidR="004C0D62" w:rsidRDefault="004C0D62" w:rsidP="004C0D62">
      <w:r w:rsidRPr="004C0D62">
        <w:rPr>
          <w:lang w:val="en-US"/>
        </w:rPr>
        <w:t xml:space="preserve">Meyer, M. H. (1990). Managing technology in a competitive environment. </w:t>
      </w:r>
      <w:r>
        <w:t xml:space="preserve">Free </w:t>
      </w:r>
      <w:proofErr w:type="spellStart"/>
      <w:r>
        <w:t>Press</w:t>
      </w:r>
      <w:proofErr w:type="spellEnd"/>
      <w:r>
        <w:t>.</w:t>
      </w:r>
    </w:p>
    <w:p w14:paraId="06B0D9D3" w14:textId="77777777" w:rsidR="004C0D62" w:rsidRDefault="004C0D62" w:rsidP="004C0D62">
      <w:r>
        <w:t>Taylor, F. W. (1994). Principios de la administración científica. Ediciones Orbis. (Obra original publicada en 1911)</w:t>
      </w:r>
    </w:p>
    <w:p w14:paraId="0000001A" w14:textId="49A12F25" w:rsidR="009C3DCF" w:rsidRPr="006E469E" w:rsidRDefault="004C0D62" w:rsidP="004C0D62">
      <w:pPr>
        <w:rPr>
          <w:rFonts w:eastAsia="Google Sans Text" w:cs="Times New Roman"/>
        </w:rPr>
      </w:pPr>
      <w:r>
        <w:t>Udaondo, M. (1991). Sistemas de información para la gestión. Pirámide.</w:t>
      </w:r>
    </w:p>
    <w:sectPr w:rsidR="009C3DCF" w:rsidRPr="006E469E" w:rsidSect="006E469E">
      <w:headerReference w:type="default" r:id="rId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28297" w14:textId="77777777" w:rsidR="00487DB4" w:rsidRDefault="00487DB4" w:rsidP="006E469E">
      <w:pPr>
        <w:spacing w:line="240" w:lineRule="auto"/>
      </w:pPr>
      <w:r>
        <w:separator/>
      </w:r>
    </w:p>
  </w:endnote>
  <w:endnote w:type="continuationSeparator" w:id="0">
    <w:p w14:paraId="0F557FF0" w14:textId="77777777" w:rsidR="00487DB4" w:rsidRDefault="00487DB4" w:rsidP="006E46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06987A0-AAC3-4D88-8F30-78C6ADDFB12A}"/>
    <w:embedItalic r:id="rId2" w:fontKey="{127DDE7C-B5DB-46F2-AE56-572799EFC16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3B83B56-2664-440E-A18E-328B1712C780}"/>
    <w:embedBold r:id="rId4" w:fontKey="{EB4E3290-3643-497F-8486-B7FCE36B3E21}"/>
  </w:font>
  <w:font w:name="Google Sans Text">
    <w:charset w:val="00"/>
    <w:family w:val="auto"/>
    <w:pitch w:val="default"/>
    <w:embedRegular r:id="rId5" w:fontKey="{9F3027F6-CC67-41E4-980A-414A459290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CBA73A2-401E-425E-8261-F72BD42AD1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27FD608-AF6E-468A-BB1E-A3A07CDBC2A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137EA9" w14:textId="77777777" w:rsidR="00487DB4" w:rsidRDefault="00487DB4" w:rsidP="006E469E">
      <w:pPr>
        <w:spacing w:line="240" w:lineRule="auto"/>
      </w:pPr>
      <w:r>
        <w:separator/>
      </w:r>
    </w:p>
  </w:footnote>
  <w:footnote w:type="continuationSeparator" w:id="0">
    <w:p w14:paraId="32CB7AF1" w14:textId="77777777" w:rsidR="00487DB4" w:rsidRDefault="00487DB4" w:rsidP="006E46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46489906"/>
      <w:docPartObj>
        <w:docPartGallery w:val="Page Numbers (Top of Page)"/>
        <w:docPartUnique/>
      </w:docPartObj>
    </w:sdtPr>
    <w:sdtContent>
      <w:p w14:paraId="312615EE" w14:textId="0FA661EA" w:rsidR="006E469E" w:rsidRDefault="006E469E" w:rsidP="006E469E">
        <w:pPr>
          <w:pStyle w:val="Encabezado"/>
          <w:spacing w:before="24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E828287" w14:textId="77777777" w:rsidR="006E469E" w:rsidRDefault="006E469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DCF"/>
    <w:rsid w:val="002B3E82"/>
    <w:rsid w:val="00487DB4"/>
    <w:rsid w:val="004C0D62"/>
    <w:rsid w:val="006E469E"/>
    <w:rsid w:val="007E50B3"/>
    <w:rsid w:val="008515BA"/>
    <w:rsid w:val="009C3DCF"/>
    <w:rsid w:val="00A53D4B"/>
    <w:rsid w:val="00D26962"/>
    <w:rsid w:val="00EE15AD"/>
    <w:rsid w:val="00EF52F4"/>
    <w:rsid w:val="00F5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F2D54"/>
  <w15:docId w15:val="{B2205305-69E1-4999-9AA0-CEBA5201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VE" w:eastAsia="es-V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91B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6E469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E469E"/>
  </w:style>
  <w:style w:type="paragraph" w:styleId="Piedepgina">
    <w:name w:val="footer"/>
    <w:basedOn w:val="Normal"/>
    <w:link w:val="PiedepginaCar"/>
    <w:uiPriority w:val="99"/>
    <w:unhideWhenUsed/>
    <w:rsid w:val="006E469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E469E"/>
  </w:style>
  <w:style w:type="paragraph" w:styleId="NormalWeb">
    <w:name w:val="Normal (Web)"/>
    <w:basedOn w:val="Normal"/>
    <w:uiPriority w:val="99"/>
    <w:semiHidden/>
    <w:unhideWhenUsed/>
    <w:rsid w:val="00EE15AD"/>
    <w:pPr>
      <w:widowControl/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686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Hernández</dc:creator>
  <cp:lastModifiedBy>Manuel Hernández</cp:lastModifiedBy>
  <cp:revision>4</cp:revision>
  <cp:lastPrinted>2025-05-02T00:41:00Z</cp:lastPrinted>
  <dcterms:created xsi:type="dcterms:W3CDTF">2025-05-02T00:37:00Z</dcterms:created>
  <dcterms:modified xsi:type="dcterms:W3CDTF">2025-05-02T01:24:00Z</dcterms:modified>
</cp:coreProperties>
</file>