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565C0"/>
          <w:sz w:val="36"/>
        </w:rPr>
        <w:t>SQ26 — ISIC Rev.5 Classification Report</w:t>
      </w:r>
    </w:p>
    <w:p>
      <w:pPr>
        <w:spacing w:after="40"/>
        <w:jc w:val="center"/>
      </w:pPr>
      <w:r>
        <w:rPr>
          <w:color w:val="555555"/>
          <w:sz w:val="26"/>
        </w:rPr>
        <w:t>Repository 1: Zenodo  ·  39,405 projects</w:t>
      </w:r>
    </w:p>
    <w:p>
      <w:pPr>
        <w:spacing w:after="320"/>
        <w:jc w:val="center"/>
      </w:pPr>
      <w:r>
        <w:rPr>
          <w:color w:val="AAAAAA"/>
          <w:sz w:val="18"/>
        </w:rPr>
        <w:t>Student ID: 23692652  ·  FAU Erlangen-Nürnberg  ·  SQ26 Project  ·  July 2026</w:t>
      </w:r>
    </w:p>
    <w:p>
      <w:pPr>
        <w:spacing w:before="280" w:after="80"/>
        <w:pBdr>
          <w:bottom w:val="single" w:sz="6" w:space="1" w:color="1565C0"/>
        </w:pBdr>
      </w:pPr>
      <w:r>
        <w:rPr>
          <w:b/>
          <w:color w:val="1565C0"/>
          <w:sz w:val="30"/>
        </w:rPr>
        <w:t>1. Primary ISIC Section Distribution</w:t>
      </w:r>
    </w:p>
    <w:p>
      <w:pPr>
        <w:jc w:val="center"/>
      </w:pPr>
      <w:r>
        <w:drawing>
          <wp:inline xmlns:a="http://schemas.openxmlformats.org/drawingml/2006/main" xmlns:pic="http://schemas.openxmlformats.org/drawingml/2006/picture">
            <wp:extent cx="5486400" cy="229735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297359"/>
                    </a:xfrm>
                    <a:prstGeom prst="rect"/>
                  </pic:spPr>
                </pic:pic>
              </a:graphicData>
            </a:graphic>
          </wp:inline>
        </w:drawing>
      </w:r>
    </w:p>
    <w:p/>
    <w:p>
      <w:pPr>
        <w:spacing w:before="200" w:after="80"/>
      </w:pPr>
      <w:r>
        <w:rPr>
          <w:b/>
          <w:color w:val="1565C0"/>
          <w:sz w:val="24"/>
        </w:rPr>
        <w:t>Section Distribution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shd w:val="clear" w:color="auto" w:fill="1565C0"/>
          </w:tcPr>
          <w:p>
            <w:pPr>
              <w:spacing w:after="20" w:before="20"/>
            </w:pPr>
            <w:r>
              <w:rPr>
                <w:b/>
                <w:color w:val="FFFFFF"/>
                <w:sz w:val="18"/>
              </w:rPr>
              <w:t>Section</w:t>
            </w:r>
          </w:p>
        </w:tc>
        <w:tc>
          <w:tcPr>
            <w:tcW w:type="dxa" w:w="5102"/>
            <w:shd w:val="clear" w:color="auto" w:fill="1565C0"/>
          </w:tcPr>
          <w:p>
            <w:pPr>
              <w:spacing w:after="20" w:before="20"/>
            </w:pPr>
            <w:r>
              <w:rPr>
                <w:b/>
                <w:color w:val="FFFFFF"/>
                <w:sz w:val="18"/>
              </w:rPr>
              <w:t>Name</w:t>
            </w:r>
          </w:p>
        </w:tc>
        <w:tc>
          <w:tcPr>
            <w:tcW w:type="dxa" w:w="1417"/>
            <w:shd w:val="clear" w:color="auto" w:fill="1565C0"/>
          </w:tcPr>
          <w:p>
            <w:pPr>
              <w:spacing w:after="20" w:before="20"/>
            </w:pPr>
            <w:r>
              <w:rPr>
                <w:b/>
                <w:color w:val="FFFFFF"/>
                <w:sz w:val="18"/>
              </w:rPr>
              <w:t>Projects</w:t>
            </w:r>
          </w:p>
        </w:tc>
        <w:tc>
          <w:tcPr>
            <w:tcW w:type="dxa" w:w="1020"/>
            <w:shd w:val="clear" w:color="auto" w:fill="1565C0"/>
          </w:tcPr>
          <w:p>
            <w:pPr>
              <w:spacing w:after="20" w:before="20"/>
            </w:pPr>
            <w:r>
              <w:rPr>
                <w:b/>
                <w:color w:val="FFFFFF"/>
                <w:sz w:val="18"/>
              </w:rPr>
              <w:t>%</w:t>
            </w:r>
          </w:p>
        </w:tc>
      </w:tr>
      <w:tr>
        <w:tc>
          <w:tcPr>
            <w:tcW w:type="dxa" w:w="850"/>
            <w:shd w:val="clear" w:color="auto" w:fill="E3F2FD"/>
          </w:tcPr>
          <w:p>
            <w:pPr>
              <w:spacing w:after="20" w:before="20"/>
            </w:pPr>
            <w:r>
              <w:rPr>
                <w:sz w:val="18"/>
              </w:rPr>
              <w:t>N</w:t>
            </w:r>
          </w:p>
        </w:tc>
        <w:tc>
          <w:tcPr>
            <w:tcW w:type="dxa" w:w="5102"/>
            <w:shd w:val="clear" w:color="auto" w:fill="E3F2FD"/>
          </w:tcPr>
          <w:p>
            <w:pPr>
              <w:spacing w:after="20" w:before="20"/>
            </w:pPr>
            <w:r>
              <w:rPr>
                <w:sz w:val="18"/>
              </w:rPr>
              <w:t>Professional, scientific and technical activities</w:t>
            </w:r>
          </w:p>
        </w:tc>
        <w:tc>
          <w:tcPr>
            <w:tcW w:type="dxa" w:w="1417"/>
            <w:shd w:val="clear" w:color="auto" w:fill="E3F2FD"/>
          </w:tcPr>
          <w:p>
            <w:pPr>
              <w:spacing w:after="20" w:before="20"/>
            </w:pPr>
            <w:r>
              <w:rPr>
                <w:sz w:val="18"/>
              </w:rPr>
              <w:t>8,896</w:t>
            </w:r>
          </w:p>
        </w:tc>
        <w:tc>
          <w:tcPr>
            <w:tcW w:type="dxa" w:w="1020"/>
            <w:shd w:val="clear" w:color="auto" w:fill="E3F2FD"/>
          </w:tcPr>
          <w:p>
            <w:pPr>
              <w:spacing w:after="20" w:before="20"/>
            </w:pPr>
            <w:r>
              <w:rPr>
                <w:sz w:val="18"/>
              </w:rPr>
              <w:t>22.6%</w:t>
            </w:r>
          </w:p>
        </w:tc>
      </w:tr>
      <w:tr>
        <w:tc>
          <w:tcPr>
            <w:tcW w:type="dxa" w:w="850"/>
          </w:tcPr>
          <w:p>
            <w:pPr>
              <w:spacing w:after="20" w:before="20"/>
            </w:pPr>
            <w:r>
              <w:rPr>
                <w:sz w:val="18"/>
              </w:rPr>
              <w:t>A</w:t>
            </w:r>
          </w:p>
        </w:tc>
        <w:tc>
          <w:tcPr>
            <w:tcW w:type="dxa" w:w="5102"/>
          </w:tcPr>
          <w:p>
            <w:pPr>
              <w:spacing w:after="20" w:before="20"/>
            </w:pPr>
            <w:r>
              <w:rPr>
                <w:sz w:val="18"/>
              </w:rPr>
              <w:t>Agriculture, forestry and fishing</w:t>
            </w:r>
          </w:p>
        </w:tc>
        <w:tc>
          <w:tcPr>
            <w:tcW w:type="dxa" w:w="1417"/>
          </w:tcPr>
          <w:p>
            <w:pPr>
              <w:spacing w:after="20" w:before="20"/>
            </w:pPr>
            <w:r>
              <w:rPr>
                <w:sz w:val="18"/>
              </w:rPr>
              <w:t>7,553</w:t>
            </w:r>
          </w:p>
        </w:tc>
        <w:tc>
          <w:tcPr>
            <w:tcW w:type="dxa" w:w="1020"/>
          </w:tcPr>
          <w:p>
            <w:pPr>
              <w:spacing w:after="20" w:before="20"/>
            </w:pPr>
            <w:r>
              <w:rPr>
                <w:sz w:val="18"/>
              </w:rPr>
              <w:t>19.2%</w:t>
            </w:r>
          </w:p>
        </w:tc>
      </w:tr>
      <w:tr>
        <w:tc>
          <w:tcPr>
            <w:tcW w:type="dxa" w:w="850"/>
            <w:shd w:val="clear" w:color="auto" w:fill="E3F2FD"/>
          </w:tcPr>
          <w:p>
            <w:pPr>
              <w:spacing w:after="20" w:before="20"/>
            </w:pPr>
            <w:r>
              <w:rPr>
                <w:sz w:val="18"/>
              </w:rPr>
              <w:t>Q</w:t>
            </w:r>
          </w:p>
        </w:tc>
        <w:tc>
          <w:tcPr>
            <w:tcW w:type="dxa" w:w="5102"/>
            <w:shd w:val="clear" w:color="auto" w:fill="E3F2FD"/>
          </w:tcPr>
          <w:p>
            <w:pPr>
              <w:spacing w:after="20" w:before="20"/>
            </w:pPr>
            <w:r>
              <w:rPr>
                <w:sz w:val="18"/>
              </w:rPr>
              <w:t>Education</w:t>
            </w:r>
          </w:p>
        </w:tc>
        <w:tc>
          <w:tcPr>
            <w:tcW w:type="dxa" w:w="1417"/>
            <w:shd w:val="clear" w:color="auto" w:fill="E3F2FD"/>
          </w:tcPr>
          <w:p>
            <w:pPr>
              <w:spacing w:after="20" w:before="20"/>
            </w:pPr>
            <w:r>
              <w:rPr>
                <w:sz w:val="18"/>
              </w:rPr>
              <w:t>5,224</w:t>
            </w:r>
          </w:p>
        </w:tc>
        <w:tc>
          <w:tcPr>
            <w:tcW w:type="dxa" w:w="1020"/>
            <w:shd w:val="clear" w:color="auto" w:fill="E3F2FD"/>
          </w:tcPr>
          <w:p>
            <w:pPr>
              <w:spacing w:after="20" w:before="20"/>
            </w:pPr>
            <w:r>
              <w:rPr>
                <w:sz w:val="18"/>
              </w:rPr>
              <w:t>13.3%</w:t>
            </w:r>
          </w:p>
        </w:tc>
      </w:tr>
      <w:tr>
        <w:tc>
          <w:tcPr>
            <w:tcW w:type="dxa" w:w="850"/>
          </w:tcPr>
          <w:p>
            <w:pPr>
              <w:spacing w:after="20" w:before="20"/>
            </w:pPr>
            <w:r>
              <w:rPr>
                <w:sz w:val="18"/>
              </w:rPr>
              <w:t>R</w:t>
            </w:r>
          </w:p>
        </w:tc>
        <w:tc>
          <w:tcPr>
            <w:tcW w:type="dxa" w:w="5102"/>
          </w:tcPr>
          <w:p>
            <w:pPr>
              <w:spacing w:after="20" w:before="20"/>
            </w:pPr>
            <w:r>
              <w:rPr>
                <w:sz w:val="18"/>
              </w:rPr>
              <w:t>Human health and social work activities</w:t>
            </w:r>
          </w:p>
        </w:tc>
        <w:tc>
          <w:tcPr>
            <w:tcW w:type="dxa" w:w="1417"/>
          </w:tcPr>
          <w:p>
            <w:pPr>
              <w:spacing w:after="20" w:before="20"/>
            </w:pPr>
            <w:r>
              <w:rPr>
                <w:sz w:val="18"/>
              </w:rPr>
              <w:t>5,023</w:t>
            </w:r>
          </w:p>
        </w:tc>
        <w:tc>
          <w:tcPr>
            <w:tcW w:type="dxa" w:w="1020"/>
          </w:tcPr>
          <w:p>
            <w:pPr>
              <w:spacing w:after="20" w:before="20"/>
            </w:pPr>
            <w:r>
              <w:rPr>
                <w:sz w:val="18"/>
              </w:rPr>
              <w:t>12.7%</w:t>
            </w:r>
          </w:p>
        </w:tc>
      </w:tr>
      <w:tr>
        <w:tc>
          <w:tcPr>
            <w:tcW w:type="dxa" w:w="850"/>
            <w:shd w:val="clear" w:color="auto" w:fill="E3F2FD"/>
          </w:tcPr>
          <w:p>
            <w:pPr>
              <w:spacing w:after="20" w:before="20"/>
            </w:pPr>
            <w:r>
              <w:rPr>
                <w:sz w:val="18"/>
              </w:rPr>
              <w:t>P</w:t>
            </w:r>
          </w:p>
        </w:tc>
        <w:tc>
          <w:tcPr>
            <w:tcW w:type="dxa" w:w="5102"/>
            <w:shd w:val="clear" w:color="auto" w:fill="E3F2FD"/>
          </w:tcPr>
          <w:p>
            <w:pPr>
              <w:spacing w:after="20" w:before="20"/>
            </w:pPr>
            <w:r>
              <w:rPr>
                <w:sz w:val="18"/>
              </w:rPr>
              <w:t>Public administration and defence; compulsory social security</w:t>
            </w:r>
          </w:p>
        </w:tc>
        <w:tc>
          <w:tcPr>
            <w:tcW w:type="dxa" w:w="1417"/>
            <w:shd w:val="clear" w:color="auto" w:fill="E3F2FD"/>
          </w:tcPr>
          <w:p>
            <w:pPr>
              <w:spacing w:after="20" w:before="20"/>
            </w:pPr>
            <w:r>
              <w:rPr>
                <w:sz w:val="18"/>
              </w:rPr>
              <w:t>2,464</w:t>
            </w:r>
          </w:p>
        </w:tc>
        <w:tc>
          <w:tcPr>
            <w:tcW w:type="dxa" w:w="1020"/>
            <w:shd w:val="clear" w:color="auto" w:fill="E3F2FD"/>
          </w:tcPr>
          <w:p>
            <w:pPr>
              <w:spacing w:after="20" w:before="20"/>
            </w:pPr>
            <w:r>
              <w:rPr>
                <w:sz w:val="18"/>
              </w:rPr>
              <w:t>6.3%</w:t>
            </w:r>
          </w:p>
        </w:tc>
      </w:tr>
      <w:tr>
        <w:tc>
          <w:tcPr>
            <w:tcW w:type="dxa" w:w="850"/>
          </w:tcPr>
          <w:p>
            <w:pPr>
              <w:spacing w:after="20" w:before="20"/>
            </w:pPr>
            <w:r>
              <w:rPr>
                <w:sz w:val="18"/>
              </w:rPr>
              <w:t>K</w:t>
            </w:r>
          </w:p>
        </w:tc>
        <w:tc>
          <w:tcPr>
            <w:tcW w:type="dxa" w:w="5102"/>
          </w:tcPr>
          <w:p>
            <w:pPr>
              <w:spacing w:after="20" w:before="20"/>
            </w:pPr>
            <w:r>
              <w:rPr>
                <w:sz w:val="18"/>
              </w:rPr>
              <w:t>Telecommunications, computer programming, consultancy, computing infrastructure, and other information service activities</w:t>
            </w:r>
          </w:p>
        </w:tc>
        <w:tc>
          <w:tcPr>
            <w:tcW w:type="dxa" w:w="1417"/>
          </w:tcPr>
          <w:p>
            <w:pPr>
              <w:spacing w:after="20" w:before="20"/>
            </w:pPr>
            <w:r>
              <w:rPr>
                <w:sz w:val="18"/>
              </w:rPr>
              <w:t>1,632</w:t>
            </w:r>
          </w:p>
        </w:tc>
        <w:tc>
          <w:tcPr>
            <w:tcW w:type="dxa" w:w="1020"/>
          </w:tcPr>
          <w:p>
            <w:pPr>
              <w:spacing w:after="20" w:before="20"/>
            </w:pPr>
            <w:r>
              <w:rPr>
                <w:sz w:val="18"/>
              </w:rPr>
              <w:t>4.1%</w:t>
            </w:r>
          </w:p>
        </w:tc>
      </w:tr>
      <w:tr>
        <w:tc>
          <w:tcPr>
            <w:tcW w:type="dxa" w:w="850"/>
            <w:shd w:val="clear" w:color="auto" w:fill="E3F2FD"/>
          </w:tcPr>
          <w:p>
            <w:pPr>
              <w:spacing w:after="20" w:before="20"/>
            </w:pPr>
            <w:r>
              <w:rPr>
                <w:sz w:val="18"/>
              </w:rPr>
              <w:t>S</w:t>
            </w:r>
          </w:p>
        </w:tc>
        <w:tc>
          <w:tcPr>
            <w:tcW w:type="dxa" w:w="5102"/>
            <w:shd w:val="clear" w:color="auto" w:fill="E3F2FD"/>
          </w:tcPr>
          <w:p>
            <w:pPr>
              <w:spacing w:after="20" w:before="20"/>
            </w:pPr>
            <w:r>
              <w:rPr>
                <w:sz w:val="18"/>
              </w:rPr>
              <w:t>Arts, sports and recreation</w:t>
            </w:r>
          </w:p>
        </w:tc>
        <w:tc>
          <w:tcPr>
            <w:tcW w:type="dxa" w:w="1417"/>
            <w:shd w:val="clear" w:color="auto" w:fill="E3F2FD"/>
          </w:tcPr>
          <w:p>
            <w:pPr>
              <w:spacing w:after="20" w:before="20"/>
            </w:pPr>
            <w:r>
              <w:rPr>
                <w:sz w:val="18"/>
              </w:rPr>
              <w:t>1,319</w:t>
            </w:r>
          </w:p>
        </w:tc>
        <w:tc>
          <w:tcPr>
            <w:tcW w:type="dxa" w:w="1020"/>
            <w:shd w:val="clear" w:color="auto" w:fill="E3F2FD"/>
          </w:tcPr>
          <w:p>
            <w:pPr>
              <w:spacing w:after="20" w:before="20"/>
            </w:pPr>
            <w:r>
              <w:rPr>
                <w:sz w:val="18"/>
              </w:rPr>
              <w:t>3.3%</w:t>
            </w:r>
          </w:p>
        </w:tc>
      </w:tr>
      <w:tr>
        <w:tc>
          <w:tcPr>
            <w:tcW w:type="dxa" w:w="850"/>
          </w:tcPr>
          <w:p>
            <w:pPr>
              <w:spacing w:after="20" w:before="20"/>
            </w:pPr>
            <w:r>
              <w:rPr>
                <w:sz w:val="18"/>
              </w:rPr>
              <w:t>E</w:t>
            </w:r>
          </w:p>
        </w:tc>
        <w:tc>
          <w:tcPr>
            <w:tcW w:type="dxa" w:w="5102"/>
          </w:tcPr>
          <w:p>
            <w:pPr>
              <w:spacing w:after="20" w:before="20"/>
            </w:pPr>
            <w:r>
              <w:rPr>
                <w:sz w:val="18"/>
              </w:rPr>
              <w:t>Water supply; sewerage, waste management and remediation activities</w:t>
            </w:r>
          </w:p>
        </w:tc>
        <w:tc>
          <w:tcPr>
            <w:tcW w:type="dxa" w:w="1417"/>
          </w:tcPr>
          <w:p>
            <w:pPr>
              <w:spacing w:after="20" w:before="20"/>
            </w:pPr>
            <w:r>
              <w:rPr>
                <w:sz w:val="18"/>
              </w:rPr>
              <w:t>1,072</w:t>
            </w:r>
          </w:p>
        </w:tc>
        <w:tc>
          <w:tcPr>
            <w:tcW w:type="dxa" w:w="1020"/>
          </w:tcPr>
          <w:p>
            <w:pPr>
              <w:spacing w:after="20" w:before="20"/>
            </w:pPr>
            <w:r>
              <w:rPr>
                <w:sz w:val="18"/>
              </w:rPr>
              <w:t>2.7%</w:t>
            </w:r>
          </w:p>
        </w:tc>
      </w:tr>
      <w:tr>
        <w:tc>
          <w:tcPr>
            <w:tcW w:type="dxa" w:w="850"/>
            <w:shd w:val="clear" w:color="auto" w:fill="E3F2FD"/>
          </w:tcPr>
          <w:p>
            <w:pPr>
              <w:spacing w:after="20" w:before="20"/>
            </w:pPr>
            <w:r>
              <w:rPr>
                <w:sz w:val="18"/>
              </w:rPr>
              <w:t>J</w:t>
            </w:r>
          </w:p>
        </w:tc>
        <w:tc>
          <w:tcPr>
            <w:tcW w:type="dxa" w:w="5102"/>
            <w:shd w:val="clear" w:color="auto" w:fill="E3F2FD"/>
          </w:tcPr>
          <w:p>
            <w:pPr>
              <w:spacing w:after="20" w:before="20"/>
            </w:pPr>
            <w:r>
              <w:rPr>
                <w:sz w:val="18"/>
              </w:rPr>
              <w:t>Publishing, broadcasting, and content production and distribution activities</w:t>
            </w:r>
          </w:p>
        </w:tc>
        <w:tc>
          <w:tcPr>
            <w:tcW w:type="dxa" w:w="1417"/>
            <w:shd w:val="clear" w:color="auto" w:fill="E3F2FD"/>
          </w:tcPr>
          <w:p>
            <w:pPr>
              <w:spacing w:after="20" w:before="20"/>
            </w:pPr>
            <w:r>
              <w:rPr>
                <w:sz w:val="18"/>
              </w:rPr>
              <w:t>940</w:t>
            </w:r>
          </w:p>
        </w:tc>
        <w:tc>
          <w:tcPr>
            <w:tcW w:type="dxa" w:w="1020"/>
            <w:shd w:val="clear" w:color="auto" w:fill="E3F2FD"/>
          </w:tcPr>
          <w:p>
            <w:pPr>
              <w:spacing w:after="20" w:before="20"/>
            </w:pPr>
            <w:r>
              <w:rPr>
                <w:sz w:val="18"/>
              </w:rPr>
              <w:t>2.4%</w:t>
            </w:r>
          </w:p>
        </w:tc>
      </w:tr>
      <w:tr>
        <w:tc>
          <w:tcPr>
            <w:tcW w:type="dxa" w:w="850"/>
          </w:tcPr>
          <w:p>
            <w:pPr>
              <w:spacing w:after="20" w:before="20"/>
            </w:pPr>
            <w:r>
              <w:rPr>
                <w:sz w:val="18"/>
              </w:rPr>
              <w:t>L</w:t>
            </w:r>
          </w:p>
        </w:tc>
        <w:tc>
          <w:tcPr>
            <w:tcW w:type="dxa" w:w="5102"/>
          </w:tcPr>
          <w:p>
            <w:pPr>
              <w:spacing w:after="20" w:before="20"/>
            </w:pPr>
            <w:r>
              <w:rPr>
                <w:sz w:val="18"/>
              </w:rPr>
              <w:t>Financial and insurance activities</w:t>
            </w:r>
          </w:p>
        </w:tc>
        <w:tc>
          <w:tcPr>
            <w:tcW w:type="dxa" w:w="1417"/>
          </w:tcPr>
          <w:p>
            <w:pPr>
              <w:spacing w:after="20" w:before="20"/>
            </w:pPr>
            <w:r>
              <w:rPr>
                <w:sz w:val="18"/>
              </w:rPr>
              <w:t>759</w:t>
            </w:r>
          </w:p>
        </w:tc>
        <w:tc>
          <w:tcPr>
            <w:tcW w:type="dxa" w:w="1020"/>
          </w:tcPr>
          <w:p>
            <w:pPr>
              <w:spacing w:after="20" w:before="20"/>
            </w:pPr>
            <w:r>
              <w:rPr>
                <w:sz w:val="18"/>
              </w:rPr>
              <w:t>1.9%</w:t>
            </w:r>
          </w:p>
        </w:tc>
      </w:tr>
      <w:tr>
        <w:tc>
          <w:tcPr>
            <w:tcW w:type="dxa" w:w="850"/>
            <w:shd w:val="clear" w:color="auto" w:fill="E3F2FD"/>
          </w:tcPr>
          <w:p>
            <w:pPr>
              <w:spacing w:after="20" w:before="20"/>
            </w:pPr>
            <w:r>
              <w:rPr>
                <w:sz w:val="18"/>
              </w:rPr>
              <w:t>C</w:t>
            </w:r>
          </w:p>
        </w:tc>
        <w:tc>
          <w:tcPr>
            <w:tcW w:type="dxa" w:w="5102"/>
            <w:shd w:val="clear" w:color="auto" w:fill="E3F2FD"/>
          </w:tcPr>
          <w:p>
            <w:pPr>
              <w:spacing w:after="20" w:before="20"/>
            </w:pPr>
            <w:r>
              <w:rPr>
                <w:sz w:val="18"/>
              </w:rPr>
              <w:t>Manufacturing</w:t>
            </w:r>
          </w:p>
        </w:tc>
        <w:tc>
          <w:tcPr>
            <w:tcW w:type="dxa" w:w="1417"/>
            <w:shd w:val="clear" w:color="auto" w:fill="E3F2FD"/>
          </w:tcPr>
          <w:p>
            <w:pPr>
              <w:spacing w:after="20" w:before="20"/>
            </w:pPr>
            <w:r>
              <w:rPr>
                <w:sz w:val="18"/>
              </w:rPr>
              <w:t>756</w:t>
            </w:r>
          </w:p>
        </w:tc>
        <w:tc>
          <w:tcPr>
            <w:tcW w:type="dxa" w:w="1020"/>
            <w:shd w:val="clear" w:color="auto" w:fill="E3F2FD"/>
          </w:tcPr>
          <w:p>
            <w:pPr>
              <w:spacing w:after="20" w:before="20"/>
            </w:pPr>
            <w:r>
              <w:rPr>
                <w:sz w:val="18"/>
              </w:rPr>
              <w:t>1.9%</w:t>
            </w:r>
          </w:p>
        </w:tc>
      </w:tr>
      <w:tr>
        <w:tc>
          <w:tcPr>
            <w:tcW w:type="dxa" w:w="850"/>
          </w:tcPr>
          <w:p>
            <w:pPr>
              <w:spacing w:after="20" w:before="20"/>
            </w:pPr>
            <w:r>
              <w:rPr>
                <w:sz w:val="18"/>
              </w:rPr>
              <w:t>D</w:t>
            </w:r>
          </w:p>
        </w:tc>
        <w:tc>
          <w:tcPr>
            <w:tcW w:type="dxa" w:w="5102"/>
          </w:tcPr>
          <w:p>
            <w:pPr>
              <w:spacing w:after="20" w:before="20"/>
            </w:pPr>
            <w:r>
              <w:rPr>
                <w:sz w:val="18"/>
              </w:rPr>
              <w:t>Electricity, gas, steam and air conditioning supply</w:t>
            </w:r>
          </w:p>
        </w:tc>
        <w:tc>
          <w:tcPr>
            <w:tcW w:type="dxa" w:w="1417"/>
          </w:tcPr>
          <w:p>
            <w:pPr>
              <w:spacing w:after="20" w:before="20"/>
            </w:pPr>
            <w:r>
              <w:rPr>
                <w:sz w:val="18"/>
              </w:rPr>
              <w:t>525</w:t>
            </w:r>
          </w:p>
        </w:tc>
        <w:tc>
          <w:tcPr>
            <w:tcW w:type="dxa" w:w="1020"/>
          </w:tcPr>
          <w:p>
            <w:pPr>
              <w:spacing w:after="20" w:before="20"/>
            </w:pPr>
            <w:r>
              <w:rPr>
                <w:sz w:val="18"/>
              </w:rPr>
              <w:t>1.3%</w:t>
            </w:r>
          </w:p>
        </w:tc>
      </w:tr>
      <w:tr>
        <w:tc>
          <w:tcPr>
            <w:tcW w:type="dxa" w:w="850"/>
            <w:shd w:val="clear" w:color="auto" w:fill="E3F2FD"/>
          </w:tcPr>
          <w:p>
            <w:pPr>
              <w:spacing w:after="20" w:before="20"/>
            </w:pPr>
            <w:r>
              <w:rPr>
                <w:sz w:val="18"/>
              </w:rPr>
              <w:t>V</w:t>
            </w:r>
          </w:p>
        </w:tc>
        <w:tc>
          <w:tcPr>
            <w:tcW w:type="dxa" w:w="5102"/>
            <w:shd w:val="clear" w:color="auto" w:fill="E3F2FD"/>
          </w:tcPr>
          <w:p>
            <w:pPr>
              <w:spacing w:after="20" w:before="20"/>
            </w:pPr>
            <w:r>
              <w:rPr>
                <w:sz w:val="18"/>
              </w:rPr>
              <w:t>Activities of extraterritorial organizations and bodies</w:t>
            </w:r>
          </w:p>
        </w:tc>
        <w:tc>
          <w:tcPr>
            <w:tcW w:type="dxa" w:w="1417"/>
            <w:shd w:val="clear" w:color="auto" w:fill="E3F2FD"/>
          </w:tcPr>
          <w:p>
            <w:pPr>
              <w:spacing w:after="20" w:before="20"/>
            </w:pPr>
            <w:r>
              <w:rPr>
                <w:sz w:val="18"/>
              </w:rPr>
              <w:t>481</w:t>
            </w:r>
          </w:p>
        </w:tc>
        <w:tc>
          <w:tcPr>
            <w:tcW w:type="dxa" w:w="1020"/>
            <w:shd w:val="clear" w:color="auto" w:fill="E3F2FD"/>
          </w:tcPr>
          <w:p>
            <w:pPr>
              <w:spacing w:after="20" w:before="20"/>
            </w:pPr>
            <w:r>
              <w:rPr>
                <w:sz w:val="18"/>
              </w:rPr>
              <w:t>1.2%</w:t>
            </w:r>
          </w:p>
        </w:tc>
      </w:tr>
      <w:tr>
        <w:tc>
          <w:tcPr>
            <w:tcW w:type="dxa" w:w="850"/>
          </w:tcPr>
          <w:p>
            <w:pPr>
              <w:spacing w:after="20" w:before="20"/>
            </w:pPr>
            <w:r>
              <w:rPr>
                <w:sz w:val="18"/>
              </w:rPr>
              <w:t>F</w:t>
            </w:r>
          </w:p>
        </w:tc>
        <w:tc>
          <w:tcPr>
            <w:tcW w:type="dxa" w:w="5102"/>
          </w:tcPr>
          <w:p>
            <w:pPr>
              <w:spacing w:after="20" w:before="20"/>
            </w:pPr>
            <w:r>
              <w:rPr>
                <w:sz w:val="18"/>
              </w:rPr>
              <w:t>Construction</w:t>
            </w:r>
          </w:p>
        </w:tc>
        <w:tc>
          <w:tcPr>
            <w:tcW w:type="dxa" w:w="1417"/>
          </w:tcPr>
          <w:p>
            <w:pPr>
              <w:spacing w:after="20" w:before="20"/>
            </w:pPr>
            <w:r>
              <w:rPr>
                <w:sz w:val="18"/>
              </w:rPr>
              <w:t>476</w:t>
            </w:r>
          </w:p>
        </w:tc>
        <w:tc>
          <w:tcPr>
            <w:tcW w:type="dxa" w:w="1020"/>
          </w:tcPr>
          <w:p>
            <w:pPr>
              <w:spacing w:after="20" w:before="20"/>
            </w:pPr>
            <w:r>
              <w:rPr>
                <w:sz w:val="18"/>
              </w:rPr>
              <w:t>1.2%</w:t>
            </w:r>
          </w:p>
        </w:tc>
      </w:tr>
      <w:tr>
        <w:tc>
          <w:tcPr>
            <w:tcW w:type="dxa" w:w="850"/>
            <w:shd w:val="clear" w:color="auto" w:fill="E3F2FD"/>
          </w:tcPr>
          <w:p>
            <w:pPr>
              <w:spacing w:after="20" w:before="20"/>
            </w:pPr>
            <w:r>
              <w:rPr>
                <w:sz w:val="18"/>
              </w:rPr>
              <w:t>B</w:t>
            </w:r>
          </w:p>
        </w:tc>
        <w:tc>
          <w:tcPr>
            <w:tcW w:type="dxa" w:w="5102"/>
            <w:shd w:val="clear" w:color="auto" w:fill="E3F2FD"/>
          </w:tcPr>
          <w:p>
            <w:pPr>
              <w:spacing w:after="20" w:before="20"/>
            </w:pPr>
            <w:r>
              <w:rPr>
                <w:sz w:val="18"/>
              </w:rPr>
              <w:t>Mining and quarrying</w:t>
            </w:r>
          </w:p>
        </w:tc>
        <w:tc>
          <w:tcPr>
            <w:tcW w:type="dxa" w:w="1417"/>
            <w:shd w:val="clear" w:color="auto" w:fill="E3F2FD"/>
          </w:tcPr>
          <w:p>
            <w:pPr>
              <w:spacing w:after="20" w:before="20"/>
            </w:pPr>
            <w:r>
              <w:rPr>
                <w:sz w:val="18"/>
              </w:rPr>
              <w:t>476</w:t>
            </w:r>
          </w:p>
        </w:tc>
        <w:tc>
          <w:tcPr>
            <w:tcW w:type="dxa" w:w="1020"/>
            <w:shd w:val="clear" w:color="auto" w:fill="E3F2FD"/>
          </w:tcPr>
          <w:p>
            <w:pPr>
              <w:spacing w:after="20" w:before="20"/>
            </w:pPr>
            <w:r>
              <w:rPr>
                <w:sz w:val="18"/>
              </w:rPr>
              <w:t>1.2%</w:t>
            </w:r>
          </w:p>
        </w:tc>
      </w:tr>
      <w:tr>
        <w:tc>
          <w:tcPr>
            <w:tcW w:type="dxa" w:w="850"/>
          </w:tcPr>
          <w:p>
            <w:pPr>
              <w:spacing w:after="20" w:before="20"/>
            </w:pPr>
            <w:r>
              <w:rPr>
                <w:sz w:val="18"/>
              </w:rPr>
              <w:t>H</w:t>
            </w:r>
          </w:p>
        </w:tc>
        <w:tc>
          <w:tcPr>
            <w:tcW w:type="dxa" w:w="5102"/>
          </w:tcPr>
          <w:p>
            <w:pPr>
              <w:spacing w:after="20" w:before="20"/>
            </w:pPr>
            <w:r>
              <w:rPr>
                <w:sz w:val="18"/>
              </w:rPr>
              <w:t>Transportation and storage</w:t>
            </w:r>
          </w:p>
        </w:tc>
        <w:tc>
          <w:tcPr>
            <w:tcW w:type="dxa" w:w="1417"/>
          </w:tcPr>
          <w:p>
            <w:pPr>
              <w:spacing w:after="20" w:before="20"/>
            </w:pPr>
            <w:r>
              <w:rPr>
                <w:sz w:val="18"/>
              </w:rPr>
              <w:t>421</w:t>
            </w:r>
          </w:p>
        </w:tc>
        <w:tc>
          <w:tcPr>
            <w:tcW w:type="dxa" w:w="1020"/>
          </w:tcPr>
          <w:p>
            <w:pPr>
              <w:spacing w:after="20" w:before="20"/>
            </w:pPr>
            <w:r>
              <w:rPr>
                <w:sz w:val="18"/>
              </w:rPr>
              <w:t>1.1%</w:t>
            </w:r>
          </w:p>
        </w:tc>
      </w:tr>
      <w:tr>
        <w:tc>
          <w:tcPr>
            <w:tcW w:type="dxa" w:w="850"/>
            <w:shd w:val="clear" w:color="auto" w:fill="E3F2FD"/>
          </w:tcPr>
          <w:p>
            <w:pPr>
              <w:spacing w:after="20" w:before="20"/>
            </w:pPr>
            <w:r>
              <w:rPr>
                <w:sz w:val="18"/>
              </w:rPr>
              <w:t>G</w:t>
            </w:r>
          </w:p>
        </w:tc>
        <w:tc>
          <w:tcPr>
            <w:tcW w:type="dxa" w:w="5102"/>
            <w:shd w:val="clear" w:color="auto" w:fill="E3F2FD"/>
          </w:tcPr>
          <w:p>
            <w:pPr>
              <w:spacing w:after="20" w:before="20"/>
            </w:pPr>
            <w:r>
              <w:rPr>
                <w:sz w:val="18"/>
              </w:rPr>
              <w:t>Wholesale and retail trade</w:t>
            </w:r>
          </w:p>
        </w:tc>
        <w:tc>
          <w:tcPr>
            <w:tcW w:type="dxa" w:w="1417"/>
            <w:shd w:val="clear" w:color="auto" w:fill="E3F2FD"/>
          </w:tcPr>
          <w:p>
            <w:pPr>
              <w:spacing w:after="20" w:before="20"/>
            </w:pPr>
            <w:r>
              <w:rPr>
                <w:sz w:val="18"/>
              </w:rPr>
              <w:t>414</w:t>
            </w:r>
          </w:p>
        </w:tc>
        <w:tc>
          <w:tcPr>
            <w:tcW w:type="dxa" w:w="1020"/>
            <w:shd w:val="clear" w:color="auto" w:fill="E3F2FD"/>
          </w:tcPr>
          <w:p>
            <w:pPr>
              <w:spacing w:after="20" w:before="20"/>
            </w:pPr>
            <w:r>
              <w:rPr>
                <w:sz w:val="18"/>
              </w:rPr>
              <w:t>1.1%</w:t>
            </w:r>
          </w:p>
        </w:tc>
      </w:tr>
      <w:tr>
        <w:tc>
          <w:tcPr>
            <w:tcW w:type="dxa" w:w="850"/>
          </w:tcPr>
          <w:p>
            <w:pPr>
              <w:spacing w:after="20" w:before="20"/>
            </w:pPr>
            <w:r>
              <w:rPr>
                <w:sz w:val="18"/>
              </w:rPr>
              <w:t>O</w:t>
            </w:r>
          </w:p>
        </w:tc>
        <w:tc>
          <w:tcPr>
            <w:tcW w:type="dxa" w:w="5102"/>
          </w:tcPr>
          <w:p>
            <w:pPr>
              <w:spacing w:after="20" w:before="20"/>
            </w:pPr>
            <w:r>
              <w:rPr>
                <w:sz w:val="18"/>
              </w:rPr>
              <w:t>Administrative and support service activities</w:t>
            </w:r>
          </w:p>
        </w:tc>
        <w:tc>
          <w:tcPr>
            <w:tcW w:type="dxa" w:w="1417"/>
          </w:tcPr>
          <w:p>
            <w:pPr>
              <w:spacing w:after="20" w:before="20"/>
            </w:pPr>
            <w:r>
              <w:rPr>
                <w:sz w:val="18"/>
              </w:rPr>
              <w:t>340</w:t>
            </w:r>
          </w:p>
        </w:tc>
        <w:tc>
          <w:tcPr>
            <w:tcW w:type="dxa" w:w="1020"/>
          </w:tcPr>
          <w:p>
            <w:pPr>
              <w:spacing w:after="20" w:before="20"/>
            </w:pPr>
            <w:r>
              <w:rPr>
                <w:sz w:val="18"/>
              </w:rPr>
              <w:t>0.9%</w:t>
            </w:r>
          </w:p>
        </w:tc>
      </w:tr>
      <w:tr>
        <w:tc>
          <w:tcPr>
            <w:tcW w:type="dxa" w:w="850"/>
            <w:shd w:val="clear" w:color="auto" w:fill="E3F2FD"/>
          </w:tcPr>
          <w:p>
            <w:pPr>
              <w:spacing w:after="20" w:before="20"/>
            </w:pPr>
            <w:r>
              <w:rPr>
                <w:sz w:val="18"/>
              </w:rPr>
              <w:t>T</w:t>
            </w:r>
          </w:p>
        </w:tc>
        <w:tc>
          <w:tcPr>
            <w:tcW w:type="dxa" w:w="5102"/>
            <w:shd w:val="clear" w:color="auto" w:fill="E3F2FD"/>
          </w:tcPr>
          <w:p>
            <w:pPr>
              <w:spacing w:after="20" w:before="20"/>
            </w:pPr>
            <w:r>
              <w:rPr>
                <w:sz w:val="18"/>
              </w:rPr>
              <w:t>Other service activities</w:t>
            </w:r>
          </w:p>
        </w:tc>
        <w:tc>
          <w:tcPr>
            <w:tcW w:type="dxa" w:w="1417"/>
            <w:shd w:val="clear" w:color="auto" w:fill="E3F2FD"/>
          </w:tcPr>
          <w:p>
            <w:pPr>
              <w:spacing w:after="20" w:before="20"/>
            </w:pPr>
            <w:r>
              <w:rPr>
                <w:sz w:val="18"/>
              </w:rPr>
              <w:t>196</w:t>
            </w:r>
          </w:p>
        </w:tc>
        <w:tc>
          <w:tcPr>
            <w:tcW w:type="dxa" w:w="1020"/>
            <w:shd w:val="clear" w:color="auto" w:fill="E3F2FD"/>
          </w:tcPr>
          <w:p>
            <w:pPr>
              <w:spacing w:after="20" w:before="20"/>
            </w:pPr>
            <w:r>
              <w:rPr>
                <w:sz w:val="18"/>
              </w:rPr>
              <w:t>0.5%</w:t>
            </w:r>
          </w:p>
        </w:tc>
      </w:tr>
      <w:tr>
        <w:tc>
          <w:tcPr>
            <w:tcW w:type="dxa" w:w="850"/>
          </w:tcPr>
          <w:p>
            <w:pPr>
              <w:spacing w:after="20" w:before="20"/>
            </w:pPr>
            <w:r>
              <w:rPr>
                <w:sz w:val="18"/>
              </w:rPr>
              <w:t>U</w:t>
            </w:r>
          </w:p>
        </w:tc>
        <w:tc>
          <w:tcPr>
            <w:tcW w:type="dxa" w:w="5102"/>
          </w:tcPr>
          <w:p>
            <w:pPr>
              <w:spacing w:after="20" w:before="20"/>
            </w:pPr>
            <w:r>
              <w:rPr>
                <w:sz w:val="18"/>
              </w:rPr>
              <w:t>Activities of households as employers; undifferentiated goods- and services-producing activities of households for own use</w:t>
            </w:r>
          </w:p>
        </w:tc>
        <w:tc>
          <w:tcPr>
            <w:tcW w:type="dxa" w:w="1417"/>
          </w:tcPr>
          <w:p>
            <w:pPr>
              <w:spacing w:after="20" w:before="20"/>
            </w:pPr>
            <w:r>
              <w:rPr>
                <w:sz w:val="18"/>
              </w:rPr>
              <w:t>179</w:t>
            </w:r>
          </w:p>
        </w:tc>
        <w:tc>
          <w:tcPr>
            <w:tcW w:type="dxa" w:w="1020"/>
          </w:tcPr>
          <w:p>
            <w:pPr>
              <w:spacing w:after="20" w:before="20"/>
            </w:pPr>
            <w:r>
              <w:rPr>
                <w:sz w:val="18"/>
              </w:rPr>
              <w:t>0.5%</w:t>
            </w:r>
          </w:p>
        </w:tc>
      </w:tr>
      <w:tr>
        <w:tc>
          <w:tcPr>
            <w:tcW w:type="dxa" w:w="850"/>
            <w:shd w:val="clear" w:color="auto" w:fill="E3F2FD"/>
          </w:tcPr>
          <w:p>
            <w:pPr>
              <w:spacing w:after="20" w:before="20"/>
            </w:pPr>
            <w:r>
              <w:rPr>
                <w:sz w:val="18"/>
              </w:rPr>
              <w:t>I</w:t>
            </w:r>
          </w:p>
        </w:tc>
        <w:tc>
          <w:tcPr>
            <w:tcW w:type="dxa" w:w="5102"/>
            <w:shd w:val="clear" w:color="auto" w:fill="E3F2FD"/>
          </w:tcPr>
          <w:p>
            <w:pPr>
              <w:spacing w:after="20" w:before="20"/>
            </w:pPr>
            <w:r>
              <w:rPr>
                <w:sz w:val="18"/>
              </w:rPr>
              <w:t>Accommodation and food service activities</w:t>
            </w:r>
          </w:p>
        </w:tc>
        <w:tc>
          <w:tcPr>
            <w:tcW w:type="dxa" w:w="1417"/>
            <w:shd w:val="clear" w:color="auto" w:fill="E3F2FD"/>
          </w:tcPr>
          <w:p>
            <w:pPr>
              <w:spacing w:after="20" w:before="20"/>
            </w:pPr>
            <w:r>
              <w:rPr>
                <w:sz w:val="18"/>
              </w:rPr>
              <w:t>163</w:t>
            </w:r>
          </w:p>
        </w:tc>
        <w:tc>
          <w:tcPr>
            <w:tcW w:type="dxa" w:w="1020"/>
            <w:shd w:val="clear" w:color="auto" w:fill="E3F2FD"/>
          </w:tcPr>
          <w:p>
            <w:pPr>
              <w:spacing w:after="20" w:before="20"/>
            </w:pPr>
            <w:r>
              <w:rPr>
                <w:sz w:val="18"/>
              </w:rPr>
              <w:t>0.4%</w:t>
            </w:r>
          </w:p>
        </w:tc>
      </w:tr>
      <w:tr>
        <w:tc>
          <w:tcPr>
            <w:tcW w:type="dxa" w:w="850"/>
          </w:tcPr>
          <w:p>
            <w:pPr>
              <w:spacing w:after="20" w:before="20"/>
            </w:pPr>
            <w:r>
              <w:rPr>
                <w:sz w:val="18"/>
              </w:rPr>
              <w:t>M</w:t>
            </w:r>
          </w:p>
        </w:tc>
        <w:tc>
          <w:tcPr>
            <w:tcW w:type="dxa" w:w="5102"/>
          </w:tcPr>
          <w:p>
            <w:pPr>
              <w:spacing w:after="20" w:before="20"/>
            </w:pPr>
            <w:r>
              <w:rPr>
                <w:sz w:val="18"/>
              </w:rPr>
              <w:t>Real estate activities</w:t>
            </w:r>
          </w:p>
        </w:tc>
        <w:tc>
          <w:tcPr>
            <w:tcW w:type="dxa" w:w="1417"/>
          </w:tcPr>
          <w:p>
            <w:pPr>
              <w:spacing w:after="20" w:before="20"/>
            </w:pPr>
            <w:r>
              <w:rPr>
                <w:sz w:val="18"/>
              </w:rPr>
              <w:t>96</w:t>
            </w:r>
          </w:p>
        </w:tc>
        <w:tc>
          <w:tcPr>
            <w:tcW w:type="dxa" w:w="1020"/>
          </w:tcPr>
          <w:p>
            <w:pPr>
              <w:spacing w:after="20" w:before="20"/>
            </w:pPr>
            <w:r>
              <w:rPr>
                <w:sz w:val="18"/>
              </w:rPr>
              <w:t>0.2%</w:t>
            </w:r>
          </w:p>
        </w:tc>
      </w:tr>
    </w:tbl>
    <w:p/>
    <w:p>
      <w:pPr>
        <w:spacing w:before="280" w:after="80"/>
        <w:pBdr>
          <w:bottom w:val="single" w:sz="6" w:space="1" w:color="1565C0"/>
        </w:pBdr>
      </w:pPr>
      <w:r>
        <w:rPr>
          <w:b/>
          <w:color w:val="1565C0"/>
          <w:sz w:val="30"/>
        </w:rPr>
        <w:t>2. Top-20 ISIC Classes (Section + Division)</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624"/>
            <w:shd w:val="clear" w:color="auto" w:fill="1565C0"/>
            <w:vAlign w:val="center"/>
          </w:tcPr>
          <w:p>
            <w:pPr>
              <w:spacing w:after="20" w:before="20"/>
            </w:pPr>
            <w:r>
              <w:rPr>
                <w:b/>
                <w:color w:val="FFFFFF"/>
                <w:sz w:val="18"/>
              </w:rPr>
              <w:t>Rank</w:t>
            </w:r>
          </w:p>
        </w:tc>
        <w:tc>
          <w:tcPr>
            <w:tcW w:type="dxa" w:w="624"/>
            <w:shd w:val="clear" w:color="auto" w:fill="1565C0"/>
            <w:vAlign w:val="center"/>
          </w:tcPr>
          <w:p>
            <w:pPr>
              <w:spacing w:after="20" w:before="20"/>
            </w:pPr>
            <w:r>
              <w:rPr>
                <w:b/>
                <w:color w:val="FFFFFF"/>
                <w:sz w:val="18"/>
              </w:rPr>
              <w:t>Sec.</w:t>
            </w:r>
          </w:p>
        </w:tc>
        <w:tc>
          <w:tcPr>
            <w:tcW w:type="dxa" w:w="1020"/>
            <w:shd w:val="clear" w:color="auto" w:fill="1565C0"/>
            <w:vAlign w:val="center"/>
          </w:tcPr>
          <w:p>
            <w:pPr>
              <w:spacing w:after="20" w:before="20"/>
            </w:pPr>
            <w:r>
              <w:rPr>
                <w:b/>
                <w:color w:val="FFFFFF"/>
                <w:sz w:val="18"/>
              </w:rPr>
              <w:t>Division</w:t>
            </w:r>
          </w:p>
        </w:tc>
        <w:tc>
          <w:tcPr>
            <w:tcW w:type="dxa" w:w="5386"/>
            <w:shd w:val="clear" w:color="auto" w:fill="1565C0"/>
            <w:vAlign w:val="center"/>
          </w:tcPr>
          <w:p>
            <w:pPr>
              <w:spacing w:after="20" w:before="20"/>
            </w:pPr>
            <w:r>
              <w:rPr>
                <w:b/>
                <w:color w:val="FFFFFF"/>
                <w:sz w:val="18"/>
              </w:rPr>
              <w:t>Class Name</w:t>
            </w:r>
          </w:p>
        </w:tc>
        <w:tc>
          <w:tcPr>
            <w:tcW w:type="dxa" w:w="1020"/>
            <w:shd w:val="clear" w:color="auto" w:fill="1565C0"/>
            <w:vAlign w:val="center"/>
          </w:tcPr>
          <w:p>
            <w:pPr>
              <w:spacing w:after="20" w:before="20"/>
            </w:pPr>
            <w:r>
              <w:rPr>
                <w:b/>
                <w:color w:val="FFFFFF"/>
                <w:sz w:val="18"/>
              </w:rPr>
              <w:t>Count</w:t>
            </w:r>
          </w:p>
        </w:tc>
        <w:tc>
          <w:tcPr>
            <w:tcW w:type="dxa" w:w="794"/>
            <w:shd w:val="clear" w:color="auto" w:fill="1565C0"/>
            <w:vAlign w:val="center"/>
          </w:tcPr>
          <w:p>
            <w:pPr>
              <w:spacing w:after="20" w:before="20"/>
            </w:pPr>
            <w:r>
              <w:rPr>
                <w:b/>
                <w:color w:val="FFFFFF"/>
                <w:sz w:val="18"/>
              </w:rPr>
              <w:t>%</w:t>
            </w:r>
          </w:p>
        </w:tc>
      </w:tr>
      <w:tr>
        <w:tc>
          <w:tcPr>
            <w:tcW w:type="dxa" w:w="624"/>
            <w:shd w:val="clear" w:color="auto" w:fill="E3F2FD"/>
            <w:vAlign w:val="center"/>
          </w:tcPr>
          <w:p>
            <w:pPr>
              <w:spacing w:after="20" w:before="20"/>
            </w:pPr>
            <w:r>
              <w:rPr>
                <w:sz w:val="18"/>
              </w:rPr>
              <w:t>1</w:t>
            </w:r>
          </w:p>
        </w:tc>
        <w:tc>
          <w:tcPr>
            <w:tcW w:type="dxa" w:w="624"/>
            <w:shd w:val="clear" w:color="auto" w:fill="E3F2FD"/>
            <w:vAlign w:val="center"/>
          </w:tcPr>
          <w:p>
            <w:pPr>
              <w:spacing w:after="20" w:before="20"/>
            </w:pPr>
            <w:r>
              <w:rPr>
                <w:sz w:val="18"/>
              </w:rPr>
              <w:t>N</w:t>
            </w:r>
          </w:p>
        </w:tc>
        <w:tc>
          <w:tcPr>
            <w:tcW w:type="dxa" w:w="1020"/>
            <w:shd w:val="clear" w:color="auto" w:fill="E3F2FD"/>
            <w:vAlign w:val="center"/>
          </w:tcPr>
          <w:p>
            <w:pPr>
              <w:spacing w:after="20" w:before="20"/>
            </w:pPr>
            <w:r>
              <w:rPr>
                <w:sz w:val="18"/>
              </w:rPr>
              <w:t>72</w:t>
            </w:r>
          </w:p>
        </w:tc>
        <w:tc>
          <w:tcPr>
            <w:tcW w:type="dxa" w:w="5386"/>
            <w:shd w:val="clear" w:color="auto" w:fill="E3F2FD"/>
            <w:vAlign w:val="center"/>
          </w:tcPr>
          <w:p>
            <w:pPr>
              <w:spacing w:after="20" w:before="20"/>
            </w:pPr>
            <w:r>
              <w:rPr>
                <w:sz w:val="18"/>
              </w:rPr>
              <w:t>72 — Scientific research and development</w:t>
            </w:r>
          </w:p>
        </w:tc>
        <w:tc>
          <w:tcPr>
            <w:tcW w:type="dxa" w:w="1020"/>
            <w:shd w:val="clear" w:color="auto" w:fill="E3F2FD"/>
            <w:vAlign w:val="center"/>
          </w:tcPr>
          <w:p>
            <w:pPr>
              <w:spacing w:after="20" w:before="20"/>
            </w:pPr>
            <w:r>
              <w:rPr>
                <w:sz w:val="18"/>
              </w:rPr>
              <w:t>6,085</w:t>
            </w:r>
          </w:p>
        </w:tc>
        <w:tc>
          <w:tcPr>
            <w:tcW w:type="dxa" w:w="794"/>
            <w:shd w:val="clear" w:color="auto" w:fill="E3F2FD"/>
            <w:vAlign w:val="center"/>
          </w:tcPr>
          <w:p>
            <w:pPr>
              <w:spacing w:after="20" w:before="20"/>
            </w:pPr>
            <w:r>
              <w:rPr>
                <w:sz w:val="18"/>
              </w:rPr>
              <w:t>15.4%</w:t>
            </w:r>
          </w:p>
        </w:tc>
      </w:tr>
      <w:tr>
        <w:tc>
          <w:tcPr>
            <w:tcW w:type="dxa" w:w="624"/>
            <w:vAlign w:val="center"/>
          </w:tcPr>
          <w:p>
            <w:pPr>
              <w:spacing w:after="20" w:before="20"/>
            </w:pPr>
            <w:r>
              <w:rPr>
                <w:sz w:val="18"/>
              </w:rPr>
              <w:t>2</w:t>
            </w:r>
          </w:p>
        </w:tc>
        <w:tc>
          <w:tcPr>
            <w:tcW w:type="dxa" w:w="624"/>
            <w:vAlign w:val="center"/>
          </w:tcPr>
          <w:p>
            <w:pPr>
              <w:spacing w:after="20" w:before="20"/>
            </w:pPr>
            <w:r>
              <w:rPr>
                <w:sz w:val="18"/>
              </w:rPr>
              <w:t>Q</w:t>
            </w:r>
          </w:p>
        </w:tc>
        <w:tc>
          <w:tcPr>
            <w:tcW w:type="dxa" w:w="1020"/>
            <w:vAlign w:val="center"/>
          </w:tcPr>
          <w:p>
            <w:pPr>
              <w:spacing w:after="20" w:before="20"/>
            </w:pPr>
            <w:r>
              <w:rPr>
                <w:sz w:val="18"/>
              </w:rPr>
              <w:t>85</w:t>
            </w:r>
          </w:p>
        </w:tc>
        <w:tc>
          <w:tcPr>
            <w:tcW w:type="dxa" w:w="5386"/>
            <w:vAlign w:val="center"/>
          </w:tcPr>
          <w:p>
            <w:pPr>
              <w:spacing w:after="20" w:before="20"/>
            </w:pPr>
            <w:r>
              <w:rPr>
                <w:sz w:val="18"/>
              </w:rPr>
              <w:t>85 — Education</w:t>
            </w:r>
          </w:p>
        </w:tc>
        <w:tc>
          <w:tcPr>
            <w:tcW w:type="dxa" w:w="1020"/>
            <w:vAlign w:val="center"/>
          </w:tcPr>
          <w:p>
            <w:pPr>
              <w:spacing w:after="20" w:before="20"/>
            </w:pPr>
            <w:r>
              <w:rPr>
                <w:sz w:val="18"/>
              </w:rPr>
              <w:t>3,839</w:t>
            </w:r>
          </w:p>
        </w:tc>
        <w:tc>
          <w:tcPr>
            <w:tcW w:type="dxa" w:w="794"/>
            <w:vAlign w:val="center"/>
          </w:tcPr>
          <w:p>
            <w:pPr>
              <w:spacing w:after="20" w:before="20"/>
            </w:pPr>
            <w:r>
              <w:rPr>
                <w:sz w:val="18"/>
              </w:rPr>
              <w:t>9.7%</w:t>
            </w:r>
          </w:p>
        </w:tc>
      </w:tr>
      <w:tr>
        <w:tc>
          <w:tcPr>
            <w:tcW w:type="dxa" w:w="624"/>
            <w:shd w:val="clear" w:color="auto" w:fill="E3F2FD"/>
            <w:vAlign w:val="center"/>
          </w:tcPr>
          <w:p>
            <w:pPr>
              <w:spacing w:after="20" w:before="20"/>
            </w:pPr>
            <w:r>
              <w:rPr>
                <w:sz w:val="18"/>
              </w:rPr>
              <w:t>3</w:t>
            </w:r>
          </w:p>
        </w:tc>
        <w:tc>
          <w:tcPr>
            <w:tcW w:type="dxa" w:w="624"/>
            <w:shd w:val="clear" w:color="auto" w:fill="E3F2FD"/>
            <w:vAlign w:val="center"/>
          </w:tcPr>
          <w:p>
            <w:pPr>
              <w:spacing w:after="20" w:before="20"/>
            </w:pPr>
            <w:r>
              <w:rPr>
                <w:sz w:val="18"/>
              </w:rPr>
              <w:t>R</w:t>
            </w:r>
          </w:p>
        </w:tc>
        <w:tc>
          <w:tcPr>
            <w:tcW w:type="dxa" w:w="1020"/>
            <w:shd w:val="clear" w:color="auto" w:fill="E3F2FD"/>
            <w:vAlign w:val="center"/>
          </w:tcPr>
          <w:p>
            <w:pPr>
              <w:spacing w:after="20" w:before="20"/>
            </w:pPr>
            <w:r>
              <w:rPr>
                <w:sz w:val="18"/>
              </w:rPr>
              <w:t>86</w:t>
            </w:r>
          </w:p>
        </w:tc>
        <w:tc>
          <w:tcPr>
            <w:tcW w:type="dxa" w:w="5386"/>
            <w:shd w:val="clear" w:color="auto" w:fill="E3F2FD"/>
            <w:vAlign w:val="center"/>
          </w:tcPr>
          <w:p>
            <w:pPr>
              <w:spacing w:after="20" w:before="20"/>
            </w:pPr>
            <w:r>
              <w:rPr>
                <w:sz w:val="18"/>
              </w:rPr>
              <w:t>86 — Human health activities</w:t>
            </w:r>
          </w:p>
        </w:tc>
        <w:tc>
          <w:tcPr>
            <w:tcW w:type="dxa" w:w="1020"/>
            <w:shd w:val="clear" w:color="auto" w:fill="E3F2FD"/>
            <w:vAlign w:val="center"/>
          </w:tcPr>
          <w:p>
            <w:pPr>
              <w:spacing w:after="20" w:before="20"/>
            </w:pPr>
            <w:r>
              <w:rPr>
                <w:sz w:val="18"/>
              </w:rPr>
              <w:t>3,827</w:t>
            </w:r>
          </w:p>
        </w:tc>
        <w:tc>
          <w:tcPr>
            <w:tcW w:type="dxa" w:w="794"/>
            <w:shd w:val="clear" w:color="auto" w:fill="E3F2FD"/>
            <w:vAlign w:val="center"/>
          </w:tcPr>
          <w:p>
            <w:pPr>
              <w:spacing w:after="20" w:before="20"/>
            </w:pPr>
            <w:r>
              <w:rPr>
                <w:sz w:val="18"/>
              </w:rPr>
              <w:t>9.7%</w:t>
            </w:r>
          </w:p>
        </w:tc>
      </w:tr>
      <w:tr>
        <w:tc>
          <w:tcPr>
            <w:tcW w:type="dxa" w:w="624"/>
            <w:vAlign w:val="center"/>
          </w:tcPr>
          <w:p>
            <w:pPr>
              <w:spacing w:after="20" w:before="20"/>
            </w:pPr>
            <w:r>
              <w:rPr>
                <w:sz w:val="18"/>
              </w:rPr>
              <w:t>4</w:t>
            </w:r>
          </w:p>
        </w:tc>
        <w:tc>
          <w:tcPr>
            <w:tcW w:type="dxa" w:w="624"/>
            <w:vAlign w:val="center"/>
          </w:tcPr>
          <w:p>
            <w:pPr>
              <w:spacing w:after="20" w:before="20"/>
            </w:pPr>
            <w:r>
              <w:rPr>
                <w:sz w:val="18"/>
              </w:rPr>
              <w:t>A</w:t>
            </w:r>
          </w:p>
        </w:tc>
        <w:tc>
          <w:tcPr>
            <w:tcW w:type="dxa" w:w="1020"/>
            <w:vAlign w:val="center"/>
          </w:tcPr>
          <w:p>
            <w:pPr>
              <w:spacing w:after="20" w:before="20"/>
            </w:pPr>
            <w:r>
              <w:rPr>
                <w:sz w:val="18"/>
              </w:rPr>
              <w:t>72</w:t>
            </w:r>
          </w:p>
        </w:tc>
        <w:tc>
          <w:tcPr>
            <w:tcW w:type="dxa" w:w="5386"/>
            <w:vAlign w:val="center"/>
          </w:tcPr>
          <w:p>
            <w:pPr>
              <w:spacing w:after="20" w:before="20"/>
            </w:pPr>
            <w:r>
              <w:rPr>
                <w:sz w:val="18"/>
              </w:rPr>
              <w:t>72 — Scientific research and development</w:t>
            </w:r>
          </w:p>
        </w:tc>
        <w:tc>
          <w:tcPr>
            <w:tcW w:type="dxa" w:w="1020"/>
            <w:vAlign w:val="center"/>
          </w:tcPr>
          <w:p>
            <w:pPr>
              <w:spacing w:after="20" w:before="20"/>
            </w:pPr>
            <w:r>
              <w:rPr>
                <w:sz w:val="18"/>
              </w:rPr>
              <w:t>3,490</w:t>
            </w:r>
          </w:p>
        </w:tc>
        <w:tc>
          <w:tcPr>
            <w:tcW w:type="dxa" w:w="794"/>
            <w:vAlign w:val="center"/>
          </w:tcPr>
          <w:p>
            <w:pPr>
              <w:spacing w:after="20" w:before="20"/>
            </w:pPr>
            <w:r>
              <w:rPr>
                <w:sz w:val="18"/>
              </w:rPr>
              <w:t>8.9%</w:t>
            </w:r>
          </w:p>
        </w:tc>
      </w:tr>
      <w:tr>
        <w:tc>
          <w:tcPr>
            <w:tcW w:type="dxa" w:w="624"/>
            <w:shd w:val="clear" w:color="auto" w:fill="E3F2FD"/>
            <w:vAlign w:val="center"/>
          </w:tcPr>
          <w:p>
            <w:pPr>
              <w:spacing w:after="20" w:before="20"/>
            </w:pPr>
            <w:r>
              <w:rPr>
                <w:sz w:val="18"/>
              </w:rPr>
              <w:t>5</w:t>
            </w:r>
          </w:p>
        </w:tc>
        <w:tc>
          <w:tcPr>
            <w:tcW w:type="dxa" w:w="624"/>
            <w:shd w:val="clear" w:color="auto" w:fill="E3F2FD"/>
            <w:vAlign w:val="center"/>
          </w:tcPr>
          <w:p>
            <w:pPr>
              <w:spacing w:after="20" w:before="20"/>
            </w:pPr>
            <w:r>
              <w:rPr>
                <w:sz w:val="18"/>
              </w:rPr>
              <w:t>A</w:t>
            </w:r>
          </w:p>
        </w:tc>
        <w:tc>
          <w:tcPr>
            <w:tcW w:type="dxa" w:w="1020"/>
            <w:shd w:val="clear" w:color="auto" w:fill="E3F2FD"/>
            <w:vAlign w:val="center"/>
          </w:tcPr>
          <w:p>
            <w:pPr>
              <w:spacing w:after="20" w:before="20"/>
            </w:pPr>
            <w:r>
              <w:rPr>
                <w:sz w:val="18"/>
              </w:rPr>
              <w:t>01</w:t>
            </w:r>
          </w:p>
        </w:tc>
        <w:tc>
          <w:tcPr>
            <w:tcW w:type="dxa" w:w="5386"/>
            <w:shd w:val="clear" w:color="auto" w:fill="E3F2FD"/>
            <w:vAlign w:val="center"/>
          </w:tcPr>
          <w:p>
            <w:pPr>
              <w:spacing w:after="20" w:before="20"/>
            </w:pPr>
            <w:r>
              <w:rPr>
                <w:sz w:val="18"/>
              </w:rPr>
              <w:t>01 — Crop and animal production, hunting and related service activities</w:t>
            </w:r>
          </w:p>
        </w:tc>
        <w:tc>
          <w:tcPr>
            <w:tcW w:type="dxa" w:w="1020"/>
            <w:shd w:val="clear" w:color="auto" w:fill="E3F2FD"/>
            <w:vAlign w:val="center"/>
          </w:tcPr>
          <w:p>
            <w:pPr>
              <w:spacing w:after="20" w:before="20"/>
            </w:pPr>
            <w:r>
              <w:rPr>
                <w:sz w:val="18"/>
              </w:rPr>
              <w:t>1,890</w:t>
            </w:r>
          </w:p>
        </w:tc>
        <w:tc>
          <w:tcPr>
            <w:tcW w:type="dxa" w:w="794"/>
            <w:shd w:val="clear" w:color="auto" w:fill="E3F2FD"/>
            <w:vAlign w:val="center"/>
          </w:tcPr>
          <w:p>
            <w:pPr>
              <w:spacing w:after="20" w:before="20"/>
            </w:pPr>
            <w:r>
              <w:rPr>
                <w:sz w:val="18"/>
              </w:rPr>
              <w:t>4.8%</w:t>
            </w:r>
          </w:p>
        </w:tc>
      </w:tr>
      <w:tr>
        <w:tc>
          <w:tcPr>
            <w:tcW w:type="dxa" w:w="624"/>
            <w:vAlign w:val="center"/>
          </w:tcPr>
          <w:p>
            <w:pPr>
              <w:spacing w:after="20" w:before="20"/>
            </w:pPr>
            <w:r>
              <w:rPr>
                <w:sz w:val="18"/>
              </w:rPr>
              <w:t>6</w:t>
            </w:r>
          </w:p>
        </w:tc>
        <w:tc>
          <w:tcPr>
            <w:tcW w:type="dxa" w:w="624"/>
            <w:vAlign w:val="center"/>
          </w:tcPr>
          <w:p>
            <w:pPr>
              <w:spacing w:after="20" w:before="20"/>
            </w:pPr>
            <w:r>
              <w:rPr>
                <w:sz w:val="18"/>
              </w:rPr>
              <w:t>P</w:t>
            </w:r>
          </w:p>
        </w:tc>
        <w:tc>
          <w:tcPr>
            <w:tcW w:type="dxa" w:w="1020"/>
            <w:vAlign w:val="center"/>
          </w:tcPr>
          <w:p>
            <w:pPr>
              <w:spacing w:after="20" w:before="20"/>
            </w:pPr>
            <w:r>
              <w:rPr>
                <w:sz w:val="18"/>
              </w:rPr>
              <w:t>84</w:t>
            </w:r>
          </w:p>
        </w:tc>
        <w:tc>
          <w:tcPr>
            <w:tcW w:type="dxa" w:w="5386"/>
            <w:vAlign w:val="center"/>
          </w:tcPr>
          <w:p>
            <w:pPr>
              <w:spacing w:after="20" w:before="20"/>
            </w:pPr>
            <w:r>
              <w:rPr>
                <w:sz w:val="18"/>
              </w:rPr>
              <w:t>84 — Public administration and defence; compulsory social security</w:t>
            </w:r>
          </w:p>
        </w:tc>
        <w:tc>
          <w:tcPr>
            <w:tcW w:type="dxa" w:w="1020"/>
            <w:vAlign w:val="center"/>
          </w:tcPr>
          <w:p>
            <w:pPr>
              <w:spacing w:after="20" w:before="20"/>
            </w:pPr>
            <w:r>
              <w:rPr>
                <w:sz w:val="18"/>
              </w:rPr>
              <w:t>1,765</w:t>
            </w:r>
          </w:p>
        </w:tc>
        <w:tc>
          <w:tcPr>
            <w:tcW w:type="dxa" w:w="794"/>
            <w:vAlign w:val="center"/>
          </w:tcPr>
          <w:p>
            <w:pPr>
              <w:spacing w:after="20" w:before="20"/>
            </w:pPr>
            <w:r>
              <w:rPr>
                <w:sz w:val="18"/>
              </w:rPr>
              <w:t>4.5%</w:t>
            </w:r>
          </w:p>
        </w:tc>
      </w:tr>
      <w:tr>
        <w:tc>
          <w:tcPr>
            <w:tcW w:type="dxa" w:w="624"/>
            <w:shd w:val="clear" w:color="auto" w:fill="E3F2FD"/>
            <w:vAlign w:val="center"/>
          </w:tcPr>
          <w:p>
            <w:pPr>
              <w:spacing w:after="20" w:before="20"/>
            </w:pPr>
            <w:r>
              <w:rPr>
                <w:sz w:val="18"/>
              </w:rPr>
              <w:t>7</w:t>
            </w:r>
          </w:p>
        </w:tc>
        <w:tc>
          <w:tcPr>
            <w:tcW w:type="dxa" w:w="624"/>
            <w:shd w:val="clear" w:color="auto" w:fill="E3F2FD"/>
            <w:vAlign w:val="center"/>
          </w:tcPr>
          <w:p>
            <w:pPr>
              <w:spacing w:after="20" w:before="20"/>
            </w:pPr>
            <w:r>
              <w:rPr>
                <w:sz w:val="18"/>
              </w:rPr>
              <w:t>E</w:t>
            </w:r>
          </w:p>
        </w:tc>
        <w:tc>
          <w:tcPr>
            <w:tcW w:type="dxa" w:w="1020"/>
            <w:shd w:val="clear" w:color="auto" w:fill="E3F2FD"/>
            <w:vAlign w:val="center"/>
          </w:tcPr>
          <w:p>
            <w:pPr>
              <w:spacing w:after="20" w:before="20"/>
            </w:pPr>
            <w:r>
              <w:rPr>
                <w:sz w:val="18"/>
              </w:rPr>
              <w:t>36</w:t>
            </w:r>
          </w:p>
        </w:tc>
        <w:tc>
          <w:tcPr>
            <w:tcW w:type="dxa" w:w="5386"/>
            <w:shd w:val="clear" w:color="auto" w:fill="E3F2FD"/>
            <w:vAlign w:val="center"/>
          </w:tcPr>
          <w:p>
            <w:pPr>
              <w:spacing w:after="20" w:before="20"/>
            </w:pPr>
            <w:r>
              <w:rPr>
                <w:sz w:val="18"/>
              </w:rPr>
              <w:t>36 — Water collection, treatment and supply</w:t>
            </w:r>
          </w:p>
        </w:tc>
        <w:tc>
          <w:tcPr>
            <w:tcW w:type="dxa" w:w="1020"/>
            <w:shd w:val="clear" w:color="auto" w:fill="E3F2FD"/>
            <w:vAlign w:val="center"/>
          </w:tcPr>
          <w:p>
            <w:pPr>
              <w:spacing w:after="20" w:before="20"/>
            </w:pPr>
            <w:r>
              <w:rPr>
                <w:sz w:val="18"/>
              </w:rPr>
              <w:t>944</w:t>
            </w:r>
          </w:p>
        </w:tc>
        <w:tc>
          <w:tcPr>
            <w:tcW w:type="dxa" w:w="794"/>
            <w:shd w:val="clear" w:color="auto" w:fill="E3F2FD"/>
            <w:vAlign w:val="center"/>
          </w:tcPr>
          <w:p>
            <w:pPr>
              <w:spacing w:after="20" w:before="20"/>
            </w:pPr>
            <w:r>
              <w:rPr>
                <w:sz w:val="18"/>
              </w:rPr>
              <w:t>2.4%</w:t>
            </w:r>
          </w:p>
        </w:tc>
      </w:tr>
      <w:tr>
        <w:tc>
          <w:tcPr>
            <w:tcW w:type="dxa" w:w="624"/>
            <w:vAlign w:val="center"/>
          </w:tcPr>
          <w:p>
            <w:pPr>
              <w:spacing w:after="20" w:before="20"/>
            </w:pPr>
            <w:r>
              <w:rPr>
                <w:sz w:val="18"/>
              </w:rPr>
              <w:t>8</w:t>
            </w:r>
          </w:p>
        </w:tc>
        <w:tc>
          <w:tcPr>
            <w:tcW w:type="dxa" w:w="624"/>
            <w:vAlign w:val="center"/>
          </w:tcPr>
          <w:p>
            <w:pPr>
              <w:spacing w:after="20" w:before="20"/>
            </w:pPr>
            <w:r>
              <w:rPr>
                <w:sz w:val="18"/>
              </w:rPr>
              <w:t>A</w:t>
            </w:r>
          </w:p>
        </w:tc>
        <w:tc>
          <w:tcPr>
            <w:tcW w:type="dxa" w:w="1020"/>
            <w:vAlign w:val="center"/>
          </w:tcPr>
          <w:p>
            <w:pPr>
              <w:spacing w:after="20" w:before="20"/>
            </w:pPr>
            <w:r>
              <w:rPr>
                <w:sz w:val="18"/>
              </w:rPr>
              <w:t>36</w:t>
            </w:r>
          </w:p>
        </w:tc>
        <w:tc>
          <w:tcPr>
            <w:tcW w:type="dxa" w:w="5386"/>
            <w:vAlign w:val="center"/>
          </w:tcPr>
          <w:p>
            <w:pPr>
              <w:spacing w:after="20" w:before="20"/>
            </w:pPr>
            <w:r>
              <w:rPr>
                <w:sz w:val="18"/>
              </w:rPr>
              <w:t>36 — Water collection, treatment and supply</w:t>
            </w:r>
          </w:p>
        </w:tc>
        <w:tc>
          <w:tcPr>
            <w:tcW w:type="dxa" w:w="1020"/>
            <w:vAlign w:val="center"/>
          </w:tcPr>
          <w:p>
            <w:pPr>
              <w:spacing w:after="20" w:before="20"/>
            </w:pPr>
            <w:r>
              <w:rPr>
                <w:sz w:val="18"/>
              </w:rPr>
              <w:t>815</w:t>
            </w:r>
          </w:p>
        </w:tc>
        <w:tc>
          <w:tcPr>
            <w:tcW w:type="dxa" w:w="794"/>
            <w:vAlign w:val="center"/>
          </w:tcPr>
          <w:p>
            <w:pPr>
              <w:spacing w:after="20" w:before="20"/>
            </w:pPr>
            <w:r>
              <w:rPr>
                <w:sz w:val="18"/>
              </w:rPr>
              <w:t>2.1%</w:t>
            </w:r>
          </w:p>
        </w:tc>
      </w:tr>
      <w:tr>
        <w:tc>
          <w:tcPr>
            <w:tcW w:type="dxa" w:w="624"/>
            <w:shd w:val="clear" w:color="auto" w:fill="E3F2FD"/>
            <w:vAlign w:val="center"/>
          </w:tcPr>
          <w:p>
            <w:pPr>
              <w:spacing w:after="20" w:before="20"/>
            </w:pPr>
            <w:r>
              <w:rPr>
                <w:sz w:val="18"/>
              </w:rPr>
              <w:t>9</w:t>
            </w:r>
          </w:p>
        </w:tc>
        <w:tc>
          <w:tcPr>
            <w:tcW w:type="dxa" w:w="624"/>
            <w:shd w:val="clear" w:color="auto" w:fill="E3F2FD"/>
            <w:vAlign w:val="center"/>
          </w:tcPr>
          <w:p>
            <w:pPr>
              <w:spacing w:after="20" w:before="20"/>
            </w:pPr>
            <w:r>
              <w:rPr>
                <w:sz w:val="18"/>
              </w:rPr>
              <w:t>K</w:t>
            </w:r>
          </w:p>
        </w:tc>
        <w:tc>
          <w:tcPr>
            <w:tcW w:type="dxa" w:w="1020"/>
            <w:shd w:val="clear" w:color="auto" w:fill="E3F2FD"/>
            <w:vAlign w:val="center"/>
          </w:tcPr>
          <w:p>
            <w:pPr>
              <w:spacing w:after="20" w:before="20"/>
            </w:pPr>
            <w:r>
              <w:rPr>
                <w:sz w:val="18"/>
              </w:rPr>
              <w:t>62</w:t>
            </w:r>
          </w:p>
        </w:tc>
        <w:tc>
          <w:tcPr>
            <w:tcW w:type="dxa" w:w="5386"/>
            <w:shd w:val="clear" w:color="auto" w:fill="E3F2FD"/>
            <w:vAlign w:val="center"/>
          </w:tcPr>
          <w:p>
            <w:pPr>
              <w:spacing w:after="20" w:before="20"/>
            </w:pPr>
            <w:r>
              <w:rPr>
                <w:sz w:val="18"/>
              </w:rPr>
              <w:t>62 — Computer programming, consultancy and related activities</w:t>
            </w:r>
          </w:p>
        </w:tc>
        <w:tc>
          <w:tcPr>
            <w:tcW w:type="dxa" w:w="1020"/>
            <w:shd w:val="clear" w:color="auto" w:fill="E3F2FD"/>
            <w:vAlign w:val="center"/>
          </w:tcPr>
          <w:p>
            <w:pPr>
              <w:spacing w:after="20" w:before="20"/>
            </w:pPr>
            <w:r>
              <w:rPr>
                <w:sz w:val="18"/>
              </w:rPr>
              <w:t>763</w:t>
            </w:r>
          </w:p>
        </w:tc>
        <w:tc>
          <w:tcPr>
            <w:tcW w:type="dxa" w:w="794"/>
            <w:shd w:val="clear" w:color="auto" w:fill="E3F2FD"/>
            <w:vAlign w:val="center"/>
          </w:tcPr>
          <w:p>
            <w:pPr>
              <w:spacing w:after="20" w:before="20"/>
            </w:pPr>
            <w:r>
              <w:rPr>
                <w:sz w:val="18"/>
              </w:rPr>
              <w:t>1.9%</w:t>
            </w:r>
          </w:p>
        </w:tc>
      </w:tr>
      <w:tr>
        <w:tc>
          <w:tcPr>
            <w:tcW w:type="dxa" w:w="624"/>
            <w:vAlign w:val="center"/>
          </w:tcPr>
          <w:p>
            <w:pPr>
              <w:spacing w:after="20" w:before="20"/>
            </w:pPr>
            <w:r>
              <w:rPr>
                <w:sz w:val="18"/>
              </w:rPr>
              <w:t>10</w:t>
            </w:r>
          </w:p>
        </w:tc>
        <w:tc>
          <w:tcPr>
            <w:tcW w:type="dxa" w:w="624"/>
            <w:vAlign w:val="center"/>
          </w:tcPr>
          <w:p>
            <w:pPr>
              <w:spacing w:after="20" w:before="20"/>
            </w:pPr>
            <w:r>
              <w:rPr>
                <w:sz w:val="18"/>
              </w:rPr>
              <w:t>N</w:t>
            </w:r>
          </w:p>
        </w:tc>
        <w:tc>
          <w:tcPr>
            <w:tcW w:type="dxa" w:w="1020"/>
            <w:vAlign w:val="center"/>
          </w:tcPr>
          <w:p>
            <w:pPr>
              <w:spacing w:after="20" w:before="20"/>
            </w:pPr>
            <w:r>
              <w:rPr>
                <w:sz w:val="18"/>
              </w:rPr>
              <w:t>74</w:t>
            </w:r>
          </w:p>
        </w:tc>
        <w:tc>
          <w:tcPr>
            <w:tcW w:type="dxa" w:w="5386"/>
            <w:vAlign w:val="center"/>
          </w:tcPr>
          <w:p>
            <w:pPr>
              <w:spacing w:after="20" w:before="20"/>
            </w:pPr>
            <w:r>
              <w:rPr>
                <w:sz w:val="18"/>
              </w:rPr>
              <w:t>74 — Other professional, scientific and technical activities</w:t>
            </w:r>
          </w:p>
        </w:tc>
        <w:tc>
          <w:tcPr>
            <w:tcW w:type="dxa" w:w="1020"/>
            <w:vAlign w:val="center"/>
          </w:tcPr>
          <w:p>
            <w:pPr>
              <w:spacing w:after="20" w:before="20"/>
            </w:pPr>
            <w:r>
              <w:rPr>
                <w:sz w:val="18"/>
              </w:rPr>
              <w:t>751</w:t>
            </w:r>
          </w:p>
        </w:tc>
        <w:tc>
          <w:tcPr>
            <w:tcW w:type="dxa" w:w="794"/>
            <w:vAlign w:val="center"/>
          </w:tcPr>
          <w:p>
            <w:pPr>
              <w:spacing w:after="20" w:before="20"/>
            </w:pPr>
            <w:r>
              <w:rPr>
                <w:sz w:val="18"/>
              </w:rPr>
              <w:t>1.9%</w:t>
            </w:r>
          </w:p>
        </w:tc>
      </w:tr>
      <w:tr>
        <w:tc>
          <w:tcPr>
            <w:tcW w:type="dxa" w:w="624"/>
            <w:shd w:val="clear" w:color="auto" w:fill="E3F2FD"/>
            <w:vAlign w:val="center"/>
          </w:tcPr>
          <w:p>
            <w:pPr>
              <w:spacing w:after="20" w:before="20"/>
            </w:pPr>
            <w:r>
              <w:rPr>
                <w:sz w:val="18"/>
              </w:rPr>
              <w:t>11</w:t>
            </w:r>
          </w:p>
        </w:tc>
        <w:tc>
          <w:tcPr>
            <w:tcW w:type="dxa" w:w="624"/>
            <w:shd w:val="clear" w:color="auto" w:fill="E3F2FD"/>
            <w:vAlign w:val="center"/>
          </w:tcPr>
          <w:p>
            <w:pPr>
              <w:spacing w:after="20" w:before="20"/>
            </w:pPr>
            <w:r>
              <w:rPr>
                <w:sz w:val="18"/>
              </w:rPr>
              <w:t>K</w:t>
            </w:r>
          </w:p>
        </w:tc>
        <w:tc>
          <w:tcPr>
            <w:tcW w:type="dxa" w:w="1020"/>
            <w:shd w:val="clear" w:color="auto" w:fill="E3F2FD"/>
            <w:vAlign w:val="center"/>
          </w:tcPr>
          <w:p>
            <w:pPr>
              <w:spacing w:after="20" w:before="20"/>
            </w:pPr>
            <w:r>
              <w:rPr>
                <w:sz w:val="18"/>
              </w:rPr>
              <w:t>63</w:t>
            </w:r>
          </w:p>
        </w:tc>
        <w:tc>
          <w:tcPr>
            <w:tcW w:type="dxa" w:w="5386"/>
            <w:shd w:val="clear" w:color="auto" w:fill="E3F2FD"/>
            <w:vAlign w:val="center"/>
          </w:tcPr>
          <w:p>
            <w:pPr>
              <w:spacing w:after="20" w:before="20"/>
            </w:pPr>
            <w:r>
              <w:rPr>
                <w:sz w:val="18"/>
              </w:rPr>
              <w:t>63 — Computing infrastructure, data processing, hosting, and other information s</w:t>
            </w:r>
          </w:p>
        </w:tc>
        <w:tc>
          <w:tcPr>
            <w:tcW w:type="dxa" w:w="1020"/>
            <w:shd w:val="clear" w:color="auto" w:fill="E3F2FD"/>
            <w:vAlign w:val="center"/>
          </w:tcPr>
          <w:p>
            <w:pPr>
              <w:spacing w:after="20" w:before="20"/>
            </w:pPr>
            <w:r>
              <w:rPr>
                <w:sz w:val="18"/>
              </w:rPr>
              <w:t>599</w:t>
            </w:r>
          </w:p>
        </w:tc>
        <w:tc>
          <w:tcPr>
            <w:tcW w:type="dxa" w:w="794"/>
            <w:shd w:val="clear" w:color="auto" w:fill="E3F2FD"/>
            <w:vAlign w:val="center"/>
          </w:tcPr>
          <w:p>
            <w:pPr>
              <w:spacing w:after="20" w:before="20"/>
            </w:pPr>
            <w:r>
              <w:rPr>
                <w:sz w:val="18"/>
              </w:rPr>
              <w:t>1.5%</w:t>
            </w:r>
          </w:p>
        </w:tc>
      </w:tr>
      <w:tr>
        <w:tc>
          <w:tcPr>
            <w:tcW w:type="dxa" w:w="624"/>
            <w:vAlign w:val="center"/>
          </w:tcPr>
          <w:p>
            <w:pPr>
              <w:spacing w:after="20" w:before="20"/>
            </w:pPr>
            <w:r>
              <w:rPr>
                <w:sz w:val="18"/>
              </w:rPr>
              <w:t>12</w:t>
            </w:r>
          </w:p>
        </w:tc>
        <w:tc>
          <w:tcPr>
            <w:tcW w:type="dxa" w:w="624"/>
            <w:vAlign w:val="center"/>
          </w:tcPr>
          <w:p>
            <w:pPr>
              <w:spacing w:after="20" w:before="20"/>
            </w:pPr>
            <w:r>
              <w:rPr>
                <w:sz w:val="18"/>
              </w:rPr>
              <w:t>R</w:t>
            </w:r>
          </w:p>
        </w:tc>
        <w:tc>
          <w:tcPr>
            <w:tcW w:type="dxa" w:w="1020"/>
            <w:vAlign w:val="center"/>
          </w:tcPr>
          <w:p>
            <w:pPr>
              <w:spacing w:after="20" w:before="20"/>
            </w:pPr>
            <w:r>
              <w:rPr>
                <w:sz w:val="18"/>
              </w:rPr>
              <w:t>88</w:t>
            </w:r>
          </w:p>
        </w:tc>
        <w:tc>
          <w:tcPr>
            <w:tcW w:type="dxa" w:w="5386"/>
            <w:vAlign w:val="center"/>
          </w:tcPr>
          <w:p>
            <w:pPr>
              <w:spacing w:after="20" w:before="20"/>
            </w:pPr>
            <w:r>
              <w:rPr>
                <w:sz w:val="18"/>
              </w:rPr>
              <w:t>88 — Social work activities without accommodation</w:t>
            </w:r>
          </w:p>
        </w:tc>
        <w:tc>
          <w:tcPr>
            <w:tcW w:type="dxa" w:w="1020"/>
            <w:vAlign w:val="center"/>
          </w:tcPr>
          <w:p>
            <w:pPr>
              <w:spacing w:after="20" w:before="20"/>
            </w:pPr>
            <w:r>
              <w:rPr>
                <w:sz w:val="18"/>
              </w:rPr>
              <w:t>563</w:t>
            </w:r>
          </w:p>
        </w:tc>
        <w:tc>
          <w:tcPr>
            <w:tcW w:type="dxa" w:w="794"/>
            <w:vAlign w:val="center"/>
          </w:tcPr>
          <w:p>
            <w:pPr>
              <w:spacing w:after="20" w:before="20"/>
            </w:pPr>
            <w:r>
              <w:rPr>
                <w:sz w:val="18"/>
              </w:rPr>
              <w:t>1.4%</w:t>
            </w:r>
          </w:p>
        </w:tc>
      </w:tr>
      <w:tr>
        <w:tc>
          <w:tcPr>
            <w:tcW w:type="dxa" w:w="624"/>
            <w:shd w:val="clear" w:color="auto" w:fill="E3F2FD"/>
            <w:vAlign w:val="center"/>
          </w:tcPr>
          <w:p>
            <w:pPr>
              <w:spacing w:after="20" w:before="20"/>
            </w:pPr>
            <w:r>
              <w:rPr>
                <w:sz w:val="18"/>
              </w:rPr>
              <w:t>13</w:t>
            </w:r>
          </w:p>
        </w:tc>
        <w:tc>
          <w:tcPr>
            <w:tcW w:type="dxa" w:w="624"/>
            <w:shd w:val="clear" w:color="auto" w:fill="E3F2FD"/>
            <w:vAlign w:val="center"/>
          </w:tcPr>
          <w:p>
            <w:pPr>
              <w:spacing w:after="20" w:before="20"/>
            </w:pPr>
            <w:r>
              <w:rPr>
                <w:sz w:val="18"/>
              </w:rPr>
              <w:t>L</w:t>
            </w:r>
          </w:p>
        </w:tc>
        <w:tc>
          <w:tcPr>
            <w:tcW w:type="dxa" w:w="1020"/>
            <w:shd w:val="clear" w:color="auto" w:fill="E3F2FD"/>
            <w:vAlign w:val="center"/>
          </w:tcPr>
          <w:p>
            <w:pPr>
              <w:spacing w:after="20" w:before="20"/>
            </w:pPr>
            <w:r>
              <w:rPr>
                <w:sz w:val="18"/>
              </w:rPr>
              <w:t>64</w:t>
            </w:r>
          </w:p>
        </w:tc>
        <w:tc>
          <w:tcPr>
            <w:tcW w:type="dxa" w:w="5386"/>
            <w:shd w:val="clear" w:color="auto" w:fill="E3F2FD"/>
            <w:vAlign w:val="center"/>
          </w:tcPr>
          <w:p>
            <w:pPr>
              <w:spacing w:after="20" w:before="20"/>
            </w:pPr>
            <w:r>
              <w:rPr>
                <w:sz w:val="18"/>
              </w:rPr>
              <w:t>64 — Financial service activities, except insurance and pension funding</w:t>
            </w:r>
          </w:p>
        </w:tc>
        <w:tc>
          <w:tcPr>
            <w:tcW w:type="dxa" w:w="1020"/>
            <w:shd w:val="clear" w:color="auto" w:fill="E3F2FD"/>
            <w:vAlign w:val="center"/>
          </w:tcPr>
          <w:p>
            <w:pPr>
              <w:spacing w:after="20" w:before="20"/>
            </w:pPr>
            <w:r>
              <w:rPr>
                <w:sz w:val="18"/>
              </w:rPr>
              <w:t>547</w:t>
            </w:r>
          </w:p>
        </w:tc>
        <w:tc>
          <w:tcPr>
            <w:tcW w:type="dxa" w:w="794"/>
            <w:shd w:val="clear" w:color="auto" w:fill="E3F2FD"/>
            <w:vAlign w:val="center"/>
          </w:tcPr>
          <w:p>
            <w:pPr>
              <w:spacing w:after="20" w:before="20"/>
            </w:pPr>
            <w:r>
              <w:rPr>
                <w:sz w:val="18"/>
              </w:rPr>
              <w:t>1.4%</w:t>
            </w:r>
          </w:p>
        </w:tc>
      </w:tr>
      <w:tr>
        <w:tc>
          <w:tcPr>
            <w:tcW w:type="dxa" w:w="624"/>
            <w:vAlign w:val="center"/>
          </w:tcPr>
          <w:p>
            <w:pPr>
              <w:spacing w:after="20" w:before="20"/>
            </w:pPr>
            <w:r>
              <w:rPr>
                <w:sz w:val="18"/>
              </w:rPr>
              <w:t>14</w:t>
            </w:r>
          </w:p>
        </w:tc>
        <w:tc>
          <w:tcPr>
            <w:tcW w:type="dxa" w:w="624"/>
            <w:vAlign w:val="center"/>
          </w:tcPr>
          <w:p>
            <w:pPr>
              <w:spacing w:after="20" w:before="20"/>
            </w:pPr>
            <w:r>
              <w:rPr>
                <w:sz w:val="18"/>
              </w:rPr>
              <w:t>A</w:t>
            </w:r>
          </w:p>
        </w:tc>
        <w:tc>
          <w:tcPr>
            <w:tcW w:type="dxa" w:w="1020"/>
            <w:vAlign w:val="center"/>
          </w:tcPr>
          <w:p>
            <w:pPr>
              <w:spacing w:after="20" w:before="20"/>
            </w:pPr>
            <w:r>
              <w:rPr>
                <w:sz w:val="18"/>
              </w:rPr>
              <w:t>93</w:t>
            </w:r>
          </w:p>
        </w:tc>
        <w:tc>
          <w:tcPr>
            <w:tcW w:type="dxa" w:w="5386"/>
            <w:vAlign w:val="center"/>
          </w:tcPr>
          <w:p>
            <w:pPr>
              <w:spacing w:after="20" w:before="20"/>
            </w:pPr>
            <w:r>
              <w:rPr>
                <w:sz w:val="18"/>
              </w:rPr>
              <w:t>93 — Sports activities and amusement and recreation activities</w:t>
            </w:r>
          </w:p>
        </w:tc>
        <w:tc>
          <w:tcPr>
            <w:tcW w:type="dxa" w:w="1020"/>
            <w:vAlign w:val="center"/>
          </w:tcPr>
          <w:p>
            <w:pPr>
              <w:spacing w:after="20" w:before="20"/>
            </w:pPr>
            <w:r>
              <w:rPr>
                <w:sz w:val="18"/>
              </w:rPr>
              <w:t>535</w:t>
            </w:r>
          </w:p>
        </w:tc>
        <w:tc>
          <w:tcPr>
            <w:tcW w:type="dxa" w:w="794"/>
            <w:vAlign w:val="center"/>
          </w:tcPr>
          <w:p>
            <w:pPr>
              <w:spacing w:after="20" w:before="20"/>
            </w:pPr>
            <w:r>
              <w:rPr>
                <w:sz w:val="18"/>
              </w:rPr>
              <w:t>1.4%</w:t>
            </w:r>
          </w:p>
        </w:tc>
      </w:tr>
      <w:tr>
        <w:tc>
          <w:tcPr>
            <w:tcW w:type="dxa" w:w="624"/>
            <w:shd w:val="clear" w:color="auto" w:fill="E3F2FD"/>
            <w:vAlign w:val="center"/>
          </w:tcPr>
          <w:p>
            <w:pPr>
              <w:spacing w:after="20" w:before="20"/>
            </w:pPr>
            <w:r>
              <w:rPr>
                <w:sz w:val="18"/>
              </w:rPr>
              <w:t>15</w:t>
            </w:r>
          </w:p>
        </w:tc>
        <w:tc>
          <w:tcPr>
            <w:tcW w:type="dxa" w:w="624"/>
            <w:shd w:val="clear" w:color="auto" w:fill="E3F2FD"/>
            <w:vAlign w:val="center"/>
          </w:tcPr>
          <w:p>
            <w:pPr>
              <w:spacing w:after="20" w:before="20"/>
            </w:pPr>
            <w:r>
              <w:rPr>
                <w:sz w:val="18"/>
              </w:rPr>
              <w:t>S</w:t>
            </w:r>
          </w:p>
        </w:tc>
        <w:tc>
          <w:tcPr>
            <w:tcW w:type="dxa" w:w="1020"/>
            <w:shd w:val="clear" w:color="auto" w:fill="E3F2FD"/>
            <w:vAlign w:val="center"/>
          </w:tcPr>
          <w:p>
            <w:pPr>
              <w:spacing w:after="20" w:before="20"/>
            </w:pPr>
            <w:r>
              <w:rPr>
                <w:sz w:val="18"/>
              </w:rPr>
              <w:t>91</w:t>
            </w:r>
          </w:p>
        </w:tc>
        <w:tc>
          <w:tcPr>
            <w:tcW w:type="dxa" w:w="5386"/>
            <w:shd w:val="clear" w:color="auto" w:fill="E3F2FD"/>
            <w:vAlign w:val="center"/>
          </w:tcPr>
          <w:p>
            <w:pPr>
              <w:spacing w:after="20" w:before="20"/>
            </w:pPr>
            <w:r>
              <w:rPr>
                <w:sz w:val="18"/>
              </w:rPr>
              <w:t>91 — Library, archives, museum and other cultural activities</w:t>
            </w:r>
          </w:p>
        </w:tc>
        <w:tc>
          <w:tcPr>
            <w:tcW w:type="dxa" w:w="1020"/>
            <w:shd w:val="clear" w:color="auto" w:fill="E3F2FD"/>
            <w:vAlign w:val="center"/>
          </w:tcPr>
          <w:p>
            <w:pPr>
              <w:spacing w:after="20" w:before="20"/>
            </w:pPr>
            <w:r>
              <w:rPr>
                <w:sz w:val="18"/>
              </w:rPr>
              <w:t>491</w:t>
            </w:r>
          </w:p>
        </w:tc>
        <w:tc>
          <w:tcPr>
            <w:tcW w:type="dxa" w:w="794"/>
            <w:shd w:val="clear" w:color="auto" w:fill="E3F2FD"/>
            <w:vAlign w:val="center"/>
          </w:tcPr>
          <w:p>
            <w:pPr>
              <w:spacing w:after="20" w:before="20"/>
            </w:pPr>
            <w:r>
              <w:rPr>
                <w:sz w:val="18"/>
              </w:rPr>
              <w:t>1.2%</w:t>
            </w:r>
          </w:p>
        </w:tc>
      </w:tr>
      <w:tr>
        <w:tc>
          <w:tcPr>
            <w:tcW w:type="dxa" w:w="624"/>
            <w:vAlign w:val="center"/>
          </w:tcPr>
          <w:p>
            <w:pPr>
              <w:spacing w:after="20" w:before="20"/>
            </w:pPr>
            <w:r>
              <w:rPr>
                <w:sz w:val="18"/>
              </w:rPr>
              <w:t>16</w:t>
            </w:r>
          </w:p>
        </w:tc>
        <w:tc>
          <w:tcPr>
            <w:tcW w:type="dxa" w:w="624"/>
            <w:vAlign w:val="center"/>
          </w:tcPr>
          <w:p>
            <w:pPr>
              <w:spacing w:after="20" w:before="20"/>
            </w:pPr>
            <w:r>
              <w:rPr>
                <w:sz w:val="18"/>
              </w:rPr>
              <w:t>S</w:t>
            </w:r>
          </w:p>
        </w:tc>
        <w:tc>
          <w:tcPr>
            <w:tcW w:type="dxa" w:w="1020"/>
            <w:vAlign w:val="center"/>
          </w:tcPr>
          <w:p>
            <w:pPr>
              <w:spacing w:after="20" w:before="20"/>
            </w:pPr>
            <w:r>
              <w:rPr>
                <w:sz w:val="18"/>
              </w:rPr>
              <w:t>90</w:t>
            </w:r>
          </w:p>
        </w:tc>
        <w:tc>
          <w:tcPr>
            <w:tcW w:type="dxa" w:w="5386"/>
            <w:vAlign w:val="center"/>
          </w:tcPr>
          <w:p>
            <w:pPr>
              <w:spacing w:after="20" w:before="20"/>
            </w:pPr>
            <w:r>
              <w:rPr>
                <w:sz w:val="18"/>
              </w:rPr>
              <w:t>90 — Arts creation and performing arts activities</w:t>
            </w:r>
          </w:p>
        </w:tc>
        <w:tc>
          <w:tcPr>
            <w:tcW w:type="dxa" w:w="1020"/>
            <w:vAlign w:val="center"/>
          </w:tcPr>
          <w:p>
            <w:pPr>
              <w:spacing w:after="20" w:before="20"/>
            </w:pPr>
            <w:r>
              <w:rPr>
                <w:sz w:val="18"/>
              </w:rPr>
              <w:t>478</w:t>
            </w:r>
          </w:p>
        </w:tc>
        <w:tc>
          <w:tcPr>
            <w:tcW w:type="dxa" w:w="794"/>
            <w:vAlign w:val="center"/>
          </w:tcPr>
          <w:p>
            <w:pPr>
              <w:spacing w:after="20" w:before="20"/>
            </w:pPr>
            <w:r>
              <w:rPr>
                <w:sz w:val="18"/>
              </w:rPr>
              <w:t>1.2%</w:t>
            </w:r>
          </w:p>
        </w:tc>
      </w:tr>
      <w:tr>
        <w:tc>
          <w:tcPr>
            <w:tcW w:type="dxa" w:w="624"/>
            <w:shd w:val="clear" w:color="auto" w:fill="E3F2FD"/>
            <w:vAlign w:val="center"/>
          </w:tcPr>
          <w:p>
            <w:pPr>
              <w:spacing w:after="20" w:before="20"/>
            </w:pPr>
            <w:r>
              <w:rPr>
                <w:sz w:val="18"/>
              </w:rPr>
              <w:t>17</w:t>
            </w:r>
          </w:p>
        </w:tc>
        <w:tc>
          <w:tcPr>
            <w:tcW w:type="dxa" w:w="624"/>
            <w:shd w:val="clear" w:color="auto" w:fill="E3F2FD"/>
            <w:vAlign w:val="center"/>
          </w:tcPr>
          <w:p>
            <w:pPr>
              <w:spacing w:after="20" w:before="20"/>
            </w:pPr>
            <w:r>
              <w:rPr>
                <w:sz w:val="18"/>
              </w:rPr>
              <w:t>V</w:t>
            </w:r>
          </w:p>
        </w:tc>
        <w:tc>
          <w:tcPr>
            <w:tcW w:type="dxa" w:w="1020"/>
            <w:shd w:val="clear" w:color="auto" w:fill="E3F2FD"/>
            <w:vAlign w:val="center"/>
          </w:tcPr>
          <w:p>
            <w:pPr>
              <w:spacing w:after="20" w:before="20"/>
            </w:pPr>
            <w:r>
              <w:rPr>
                <w:sz w:val="18"/>
              </w:rPr>
              <w:t>99</w:t>
            </w:r>
          </w:p>
        </w:tc>
        <w:tc>
          <w:tcPr>
            <w:tcW w:type="dxa" w:w="5386"/>
            <w:shd w:val="clear" w:color="auto" w:fill="E3F2FD"/>
            <w:vAlign w:val="center"/>
          </w:tcPr>
          <w:p>
            <w:pPr>
              <w:spacing w:after="20" w:before="20"/>
            </w:pPr>
            <w:r>
              <w:rPr>
                <w:sz w:val="18"/>
              </w:rPr>
              <w:t>99 — Activities of extraterritorial organizations and bodies</w:t>
            </w:r>
          </w:p>
        </w:tc>
        <w:tc>
          <w:tcPr>
            <w:tcW w:type="dxa" w:w="1020"/>
            <w:shd w:val="clear" w:color="auto" w:fill="E3F2FD"/>
            <w:vAlign w:val="center"/>
          </w:tcPr>
          <w:p>
            <w:pPr>
              <w:spacing w:after="20" w:before="20"/>
            </w:pPr>
            <w:r>
              <w:rPr>
                <w:sz w:val="18"/>
              </w:rPr>
              <w:t>471</w:t>
            </w:r>
          </w:p>
        </w:tc>
        <w:tc>
          <w:tcPr>
            <w:tcW w:type="dxa" w:w="794"/>
            <w:shd w:val="clear" w:color="auto" w:fill="E3F2FD"/>
            <w:vAlign w:val="center"/>
          </w:tcPr>
          <w:p>
            <w:pPr>
              <w:spacing w:after="20" w:before="20"/>
            </w:pPr>
            <w:r>
              <w:rPr>
                <w:sz w:val="18"/>
              </w:rPr>
              <w:t>1.2%</w:t>
            </w:r>
          </w:p>
        </w:tc>
      </w:tr>
      <w:tr>
        <w:tc>
          <w:tcPr>
            <w:tcW w:type="dxa" w:w="624"/>
            <w:vAlign w:val="center"/>
          </w:tcPr>
          <w:p>
            <w:pPr>
              <w:spacing w:after="20" w:before="20"/>
            </w:pPr>
            <w:r>
              <w:rPr>
                <w:sz w:val="18"/>
              </w:rPr>
              <w:t>18</w:t>
            </w:r>
          </w:p>
        </w:tc>
        <w:tc>
          <w:tcPr>
            <w:tcW w:type="dxa" w:w="624"/>
            <w:vAlign w:val="center"/>
          </w:tcPr>
          <w:p>
            <w:pPr>
              <w:spacing w:after="20" w:before="20"/>
            </w:pPr>
            <w:r>
              <w:rPr>
                <w:sz w:val="18"/>
              </w:rPr>
              <w:t>A</w:t>
            </w:r>
          </w:p>
        </w:tc>
        <w:tc>
          <w:tcPr>
            <w:tcW w:type="dxa" w:w="1020"/>
            <w:vAlign w:val="center"/>
          </w:tcPr>
          <w:p>
            <w:pPr>
              <w:spacing w:after="20" w:before="20"/>
            </w:pPr>
            <w:r>
              <w:rPr>
                <w:sz w:val="18"/>
              </w:rPr>
              <w:t>03</w:t>
            </w:r>
          </w:p>
        </w:tc>
        <w:tc>
          <w:tcPr>
            <w:tcW w:type="dxa" w:w="5386"/>
            <w:vAlign w:val="center"/>
          </w:tcPr>
          <w:p>
            <w:pPr>
              <w:spacing w:after="20" w:before="20"/>
            </w:pPr>
            <w:r>
              <w:rPr>
                <w:sz w:val="18"/>
              </w:rPr>
              <w:t>03 — Fishing and aquaculture</w:t>
            </w:r>
          </w:p>
        </w:tc>
        <w:tc>
          <w:tcPr>
            <w:tcW w:type="dxa" w:w="1020"/>
            <w:vAlign w:val="center"/>
          </w:tcPr>
          <w:p>
            <w:pPr>
              <w:spacing w:after="20" w:before="20"/>
            </w:pPr>
            <w:r>
              <w:rPr>
                <w:sz w:val="18"/>
              </w:rPr>
              <w:t>451</w:t>
            </w:r>
          </w:p>
        </w:tc>
        <w:tc>
          <w:tcPr>
            <w:tcW w:type="dxa" w:w="794"/>
            <w:vAlign w:val="center"/>
          </w:tcPr>
          <w:p>
            <w:pPr>
              <w:spacing w:after="20" w:before="20"/>
            </w:pPr>
            <w:r>
              <w:rPr>
                <w:sz w:val="18"/>
              </w:rPr>
              <w:t>1.1%</w:t>
            </w:r>
          </w:p>
        </w:tc>
      </w:tr>
      <w:tr>
        <w:tc>
          <w:tcPr>
            <w:tcW w:type="dxa" w:w="624"/>
            <w:shd w:val="clear" w:color="auto" w:fill="E3F2FD"/>
            <w:vAlign w:val="center"/>
          </w:tcPr>
          <w:p>
            <w:pPr>
              <w:spacing w:after="20" w:before="20"/>
            </w:pPr>
            <w:r>
              <w:rPr>
                <w:sz w:val="18"/>
              </w:rPr>
              <w:t>19</w:t>
            </w:r>
          </w:p>
        </w:tc>
        <w:tc>
          <w:tcPr>
            <w:tcW w:type="dxa" w:w="624"/>
            <w:shd w:val="clear" w:color="auto" w:fill="E3F2FD"/>
            <w:vAlign w:val="center"/>
          </w:tcPr>
          <w:p>
            <w:pPr>
              <w:spacing w:after="20" w:before="20"/>
            </w:pPr>
            <w:r>
              <w:rPr>
                <w:sz w:val="18"/>
              </w:rPr>
              <w:t>N</w:t>
            </w:r>
          </w:p>
        </w:tc>
        <w:tc>
          <w:tcPr>
            <w:tcW w:type="dxa" w:w="1020"/>
            <w:shd w:val="clear" w:color="auto" w:fill="E3F2FD"/>
            <w:vAlign w:val="center"/>
          </w:tcPr>
          <w:p>
            <w:pPr>
              <w:spacing w:after="20" w:before="20"/>
            </w:pPr>
            <w:r>
              <w:rPr>
                <w:sz w:val="18"/>
              </w:rPr>
              <w:t>62</w:t>
            </w:r>
          </w:p>
        </w:tc>
        <w:tc>
          <w:tcPr>
            <w:tcW w:type="dxa" w:w="5386"/>
            <w:shd w:val="clear" w:color="auto" w:fill="E3F2FD"/>
            <w:vAlign w:val="center"/>
          </w:tcPr>
          <w:p>
            <w:pPr>
              <w:spacing w:after="20" w:before="20"/>
            </w:pPr>
            <w:r>
              <w:rPr>
                <w:sz w:val="18"/>
              </w:rPr>
              <w:t>62 — Computer programming, consultancy and related activities</w:t>
            </w:r>
          </w:p>
        </w:tc>
        <w:tc>
          <w:tcPr>
            <w:tcW w:type="dxa" w:w="1020"/>
            <w:shd w:val="clear" w:color="auto" w:fill="E3F2FD"/>
            <w:vAlign w:val="center"/>
          </w:tcPr>
          <w:p>
            <w:pPr>
              <w:spacing w:after="20" w:before="20"/>
            </w:pPr>
            <w:r>
              <w:rPr>
                <w:sz w:val="18"/>
              </w:rPr>
              <w:t>445</w:t>
            </w:r>
          </w:p>
        </w:tc>
        <w:tc>
          <w:tcPr>
            <w:tcW w:type="dxa" w:w="794"/>
            <w:shd w:val="clear" w:color="auto" w:fill="E3F2FD"/>
            <w:vAlign w:val="center"/>
          </w:tcPr>
          <w:p>
            <w:pPr>
              <w:spacing w:after="20" w:before="20"/>
            </w:pPr>
            <w:r>
              <w:rPr>
                <w:sz w:val="18"/>
              </w:rPr>
              <w:t>1.1%</w:t>
            </w:r>
          </w:p>
        </w:tc>
      </w:tr>
      <w:tr>
        <w:tc>
          <w:tcPr>
            <w:tcW w:type="dxa" w:w="624"/>
            <w:vAlign w:val="center"/>
          </w:tcPr>
          <w:p>
            <w:pPr>
              <w:spacing w:after="20" w:before="20"/>
            </w:pPr>
            <w:r>
              <w:rPr>
                <w:sz w:val="18"/>
              </w:rPr>
              <w:t>20</w:t>
            </w:r>
          </w:p>
        </w:tc>
        <w:tc>
          <w:tcPr>
            <w:tcW w:type="dxa" w:w="624"/>
            <w:vAlign w:val="center"/>
          </w:tcPr>
          <w:p>
            <w:pPr>
              <w:spacing w:after="20" w:before="20"/>
            </w:pPr>
            <w:r>
              <w:rPr>
                <w:sz w:val="18"/>
              </w:rPr>
              <w:t>D</w:t>
            </w:r>
          </w:p>
        </w:tc>
        <w:tc>
          <w:tcPr>
            <w:tcW w:type="dxa" w:w="1020"/>
            <w:vAlign w:val="center"/>
          </w:tcPr>
          <w:p>
            <w:pPr>
              <w:spacing w:after="20" w:before="20"/>
            </w:pPr>
            <w:r>
              <w:rPr>
                <w:sz w:val="18"/>
              </w:rPr>
              <w:t>35</w:t>
            </w:r>
          </w:p>
        </w:tc>
        <w:tc>
          <w:tcPr>
            <w:tcW w:type="dxa" w:w="5386"/>
            <w:vAlign w:val="center"/>
          </w:tcPr>
          <w:p>
            <w:pPr>
              <w:spacing w:after="20" w:before="20"/>
            </w:pPr>
            <w:r>
              <w:rPr>
                <w:sz w:val="18"/>
              </w:rPr>
              <w:t>35 — Electricity, gas, steam and air conditioning supply</w:t>
            </w:r>
          </w:p>
        </w:tc>
        <w:tc>
          <w:tcPr>
            <w:tcW w:type="dxa" w:w="1020"/>
            <w:vAlign w:val="center"/>
          </w:tcPr>
          <w:p>
            <w:pPr>
              <w:spacing w:after="20" w:before="20"/>
            </w:pPr>
            <w:r>
              <w:rPr>
                <w:sz w:val="18"/>
              </w:rPr>
              <w:t>381</w:t>
            </w:r>
          </w:p>
        </w:tc>
        <w:tc>
          <w:tcPr>
            <w:tcW w:type="dxa" w:w="794"/>
            <w:vAlign w:val="center"/>
          </w:tcPr>
          <w:p>
            <w:pPr>
              <w:spacing w:after="20" w:before="20"/>
            </w:pPr>
            <w:r>
              <w:rPr>
                <w:sz w:val="18"/>
              </w:rPr>
              <w:t>1.0%</w:t>
            </w:r>
          </w:p>
        </w:tc>
      </w:tr>
    </w:tbl>
    <w:p/>
    <w:p>
      <w:pPr>
        <w:spacing w:before="280" w:after="80"/>
        <w:pBdr>
          <w:bottom w:val="single" w:sz="6" w:space="1" w:color="1565C0"/>
        </w:pBdr>
      </w:pPr>
      <w:r>
        <w:rPr>
          <w:b/>
          <w:color w:val="1565C0"/>
          <w:sz w:val="30"/>
        </w:rPr>
        <w:t>3. Comments on Findings</w:t>
      </w:r>
    </w:p>
    <w:p>
      <w:pPr>
        <w:pStyle w:val="ListBullet"/>
        <w:spacing w:after="60"/>
      </w:pPr>
      <w:r>
        <w:rPr>
          <w:sz w:val="21"/>
        </w:rPr>
        <w:t>Repository 1 (Zenodo) contains 39,405 classified projects across 22 ISIC Rev.5 sections (A, B, C, D, E, F, G, H, I, J, K, L, M, N, O, P, Q, R, S, T, U, V).</w:t>
      </w:r>
    </w:p>
    <w:p>
      <w:pPr>
        <w:pStyle w:val="ListBullet"/>
        <w:spacing w:after="60"/>
      </w:pPr>
      <w:r>
        <w:rPr>
          <w:sz w:val="21"/>
        </w:rPr>
        <w:t>Project types present: QD_PROJECT (27,655);  OTHER_PROJECT (10,180);  NOT_A_PROJECT (1,528);  QDA_PROJECT (42).</w:t>
      </w:r>
    </w:p>
    <w:p>
      <w:pPr>
        <w:pStyle w:val="ListBullet"/>
        <w:spacing w:after="60"/>
      </w:pPr>
      <w:r>
        <w:rPr>
          <w:sz w:val="21"/>
        </w:rPr>
        <w:t>The dominant ISIC section is N — Professional, scientific and technical activities, accounting for 8,896 projects (22.6% of the repository).</w:t>
      </w:r>
    </w:p>
    <w:p>
      <w:pPr>
        <w:pStyle w:val="ListBullet"/>
        <w:spacing w:after="60"/>
      </w:pPr>
      <w:r>
        <w:rPr>
          <w:sz w:val="21"/>
        </w:rPr>
        <w:t>Classification confidence: 31,479 projects (79.9%) classified at high or very-high confidence by the voting ensemble.</w:t>
      </w:r>
    </w:p>
    <w:p>
      <w:pPr>
        <w:pStyle w:val="ListBullet"/>
        <w:spacing w:after="60"/>
      </w:pPr>
      <w:r>
        <w:rPr>
          <w:sz w:val="21"/>
        </w:rPr>
        <w:t>Section N (Professional, scientific and technical activities) dominates. This is expected for general-purpose academic repositories — many datasets describe scientific research processes. Division 72 (Scientific research and development) is typically the most frequent sub-class.</w:t>
      </w:r>
    </w:p>
    <w:p>
      <w:pPr>
        <w:pStyle w:val="ListBullet"/>
        <w:spacing w:after="60"/>
      </w:pPr>
      <w:r>
        <w:rPr>
          <w:sz w:val="21"/>
        </w:rPr>
        <w:t>The distribution spans 22 of 22 ISIC sections, indicating high thematic diversity. No single field monopolises the repository.</w:t>
      </w:r>
    </w:p>
    <w:p/>
    <w:p>
      <w:pPr>
        <w:spacing w:before="280" w:after="80"/>
        <w:pBdr>
          <w:bottom w:val="single" w:sz="6" w:space="1" w:color="1565C0"/>
        </w:pBdr>
      </w:pPr>
      <w:r>
        <w:rPr>
          <w:b/>
          <w:color w:val="1565C0"/>
          <w:sz w:val="30"/>
        </w:rPr>
        <w:t>4. Top-15 ISIC Divisions (Secondary Classes)</w:t>
      </w:r>
    </w:p>
    <w:p>
      <w:pPr>
        <w:jc w:val="center"/>
      </w:pPr>
      <w:r>
        <w:drawing>
          <wp:inline xmlns:a="http://schemas.openxmlformats.org/drawingml/2006/main" xmlns:pic="http://schemas.openxmlformats.org/drawingml/2006/picture">
            <wp:extent cx="5486400" cy="27261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26161"/>
                    </a:xfrm>
                    <a:prstGeom prst="rect"/>
                  </pic:spPr>
                </pic:pic>
              </a:graphicData>
            </a:graphic>
          </wp:inline>
        </w:drawing>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