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565C0"/>
          <w:sz w:val="36"/>
        </w:rPr>
        <w:t>SQ26 — ISIC Rev.5 Classification Report</w:t>
      </w:r>
    </w:p>
    <w:p>
      <w:pPr>
        <w:spacing w:after="40"/>
        <w:jc w:val="center"/>
      </w:pPr>
      <w:r>
        <w:rPr>
          <w:color w:val="555555"/>
          <w:sz w:val="26"/>
        </w:rPr>
        <w:t>Repository 10: Harvard Dataverse  ·  13,650 projects</w:t>
      </w:r>
    </w:p>
    <w:p>
      <w:pPr>
        <w:spacing w:after="320"/>
        <w:jc w:val="center"/>
      </w:pPr>
      <w:r>
        <w:rPr>
          <w:color w:val="AAAAAA"/>
          <w:sz w:val="18"/>
        </w:rPr>
        <w:t>Student ID: 23692652  ·  FAU Erlangen-Nürnberg  ·  SQ26 Project  ·  July 2026</w:t>
      </w:r>
    </w:p>
    <w:p>
      <w:pPr>
        <w:spacing w:before="280" w:after="80"/>
        <w:pBdr>
          <w:bottom w:val="single" w:sz="6" w:space="1" w:color="1565C0"/>
        </w:pBdr>
      </w:pPr>
      <w:r>
        <w:rPr>
          <w:b/>
          <w:color w:val="1565C0"/>
          <w:sz w:val="30"/>
        </w:rPr>
        <w:t>1. Primary ISIC Section Distribution</w:t>
      </w:r>
    </w:p>
    <w:p>
      <w:pPr>
        <w:jc w:val="center"/>
      </w:pPr>
      <w:r>
        <w:drawing>
          <wp:inline xmlns:a="http://schemas.openxmlformats.org/drawingml/2006/main" xmlns:pic="http://schemas.openxmlformats.org/drawingml/2006/picture">
            <wp:extent cx="5486400" cy="22961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296171"/>
                    </a:xfrm>
                    <a:prstGeom prst="rect"/>
                  </pic:spPr>
                </pic:pic>
              </a:graphicData>
            </a:graphic>
          </wp:inline>
        </w:drawing>
      </w:r>
    </w:p>
    <w:p/>
    <w:p>
      <w:pPr>
        <w:spacing w:before="200" w:after="80"/>
      </w:pPr>
      <w:r>
        <w:rPr>
          <w:b/>
          <w:color w:val="1565C0"/>
          <w:sz w:val="24"/>
        </w:rPr>
        <w:t>Section Distribution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val="clear" w:color="auto" w:fill="1565C0"/>
          </w:tcPr>
          <w:p>
            <w:pPr>
              <w:spacing w:after="20" w:before="20"/>
            </w:pPr>
            <w:r>
              <w:rPr>
                <w:b/>
                <w:color w:val="FFFFFF"/>
                <w:sz w:val="18"/>
              </w:rPr>
              <w:t>Section</w:t>
            </w:r>
          </w:p>
        </w:tc>
        <w:tc>
          <w:tcPr>
            <w:tcW w:type="dxa" w:w="5102"/>
            <w:shd w:val="clear" w:color="auto" w:fill="1565C0"/>
          </w:tcPr>
          <w:p>
            <w:pPr>
              <w:spacing w:after="20" w:before="20"/>
            </w:pPr>
            <w:r>
              <w:rPr>
                <w:b/>
                <w:color w:val="FFFFFF"/>
                <w:sz w:val="18"/>
              </w:rPr>
              <w:t>Name</w:t>
            </w:r>
          </w:p>
        </w:tc>
        <w:tc>
          <w:tcPr>
            <w:tcW w:type="dxa" w:w="1417"/>
            <w:shd w:val="clear" w:color="auto" w:fill="1565C0"/>
          </w:tcPr>
          <w:p>
            <w:pPr>
              <w:spacing w:after="20" w:before="20"/>
            </w:pPr>
            <w:r>
              <w:rPr>
                <w:b/>
                <w:color w:val="FFFFFF"/>
                <w:sz w:val="18"/>
              </w:rPr>
              <w:t>Projects</w:t>
            </w:r>
          </w:p>
        </w:tc>
        <w:tc>
          <w:tcPr>
            <w:tcW w:type="dxa" w:w="1020"/>
            <w:shd w:val="clear" w:color="auto" w:fill="1565C0"/>
          </w:tcPr>
          <w:p>
            <w:pPr>
              <w:spacing w:after="20" w:before="20"/>
            </w:pPr>
            <w:r>
              <w:rPr>
                <w:b/>
                <w:color w:val="FFFFFF"/>
                <w:sz w:val="18"/>
              </w:rPr>
              <w:t>%</w:t>
            </w:r>
          </w:p>
        </w:tc>
      </w:tr>
      <w:tr>
        <w:tc>
          <w:tcPr>
            <w:tcW w:type="dxa" w:w="850"/>
            <w:shd w:val="clear" w:color="auto" w:fill="E3F2FD"/>
          </w:tcPr>
          <w:p>
            <w:pPr>
              <w:spacing w:after="20" w:before="20"/>
            </w:pPr>
            <w:r>
              <w:rPr>
                <w:sz w:val="18"/>
              </w:rPr>
              <w:t>P</w:t>
            </w:r>
          </w:p>
        </w:tc>
        <w:tc>
          <w:tcPr>
            <w:tcW w:type="dxa" w:w="5102"/>
            <w:shd w:val="clear" w:color="auto" w:fill="E3F2FD"/>
          </w:tcPr>
          <w:p>
            <w:pPr>
              <w:spacing w:after="20" w:before="20"/>
            </w:pPr>
            <w:r>
              <w:rPr>
                <w:sz w:val="18"/>
              </w:rPr>
              <w:t>Public administration and defence; compulsory social security</w:t>
            </w:r>
          </w:p>
        </w:tc>
        <w:tc>
          <w:tcPr>
            <w:tcW w:type="dxa" w:w="1417"/>
            <w:shd w:val="clear" w:color="auto" w:fill="E3F2FD"/>
          </w:tcPr>
          <w:p>
            <w:pPr>
              <w:spacing w:after="20" w:before="20"/>
            </w:pPr>
            <w:r>
              <w:rPr>
                <w:sz w:val="18"/>
              </w:rPr>
              <w:t>3,917</w:t>
            </w:r>
          </w:p>
        </w:tc>
        <w:tc>
          <w:tcPr>
            <w:tcW w:type="dxa" w:w="1020"/>
            <w:shd w:val="clear" w:color="auto" w:fill="E3F2FD"/>
          </w:tcPr>
          <w:p>
            <w:pPr>
              <w:spacing w:after="20" w:before="20"/>
            </w:pPr>
            <w:r>
              <w:rPr>
                <w:sz w:val="18"/>
              </w:rPr>
              <w:t>28.7%</w:t>
            </w:r>
          </w:p>
        </w:tc>
      </w:tr>
      <w:tr>
        <w:tc>
          <w:tcPr>
            <w:tcW w:type="dxa" w:w="850"/>
          </w:tcPr>
          <w:p>
            <w:pPr>
              <w:spacing w:after="20" w:before="20"/>
            </w:pPr>
            <w:r>
              <w:rPr>
                <w:sz w:val="18"/>
              </w:rPr>
              <w:t>N</w:t>
            </w:r>
          </w:p>
        </w:tc>
        <w:tc>
          <w:tcPr>
            <w:tcW w:type="dxa" w:w="5102"/>
          </w:tcPr>
          <w:p>
            <w:pPr>
              <w:spacing w:after="20" w:before="20"/>
            </w:pPr>
            <w:r>
              <w:rPr>
                <w:sz w:val="18"/>
              </w:rPr>
              <w:t>Professional, scientific and technical activities</w:t>
            </w:r>
          </w:p>
        </w:tc>
        <w:tc>
          <w:tcPr>
            <w:tcW w:type="dxa" w:w="1417"/>
          </w:tcPr>
          <w:p>
            <w:pPr>
              <w:spacing w:after="20" w:before="20"/>
            </w:pPr>
            <w:r>
              <w:rPr>
                <w:sz w:val="18"/>
              </w:rPr>
              <w:t>2,462</w:t>
            </w:r>
          </w:p>
        </w:tc>
        <w:tc>
          <w:tcPr>
            <w:tcW w:type="dxa" w:w="1020"/>
          </w:tcPr>
          <w:p>
            <w:pPr>
              <w:spacing w:after="20" w:before="20"/>
            </w:pPr>
            <w:r>
              <w:rPr>
                <w:sz w:val="18"/>
              </w:rPr>
              <w:t>18.0%</w:t>
            </w:r>
          </w:p>
        </w:tc>
      </w:tr>
      <w:tr>
        <w:tc>
          <w:tcPr>
            <w:tcW w:type="dxa" w:w="850"/>
            <w:shd w:val="clear" w:color="auto" w:fill="E3F2FD"/>
          </w:tcPr>
          <w:p>
            <w:pPr>
              <w:spacing w:after="20" w:before="20"/>
            </w:pPr>
            <w:r>
              <w:rPr>
                <w:sz w:val="18"/>
              </w:rPr>
              <w:t>R</w:t>
            </w:r>
          </w:p>
        </w:tc>
        <w:tc>
          <w:tcPr>
            <w:tcW w:type="dxa" w:w="5102"/>
            <w:shd w:val="clear" w:color="auto" w:fill="E3F2FD"/>
          </w:tcPr>
          <w:p>
            <w:pPr>
              <w:spacing w:after="20" w:before="20"/>
            </w:pPr>
            <w:r>
              <w:rPr>
                <w:sz w:val="18"/>
              </w:rPr>
              <w:t>Human health and social work activities</w:t>
            </w:r>
          </w:p>
        </w:tc>
        <w:tc>
          <w:tcPr>
            <w:tcW w:type="dxa" w:w="1417"/>
            <w:shd w:val="clear" w:color="auto" w:fill="E3F2FD"/>
          </w:tcPr>
          <w:p>
            <w:pPr>
              <w:spacing w:after="20" w:before="20"/>
            </w:pPr>
            <w:r>
              <w:rPr>
                <w:sz w:val="18"/>
              </w:rPr>
              <w:t>1,334</w:t>
            </w:r>
          </w:p>
        </w:tc>
        <w:tc>
          <w:tcPr>
            <w:tcW w:type="dxa" w:w="1020"/>
            <w:shd w:val="clear" w:color="auto" w:fill="E3F2FD"/>
          </w:tcPr>
          <w:p>
            <w:pPr>
              <w:spacing w:after="20" w:before="20"/>
            </w:pPr>
            <w:r>
              <w:rPr>
                <w:sz w:val="18"/>
              </w:rPr>
              <w:t>9.8%</w:t>
            </w:r>
          </w:p>
        </w:tc>
      </w:tr>
      <w:tr>
        <w:tc>
          <w:tcPr>
            <w:tcW w:type="dxa" w:w="850"/>
          </w:tcPr>
          <w:p>
            <w:pPr>
              <w:spacing w:after="20" w:before="20"/>
            </w:pPr>
            <w:r>
              <w:rPr>
                <w:sz w:val="18"/>
              </w:rPr>
              <w:t>A</w:t>
            </w:r>
          </w:p>
        </w:tc>
        <w:tc>
          <w:tcPr>
            <w:tcW w:type="dxa" w:w="5102"/>
          </w:tcPr>
          <w:p>
            <w:pPr>
              <w:spacing w:after="20" w:before="20"/>
            </w:pPr>
            <w:r>
              <w:rPr>
                <w:sz w:val="18"/>
              </w:rPr>
              <w:t>Agriculture, forestry and fishing</w:t>
            </w:r>
          </w:p>
        </w:tc>
        <w:tc>
          <w:tcPr>
            <w:tcW w:type="dxa" w:w="1417"/>
          </w:tcPr>
          <w:p>
            <w:pPr>
              <w:spacing w:after="20" w:before="20"/>
            </w:pPr>
            <w:r>
              <w:rPr>
                <w:sz w:val="18"/>
              </w:rPr>
              <w:t>1,243</w:t>
            </w:r>
          </w:p>
        </w:tc>
        <w:tc>
          <w:tcPr>
            <w:tcW w:type="dxa" w:w="1020"/>
          </w:tcPr>
          <w:p>
            <w:pPr>
              <w:spacing w:after="20" w:before="20"/>
            </w:pPr>
            <w:r>
              <w:rPr>
                <w:sz w:val="18"/>
              </w:rPr>
              <w:t>9.1%</w:t>
            </w:r>
          </w:p>
        </w:tc>
      </w:tr>
      <w:tr>
        <w:tc>
          <w:tcPr>
            <w:tcW w:type="dxa" w:w="850"/>
            <w:shd w:val="clear" w:color="auto" w:fill="E3F2FD"/>
          </w:tcPr>
          <w:p>
            <w:pPr>
              <w:spacing w:after="20" w:before="20"/>
            </w:pPr>
            <w:r>
              <w:rPr>
                <w:sz w:val="18"/>
              </w:rPr>
              <w:t>Q</w:t>
            </w:r>
          </w:p>
        </w:tc>
        <w:tc>
          <w:tcPr>
            <w:tcW w:type="dxa" w:w="5102"/>
            <w:shd w:val="clear" w:color="auto" w:fill="E3F2FD"/>
          </w:tcPr>
          <w:p>
            <w:pPr>
              <w:spacing w:after="20" w:before="20"/>
            </w:pPr>
            <w:r>
              <w:rPr>
                <w:sz w:val="18"/>
              </w:rPr>
              <w:t>Education</w:t>
            </w:r>
          </w:p>
        </w:tc>
        <w:tc>
          <w:tcPr>
            <w:tcW w:type="dxa" w:w="1417"/>
            <w:shd w:val="clear" w:color="auto" w:fill="E3F2FD"/>
          </w:tcPr>
          <w:p>
            <w:pPr>
              <w:spacing w:after="20" w:before="20"/>
            </w:pPr>
            <w:r>
              <w:rPr>
                <w:sz w:val="18"/>
              </w:rPr>
              <w:t>991</w:t>
            </w:r>
          </w:p>
        </w:tc>
        <w:tc>
          <w:tcPr>
            <w:tcW w:type="dxa" w:w="1020"/>
            <w:shd w:val="clear" w:color="auto" w:fill="E3F2FD"/>
          </w:tcPr>
          <w:p>
            <w:pPr>
              <w:spacing w:after="20" w:before="20"/>
            </w:pPr>
            <w:r>
              <w:rPr>
                <w:sz w:val="18"/>
              </w:rPr>
              <w:t>7.3%</w:t>
            </w:r>
          </w:p>
        </w:tc>
      </w:tr>
      <w:tr>
        <w:tc>
          <w:tcPr>
            <w:tcW w:type="dxa" w:w="850"/>
          </w:tcPr>
          <w:p>
            <w:pPr>
              <w:spacing w:after="20" w:before="20"/>
            </w:pPr>
            <w:r>
              <w:rPr>
                <w:sz w:val="18"/>
              </w:rPr>
              <w:t>E</w:t>
            </w:r>
          </w:p>
        </w:tc>
        <w:tc>
          <w:tcPr>
            <w:tcW w:type="dxa" w:w="5102"/>
          </w:tcPr>
          <w:p>
            <w:pPr>
              <w:spacing w:after="20" w:before="20"/>
            </w:pPr>
            <w:r>
              <w:rPr>
                <w:sz w:val="18"/>
              </w:rPr>
              <w:t>Water supply; sewerage, waste management and remediation activities</w:t>
            </w:r>
          </w:p>
        </w:tc>
        <w:tc>
          <w:tcPr>
            <w:tcW w:type="dxa" w:w="1417"/>
          </w:tcPr>
          <w:p>
            <w:pPr>
              <w:spacing w:after="20" w:before="20"/>
            </w:pPr>
            <w:r>
              <w:rPr>
                <w:sz w:val="18"/>
              </w:rPr>
              <w:t>664</w:t>
            </w:r>
          </w:p>
        </w:tc>
        <w:tc>
          <w:tcPr>
            <w:tcW w:type="dxa" w:w="1020"/>
          </w:tcPr>
          <w:p>
            <w:pPr>
              <w:spacing w:after="20" w:before="20"/>
            </w:pPr>
            <w:r>
              <w:rPr>
                <w:sz w:val="18"/>
              </w:rPr>
              <w:t>4.9%</w:t>
            </w:r>
          </w:p>
        </w:tc>
      </w:tr>
      <w:tr>
        <w:tc>
          <w:tcPr>
            <w:tcW w:type="dxa" w:w="850"/>
            <w:shd w:val="clear" w:color="auto" w:fill="E3F2FD"/>
          </w:tcPr>
          <w:p>
            <w:pPr>
              <w:spacing w:after="20" w:before="20"/>
            </w:pPr>
            <w:r>
              <w:rPr>
                <w:sz w:val="18"/>
              </w:rPr>
              <w:t>L</w:t>
            </w:r>
          </w:p>
        </w:tc>
        <w:tc>
          <w:tcPr>
            <w:tcW w:type="dxa" w:w="5102"/>
            <w:shd w:val="clear" w:color="auto" w:fill="E3F2FD"/>
          </w:tcPr>
          <w:p>
            <w:pPr>
              <w:spacing w:after="20" w:before="20"/>
            </w:pPr>
            <w:r>
              <w:rPr>
                <w:sz w:val="18"/>
              </w:rPr>
              <w:t>Financial and insurance activities</w:t>
            </w:r>
          </w:p>
        </w:tc>
        <w:tc>
          <w:tcPr>
            <w:tcW w:type="dxa" w:w="1417"/>
            <w:shd w:val="clear" w:color="auto" w:fill="E3F2FD"/>
          </w:tcPr>
          <w:p>
            <w:pPr>
              <w:spacing w:after="20" w:before="20"/>
            </w:pPr>
            <w:r>
              <w:rPr>
                <w:sz w:val="18"/>
              </w:rPr>
              <w:t>496</w:t>
            </w:r>
          </w:p>
        </w:tc>
        <w:tc>
          <w:tcPr>
            <w:tcW w:type="dxa" w:w="1020"/>
            <w:shd w:val="clear" w:color="auto" w:fill="E3F2FD"/>
          </w:tcPr>
          <w:p>
            <w:pPr>
              <w:spacing w:after="20" w:before="20"/>
            </w:pPr>
            <w:r>
              <w:rPr>
                <w:sz w:val="18"/>
              </w:rPr>
              <w:t>3.6%</w:t>
            </w:r>
          </w:p>
        </w:tc>
      </w:tr>
      <w:tr>
        <w:tc>
          <w:tcPr>
            <w:tcW w:type="dxa" w:w="850"/>
          </w:tcPr>
          <w:p>
            <w:pPr>
              <w:spacing w:after="20" w:before="20"/>
            </w:pPr>
            <w:r>
              <w:rPr>
                <w:sz w:val="18"/>
              </w:rPr>
              <w:t>D</w:t>
            </w:r>
          </w:p>
        </w:tc>
        <w:tc>
          <w:tcPr>
            <w:tcW w:type="dxa" w:w="5102"/>
          </w:tcPr>
          <w:p>
            <w:pPr>
              <w:spacing w:after="20" w:before="20"/>
            </w:pPr>
            <w:r>
              <w:rPr>
                <w:sz w:val="18"/>
              </w:rPr>
              <w:t>Electricity, gas, steam and air conditioning supply</w:t>
            </w:r>
          </w:p>
        </w:tc>
        <w:tc>
          <w:tcPr>
            <w:tcW w:type="dxa" w:w="1417"/>
          </w:tcPr>
          <w:p>
            <w:pPr>
              <w:spacing w:after="20" w:before="20"/>
            </w:pPr>
            <w:r>
              <w:rPr>
                <w:sz w:val="18"/>
              </w:rPr>
              <w:t>443</w:t>
            </w:r>
          </w:p>
        </w:tc>
        <w:tc>
          <w:tcPr>
            <w:tcW w:type="dxa" w:w="1020"/>
          </w:tcPr>
          <w:p>
            <w:pPr>
              <w:spacing w:after="20" w:before="20"/>
            </w:pPr>
            <w:r>
              <w:rPr>
                <w:sz w:val="18"/>
              </w:rPr>
              <w:t>3.2%</w:t>
            </w:r>
          </w:p>
        </w:tc>
      </w:tr>
      <w:tr>
        <w:tc>
          <w:tcPr>
            <w:tcW w:type="dxa" w:w="850"/>
            <w:shd w:val="clear" w:color="auto" w:fill="E3F2FD"/>
          </w:tcPr>
          <w:p>
            <w:pPr>
              <w:spacing w:after="20" w:before="20"/>
            </w:pPr>
            <w:r>
              <w:rPr>
                <w:sz w:val="18"/>
              </w:rPr>
              <w:t>K</w:t>
            </w:r>
          </w:p>
        </w:tc>
        <w:tc>
          <w:tcPr>
            <w:tcW w:type="dxa" w:w="5102"/>
            <w:shd w:val="clear" w:color="auto" w:fill="E3F2FD"/>
          </w:tcPr>
          <w:p>
            <w:pPr>
              <w:spacing w:after="20" w:before="20"/>
            </w:pPr>
            <w:r>
              <w:rPr>
                <w:sz w:val="18"/>
              </w:rPr>
              <w:t>Telecommunications, computer programming, consultancy, computing infrastructure, and other information service activities</w:t>
            </w:r>
          </w:p>
        </w:tc>
        <w:tc>
          <w:tcPr>
            <w:tcW w:type="dxa" w:w="1417"/>
            <w:shd w:val="clear" w:color="auto" w:fill="E3F2FD"/>
          </w:tcPr>
          <w:p>
            <w:pPr>
              <w:spacing w:after="20" w:before="20"/>
            </w:pPr>
            <w:r>
              <w:rPr>
                <w:sz w:val="18"/>
              </w:rPr>
              <w:t>412</w:t>
            </w:r>
          </w:p>
        </w:tc>
        <w:tc>
          <w:tcPr>
            <w:tcW w:type="dxa" w:w="1020"/>
            <w:shd w:val="clear" w:color="auto" w:fill="E3F2FD"/>
          </w:tcPr>
          <w:p>
            <w:pPr>
              <w:spacing w:after="20" w:before="20"/>
            </w:pPr>
            <w:r>
              <w:rPr>
                <w:sz w:val="18"/>
              </w:rPr>
              <w:t>3.0%</w:t>
            </w:r>
          </w:p>
        </w:tc>
      </w:tr>
      <w:tr>
        <w:tc>
          <w:tcPr>
            <w:tcW w:type="dxa" w:w="850"/>
          </w:tcPr>
          <w:p>
            <w:pPr>
              <w:spacing w:after="20" w:before="20"/>
            </w:pPr>
            <w:r>
              <w:rPr>
                <w:sz w:val="18"/>
              </w:rPr>
              <w:t>J</w:t>
            </w:r>
          </w:p>
        </w:tc>
        <w:tc>
          <w:tcPr>
            <w:tcW w:type="dxa" w:w="5102"/>
          </w:tcPr>
          <w:p>
            <w:pPr>
              <w:spacing w:after="20" w:before="20"/>
            </w:pPr>
            <w:r>
              <w:rPr>
                <w:sz w:val="18"/>
              </w:rPr>
              <w:t>Publishing, broadcasting, and content production and distribution activities</w:t>
            </w:r>
          </w:p>
        </w:tc>
        <w:tc>
          <w:tcPr>
            <w:tcW w:type="dxa" w:w="1417"/>
          </w:tcPr>
          <w:p>
            <w:pPr>
              <w:spacing w:after="20" w:before="20"/>
            </w:pPr>
            <w:r>
              <w:rPr>
                <w:sz w:val="18"/>
              </w:rPr>
              <w:t>345</w:t>
            </w:r>
          </w:p>
        </w:tc>
        <w:tc>
          <w:tcPr>
            <w:tcW w:type="dxa" w:w="1020"/>
          </w:tcPr>
          <w:p>
            <w:pPr>
              <w:spacing w:after="20" w:before="20"/>
            </w:pPr>
            <w:r>
              <w:rPr>
                <w:sz w:val="18"/>
              </w:rPr>
              <w:t>2.5%</w:t>
            </w:r>
          </w:p>
        </w:tc>
      </w:tr>
      <w:tr>
        <w:tc>
          <w:tcPr>
            <w:tcW w:type="dxa" w:w="850"/>
            <w:shd w:val="clear" w:color="auto" w:fill="E3F2FD"/>
          </w:tcPr>
          <w:p>
            <w:pPr>
              <w:spacing w:after="20" w:before="20"/>
            </w:pPr>
            <w:r>
              <w:rPr>
                <w:sz w:val="18"/>
              </w:rPr>
              <w:t>H</w:t>
            </w:r>
          </w:p>
        </w:tc>
        <w:tc>
          <w:tcPr>
            <w:tcW w:type="dxa" w:w="5102"/>
            <w:shd w:val="clear" w:color="auto" w:fill="E3F2FD"/>
          </w:tcPr>
          <w:p>
            <w:pPr>
              <w:spacing w:after="20" w:before="20"/>
            </w:pPr>
            <w:r>
              <w:rPr>
                <w:sz w:val="18"/>
              </w:rPr>
              <w:t>Transportation and storage</w:t>
            </w:r>
          </w:p>
        </w:tc>
        <w:tc>
          <w:tcPr>
            <w:tcW w:type="dxa" w:w="1417"/>
            <w:shd w:val="clear" w:color="auto" w:fill="E3F2FD"/>
          </w:tcPr>
          <w:p>
            <w:pPr>
              <w:spacing w:after="20" w:before="20"/>
            </w:pPr>
            <w:r>
              <w:rPr>
                <w:sz w:val="18"/>
              </w:rPr>
              <w:t>262</w:t>
            </w:r>
          </w:p>
        </w:tc>
        <w:tc>
          <w:tcPr>
            <w:tcW w:type="dxa" w:w="1020"/>
            <w:shd w:val="clear" w:color="auto" w:fill="E3F2FD"/>
          </w:tcPr>
          <w:p>
            <w:pPr>
              <w:spacing w:after="20" w:before="20"/>
            </w:pPr>
            <w:r>
              <w:rPr>
                <w:sz w:val="18"/>
              </w:rPr>
              <w:t>1.9%</w:t>
            </w:r>
          </w:p>
        </w:tc>
      </w:tr>
      <w:tr>
        <w:tc>
          <w:tcPr>
            <w:tcW w:type="dxa" w:w="850"/>
          </w:tcPr>
          <w:p>
            <w:pPr>
              <w:spacing w:after="20" w:before="20"/>
            </w:pPr>
            <w:r>
              <w:rPr>
                <w:sz w:val="18"/>
              </w:rPr>
              <w:t>G</w:t>
            </w:r>
          </w:p>
        </w:tc>
        <w:tc>
          <w:tcPr>
            <w:tcW w:type="dxa" w:w="5102"/>
          </w:tcPr>
          <w:p>
            <w:pPr>
              <w:spacing w:after="20" w:before="20"/>
            </w:pPr>
            <w:r>
              <w:rPr>
                <w:sz w:val="18"/>
              </w:rPr>
              <w:t>Wholesale and retail trade</w:t>
            </w:r>
          </w:p>
        </w:tc>
        <w:tc>
          <w:tcPr>
            <w:tcW w:type="dxa" w:w="1417"/>
          </w:tcPr>
          <w:p>
            <w:pPr>
              <w:spacing w:after="20" w:before="20"/>
            </w:pPr>
            <w:r>
              <w:rPr>
                <w:sz w:val="18"/>
              </w:rPr>
              <w:t>250</w:t>
            </w:r>
          </w:p>
        </w:tc>
        <w:tc>
          <w:tcPr>
            <w:tcW w:type="dxa" w:w="1020"/>
          </w:tcPr>
          <w:p>
            <w:pPr>
              <w:spacing w:after="20" w:before="20"/>
            </w:pPr>
            <w:r>
              <w:rPr>
                <w:sz w:val="18"/>
              </w:rPr>
              <w:t>1.8%</w:t>
            </w:r>
          </w:p>
        </w:tc>
      </w:tr>
      <w:tr>
        <w:tc>
          <w:tcPr>
            <w:tcW w:type="dxa" w:w="850"/>
            <w:shd w:val="clear" w:color="auto" w:fill="E3F2FD"/>
          </w:tcPr>
          <w:p>
            <w:pPr>
              <w:spacing w:after="20" w:before="20"/>
            </w:pPr>
            <w:r>
              <w:rPr>
                <w:sz w:val="18"/>
              </w:rPr>
              <w:t>C</w:t>
            </w:r>
          </w:p>
        </w:tc>
        <w:tc>
          <w:tcPr>
            <w:tcW w:type="dxa" w:w="5102"/>
            <w:shd w:val="clear" w:color="auto" w:fill="E3F2FD"/>
          </w:tcPr>
          <w:p>
            <w:pPr>
              <w:spacing w:after="20" w:before="20"/>
            </w:pPr>
            <w:r>
              <w:rPr>
                <w:sz w:val="18"/>
              </w:rPr>
              <w:t>Manufacturing</w:t>
            </w:r>
          </w:p>
        </w:tc>
        <w:tc>
          <w:tcPr>
            <w:tcW w:type="dxa" w:w="1417"/>
            <w:shd w:val="clear" w:color="auto" w:fill="E3F2FD"/>
          </w:tcPr>
          <w:p>
            <w:pPr>
              <w:spacing w:after="20" w:before="20"/>
            </w:pPr>
            <w:r>
              <w:rPr>
                <w:sz w:val="18"/>
              </w:rPr>
              <w:t>202</w:t>
            </w:r>
          </w:p>
        </w:tc>
        <w:tc>
          <w:tcPr>
            <w:tcW w:type="dxa" w:w="1020"/>
            <w:shd w:val="clear" w:color="auto" w:fill="E3F2FD"/>
          </w:tcPr>
          <w:p>
            <w:pPr>
              <w:spacing w:after="20" w:before="20"/>
            </w:pPr>
            <w:r>
              <w:rPr>
                <w:sz w:val="18"/>
              </w:rPr>
              <w:t>1.5%</w:t>
            </w:r>
          </w:p>
        </w:tc>
      </w:tr>
      <w:tr>
        <w:tc>
          <w:tcPr>
            <w:tcW w:type="dxa" w:w="850"/>
          </w:tcPr>
          <w:p>
            <w:pPr>
              <w:spacing w:after="20" w:before="20"/>
            </w:pPr>
            <w:r>
              <w:rPr>
                <w:sz w:val="18"/>
              </w:rPr>
              <w:t>S</w:t>
            </w:r>
          </w:p>
        </w:tc>
        <w:tc>
          <w:tcPr>
            <w:tcW w:type="dxa" w:w="5102"/>
          </w:tcPr>
          <w:p>
            <w:pPr>
              <w:spacing w:after="20" w:before="20"/>
            </w:pPr>
            <w:r>
              <w:rPr>
                <w:sz w:val="18"/>
              </w:rPr>
              <w:t>Arts, sports and recreation</w:t>
            </w:r>
          </w:p>
        </w:tc>
        <w:tc>
          <w:tcPr>
            <w:tcW w:type="dxa" w:w="1417"/>
          </w:tcPr>
          <w:p>
            <w:pPr>
              <w:spacing w:after="20" w:before="20"/>
            </w:pPr>
            <w:r>
              <w:rPr>
                <w:sz w:val="18"/>
              </w:rPr>
              <w:t>136</w:t>
            </w:r>
          </w:p>
        </w:tc>
        <w:tc>
          <w:tcPr>
            <w:tcW w:type="dxa" w:w="1020"/>
          </w:tcPr>
          <w:p>
            <w:pPr>
              <w:spacing w:after="20" w:before="20"/>
            </w:pPr>
            <w:r>
              <w:rPr>
                <w:sz w:val="18"/>
              </w:rPr>
              <w:t>1.0%</w:t>
            </w:r>
          </w:p>
        </w:tc>
      </w:tr>
      <w:tr>
        <w:tc>
          <w:tcPr>
            <w:tcW w:type="dxa" w:w="850"/>
            <w:shd w:val="clear" w:color="auto" w:fill="E3F2FD"/>
          </w:tcPr>
          <w:p>
            <w:pPr>
              <w:spacing w:after="20" w:before="20"/>
            </w:pPr>
            <w:r>
              <w:rPr>
                <w:sz w:val="18"/>
              </w:rPr>
              <w:t>B</w:t>
            </w:r>
          </w:p>
        </w:tc>
        <w:tc>
          <w:tcPr>
            <w:tcW w:type="dxa" w:w="5102"/>
            <w:shd w:val="clear" w:color="auto" w:fill="E3F2FD"/>
          </w:tcPr>
          <w:p>
            <w:pPr>
              <w:spacing w:after="20" w:before="20"/>
            </w:pPr>
            <w:r>
              <w:rPr>
                <w:sz w:val="18"/>
              </w:rPr>
              <w:t>Mining and quarrying</w:t>
            </w:r>
          </w:p>
        </w:tc>
        <w:tc>
          <w:tcPr>
            <w:tcW w:type="dxa" w:w="1417"/>
            <w:shd w:val="clear" w:color="auto" w:fill="E3F2FD"/>
          </w:tcPr>
          <w:p>
            <w:pPr>
              <w:spacing w:after="20" w:before="20"/>
            </w:pPr>
            <w:r>
              <w:rPr>
                <w:sz w:val="18"/>
              </w:rPr>
              <w:t>135</w:t>
            </w:r>
          </w:p>
        </w:tc>
        <w:tc>
          <w:tcPr>
            <w:tcW w:type="dxa" w:w="1020"/>
            <w:shd w:val="clear" w:color="auto" w:fill="E3F2FD"/>
          </w:tcPr>
          <w:p>
            <w:pPr>
              <w:spacing w:after="20" w:before="20"/>
            </w:pPr>
            <w:r>
              <w:rPr>
                <w:sz w:val="18"/>
              </w:rPr>
              <w:t>1.0%</w:t>
            </w:r>
          </w:p>
        </w:tc>
      </w:tr>
      <w:tr>
        <w:tc>
          <w:tcPr>
            <w:tcW w:type="dxa" w:w="850"/>
          </w:tcPr>
          <w:p>
            <w:pPr>
              <w:spacing w:after="20" w:before="20"/>
            </w:pPr>
            <w:r>
              <w:rPr>
                <w:sz w:val="18"/>
              </w:rPr>
              <w:t>M</w:t>
            </w:r>
          </w:p>
        </w:tc>
        <w:tc>
          <w:tcPr>
            <w:tcW w:type="dxa" w:w="5102"/>
          </w:tcPr>
          <w:p>
            <w:pPr>
              <w:spacing w:after="20" w:before="20"/>
            </w:pPr>
            <w:r>
              <w:rPr>
                <w:sz w:val="18"/>
              </w:rPr>
              <w:t>Real estate activities</w:t>
            </w:r>
          </w:p>
        </w:tc>
        <w:tc>
          <w:tcPr>
            <w:tcW w:type="dxa" w:w="1417"/>
          </w:tcPr>
          <w:p>
            <w:pPr>
              <w:spacing w:after="20" w:before="20"/>
            </w:pPr>
            <w:r>
              <w:rPr>
                <w:sz w:val="18"/>
              </w:rPr>
              <w:t>127</w:t>
            </w:r>
          </w:p>
        </w:tc>
        <w:tc>
          <w:tcPr>
            <w:tcW w:type="dxa" w:w="1020"/>
          </w:tcPr>
          <w:p>
            <w:pPr>
              <w:spacing w:after="20" w:before="20"/>
            </w:pPr>
            <w:r>
              <w:rPr>
                <w:sz w:val="18"/>
              </w:rPr>
              <w:t>0.9%</w:t>
            </w:r>
          </w:p>
        </w:tc>
      </w:tr>
      <w:tr>
        <w:tc>
          <w:tcPr>
            <w:tcW w:type="dxa" w:w="850"/>
            <w:shd w:val="clear" w:color="auto" w:fill="E3F2FD"/>
          </w:tcPr>
          <w:p>
            <w:pPr>
              <w:spacing w:after="20" w:before="20"/>
            </w:pPr>
            <w:r>
              <w:rPr>
                <w:sz w:val="18"/>
              </w:rPr>
              <w:t>O</w:t>
            </w:r>
          </w:p>
        </w:tc>
        <w:tc>
          <w:tcPr>
            <w:tcW w:type="dxa" w:w="5102"/>
            <w:shd w:val="clear" w:color="auto" w:fill="E3F2FD"/>
          </w:tcPr>
          <w:p>
            <w:pPr>
              <w:spacing w:after="20" w:before="20"/>
            </w:pPr>
            <w:r>
              <w:rPr>
                <w:sz w:val="18"/>
              </w:rPr>
              <w:t>Administrative and support service activities</w:t>
            </w:r>
          </w:p>
        </w:tc>
        <w:tc>
          <w:tcPr>
            <w:tcW w:type="dxa" w:w="1417"/>
            <w:shd w:val="clear" w:color="auto" w:fill="E3F2FD"/>
          </w:tcPr>
          <w:p>
            <w:pPr>
              <w:spacing w:after="20" w:before="20"/>
            </w:pPr>
            <w:r>
              <w:rPr>
                <w:sz w:val="18"/>
              </w:rPr>
              <w:t>73</w:t>
            </w:r>
          </w:p>
        </w:tc>
        <w:tc>
          <w:tcPr>
            <w:tcW w:type="dxa" w:w="1020"/>
            <w:shd w:val="clear" w:color="auto" w:fill="E3F2FD"/>
          </w:tcPr>
          <w:p>
            <w:pPr>
              <w:spacing w:after="20" w:before="20"/>
            </w:pPr>
            <w:r>
              <w:rPr>
                <w:sz w:val="18"/>
              </w:rPr>
              <w:t>0.5%</w:t>
            </w:r>
          </w:p>
        </w:tc>
      </w:tr>
      <w:tr>
        <w:tc>
          <w:tcPr>
            <w:tcW w:type="dxa" w:w="850"/>
          </w:tcPr>
          <w:p>
            <w:pPr>
              <w:spacing w:after="20" w:before="20"/>
            </w:pPr>
            <w:r>
              <w:rPr>
                <w:sz w:val="18"/>
              </w:rPr>
              <w:t>V</w:t>
            </w:r>
          </w:p>
        </w:tc>
        <w:tc>
          <w:tcPr>
            <w:tcW w:type="dxa" w:w="5102"/>
          </w:tcPr>
          <w:p>
            <w:pPr>
              <w:spacing w:after="20" w:before="20"/>
            </w:pPr>
            <w:r>
              <w:rPr>
                <w:sz w:val="18"/>
              </w:rPr>
              <w:t>Activities of extraterritorial organizations and bodies</w:t>
            </w:r>
          </w:p>
        </w:tc>
        <w:tc>
          <w:tcPr>
            <w:tcW w:type="dxa" w:w="1417"/>
          </w:tcPr>
          <w:p>
            <w:pPr>
              <w:spacing w:after="20" w:before="20"/>
            </w:pPr>
            <w:r>
              <w:rPr>
                <w:sz w:val="18"/>
              </w:rPr>
              <w:t>51</w:t>
            </w:r>
          </w:p>
        </w:tc>
        <w:tc>
          <w:tcPr>
            <w:tcW w:type="dxa" w:w="1020"/>
          </w:tcPr>
          <w:p>
            <w:pPr>
              <w:spacing w:after="20" w:before="20"/>
            </w:pPr>
            <w:r>
              <w:rPr>
                <w:sz w:val="18"/>
              </w:rPr>
              <w:t>0.4%</w:t>
            </w:r>
          </w:p>
        </w:tc>
      </w:tr>
      <w:tr>
        <w:tc>
          <w:tcPr>
            <w:tcW w:type="dxa" w:w="850"/>
            <w:shd w:val="clear" w:color="auto" w:fill="E3F2FD"/>
          </w:tcPr>
          <w:p>
            <w:pPr>
              <w:spacing w:after="20" w:before="20"/>
            </w:pPr>
            <w:r>
              <w:rPr>
                <w:sz w:val="18"/>
              </w:rPr>
              <w:t>F</w:t>
            </w:r>
          </w:p>
        </w:tc>
        <w:tc>
          <w:tcPr>
            <w:tcW w:type="dxa" w:w="5102"/>
            <w:shd w:val="clear" w:color="auto" w:fill="E3F2FD"/>
          </w:tcPr>
          <w:p>
            <w:pPr>
              <w:spacing w:after="20" w:before="20"/>
            </w:pPr>
            <w:r>
              <w:rPr>
                <w:sz w:val="18"/>
              </w:rPr>
              <w:t>Construction</w:t>
            </w:r>
          </w:p>
        </w:tc>
        <w:tc>
          <w:tcPr>
            <w:tcW w:type="dxa" w:w="1417"/>
            <w:shd w:val="clear" w:color="auto" w:fill="E3F2FD"/>
          </w:tcPr>
          <w:p>
            <w:pPr>
              <w:spacing w:after="20" w:before="20"/>
            </w:pPr>
            <w:r>
              <w:rPr>
                <w:sz w:val="18"/>
              </w:rPr>
              <w:t>46</w:t>
            </w:r>
          </w:p>
        </w:tc>
        <w:tc>
          <w:tcPr>
            <w:tcW w:type="dxa" w:w="1020"/>
            <w:shd w:val="clear" w:color="auto" w:fill="E3F2FD"/>
          </w:tcPr>
          <w:p>
            <w:pPr>
              <w:spacing w:after="20" w:before="20"/>
            </w:pPr>
            <w:r>
              <w:rPr>
                <w:sz w:val="18"/>
              </w:rPr>
              <w:t>0.3%</w:t>
            </w:r>
          </w:p>
        </w:tc>
      </w:tr>
      <w:tr>
        <w:tc>
          <w:tcPr>
            <w:tcW w:type="dxa" w:w="850"/>
          </w:tcPr>
          <w:p>
            <w:pPr>
              <w:spacing w:after="20" w:before="20"/>
            </w:pPr>
            <w:r>
              <w:rPr>
                <w:sz w:val="18"/>
              </w:rPr>
              <w:t>U</w:t>
            </w:r>
          </w:p>
        </w:tc>
        <w:tc>
          <w:tcPr>
            <w:tcW w:type="dxa" w:w="5102"/>
          </w:tcPr>
          <w:p>
            <w:pPr>
              <w:spacing w:after="20" w:before="20"/>
            </w:pPr>
            <w:r>
              <w:rPr>
                <w:sz w:val="18"/>
              </w:rPr>
              <w:t>Activities of households as employers; undifferentiated goods- and services-producing activities of households for own use</w:t>
            </w:r>
          </w:p>
        </w:tc>
        <w:tc>
          <w:tcPr>
            <w:tcW w:type="dxa" w:w="1417"/>
          </w:tcPr>
          <w:p>
            <w:pPr>
              <w:spacing w:after="20" w:before="20"/>
            </w:pPr>
            <w:r>
              <w:rPr>
                <w:sz w:val="18"/>
              </w:rPr>
              <w:t>29</w:t>
            </w:r>
          </w:p>
        </w:tc>
        <w:tc>
          <w:tcPr>
            <w:tcW w:type="dxa" w:w="1020"/>
          </w:tcPr>
          <w:p>
            <w:pPr>
              <w:spacing w:after="20" w:before="20"/>
            </w:pPr>
            <w:r>
              <w:rPr>
                <w:sz w:val="18"/>
              </w:rPr>
              <w:t>0.2%</w:t>
            </w:r>
          </w:p>
        </w:tc>
      </w:tr>
      <w:tr>
        <w:tc>
          <w:tcPr>
            <w:tcW w:type="dxa" w:w="850"/>
            <w:shd w:val="clear" w:color="auto" w:fill="E3F2FD"/>
          </w:tcPr>
          <w:p>
            <w:pPr>
              <w:spacing w:after="20" w:before="20"/>
            </w:pPr>
            <w:r>
              <w:rPr>
                <w:sz w:val="18"/>
              </w:rPr>
              <w:t>I</w:t>
            </w:r>
          </w:p>
        </w:tc>
        <w:tc>
          <w:tcPr>
            <w:tcW w:type="dxa" w:w="5102"/>
            <w:shd w:val="clear" w:color="auto" w:fill="E3F2FD"/>
          </w:tcPr>
          <w:p>
            <w:pPr>
              <w:spacing w:after="20" w:before="20"/>
            </w:pPr>
            <w:r>
              <w:rPr>
                <w:sz w:val="18"/>
              </w:rPr>
              <w:t>Accommodation and food service activities</w:t>
            </w:r>
          </w:p>
        </w:tc>
        <w:tc>
          <w:tcPr>
            <w:tcW w:type="dxa" w:w="1417"/>
            <w:shd w:val="clear" w:color="auto" w:fill="E3F2FD"/>
          </w:tcPr>
          <w:p>
            <w:pPr>
              <w:spacing w:after="20" w:before="20"/>
            </w:pPr>
            <w:r>
              <w:rPr>
                <w:sz w:val="18"/>
              </w:rPr>
              <w:t>26</w:t>
            </w:r>
          </w:p>
        </w:tc>
        <w:tc>
          <w:tcPr>
            <w:tcW w:type="dxa" w:w="1020"/>
            <w:shd w:val="clear" w:color="auto" w:fill="E3F2FD"/>
          </w:tcPr>
          <w:p>
            <w:pPr>
              <w:spacing w:after="20" w:before="20"/>
            </w:pPr>
            <w:r>
              <w:rPr>
                <w:sz w:val="18"/>
              </w:rPr>
              <w:t>0.2%</w:t>
            </w:r>
          </w:p>
        </w:tc>
      </w:tr>
      <w:tr>
        <w:tc>
          <w:tcPr>
            <w:tcW w:type="dxa" w:w="850"/>
          </w:tcPr>
          <w:p>
            <w:pPr>
              <w:spacing w:after="20" w:before="20"/>
            </w:pPr>
            <w:r>
              <w:rPr>
                <w:sz w:val="18"/>
              </w:rPr>
              <w:t>T</w:t>
            </w:r>
          </w:p>
        </w:tc>
        <w:tc>
          <w:tcPr>
            <w:tcW w:type="dxa" w:w="5102"/>
          </w:tcPr>
          <w:p>
            <w:pPr>
              <w:spacing w:after="20" w:before="20"/>
            </w:pPr>
            <w:r>
              <w:rPr>
                <w:sz w:val="18"/>
              </w:rPr>
              <w:t>Other service activities</w:t>
            </w:r>
          </w:p>
        </w:tc>
        <w:tc>
          <w:tcPr>
            <w:tcW w:type="dxa" w:w="1417"/>
          </w:tcPr>
          <w:p>
            <w:pPr>
              <w:spacing w:after="20" w:before="20"/>
            </w:pPr>
            <w:r>
              <w:rPr>
                <w:sz w:val="18"/>
              </w:rPr>
              <w:t>6</w:t>
            </w:r>
          </w:p>
        </w:tc>
        <w:tc>
          <w:tcPr>
            <w:tcW w:type="dxa" w:w="1020"/>
          </w:tcPr>
          <w:p>
            <w:pPr>
              <w:spacing w:after="20" w:before="20"/>
            </w:pPr>
            <w:r>
              <w:rPr>
                <w:sz w:val="18"/>
              </w:rPr>
              <w:t>0.0%</w:t>
            </w:r>
          </w:p>
        </w:tc>
      </w:tr>
    </w:tbl>
    <w:p/>
    <w:p>
      <w:pPr>
        <w:spacing w:before="280" w:after="80"/>
        <w:pBdr>
          <w:bottom w:val="single" w:sz="6" w:space="1" w:color="1565C0"/>
        </w:pBdr>
      </w:pPr>
      <w:r>
        <w:rPr>
          <w:b/>
          <w:color w:val="1565C0"/>
          <w:sz w:val="30"/>
        </w:rPr>
        <w:t>2. Top-20 ISIC Classes (Section + Division)</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624"/>
            <w:shd w:val="clear" w:color="auto" w:fill="1565C0"/>
            <w:vAlign w:val="center"/>
          </w:tcPr>
          <w:p>
            <w:pPr>
              <w:spacing w:after="20" w:before="20"/>
            </w:pPr>
            <w:r>
              <w:rPr>
                <w:b/>
                <w:color w:val="FFFFFF"/>
                <w:sz w:val="18"/>
              </w:rPr>
              <w:t>Rank</w:t>
            </w:r>
          </w:p>
        </w:tc>
        <w:tc>
          <w:tcPr>
            <w:tcW w:type="dxa" w:w="624"/>
            <w:shd w:val="clear" w:color="auto" w:fill="1565C0"/>
            <w:vAlign w:val="center"/>
          </w:tcPr>
          <w:p>
            <w:pPr>
              <w:spacing w:after="20" w:before="20"/>
            </w:pPr>
            <w:r>
              <w:rPr>
                <w:b/>
                <w:color w:val="FFFFFF"/>
                <w:sz w:val="18"/>
              </w:rPr>
              <w:t>Sec.</w:t>
            </w:r>
          </w:p>
        </w:tc>
        <w:tc>
          <w:tcPr>
            <w:tcW w:type="dxa" w:w="1020"/>
            <w:shd w:val="clear" w:color="auto" w:fill="1565C0"/>
            <w:vAlign w:val="center"/>
          </w:tcPr>
          <w:p>
            <w:pPr>
              <w:spacing w:after="20" w:before="20"/>
            </w:pPr>
            <w:r>
              <w:rPr>
                <w:b/>
                <w:color w:val="FFFFFF"/>
                <w:sz w:val="18"/>
              </w:rPr>
              <w:t>Division</w:t>
            </w:r>
          </w:p>
        </w:tc>
        <w:tc>
          <w:tcPr>
            <w:tcW w:type="dxa" w:w="5386"/>
            <w:shd w:val="clear" w:color="auto" w:fill="1565C0"/>
            <w:vAlign w:val="center"/>
          </w:tcPr>
          <w:p>
            <w:pPr>
              <w:spacing w:after="20" w:before="20"/>
            </w:pPr>
            <w:r>
              <w:rPr>
                <w:b/>
                <w:color w:val="FFFFFF"/>
                <w:sz w:val="18"/>
              </w:rPr>
              <w:t>Class Name</w:t>
            </w:r>
          </w:p>
        </w:tc>
        <w:tc>
          <w:tcPr>
            <w:tcW w:type="dxa" w:w="1020"/>
            <w:shd w:val="clear" w:color="auto" w:fill="1565C0"/>
            <w:vAlign w:val="center"/>
          </w:tcPr>
          <w:p>
            <w:pPr>
              <w:spacing w:after="20" w:before="20"/>
            </w:pPr>
            <w:r>
              <w:rPr>
                <w:b/>
                <w:color w:val="FFFFFF"/>
                <w:sz w:val="18"/>
              </w:rPr>
              <w:t>Count</w:t>
            </w:r>
          </w:p>
        </w:tc>
        <w:tc>
          <w:tcPr>
            <w:tcW w:type="dxa" w:w="794"/>
            <w:shd w:val="clear" w:color="auto" w:fill="1565C0"/>
            <w:vAlign w:val="center"/>
          </w:tcPr>
          <w:p>
            <w:pPr>
              <w:spacing w:after="20" w:before="20"/>
            </w:pPr>
            <w:r>
              <w:rPr>
                <w:b/>
                <w:color w:val="FFFFFF"/>
                <w:sz w:val="18"/>
              </w:rPr>
              <w:t>%</w:t>
            </w:r>
          </w:p>
        </w:tc>
      </w:tr>
      <w:tr>
        <w:tc>
          <w:tcPr>
            <w:tcW w:type="dxa" w:w="624"/>
            <w:shd w:val="clear" w:color="auto" w:fill="E3F2FD"/>
            <w:vAlign w:val="center"/>
          </w:tcPr>
          <w:p>
            <w:pPr>
              <w:spacing w:after="20" w:before="20"/>
            </w:pPr>
            <w:r>
              <w:rPr>
                <w:sz w:val="18"/>
              </w:rPr>
              <w:t>1</w:t>
            </w:r>
          </w:p>
        </w:tc>
        <w:tc>
          <w:tcPr>
            <w:tcW w:type="dxa" w:w="624"/>
            <w:shd w:val="clear" w:color="auto" w:fill="E3F2FD"/>
            <w:vAlign w:val="center"/>
          </w:tcPr>
          <w:p>
            <w:pPr>
              <w:spacing w:after="20" w:before="20"/>
            </w:pPr>
            <w:r>
              <w:rPr>
                <w:sz w:val="18"/>
              </w:rPr>
              <w:t>P</w:t>
            </w:r>
          </w:p>
        </w:tc>
        <w:tc>
          <w:tcPr>
            <w:tcW w:type="dxa" w:w="1020"/>
            <w:shd w:val="clear" w:color="auto" w:fill="E3F2FD"/>
            <w:vAlign w:val="center"/>
          </w:tcPr>
          <w:p>
            <w:pPr>
              <w:spacing w:after="20" w:before="20"/>
            </w:pPr>
            <w:r>
              <w:rPr>
                <w:sz w:val="18"/>
              </w:rPr>
              <w:t>84</w:t>
            </w:r>
          </w:p>
        </w:tc>
        <w:tc>
          <w:tcPr>
            <w:tcW w:type="dxa" w:w="5386"/>
            <w:shd w:val="clear" w:color="auto" w:fill="E3F2FD"/>
            <w:vAlign w:val="center"/>
          </w:tcPr>
          <w:p>
            <w:pPr>
              <w:spacing w:after="20" w:before="20"/>
            </w:pPr>
            <w:r>
              <w:rPr>
                <w:sz w:val="18"/>
              </w:rPr>
              <w:t>84 — Public administration and defence; compulsory social security</w:t>
            </w:r>
          </w:p>
        </w:tc>
        <w:tc>
          <w:tcPr>
            <w:tcW w:type="dxa" w:w="1020"/>
            <w:shd w:val="clear" w:color="auto" w:fill="E3F2FD"/>
            <w:vAlign w:val="center"/>
          </w:tcPr>
          <w:p>
            <w:pPr>
              <w:spacing w:after="20" w:before="20"/>
            </w:pPr>
            <w:r>
              <w:rPr>
                <w:sz w:val="18"/>
              </w:rPr>
              <w:t>2,285</w:t>
            </w:r>
          </w:p>
        </w:tc>
        <w:tc>
          <w:tcPr>
            <w:tcW w:type="dxa" w:w="794"/>
            <w:shd w:val="clear" w:color="auto" w:fill="E3F2FD"/>
            <w:vAlign w:val="center"/>
          </w:tcPr>
          <w:p>
            <w:pPr>
              <w:spacing w:after="20" w:before="20"/>
            </w:pPr>
            <w:r>
              <w:rPr>
                <w:sz w:val="18"/>
              </w:rPr>
              <w:t>16.7%</w:t>
            </w:r>
          </w:p>
        </w:tc>
      </w:tr>
      <w:tr>
        <w:tc>
          <w:tcPr>
            <w:tcW w:type="dxa" w:w="624"/>
            <w:vAlign w:val="center"/>
          </w:tcPr>
          <w:p>
            <w:pPr>
              <w:spacing w:after="20" w:before="20"/>
            </w:pPr>
            <w:r>
              <w:rPr>
                <w:sz w:val="18"/>
              </w:rPr>
              <w:t>2</w:t>
            </w:r>
          </w:p>
        </w:tc>
        <w:tc>
          <w:tcPr>
            <w:tcW w:type="dxa" w:w="624"/>
            <w:vAlign w:val="center"/>
          </w:tcPr>
          <w:p>
            <w:pPr>
              <w:spacing w:after="20" w:before="20"/>
            </w:pPr>
            <w:r>
              <w:rPr>
                <w:sz w:val="18"/>
              </w:rPr>
              <w:t>R</w:t>
            </w:r>
          </w:p>
        </w:tc>
        <w:tc>
          <w:tcPr>
            <w:tcW w:type="dxa" w:w="1020"/>
            <w:vAlign w:val="center"/>
          </w:tcPr>
          <w:p>
            <w:pPr>
              <w:spacing w:after="20" w:before="20"/>
            </w:pPr>
            <w:r>
              <w:rPr>
                <w:sz w:val="18"/>
              </w:rPr>
              <w:t>86</w:t>
            </w:r>
          </w:p>
        </w:tc>
        <w:tc>
          <w:tcPr>
            <w:tcW w:type="dxa" w:w="5386"/>
            <w:vAlign w:val="center"/>
          </w:tcPr>
          <w:p>
            <w:pPr>
              <w:spacing w:after="20" w:before="20"/>
            </w:pPr>
            <w:r>
              <w:rPr>
                <w:sz w:val="18"/>
              </w:rPr>
              <w:t>86 — Human health activities</w:t>
            </w:r>
          </w:p>
        </w:tc>
        <w:tc>
          <w:tcPr>
            <w:tcW w:type="dxa" w:w="1020"/>
            <w:vAlign w:val="center"/>
          </w:tcPr>
          <w:p>
            <w:pPr>
              <w:spacing w:after="20" w:before="20"/>
            </w:pPr>
            <w:r>
              <w:rPr>
                <w:sz w:val="18"/>
              </w:rPr>
              <w:t>1,029</w:t>
            </w:r>
          </w:p>
        </w:tc>
        <w:tc>
          <w:tcPr>
            <w:tcW w:type="dxa" w:w="794"/>
            <w:vAlign w:val="center"/>
          </w:tcPr>
          <w:p>
            <w:pPr>
              <w:spacing w:after="20" w:before="20"/>
            </w:pPr>
            <w:r>
              <w:rPr>
                <w:sz w:val="18"/>
              </w:rPr>
              <w:t>7.5%</w:t>
            </w:r>
          </w:p>
        </w:tc>
      </w:tr>
      <w:tr>
        <w:tc>
          <w:tcPr>
            <w:tcW w:type="dxa" w:w="624"/>
            <w:shd w:val="clear" w:color="auto" w:fill="E3F2FD"/>
            <w:vAlign w:val="center"/>
          </w:tcPr>
          <w:p>
            <w:pPr>
              <w:spacing w:after="20" w:before="20"/>
            </w:pPr>
            <w:r>
              <w:rPr>
                <w:sz w:val="18"/>
              </w:rPr>
              <w:t>3</w:t>
            </w:r>
          </w:p>
        </w:tc>
        <w:tc>
          <w:tcPr>
            <w:tcW w:type="dxa" w:w="624"/>
            <w:shd w:val="clear" w:color="auto" w:fill="E3F2FD"/>
            <w:vAlign w:val="center"/>
          </w:tcPr>
          <w:p>
            <w:pPr>
              <w:spacing w:after="20" w:before="20"/>
            </w:pPr>
            <w:r>
              <w:rPr>
                <w:sz w:val="18"/>
              </w:rPr>
              <w:t>N</w:t>
            </w:r>
          </w:p>
        </w:tc>
        <w:tc>
          <w:tcPr>
            <w:tcW w:type="dxa" w:w="1020"/>
            <w:shd w:val="clear" w:color="auto" w:fill="E3F2FD"/>
            <w:vAlign w:val="center"/>
          </w:tcPr>
          <w:p>
            <w:pPr>
              <w:spacing w:after="20" w:before="20"/>
            </w:pPr>
            <w:r>
              <w:rPr>
                <w:sz w:val="18"/>
              </w:rPr>
              <w:t>72</w:t>
            </w:r>
          </w:p>
        </w:tc>
        <w:tc>
          <w:tcPr>
            <w:tcW w:type="dxa" w:w="5386"/>
            <w:shd w:val="clear" w:color="auto" w:fill="E3F2FD"/>
            <w:vAlign w:val="center"/>
          </w:tcPr>
          <w:p>
            <w:pPr>
              <w:spacing w:after="20" w:before="20"/>
            </w:pPr>
            <w:r>
              <w:rPr>
                <w:sz w:val="18"/>
              </w:rPr>
              <w:t>72 — Scientific research and development</w:t>
            </w:r>
          </w:p>
        </w:tc>
        <w:tc>
          <w:tcPr>
            <w:tcW w:type="dxa" w:w="1020"/>
            <w:shd w:val="clear" w:color="auto" w:fill="E3F2FD"/>
            <w:vAlign w:val="center"/>
          </w:tcPr>
          <w:p>
            <w:pPr>
              <w:spacing w:after="20" w:before="20"/>
            </w:pPr>
            <w:r>
              <w:rPr>
                <w:sz w:val="18"/>
              </w:rPr>
              <w:t>932</w:t>
            </w:r>
          </w:p>
        </w:tc>
        <w:tc>
          <w:tcPr>
            <w:tcW w:type="dxa" w:w="794"/>
            <w:shd w:val="clear" w:color="auto" w:fill="E3F2FD"/>
            <w:vAlign w:val="center"/>
          </w:tcPr>
          <w:p>
            <w:pPr>
              <w:spacing w:after="20" w:before="20"/>
            </w:pPr>
            <w:r>
              <w:rPr>
                <w:sz w:val="18"/>
              </w:rPr>
              <w:t>6.8%</w:t>
            </w:r>
          </w:p>
        </w:tc>
      </w:tr>
      <w:tr>
        <w:tc>
          <w:tcPr>
            <w:tcW w:type="dxa" w:w="624"/>
            <w:vAlign w:val="center"/>
          </w:tcPr>
          <w:p>
            <w:pPr>
              <w:spacing w:after="20" w:before="20"/>
            </w:pPr>
            <w:r>
              <w:rPr>
                <w:sz w:val="18"/>
              </w:rPr>
              <w:t>4</w:t>
            </w:r>
          </w:p>
        </w:tc>
        <w:tc>
          <w:tcPr>
            <w:tcW w:type="dxa" w:w="624"/>
            <w:vAlign w:val="center"/>
          </w:tcPr>
          <w:p>
            <w:pPr>
              <w:spacing w:after="20" w:before="20"/>
            </w:pPr>
            <w:r>
              <w:rPr>
                <w:sz w:val="18"/>
              </w:rPr>
              <w:t>A</w:t>
            </w:r>
          </w:p>
        </w:tc>
        <w:tc>
          <w:tcPr>
            <w:tcW w:type="dxa" w:w="1020"/>
            <w:vAlign w:val="center"/>
          </w:tcPr>
          <w:p>
            <w:pPr>
              <w:spacing w:after="20" w:before="20"/>
            </w:pPr>
            <w:r>
              <w:rPr>
                <w:sz w:val="18"/>
              </w:rPr>
              <w:t>01</w:t>
            </w:r>
          </w:p>
        </w:tc>
        <w:tc>
          <w:tcPr>
            <w:tcW w:type="dxa" w:w="5386"/>
            <w:vAlign w:val="center"/>
          </w:tcPr>
          <w:p>
            <w:pPr>
              <w:spacing w:after="20" w:before="20"/>
            </w:pPr>
            <w:r>
              <w:rPr>
                <w:sz w:val="18"/>
              </w:rPr>
              <w:t>01 — Crop and animal production, hunting and related service activities</w:t>
            </w:r>
          </w:p>
        </w:tc>
        <w:tc>
          <w:tcPr>
            <w:tcW w:type="dxa" w:w="1020"/>
            <w:vAlign w:val="center"/>
          </w:tcPr>
          <w:p>
            <w:pPr>
              <w:spacing w:after="20" w:before="20"/>
            </w:pPr>
            <w:r>
              <w:rPr>
                <w:sz w:val="18"/>
              </w:rPr>
              <w:t>542</w:t>
            </w:r>
          </w:p>
        </w:tc>
        <w:tc>
          <w:tcPr>
            <w:tcW w:type="dxa" w:w="794"/>
            <w:vAlign w:val="center"/>
          </w:tcPr>
          <w:p>
            <w:pPr>
              <w:spacing w:after="20" w:before="20"/>
            </w:pPr>
            <w:r>
              <w:rPr>
                <w:sz w:val="18"/>
              </w:rPr>
              <w:t>4.0%</w:t>
            </w:r>
          </w:p>
        </w:tc>
      </w:tr>
      <w:tr>
        <w:tc>
          <w:tcPr>
            <w:tcW w:type="dxa" w:w="624"/>
            <w:shd w:val="clear" w:color="auto" w:fill="E3F2FD"/>
            <w:vAlign w:val="center"/>
          </w:tcPr>
          <w:p>
            <w:pPr>
              <w:spacing w:after="20" w:before="20"/>
            </w:pPr>
            <w:r>
              <w:rPr>
                <w:sz w:val="18"/>
              </w:rPr>
              <w:t>5</w:t>
            </w:r>
          </w:p>
        </w:tc>
        <w:tc>
          <w:tcPr>
            <w:tcW w:type="dxa" w:w="624"/>
            <w:shd w:val="clear" w:color="auto" w:fill="E3F2FD"/>
            <w:vAlign w:val="center"/>
          </w:tcPr>
          <w:p>
            <w:pPr>
              <w:spacing w:after="20" w:before="20"/>
            </w:pPr>
            <w:r>
              <w:rPr>
                <w:sz w:val="18"/>
              </w:rPr>
              <w:t>E</w:t>
            </w:r>
          </w:p>
        </w:tc>
        <w:tc>
          <w:tcPr>
            <w:tcW w:type="dxa" w:w="1020"/>
            <w:shd w:val="clear" w:color="auto" w:fill="E3F2FD"/>
            <w:vAlign w:val="center"/>
          </w:tcPr>
          <w:p>
            <w:pPr>
              <w:spacing w:after="20" w:before="20"/>
            </w:pPr>
            <w:r>
              <w:rPr>
                <w:sz w:val="18"/>
              </w:rPr>
              <w:t>36</w:t>
            </w:r>
          </w:p>
        </w:tc>
        <w:tc>
          <w:tcPr>
            <w:tcW w:type="dxa" w:w="5386"/>
            <w:shd w:val="clear" w:color="auto" w:fill="E3F2FD"/>
            <w:vAlign w:val="center"/>
          </w:tcPr>
          <w:p>
            <w:pPr>
              <w:spacing w:after="20" w:before="20"/>
            </w:pPr>
            <w:r>
              <w:rPr>
                <w:sz w:val="18"/>
              </w:rPr>
              <w:t>36 — Water collection, treatment and supply</w:t>
            </w:r>
          </w:p>
        </w:tc>
        <w:tc>
          <w:tcPr>
            <w:tcW w:type="dxa" w:w="1020"/>
            <w:shd w:val="clear" w:color="auto" w:fill="E3F2FD"/>
            <w:vAlign w:val="center"/>
          </w:tcPr>
          <w:p>
            <w:pPr>
              <w:spacing w:after="20" w:before="20"/>
            </w:pPr>
            <w:r>
              <w:rPr>
                <w:sz w:val="18"/>
              </w:rPr>
              <w:t>456</w:t>
            </w:r>
          </w:p>
        </w:tc>
        <w:tc>
          <w:tcPr>
            <w:tcW w:type="dxa" w:w="794"/>
            <w:shd w:val="clear" w:color="auto" w:fill="E3F2FD"/>
            <w:vAlign w:val="center"/>
          </w:tcPr>
          <w:p>
            <w:pPr>
              <w:spacing w:after="20" w:before="20"/>
            </w:pPr>
            <w:r>
              <w:rPr>
                <w:sz w:val="18"/>
              </w:rPr>
              <w:t>3.3%</w:t>
            </w:r>
          </w:p>
        </w:tc>
      </w:tr>
      <w:tr>
        <w:tc>
          <w:tcPr>
            <w:tcW w:type="dxa" w:w="624"/>
            <w:vAlign w:val="center"/>
          </w:tcPr>
          <w:p>
            <w:pPr>
              <w:spacing w:after="20" w:before="20"/>
            </w:pPr>
            <w:r>
              <w:rPr>
                <w:sz w:val="18"/>
              </w:rPr>
              <w:t>6</w:t>
            </w:r>
          </w:p>
        </w:tc>
        <w:tc>
          <w:tcPr>
            <w:tcW w:type="dxa" w:w="624"/>
            <w:vAlign w:val="center"/>
          </w:tcPr>
          <w:p>
            <w:pPr>
              <w:spacing w:after="20" w:before="20"/>
            </w:pPr>
            <w:r>
              <w:rPr>
                <w:sz w:val="18"/>
              </w:rPr>
              <w:t>P</w:t>
            </w:r>
          </w:p>
        </w:tc>
        <w:tc>
          <w:tcPr>
            <w:tcW w:type="dxa" w:w="1020"/>
            <w:vAlign w:val="center"/>
          </w:tcPr>
          <w:p>
            <w:pPr>
              <w:spacing w:after="20" w:before="20"/>
            </w:pPr>
            <w:r>
              <w:rPr>
                <w:sz w:val="18"/>
              </w:rPr>
              <w:t>99</w:t>
            </w:r>
          </w:p>
        </w:tc>
        <w:tc>
          <w:tcPr>
            <w:tcW w:type="dxa" w:w="5386"/>
            <w:vAlign w:val="center"/>
          </w:tcPr>
          <w:p>
            <w:pPr>
              <w:spacing w:after="20" w:before="20"/>
            </w:pPr>
            <w:r>
              <w:rPr>
                <w:sz w:val="18"/>
              </w:rPr>
              <w:t>99 — Activities of extraterritorial organizations and bodies</w:t>
            </w:r>
          </w:p>
        </w:tc>
        <w:tc>
          <w:tcPr>
            <w:tcW w:type="dxa" w:w="1020"/>
            <w:vAlign w:val="center"/>
          </w:tcPr>
          <w:p>
            <w:pPr>
              <w:spacing w:after="20" w:before="20"/>
            </w:pPr>
            <w:r>
              <w:rPr>
                <w:sz w:val="18"/>
              </w:rPr>
              <w:t>445</w:t>
            </w:r>
          </w:p>
        </w:tc>
        <w:tc>
          <w:tcPr>
            <w:tcW w:type="dxa" w:w="794"/>
            <w:vAlign w:val="center"/>
          </w:tcPr>
          <w:p>
            <w:pPr>
              <w:spacing w:after="20" w:before="20"/>
            </w:pPr>
            <w:r>
              <w:rPr>
                <w:sz w:val="18"/>
              </w:rPr>
              <w:t>3.3%</w:t>
            </w:r>
          </w:p>
        </w:tc>
      </w:tr>
      <w:tr>
        <w:tc>
          <w:tcPr>
            <w:tcW w:type="dxa" w:w="624"/>
            <w:shd w:val="clear" w:color="auto" w:fill="E3F2FD"/>
            <w:vAlign w:val="center"/>
          </w:tcPr>
          <w:p>
            <w:pPr>
              <w:spacing w:after="20" w:before="20"/>
            </w:pPr>
            <w:r>
              <w:rPr>
                <w:sz w:val="18"/>
              </w:rPr>
              <w:t>7</w:t>
            </w:r>
          </w:p>
        </w:tc>
        <w:tc>
          <w:tcPr>
            <w:tcW w:type="dxa" w:w="624"/>
            <w:shd w:val="clear" w:color="auto" w:fill="E3F2FD"/>
            <w:vAlign w:val="center"/>
          </w:tcPr>
          <w:p>
            <w:pPr>
              <w:spacing w:after="20" w:before="20"/>
            </w:pPr>
            <w:r>
              <w:rPr>
                <w:sz w:val="18"/>
              </w:rPr>
              <w:t>Q</w:t>
            </w:r>
          </w:p>
        </w:tc>
        <w:tc>
          <w:tcPr>
            <w:tcW w:type="dxa" w:w="1020"/>
            <w:shd w:val="clear" w:color="auto" w:fill="E3F2FD"/>
            <w:vAlign w:val="center"/>
          </w:tcPr>
          <w:p>
            <w:pPr>
              <w:spacing w:after="20" w:before="20"/>
            </w:pPr>
            <w:r>
              <w:rPr>
                <w:sz w:val="18"/>
              </w:rPr>
              <w:t>85</w:t>
            </w:r>
          </w:p>
        </w:tc>
        <w:tc>
          <w:tcPr>
            <w:tcW w:type="dxa" w:w="5386"/>
            <w:shd w:val="clear" w:color="auto" w:fill="E3F2FD"/>
            <w:vAlign w:val="center"/>
          </w:tcPr>
          <w:p>
            <w:pPr>
              <w:spacing w:after="20" w:before="20"/>
            </w:pPr>
            <w:r>
              <w:rPr>
                <w:sz w:val="18"/>
              </w:rPr>
              <w:t>85 — Education</w:t>
            </w:r>
          </w:p>
        </w:tc>
        <w:tc>
          <w:tcPr>
            <w:tcW w:type="dxa" w:w="1020"/>
            <w:shd w:val="clear" w:color="auto" w:fill="E3F2FD"/>
            <w:vAlign w:val="center"/>
          </w:tcPr>
          <w:p>
            <w:pPr>
              <w:spacing w:after="20" w:before="20"/>
            </w:pPr>
            <w:r>
              <w:rPr>
                <w:sz w:val="18"/>
              </w:rPr>
              <w:t>430</w:t>
            </w:r>
          </w:p>
        </w:tc>
        <w:tc>
          <w:tcPr>
            <w:tcW w:type="dxa" w:w="794"/>
            <w:shd w:val="clear" w:color="auto" w:fill="E3F2FD"/>
            <w:vAlign w:val="center"/>
          </w:tcPr>
          <w:p>
            <w:pPr>
              <w:spacing w:after="20" w:before="20"/>
            </w:pPr>
            <w:r>
              <w:rPr>
                <w:sz w:val="18"/>
              </w:rPr>
              <w:t>3.2%</w:t>
            </w:r>
          </w:p>
        </w:tc>
      </w:tr>
      <w:tr>
        <w:tc>
          <w:tcPr>
            <w:tcW w:type="dxa" w:w="624"/>
            <w:vAlign w:val="center"/>
          </w:tcPr>
          <w:p>
            <w:pPr>
              <w:spacing w:after="20" w:before="20"/>
            </w:pPr>
            <w:r>
              <w:rPr>
                <w:sz w:val="18"/>
              </w:rPr>
              <w:t>8</w:t>
            </w:r>
          </w:p>
        </w:tc>
        <w:tc>
          <w:tcPr>
            <w:tcW w:type="dxa" w:w="624"/>
            <w:vAlign w:val="center"/>
          </w:tcPr>
          <w:p>
            <w:pPr>
              <w:spacing w:after="20" w:before="20"/>
            </w:pPr>
            <w:r>
              <w:rPr>
                <w:sz w:val="18"/>
              </w:rPr>
              <w:t>A</w:t>
            </w:r>
          </w:p>
        </w:tc>
        <w:tc>
          <w:tcPr>
            <w:tcW w:type="dxa" w:w="1020"/>
            <w:vAlign w:val="center"/>
          </w:tcPr>
          <w:p>
            <w:pPr>
              <w:spacing w:after="20" w:before="20"/>
            </w:pPr>
            <w:r>
              <w:rPr>
                <w:sz w:val="18"/>
              </w:rPr>
              <w:t>36</w:t>
            </w:r>
          </w:p>
        </w:tc>
        <w:tc>
          <w:tcPr>
            <w:tcW w:type="dxa" w:w="5386"/>
            <w:vAlign w:val="center"/>
          </w:tcPr>
          <w:p>
            <w:pPr>
              <w:spacing w:after="20" w:before="20"/>
            </w:pPr>
            <w:r>
              <w:rPr>
                <w:sz w:val="18"/>
              </w:rPr>
              <w:t>36 — Water collection, treatment and supply</w:t>
            </w:r>
          </w:p>
        </w:tc>
        <w:tc>
          <w:tcPr>
            <w:tcW w:type="dxa" w:w="1020"/>
            <w:vAlign w:val="center"/>
          </w:tcPr>
          <w:p>
            <w:pPr>
              <w:spacing w:after="20" w:before="20"/>
            </w:pPr>
            <w:r>
              <w:rPr>
                <w:sz w:val="18"/>
              </w:rPr>
              <w:t>294</w:t>
            </w:r>
          </w:p>
        </w:tc>
        <w:tc>
          <w:tcPr>
            <w:tcW w:type="dxa" w:w="794"/>
            <w:vAlign w:val="center"/>
          </w:tcPr>
          <w:p>
            <w:pPr>
              <w:spacing w:after="20" w:before="20"/>
            </w:pPr>
            <w:r>
              <w:rPr>
                <w:sz w:val="18"/>
              </w:rPr>
              <w:t>2.2%</w:t>
            </w:r>
          </w:p>
        </w:tc>
      </w:tr>
      <w:tr>
        <w:tc>
          <w:tcPr>
            <w:tcW w:type="dxa" w:w="624"/>
            <w:shd w:val="clear" w:color="auto" w:fill="E3F2FD"/>
            <w:vAlign w:val="center"/>
          </w:tcPr>
          <w:p>
            <w:pPr>
              <w:spacing w:after="20" w:before="20"/>
            </w:pPr>
            <w:r>
              <w:rPr>
                <w:sz w:val="18"/>
              </w:rPr>
              <w:t>9</w:t>
            </w:r>
          </w:p>
        </w:tc>
        <w:tc>
          <w:tcPr>
            <w:tcW w:type="dxa" w:w="624"/>
            <w:shd w:val="clear" w:color="auto" w:fill="E3F2FD"/>
            <w:vAlign w:val="center"/>
          </w:tcPr>
          <w:p>
            <w:pPr>
              <w:spacing w:after="20" w:before="20"/>
            </w:pPr>
            <w:r>
              <w:rPr>
                <w:sz w:val="18"/>
              </w:rPr>
              <w:t>D</w:t>
            </w:r>
          </w:p>
        </w:tc>
        <w:tc>
          <w:tcPr>
            <w:tcW w:type="dxa" w:w="1020"/>
            <w:shd w:val="clear" w:color="auto" w:fill="E3F2FD"/>
            <w:vAlign w:val="center"/>
          </w:tcPr>
          <w:p>
            <w:pPr>
              <w:spacing w:after="20" w:before="20"/>
            </w:pPr>
            <w:r>
              <w:rPr>
                <w:sz w:val="18"/>
              </w:rPr>
              <w:t>35</w:t>
            </w:r>
          </w:p>
        </w:tc>
        <w:tc>
          <w:tcPr>
            <w:tcW w:type="dxa" w:w="5386"/>
            <w:shd w:val="clear" w:color="auto" w:fill="E3F2FD"/>
            <w:vAlign w:val="center"/>
          </w:tcPr>
          <w:p>
            <w:pPr>
              <w:spacing w:after="20" w:before="20"/>
            </w:pPr>
            <w:r>
              <w:rPr>
                <w:sz w:val="18"/>
              </w:rPr>
              <w:t>35 — Electricity, gas, steam and air conditioning supply</w:t>
            </w:r>
          </w:p>
        </w:tc>
        <w:tc>
          <w:tcPr>
            <w:tcW w:type="dxa" w:w="1020"/>
            <w:shd w:val="clear" w:color="auto" w:fill="E3F2FD"/>
            <w:vAlign w:val="center"/>
          </w:tcPr>
          <w:p>
            <w:pPr>
              <w:spacing w:after="20" w:before="20"/>
            </w:pPr>
            <w:r>
              <w:rPr>
                <w:sz w:val="18"/>
              </w:rPr>
              <w:t>286</w:t>
            </w:r>
          </w:p>
        </w:tc>
        <w:tc>
          <w:tcPr>
            <w:tcW w:type="dxa" w:w="794"/>
            <w:shd w:val="clear" w:color="auto" w:fill="E3F2FD"/>
            <w:vAlign w:val="center"/>
          </w:tcPr>
          <w:p>
            <w:pPr>
              <w:spacing w:after="20" w:before="20"/>
            </w:pPr>
            <w:r>
              <w:rPr>
                <w:sz w:val="18"/>
              </w:rPr>
              <w:t>2.1%</w:t>
            </w:r>
          </w:p>
        </w:tc>
      </w:tr>
      <w:tr>
        <w:tc>
          <w:tcPr>
            <w:tcW w:type="dxa" w:w="624"/>
            <w:vAlign w:val="center"/>
          </w:tcPr>
          <w:p>
            <w:pPr>
              <w:spacing w:after="20" w:before="20"/>
            </w:pPr>
            <w:r>
              <w:rPr>
                <w:sz w:val="18"/>
              </w:rPr>
              <w:t>10</w:t>
            </w:r>
          </w:p>
        </w:tc>
        <w:tc>
          <w:tcPr>
            <w:tcW w:type="dxa" w:w="624"/>
            <w:vAlign w:val="center"/>
          </w:tcPr>
          <w:p>
            <w:pPr>
              <w:spacing w:after="20" w:before="20"/>
            </w:pPr>
            <w:r>
              <w:rPr>
                <w:sz w:val="18"/>
              </w:rPr>
              <w:t>P</w:t>
            </w:r>
          </w:p>
        </w:tc>
        <w:tc>
          <w:tcPr>
            <w:tcW w:type="dxa" w:w="1020"/>
            <w:vAlign w:val="center"/>
          </w:tcPr>
          <w:p>
            <w:pPr>
              <w:spacing w:after="20" w:before="20"/>
            </w:pPr>
            <w:r>
              <w:rPr>
                <w:sz w:val="18"/>
              </w:rPr>
              <w:t>88</w:t>
            </w:r>
          </w:p>
        </w:tc>
        <w:tc>
          <w:tcPr>
            <w:tcW w:type="dxa" w:w="5386"/>
            <w:vAlign w:val="center"/>
          </w:tcPr>
          <w:p>
            <w:pPr>
              <w:spacing w:after="20" w:before="20"/>
            </w:pPr>
            <w:r>
              <w:rPr>
                <w:sz w:val="18"/>
              </w:rPr>
              <w:t>88 — Social work activities without accommodation</w:t>
            </w:r>
          </w:p>
        </w:tc>
        <w:tc>
          <w:tcPr>
            <w:tcW w:type="dxa" w:w="1020"/>
            <w:vAlign w:val="center"/>
          </w:tcPr>
          <w:p>
            <w:pPr>
              <w:spacing w:after="20" w:before="20"/>
            </w:pPr>
            <w:r>
              <w:rPr>
                <w:sz w:val="18"/>
              </w:rPr>
              <w:t>271</w:t>
            </w:r>
          </w:p>
        </w:tc>
        <w:tc>
          <w:tcPr>
            <w:tcW w:type="dxa" w:w="794"/>
            <w:vAlign w:val="center"/>
          </w:tcPr>
          <w:p>
            <w:pPr>
              <w:spacing w:after="20" w:before="20"/>
            </w:pPr>
            <w:r>
              <w:rPr>
                <w:sz w:val="18"/>
              </w:rPr>
              <w:t>2.0%</w:t>
            </w:r>
          </w:p>
        </w:tc>
      </w:tr>
      <w:tr>
        <w:tc>
          <w:tcPr>
            <w:tcW w:type="dxa" w:w="624"/>
            <w:shd w:val="clear" w:color="auto" w:fill="E3F2FD"/>
            <w:vAlign w:val="center"/>
          </w:tcPr>
          <w:p>
            <w:pPr>
              <w:spacing w:after="20" w:before="20"/>
            </w:pPr>
            <w:r>
              <w:rPr>
                <w:sz w:val="18"/>
              </w:rPr>
              <w:t>11</w:t>
            </w:r>
          </w:p>
        </w:tc>
        <w:tc>
          <w:tcPr>
            <w:tcW w:type="dxa" w:w="624"/>
            <w:shd w:val="clear" w:color="auto" w:fill="E3F2FD"/>
            <w:vAlign w:val="center"/>
          </w:tcPr>
          <w:p>
            <w:pPr>
              <w:spacing w:after="20" w:before="20"/>
            </w:pPr>
            <w:r>
              <w:rPr>
                <w:sz w:val="18"/>
              </w:rPr>
              <w:t>L</w:t>
            </w:r>
          </w:p>
        </w:tc>
        <w:tc>
          <w:tcPr>
            <w:tcW w:type="dxa" w:w="1020"/>
            <w:shd w:val="clear" w:color="auto" w:fill="E3F2FD"/>
            <w:vAlign w:val="center"/>
          </w:tcPr>
          <w:p>
            <w:pPr>
              <w:spacing w:after="20" w:before="20"/>
            </w:pPr>
            <w:r>
              <w:rPr>
                <w:sz w:val="18"/>
              </w:rPr>
              <w:t>64</w:t>
            </w:r>
          </w:p>
        </w:tc>
        <w:tc>
          <w:tcPr>
            <w:tcW w:type="dxa" w:w="5386"/>
            <w:shd w:val="clear" w:color="auto" w:fill="E3F2FD"/>
            <w:vAlign w:val="center"/>
          </w:tcPr>
          <w:p>
            <w:pPr>
              <w:spacing w:after="20" w:before="20"/>
            </w:pPr>
            <w:r>
              <w:rPr>
                <w:sz w:val="18"/>
              </w:rPr>
              <w:t>64 — Financial service activities, except insurance and pension funding</w:t>
            </w:r>
          </w:p>
        </w:tc>
        <w:tc>
          <w:tcPr>
            <w:tcW w:type="dxa" w:w="1020"/>
            <w:shd w:val="clear" w:color="auto" w:fill="E3F2FD"/>
            <w:vAlign w:val="center"/>
          </w:tcPr>
          <w:p>
            <w:pPr>
              <w:spacing w:after="20" w:before="20"/>
            </w:pPr>
            <w:r>
              <w:rPr>
                <w:sz w:val="18"/>
              </w:rPr>
              <w:t>270</w:t>
            </w:r>
          </w:p>
        </w:tc>
        <w:tc>
          <w:tcPr>
            <w:tcW w:type="dxa" w:w="794"/>
            <w:shd w:val="clear" w:color="auto" w:fill="E3F2FD"/>
            <w:vAlign w:val="center"/>
          </w:tcPr>
          <w:p>
            <w:pPr>
              <w:spacing w:after="20" w:before="20"/>
            </w:pPr>
            <w:r>
              <w:rPr>
                <w:sz w:val="18"/>
              </w:rPr>
              <w:t>2.0%</w:t>
            </w:r>
          </w:p>
        </w:tc>
      </w:tr>
      <w:tr>
        <w:tc>
          <w:tcPr>
            <w:tcW w:type="dxa" w:w="624"/>
            <w:vAlign w:val="center"/>
          </w:tcPr>
          <w:p>
            <w:pPr>
              <w:spacing w:after="20" w:before="20"/>
            </w:pPr>
            <w:r>
              <w:rPr>
                <w:sz w:val="18"/>
              </w:rPr>
              <w:t>12</w:t>
            </w:r>
          </w:p>
        </w:tc>
        <w:tc>
          <w:tcPr>
            <w:tcW w:type="dxa" w:w="624"/>
            <w:vAlign w:val="center"/>
          </w:tcPr>
          <w:p>
            <w:pPr>
              <w:spacing w:after="20" w:before="20"/>
            </w:pPr>
            <w:r>
              <w:rPr>
                <w:sz w:val="18"/>
              </w:rPr>
              <w:t>N</w:t>
            </w:r>
          </w:p>
        </w:tc>
        <w:tc>
          <w:tcPr>
            <w:tcW w:type="dxa" w:w="1020"/>
            <w:vAlign w:val="center"/>
          </w:tcPr>
          <w:p>
            <w:pPr>
              <w:spacing w:after="20" w:before="20"/>
            </w:pPr>
            <w:r>
              <w:rPr>
                <w:sz w:val="18"/>
              </w:rPr>
              <w:t>35</w:t>
            </w:r>
          </w:p>
        </w:tc>
        <w:tc>
          <w:tcPr>
            <w:tcW w:type="dxa" w:w="5386"/>
            <w:vAlign w:val="center"/>
          </w:tcPr>
          <w:p>
            <w:pPr>
              <w:spacing w:after="20" w:before="20"/>
            </w:pPr>
            <w:r>
              <w:rPr>
                <w:sz w:val="18"/>
              </w:rPr>
              <w:t>35 — Electricity, gas, steam and air conditioning supply</w:t>
            </w:r>
          </w:p>
        </w:tc>
        <w:tc>
          <w:tcPr>
            <w:tcW w:type="dxa" w:w="1020"/>
            <w:vAlign w:val="center"/>
          </w:tcPr>
          <w:p>
            <w:pPr>
              <w:spacing w:after="20" w:before="20"/>
            </w:pPr>
            <w:r>
              <w:rPr>
                <w:sz w:val="18"/>
              </w:rPr>
              <w:t>246</w:t>
            </w:r>
          </w:p>
        </w:tc>
        <w:tc>
          <w:tcPr>
            <w:tcW w:type="dxa" w:w="794"/>
            <w:vAlign w:val="center"/>
          </w:tcPr>
          <w:p>
            <w:pPr>
              <w:spacing w:after="20" w:before="20"/>
            </w:pPr>
            <w:r>
              <w:rPr>
                <w:sz w:val="18"/>
              </w:rPr>
              <w:t>1.8%</w:t>
            </w:r>
          </w:p>
        </w:tc>
      </w:tr>
      <w:tr>
        <w:tc>
          <w:tcPr>
            <w:tcW w:type="dxa" w:w="624"/>
            <w:shd w:val="clear" w:color="auto" w:fill="E3F2FD"/>
            <w:vAlign w:val="center"/>
          </w:tcPr>
          <w:p>
            <w:pPr>
              <w:spacing w:after="20" w:before="20"/>
            </w:pPr>
            <w:r>
              <w:rPr>
                <w:sz w:val="18"/>
              </w:rPr>
              <w:t>13</w:t>
            </w:r>
          </w:p>
        </w:tc>
        <w:tc>
          <w:tcPr>
            <w:tcW w:type="dxa" w:w="624"/>
            <w:shd w:val="clear" w:color="auto" w:fill="E3F2FD"/>
            <w:vAlign w:val="center"/>
          </w:tcPr>
          <w:p>
            <w:pPr>
              <w:spacing w:after="20" w:before="20"/>
            </w:pPr>
            <w:r>
              <w:rPr>
                <w:sz w:val="18"/>
              </w:rPr>
              <w:t>P</w:t>
            </w:r>
          </w:p>
        </w:tc>
        <w:tc>
          <w:tcPr>
            <w:tcW w:type="dxa" w:w="1020"/>
            <w:shd w:val="clear" w:color="auto" w:fill="E3F2FD"/>
            <w:vAlign w:val="center"/>
          </w:tcPr>
          <w:p>
            <w:pPr>
              <w:spacing w:after="20" w:before="20"/>
            </w:pPr>
            <w:r>
              <w:rPr>
                <w:sz w:val="18"/>
              </w:rPr>
              <w:t>68</w:t>
            </w:r>
          </w:p>
        </w:tc>
        <w:tc>
          <w:tcPr>
            <w:tcW w:type="dxa" w:w="5386"/>
            <w:shd w:val="clear" w:color="auto" w:fill="E3F2FD"/>
            <w:vAlign w:val="center"/>
          </w:tcPr>
          <w:p>
            <w:pPr>
              <w:spacing w:after="20" w:before="20"/>
            </w:pPr>
            <w:r>
              <w:rPr>
                <w:sz w:val="18"/>
              </w:rPr>
              <w:t>68 — Real estate activities</w:t>
            </w:r>
          </w:p>
        </w:tc>
        <w:tc>
          <w:tcPr>
            <w:tcW w:type="dxa" w:w="1020"/>
            <w:shd w:val="clear" w:color="auto" w:fill="E3F2FD"/>
            <w:vAlign w:val="center"/>
          </w:tcPr>
          <w:p>
            <w:pPr>
              <w:spacing w:after="20" w:before="20"/>
            </w:pPr>
            <w:r>
              <w:rPr>
                <w:sz w:val="18"/>
              </w:rPr>
              <w:t>178</w:t>
            </w:r>
          </w:p>
        </w:tc>
        <w:tc>
          <w:tcPr>
            <w:tcW w:type="dxa" w:w="794"/>
            <w:shd w:val="clear" w:color="auto" w:fill="E3F2FD"/>
            <w:vAlign w:val="center"/>
          </w:tcPr>
          <w:p>
            <w:pPr>
              <w:spacing w:after="20" w:before="20"/>
            </w:pPr>
            <w:r>
              <w:rPr>
                <w:sz w:val="18"/>
              </w:rPr>
              <w:t>1.3%</w:t>
            </w:r>
          </w:p>
        </w:tc>
      </w:tr>
      <w:tr>
        <w:tc>
          <w:tcPr>
            <w:tcW w:type="dxa" w:w="624"/>
            <w:vAlign w:val="center"/>
          </w:tcPr>
          <w:p>
            <w:pPr>
              <w:spacing w:after="20" w:before="20"/>
            </w:pPr>
            <w:r>
              <w:rPr>
                <w:sz w:val="18"/>
              </w:rPr>
              <w:t>14</w:t>
            </w:r>
          </w:p>
        </w:tc>
        <w:tc>
          <w:tcPr>
            <w:tcW w:type="dxa" w:w="624"/>
            <w:vAlign w:val="center"/>
          </w:tcPr>
          <w:p>
            <w:pPr>
              <w:spacing w:after="20" w:before="20"/>
            </w:pPr>
            <w:r>
              <w:rPr>
                <w:sz w:val="18"/>
              </w:rPr>
              <w:t>N</w:t>
            </w:r>
          </w:p>
        </w:tc>
        <w:tc>
          <w:tcPr>
            <w:tcW w:type="dxa" w:w="1020"/>
            <w:vAlign w:val="center"/>
          </w:tcPr>
          <w:p>
            <w:pPr>
              <w:spacing w:after="20" w:before="20"/>
            </w:pPr>
            <w:r>
              <w:rPr>
                <w:sz w:val="18"/>
              </w:rPr>
              <w:t>74</w:t>
            </w:r>
          </w:p>
        </w:tc>
        <w:tc>
          <w:tcPr>
            <w:tcW w:type="dxa" w:w="5386"/>
            <w:vAlign w:val="center"/>
          </w:tcPr>
          <w:p>
            <w:pPr>
              <w:spacing w:after="20" w:before="20"/>
            </w:pPr>
            <w:r>
              <w:rPr>
                <w:sz w:val="18"/>
              </w:rPr>
              <w:t>74 — Other professional, scientific and technical activities</w:t>
            </w:r>
          </w:p>
        </w:tc>
        <w:tc>
          <w:tcPr>
            <w:tcW w:type="dxa" w:w="1020"/>
            <w:vAlign w:val="center"/>
          </w:tcPr>
          <w:p>
            <w:pPr>
              <w:spacing w:after="20" w:before="20"/>
            </w:pPr>
            <w:r>
              <w:rPr>
                <w:sz w:val="18"/>
              </w:rPr>
              <w:t>168</w:t>
            </w:r>
          </w:p>
        </w:tc>
        <w:tc>
          <w:tcPr>
            <w:tcW w:type="dxa" w:w="794"/>
            <w:vAlign w:val="center"/>
          </w:tcPr>
          <w:p>
            <w:pPr>
              <w:spacing w:after="20" w:before="20"/>
            </w:pPr>
            <w:r>
              <w:rPr>
                <w:sz w:val="18"/>
              </w:rPr>
              <w:t>1.2%</w:t>
            </w:r>
          </w:p>
        </w:tc>
      </w:tr>
      <w:tr>
        <w:tc>
          <w:tcPr>
            <w:tcW w:type="dxa" w:w="624"/>
            <w:shd w:val="clear" w:color="auto" w:fill="E3F2FD"/>
            <w:vAlign w:val="center"/>
          </w:tcPr>
          <w:p>
            <w:pPr>
              <w:spacing w:after="20" w:before="20"/>
            </w:pPr>
            <w:r>
              <w:rPr>
                <w:sz w:val="18"/>
              </w:rPr>
              <w:t>15</w:t>
            </w:r>
          </w:p>
        </w:tc>
        <w:tc>
          <w:tcPr>
            <w:tcW w:type="dxa" w:w="624"/>
            <w:shd w:val="clear" w:color="auto" w:fill="E3F2FD"/>
            <w:vAlign w:val="center"/>
          </w:tcPr>
          <w:p>
            <w:pPr>
              <w:spacing w:after="20" w:before="20"/>
            </w:pPr>
            <w:r>
              <w:rPr>
                <w:sz w:val="18"/>
              </w:rPr>
              <w:t>Q</w:t>
            </w:r>
          </w:p>
        </w:tc>
        <w:tc>
          <w:tcPr>
            <w:tcW w:type="dxa" w:w="1020"/>
            <w:shd w:val="clear" w:color="auto" w:fill="E3F2FD"/>
            <w:vAlign w:val="center"/>
          </w:tcPr>
          <w:p>
            <w:pPr>
              <w:spacing w:after="20" w:before="20"/>
            </w:pPr>
            <w:r>
              <w:rPr>
                <w:sz w:val="18"/>
              </w:rPr>
              <w:t>88</w:t>
            </w:r>
          </w:p>
        </w:tc>
        <w:tc>
          <w:tcPr>
            <w:tcW w:type="dxa" w:w="5386"/>
            <w:shd w:val="clear" w:color="auto" w:fill="E3F2FD"/>
            <w:vAlign w:val="center"/>
          </w:tcPr>
          <w:p>
            <w:pPr>
              <w:spacing w:after="20" w:before="20"/>
            </w:pPr>
            <w:r>
              <w:rPr>
                <w:sz w:val="18"/>
              </w:rPr>
              <w:t>88 — Social work activities without accommodation</w:t>
            </w:r>
          </w:p>
        </w:tc>
        <w:tc>
          <w:tcPr>
            <w:tcW w:type="dxa" w:w="1020"/>
            <w:shd w:val="clear" w:color="auto" w:fill="E3F2FD"/>
            <w:vAlign w:val="center"/>
          </w:tcPr>
          <w:p>
            <w:pPr>
              <w:spacing w:after="20" w:before="20"/>
            </w:pPr>
            <w:r>
              <w:rPr>
                <w:sz w:val="18"/>
              </w:rPr>
              <w:t>164</w:t>
            </w:r>
          </w:p>
        </w:tc>
        <w:tc>
          <w:tcPr>
            <w:tcW w:type="dxa" w:w="794"/>
            <w:shd w:val="clear" w:color="auto" w:fill="E3F2FD"/>
            <w:vAlign w:val="center"/>
          </w:tcPr>
          <w:p>
            <w:pPr>
              <w:spacing w:after="20" w:before="20"/>
            </w:pPr>
            <w:r>
              <w:rPr>
                <w:sz w:val="18"/>
              </w:rPr>
              <w:t>1.2%</w:t>
            </w:r>
          </w:p>
        </w:tc>
      </w:tr>
      <w:tr>
        <w:tc>
          <w:tcPr>
            <w:tcW w:type="dxa" w:w="624"/>
            <w:vAlign w:val="center"/>
          </w:tcPr>
          <w:p>
            <w:pPr>
              <w:spacing w:after="20" w:before="20"/>
            </w:pPr>
            <w:r>
              <w:rPr>
                <w:sz w:val="18"/>
              </w:rPr>
              <w:t>16</w:t>
            </w:r>
          </w:p>
        </w:tc>
        <w:tc>
          <w:tcPr>
            <w:tcW w:type="dxa" w:w="624"/>
            <w:vAlign w:val="center"/>
          </w:tcPr>
          <w:p>
            <w:pPr>
              <w:spacing w:after="20" w:before="20"/>
            </w:pPr>
            <w:r>
              <w:rPr>
                <w:sz w:val="18"/>
              </w:rPr>
              <w:t>J</w:t>
            </w:r>
          </w:p>
        </w:tc>
        <w:tc>
          <w:tcPr>
            <w:tcW w:type="dxa" w:w="1020"/>
            <w:vAlign w:val="center"/>
          </w:tcPr>
          <w:p>
            <w:pPr>
              <w:spacing w:after="20" w:before="20"/>
            </w:pPr>
            <w:r>
              <w:rPr>
                <w:sz w:val="18"/>
              </w:rPr>
              <w:t>60</w:t>
            </w:r>
          </w:p>
        </w:tc>
        <w:tc>
          <w:tcPr>
            <w:tcW w:type="dxa" w:w="5386"/>
            <w:vAlign w:val="center"/>
          </w:tcPr>
          <w:p>
            <w:pPr>
              <w:spacing w:after="20" w:before="20"/>
            </w:pPr>
            <w:r>
              <w:rPr>
                <w:sz w:val="18"/>
              </w:rPr>
              <w:t>60 — Programming, broadcasting, news agency and other content distribution activ</w:t>
            </w:r>
          </w:p>
        </w:tc>
        <w:tc>
          <w:tcPr>
            <w:tcW w:type="dxa" w:w="1020"/>
            <w:vAlign w:val="center"/>
          </w:tcPr>
          <w:p>
            <w:pPr>
              <w:spacing w:after="20" w:before="20"/>
            </w:pPr>
            <w:r>
              <w:rPr>
                <w:sz w:val="18"/>
              </w:rPr>
              <w:t>158</w:t>
            </w:r>
          </w:p>
        </w:tc>
        <w:tc>
          <w:tcPr>
            <w:tcW w:type="dxa" w:w="794"/>
            <w:vAlign w:val="center"/>
          </w:tcPr>
          <w:p>
            <w:pPr>
              <w:spacing w:after="20" w:before="20"/>
            </w:pPr>
            <w:r>
              <w:rPr>
                <w:sz w:val="18"/>
              </w:rPr>
              <w:t>1.2%</w:t>
            </w:r>
          </w:p>
        </w:tc>
      </w:tr>
      <w:tr>
        <w:tc>
          <w:tcPr>
            <w:tcW w:type="dxa" w:w="624"/>
            <w:shd w:val="clear" w:color="auto" w:fill="E3F2FD"/>
            <w:vAlign w:val="center"/>
          </w:tcPr>
          <w:p>
            <w:pPr>
              <w:spacing w:after="20" w:before="20"/>
            </w:pPr>
            <w:r>
              <w:rPr>
                <w:sz w:val="18"/>
              </w:rPr>
              <w:t>17</w:t>
            </w:r>
          </w:p>
        </w:tc>
        <w:tc>
          <w:tcPr>
            <w:tcW w:type="dxa" w:w="624"/>
            <w:shd w:val="clear" w:color="auto" w:fill="E3F2FD"/>
            <w:vAlign w:val="center"/>
          </w:tcPr>
          <w:p>
            <w:pPr>
              <w:spacing w:after="20" w:before="20"/>
            </w:pPr>
            <w:r>
              <w:rPr>
                <w:sz w:val="18"/>
              </w:rPr>
              <w:t>A</w:t>
            </w:r>
          </w:p>
        </w:tc>
        <w:tc>
          <w:tcPr>
            <w:tcW w:type="dxa" w:w="1020"/>
            <w:shd w:val="clear" w:color="auto" w:fill="E3F2FD"/>
            <w:vAlign w:val="center"/>
          </w:tcPr>
          <w:p>
            <w:pPr>
              <w:spacing w:after="20" w:before="20"/>
            </w:pPr>
            <w:r>
              <w:rPr>
                <w:sz w:val="18"/>
              </w:rPr>
              <w:t>03</w:t>
            </w:r>
          </w:p>
        </w:tc>
        <w:tc>
          <w:tcPr>
            <w:tcW w:type="dxa" w:w="5386"/>
            <w:shd w:val="clear" w:color="auto" w:fill="E3F2FD"/>
            <w:vAlign w:val="center"/>
          </w:tcPr>
          <w:p>
            <w:pPr>
              <w:spacing w:after="20" w:before="20"/>
            </w:pPr>
            <w:r>
              <w:rPr>
                <w:sz w:val="18"/>
              </w:rPr>
              <w:t>03 — Fishing and aquaculture</w:t>
            </w:r>
          </w:p>
        </w:tc>
        <w:tc>
          <w:tcPr>
            <w:tcW w:type="dxa" w:w="1020"/>
            <w:shd w:val="clear" w:color="auto" w:fill="E3F2FD"/>
            <w:vAlign w:val="center"/>
          </w:tcPr>
          <w:p>
            <w:pPr>
              <w:spacing w:after="20" w:before="20"/>
            </w:pPr>
            <w:r>
              <w:rPr>
                <w:sz w:val="18"/>
              </w:rPr>
              <w:t>150</w:t>
            </w:r>
          </w:p>
        </w:tc>
        <w:tc>
          <w:tcPr>
            <w:tcW w:type="dxa" w:w="794"/>
            <w:shd w:val="clear" w:color="auto" w:fill="E3F2FD"/>
            <w:vAlign w:val="center"/>
          </w:tcPr>
          <w:p>
            <w:pPr>
              <w:spacing w:after="20" w:before="20"/>
            </w:pPr>
            <w:r>
              <w:rPr>
                <w:sz w:val="18"/>
              </w:rPr>
              <w:t>1.1%</w:t>
            </w:r>
          </w:p>
        </w:tc>
      </w:tr>
      <w:tr>
        <w:tc>
          <w:tcPr>
            <w:tcW w:type="dxa" w:w="624"/>
            <w:vAlign w:val="center"/>
          </w:tcPr>
          <w:p>
            <w:pPr>
              <w:spacing w:after="20" w:before="20"/>
            </w:pPr>
            <w:r>
              <w:rPr>
                <w:sz w:val="18"/>
              </w:rPr>
              <w:t>18</w:t>
            </w:r>
          </w:p>
        </w:tc>
        <w:tc>
          <w:tcPr>
            <w:tcW w:type="dxa" w:w="624"/>
            <w:vAlign w:val="center"/>
          </w:tcPr>
          <w:p>
            <w:pPr>
              <w:spacing w:after="20" w:before="20"/>
            </w:pPr>
            <w:r>
              <w:rPr>
                <w:sz w:val="18"/>
              </w:rPr>
              <w:t>N</w:t>
            </w:r>
          </w:p>
        </w:tc>
        <w:tc>
          <w:tcPr>
            <w:tcW w:type="dxa" w:w="1020"/>
            <w:vAlign w:val="center"/>
          </w:tcPr>
          <w:p>
            <w:pPr>
              <w:spacing w:after="20" w:before="20"/>
            </w:pPr>
            <w:r>
              <w:rPr>
                <w:sz w:val="18"/>
              </w:rPr>
              <w:t>86</w:t>
            </w:r>
          </w:p>
        </w:tc>
        <w:tc>
          <w:tcPr>
            <w:tcW w:type="dxa" w:w="5386"/>
            <w:vAlign w:val="center"/>
          </w:tcPr>
          <w:p>
            <w:pPr>
              <w:spacing w:after="20" w:before="20"/>
            </w:pPr>
            <w:r>
              <w:rPr>
                <w:sz w:val="18"/>
              </w:rPr>
              <w:t>86 — Human health activities</w:t>
            </w:r>
          </w:p>
        </w:tc>
        <w:tc>
          <w:tcPr>
            <w:tcW w:type="dxa" w:w="1020"/>
            <w:vAlign w:val="center"/>
          </w:tcPr>
          <w:p>
            <w:pPr>
              <w:spacing w:after="20" w:before="20"/>
            </w:pPr>
            <w:r>
              <w:rPr>
                <w:sz w:val="18"/>
              </w:rPr>
              <w:t>147</w:t>
            </w:r>
          </w:p>
        </w:tc>
        <w:tc>
          <w:tcPr>
            <w:tcW w:type="dxa" w:w="794"/>
            <w:vAlign w:val="center"/>
          </w:tcPr>
          <w:p>
            <w:pPr>
              <w:spacing w:after="20" w:before="20"/>
            </w:pPr>
            <w:r>
              <w:rPr>
                <w:sz w:val="18"/>
              </w:rPr>
              <w:t>1.1%</w:t>
            </w:r>
          </w:p>
        </w:tc>
      </w:tr>
      <w:tr>
        <w:tc>
          <w:tcPr>
            <w:tcW w:type="dxa" w:w="624"/>
            <w:shd w:val="clear" w:color="auto" w:fill="E3F2FD"/>
            <w:vAlign w:val="center"/>
          </w:tcPr>
          <w:p>
            <w:pPr>
              <w:spacing w:after="20" w:before="20"/>
            </w:pPr>
            <w:r>
              <w:rPr>
                <w:sz w:val="18"/>
              </w:rPr>
              <w:t>19</w:t>
            </w:r>
          </w:p>
        </w:tc>
        <w:tc>
          <w:tcPr>
            <w:tcW w:type="dxa" w:w="624"/>
            <w:shd w:val="clear" w:color="auto" w:fill="E3F2FD"/>
            <w:vAlign w:val="center"/>
          </w:tcPr>
          <w:p>
            <w:pPr>
              <w:spacing w:after="20" w:before="20"/>
            </w:pPr>
            <w:r>
              <w:rPr>
                <w:sz w:val="18"/>
              </w:rPr>
              <w:t>N</w:t>
            </w:r>
          </w:p>
        </w:tc>
        <w:tc>
          <w:tcPr>
            <w:tcW w:type="dxa" w:w="1020"/>
            <w:shd w:val="clear" w:color="auto" w:fill="E3F2FD"/>
            <w:vAlign w:val="center"/>
          </w:tcPr>
          <w:p>
            <w:pPr>
              <w:spacing w:after="20" w:before="20"/>
            </w:pPr>
            <w:r>
              <w:rPr>
                <w:sz w:val="18"/>
              </w:rPr>
              <w:t>62</w:t>
            </w:r>
          </w:p>
        </w:tc>
        <w:tc>
          <w:tcPr>
            <w:tcW w:type="dxa" w:w="5386"/>
            <w:shd w:val="clear" w:color="auto" w:fill="E3F2FD"/>
            <w:vAlign w:val="center"/>
          </w:tcPr>
          <w:p>
            <w:pPr>
              <w:spacing w:after="20" w:before="20"/>
            </w:pPr>
            <w:r>
              <w:rPr>
                <w:sz w:val="18"/>
              </w:rPr>
              <w:t>62 — Computer programming, consultancy and related activities</w:t>
            </w:r>
          </w:p>
        </w:tc>
        <w:tc>
          <w:tcPr>
            <w:tcW w:type="dxa" w:w="1020"/>
            <w:shd w:val="clear" w:color="auto" w:fill="E3F2FD"/>
            <w:vAlign w:val="center"/>
          </w:tcPr>
          <w:p>
            <w:pPr>
              <w:spacing w:after="20" w:before="20"/>
            </w:pPr>
            <w:r>
              <w:rPr>
                <w:sz w:val="18"/>
              </w:rPr>
              <w:t>146</w:t>
            </w:r>
          </w:p>
        </w:tc>
        <w:tc>
          <w:tcPr>
            <w:tcW w:type="dxa" w:w="794"/>
            <w:shd w:val="clear" w:color="auto" w:fill="E3F2FD"/>
            <w:vAlign w:val="center"/>
          </w:tcPr>
          <w:p>
            <w:pPr>
              <w:spacing w:after="20" w:before="20"/>
            </w:pPr>
            <w:r>
              <w:rPr>
                <w:sz w:val="18"/>
              </w:rPr>
              <w:t>1.1%</w:t>
            </w:r>
          </w:p>
        </w:tc>
      </w:tr>
      <w:tr>
        <w:tc>
          <w:tcPr>
            <w:tcW w:type="dxa" w:w="624"/>
            <w:vAlign w:val="center"/>
          </w:tcPr>
          <w:p>
            <w:pPr>
              <w:spacing w:after="20" w:before="20"/>
            </w:pPr>
            <w:r>
              <w:rPr>
                <w:sz w:val="18"/>
              </w:rPr>
              <w:t>20</w:t>
            </w:r>
          </w:p>
        </w:tc>
        <w:tc>
          <w:tcPr>
            <w:tcW w:type="dxa" w:w="624"/>
            <w:vAlign w:val="center"/>
          </w:tcPr>
          <w:p>
            <w:pPr>
              <w:spacing w:after="20" w:before="20"/>
            </w:pPr>
            <w:r>
              <w:rPr>
                <w:sz w:val="18"/>
              </w:rPr>
              <w:t>Q</w:t>
            </w:r>
          </w:p>
        </w:tc>
        <w:tc>
          <w:tcPr>
            <w:tcW w:type="dxa" w:w="1020"/>
            <w:vAlign w:val="center"/>
          </w:tcPr>
          <w:p>
            <w:pPr>
              <w:spacing w:after="20" w:before="20"/>
            </w:pPr>
            <w:r>
              <w:rPr>
                <w:sz w:val="18"/>
              </w:rPr>
              <w:t>86</w:t>
            </w:r>
          </w:p>
        </w:tc>
        <w:tc>
          <w:tcPr>
            <w:tcW w:type="dxa" w:w="5386"/>
            <w:vAlign w:val="center"/>
          </w:tcPr>
          <w:p>
            <w:pPr>
              <w:spacing w:after="20" w:before="20"/>
            </w:pPr>
            <w:r>
              <w:rPr>
                <w:sz w:val="18"/>
              </w:rPr>
              <w:t>86 — Human health activities</w:t>
            </w:r>
          </w:p>
        </w:tc>
        <w:tc>
          <w:tcPr>
            <w:tcW w:type="dxa" w:w="1020"/>
            <w:vAlign w:val="center"/>
          </w:tcPr>
          <w:p>
            <w:pPr>
              <w:spacing w:after="20" w:before="20"/>
            </w:pPr>
            <w:r>
              <w:rPr>
                <w:sz w:val="18"/>
              </w:rPr>
              <w:t>134</w:t>
            </w:r>
          </w:p>
        </w:tc>
        <w:tc>
          <w:tcPr>
            <w:tcW w:type="dxa" w:w="794"/>
            <w:vAlign w:val="center"/>
          </w:tcPr>
          <w:p>
            <w:pPr>
              <w:spacing w:after="20" w:before="20"/>
            </w:pPr>
            <w:r>
              <w:rPr>
                <w:sz w:val="18"/>
              </w:rPr>
              <w:t>1.0%</w:t>
            </w:r>
          </w:p>
        </w:tc>
      </w:tr>
    </w:tbl>
    <w:p/>
    <w:p>
      <w:pPr>
        <w:spacing w:before="280" w:after="80"/>
        <w:pBdr>
          <w:bottom w:val="single" w:sz="6" w:space="1" w:color="1565C0"/>
        </w:pBdr>
      </w:pPr>
      <w:r>
        <w:rPr>
          <w:b/>
          <w:color w:val="1565C0"/>
          <w:sz w:val="30"/>
        </w:rPr>
        <w:t>3. Comments on Findings</w:t>
      </w:r>
    </w:p>
    <w:p>
      <w:pPr>
        <w:pStyle w:val="ListBullet"/>
        <w:spacing w:after="60"/>
      </w:pPr>
      <w:r>
        <w:rPr>
          <w:sz w:val="21"/>
        </w:rPr>
        <w:t>Repository 10 (Harvard Dataverse) contains 13,650 classified projects across 22 ISIC Rev.5 sections (A, B, C, D, E, F, G, H, I, J, K, L, M, N, O, P, Q, R, S, T, U, V).</w:t>
      </w:r>
    </w:p>
    <w:p>
      <w:pPr>
        <w:pStyle w:val="ListBullet"/>
        <w:spacing w:after="60"/>
      </w:pPr>
      <w:r>
        <w:rPr>
          <w:sz w:val="21"/>
        </w:rPr>
        <w:t>Project types present: QD_PROJECT (7,634);  OTHER_PROJECT (5,735);  NOT_A_PROJECT (256);  QDA_PROJECT (25).</w:t>
      </w:r>
    </w:p>
    <w:p>
      <w:pPr>
        <w:pStyle w:val="ListBullet"/>
        <w:spacing w:after="60"/>
      </w:pPr>
      <w:r>
        <w:rPr>
          <w:sz w:val="21"/>
        </w:rPr>
        <w:t>The dominant ISIC section is P — Public administration and defence, accounting for 3,917 projects (28.7% of the repository).</w:t>
      </w:r>
    </w:p>
    <w:p>
      <w:pPr>
        <w:pStyle w:val="ListBullet"/>
        <w:spacing w:after="60"/>
      </w:pPr>
      <w:r>
        <w:rPr>
          <w:sz w:val="21"/>
        </w:rPr>
        <w:t>Classification confidence: 10,922 projects (80.0%) classified at high or very-high confidence by the voting ensemble.</w:t>
      </w:r>
    </w:p>
    <w:p>
      <w:pPr>
        <w:pStyle w:val="ListBullet"/>
        <w:spacing w:after="60"/>
      </w:pPr>
      <w:r>
        <w:rPr>
          <w:sz w:val="21"/>
        </w:rPr>
        <w:t>Section P (Public administration and defence) dominates, reflecting a large share of political-science, governance, and survey datasets typical of social science repositories.</w:t>
      </w:r>
    </w:p>
    <w:p>
      <w:pPr>
        <w:pStyle w:val="ListBullet"/>
        <w:spacing w:after="60"/>
      </w:pPr>
      <w:r>
        <w:rPr>
          <w:sz w:val="21"/>
        </w:rPr>
        <w:t>The distribution spans 22 of 22 ISIC sections, indicating high thematic diversity. No single field monopolises the repository.</w:t>
      </w:r>
    </w:p>
    <w:p/>
    <w:p>
      <w:pPr>
        <w:spacing w:before="280" w:after="80"/>
        <w:pBdr>
          <w:bottom w:val="single" w:sz="6" w:space="1" w:color="1565C0"/>
        </w:pBdr>
      </w:pPr>
      <w:r>
        <w:rPr>
          <w:b/>
          <w:color w:val="1565C0"/>
          <w:sz w:val="30"/>
        </w:rPr>
        <w:t>4. Top-15 ISIC Divisions (Secondary Classes)</w:t>
      </w:r>
    </w:p>
    <w:p>
      <w:pPr>
        <w:jc w:val="center"/>
      </w:pPr>
      <w:r>
        <w:drawing>
          <wp:inline xmlns:a="http://schemas.openxmlformats.org/drawingml/2006/main" xmlns:pic="http://schemas.openxmlformats.org/drawingml/2006/picture">
            <wp:extent cx="5486400" cy="27261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26161"/>
                    </a:xfrm>
                    <a:prstGeom prst="rect"/>
                  </pic:spPr>
                </pic:pic>
              </a:graphicData>
            </a:graphic>
          </wp:inline>
        </w:drawing>
      </w:r>
    </w:p>
    <w:p>
      <w:pPr>
        <w:spacing w:before="280" w:after="80"/>
        <w:pBdr>
          <w:bottom w:val="single" w:sz="6" w:space="1" w:color="1565C0"/>
        </w:pBdr>
      </w:pPr>
      <w:r>
        <w:rPr>
          <w:b/>
          <w:color w:val="1565C0"/>
          <w:sz w:val="30"/>
        </w:rPr>
        <w:t>5. File-Level ISIC Classification</w:t>
      </w:r>
    </w:p>
    <w:p>
      <w:pPr>
        <w:spacing w:after="100"/>
      </w:pPr>
      <w:r>
        <w:rPr>
          <w:sz w:val="21"/>
        </w:rPr>
        <w:t>Individual files within QDA_PROJECT and QD_PROJECT were classified using the fine-tuned bert-base-uncased model (bert_base_isic_v1). Text was constructed from the parent project title, description, keywords, file name, and the stored file text snippet. Repository 10 contributed 2,787 classified files.</w:t>
      </w:r>
    </w:p>
    <w:p>
      <w:pPr>
        <w:spacing w:after="100"/>
      </w:pPr>
      <w:r>
        <w:rPr>
          <w:sz w:val="21"/>
        </w:rPr>
        <w:t>Confidence distribution: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565C0"/>
          </w:tcPr>
          <w:p>
            <w:r>
              <w:rPr>
                <w:b/>
                <w:color w:val="FFFFFF"/>
              </w:rPr>
              <w:t>Confidence</w:t>
            </w:r>
          </w:p>
        </w:tc>
        <w:tc>
          <w:tcPr>
            <w:tcW w:type="dxa" w:w="3135"/>
            <w:shd w:val="clear" w:color="auto" w:fill="1565C0"/>
          </w:tcPr>
          <w:p>
            <w:r>
              <w:rPr>
                <w:b/>
                <w:color w:val="FFFFFF"/>
              </w:rPr>
              <w:t>Files</w:t>
            </w:r>
          </w:p>
        </w:tc>
        <w:tc>
          <w:tcPr>
            <w:tcW w:type="dxa" w:w="3135"/>
            <w:shd w:val="clear" w:color="auto" w:fill="1565C0"/>
          </w:tcPr>
          <w:p>
            <w:r>
              <w:rPr>
                <w:b/>
                <w:color w:val="FFFFFF"/>
              </w:rPr>
              <w:t>%</w:t>
            </w:r>
          </w:p>
        </w:tc>
      </w:tr>
      <w:tr>
        <w:tc>
          <w:tcPr>
            <w:tcW w:type="dxa" w:w="3135"/>
          </w:tcPr>
          <w:p>
            <w:r>
              <w:t>very_high</w:t>
            </w:r>
          </w:p>
        </w:tc>
        <w:tc>
          <w:tcPr>
            <w:tcW w:type="dxa" w:w="3135"/>
          </w:tcPr>
          <w:p>
            <w:r>
              <w:t>1,886</w:t>
            </w:r>
          </w:p>
        </w:tc>
        <w:tc>
          <w:tcPr>
            <w:tcW w:type="dxa" w:w="3135"/>
          </w:tcPr>
          <w:p>
            <w:r>
              <w:t>67.7%</w:t>
            </w:r>
          </w:p>
        </w:tc>
      </w:tr>
      <w:tr>
        <w:tc>
          <w:tcPr>
            <w:tcW w:type="dxa" w:w="3135"/>
          </w:tcPr>
          <w:p>
            <w:r>
              <w:t>high</w:t>
            </w:r>
          </w:p>
        </w:tc>
        <w:tc>
          <w:tcPr>
            <w:tcW w:type="dxa" w:w="3135"/>
          </w:tcPr>
          <w:p>
            <w:r>
              <w:t>452</w:t>
            </w:r>
          </w:p>
        </w:tc>
        <w:tc>
          <w:tcPr>
            <w:tcW w:type="dxa" w:w="3135"/>
          </w:tcPr>
          <w:p>
            <w:r>
              <w:t>16.2%</w:t>
            </w:r>
          </w:p>
        </w:tc>
      </w:tr>
      <w:tr>
        <w:tc>
          <w:tcPr>
            <w:tcW w:type="dxa" w:w="3135"/>
          </w:tcPr>
          <w:p>
            <w:r>
              <w:t>medium</w:t>
            </w:r>
          </w:p>
        </w:tc>
        <w:tc>
          <w:tcPr>
            <w:tcW w:type="dxa" w:w="3135"/>
          </w:tcPr>
          <w:p>
            <w:r>
              <w:t>358</w:t>
            </w:r>
          </w:p>
        </w:tc>
        <w:tc>
          <w:tcPr>
            <w:tcW w:type="dxa" w:w="3135"/>
          </w:tcPr>
          <w:p>
            <w:r>
              <w:t>12.8%</w:t>
            </w:r>
          </w:p>
        </w:tc>
      </w:tr>
      <w:tr>
        <w:tc>
          <w:tcPr>
            <w:tcW w:type="dxa" w:w="3135"/>
          </w:tcPr>
          <w:p>
            <w:r>
              <w:t>low</w:t>
            </w:r>
          </w:p>
        </w:tc>
        <w:tc>
          <w:tcPr>
            <w:tcW w:type="dxa" w:w="3135"/>
          </w:tcPr>
          <w:p>
            <w:r>
              <w:t>91</w:t>
            </w:r>
          </w:p>
        </w:tc>
        <w:tc>
          <w:tcPr>
            <w:tcW w:type="dxa" w:w="3135"/>
          </w:tcPr>
          <w:p>
            <w:r>
              <w:t>3.3%</w:t>
            </w:r>
          </w:p>
        </w:tc>
      </w:tr>
    </w:tbl>
    <w:p/>
    <w:p>
      <w:pPr>
        <w:spacing w:after="100"/>
      </w:pPr>
      <w:r>
        <w:rPr>
          <w:sz w:val="21"/>
        </w:rPr>
        <w:t>Top ISIC sections across classified files: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565C0"/>
          </w:tcPr>
          <w:p>
            <w:r>
              <w:rPr>
                <w:b/>
                <w:color w:val="FFFFFF"/>
              </w:rPr>
              <w:t>Sec</w:t>
            </w:r>
          </w:p>
        </w:tc>
        <w:tc>
          <w:tcPr>
            <w:tcW w:type="dxa" w:w="2351"/>
            <w:shd w:val="clear" w:color="auto" w:fill="1565C0"/>
          </w:tcPr>
          <w:p>
            <w:r>
              <w:rPr>
                <w:b/>
                <w:color w:val="FFFFFF"/>
              </w:rPr>
              <w:t>Name</w:t>
            </w:r>
          </w:p>
        </w:tc>
        <w:tc>
          <w:tcPr>
            <w:tcW w:type="dxa" w:w="2351"/>
            <w:shd w:val="clear" w:color="auto" w:fill="1565C0"/>
          </w:tcPr>
          <w:p>
            <w:r>
              <w:rPr>
                <w:b/>
                <w:color w:val="FFFFFF"/>
              </w:rPr>
              <w:t>Files</w:t>
            </w:r>
          </w:p>
        </w:tc>
        <w:tc>
          <w:tcPr>
            <w:tcW w:type="dxa" w:w="2351"/>
            <w:shd w:val="clear" w:color="auto" w:fill="1565C0"/>
          </w:tcPr>
          <w:p>
            <w:r>
              <w:rPr>
                <w:b/>
                <w:color w:val="FFFFFF"/>
              </w:rPr>
              <w:t>%</w:t>
            </w:r>
          </w:p>
        </w:tc>
      </w:tr>
      <w:tr>
        <w:tc>
          <w:tcPr>
            <w:tcW w:type="dxa" w:w="2351"/>
          </w:tcPr>
          <w:p>
            <w:r>
              <w:t>A</w:t>
            </w:r>
          </w:p>
        </w:tc>
        <w:tc>
          <w:tcPr>
            <w:tcW w:type="dxa" w:w="2351"/>
          </w:tcPr>
          <w:p>
            <w:r>
              <w:t>Agriculture, forestry and fishing</w:t>
            </w:r>
          </w:p>
        </w:tc>
        <w:tc>
          <w:tcPr>
            <w:tcW w:type="dxa" w:w="2351"/>
          </w:tcPr>
          <w:p>
            <w:r>
              <w:t>527</w:t>
            </w:r>
          </w:p>
        </w:tc>
        <w:tc>
          <w:tcPr>
            <w:tcW w:type="dxa" w:w="2351"/>
          </w:tcPr>
          <w:p>
            <w:r>
              <w:t>18.9%</w:t>
            </w:r>
          </w:p>
        </w:tc>
      </w:tr>
      <w:tr>
        <w:tc>
          <w:tcPr>
            <w:tcW w:type="dxa" w:w="2351"/>
            <w:shd w:val="clear" w:color="auto" w:fill="DEEAF1"/>
          </w:tcPr>
          <w:p>
            <w:r>
              <w:t>P</w:t>
            </w:r>
          </w:p>
        </w:tc>
        <w:tc>
          <w:tcPr>
            <w:tcW w:type="dxa" w:w="2351"/>
            <w:shd w:val="clear" w:color="auto" w:fill="DEEAF1"/>
          </w:tcPr>
          <w:p>
            <w:r>
              <w:t>Public administration and defence; compulsory social</w:t>
            </w:r>
          </w:p>
        </w:tc>
        <w:tc>
          <w:tcPr>
            <w:tcW w:type="dxa" w:w="2351"/>
            <w:shd w:val="clear" w:color="auto" w:fill="DEEAF1"/>
          </w:tcPr>
          <w:p>
            <w:r>
              <w:t>512</w:t>
            </w:r>
          </w:p>
        </w:tc>
        <w:tc>
          <w:tcPr>
            <w:tcW w:type="dxa" w:w="2351"/>
            <w:shd w:val="clear" w:color="auto" w:fill="DEEAF1"/>
          </w:tcPr>
          <w:p>
            <w:r>
              <w:t>18.4%</w:t>
            </w:r>
          </w:p>
        </w:tc>
      </w:tr>
      <w:tr>
        <w:tc>
          <w:tcPr>
            <w:tcW w:type="dxa" w:w="2351"/>
          </w:tcPr>
          <w:p>
            <w:r>
              <w:t>E</w:t>
            </w:r>
          </w:p>
        </w:tc>
        <w:tc>
          <w:tcPr>
            <w:tcW w:type="dxa" w:w="2351"/>
          </w:tcPr>
          <w:p>
            <w:r>
              <w:t>Water supply; sewerage, waste management and remedia</w:t>
            </w:r>
          </w:p>
        </w:tc>
        <w:tc>
          <w:tcPr>
            <w:tcW w:type="dxa" w:w="2351"/>
          </w:tcPr>
          <w:p>
            <w:r>
              <w:t>426</w:t>
            </w:r>
          </w:p>
        </w:tc>
        <w:tc>
          <w:tcPr>
            <w:tcW w:type="dxa" w:w="2351"/>
          </w:tcPr>
          <w:p>
            <w:r>
              <w:t>15.3%</w:t>
            </w:r>
          </w:p>
        </w:tc>
      </w:tr>
      <w:tr>
        <w:tc>
          <w:tcPr>
            <w:tcW w:type="dxa" w:w="2351"/>
            <w:shd w:val="clear" w:color="auto" w:fill="DEEAF1"/>
          </w:tcPr>
          <w:p>
            <w:r>
              <w:t>R</w:t>
            </w:r>
          </w:p>
        </w:tc>
        <w:tc>
          <w:tcPr>
            <w:tcW w:type="dxa" w:w="2351"/>
            <w:shd w:val="clear" w:color="auto" w:fill="DEEAF1"/>
          </w:tcPr>
          <w:p>
            <w:r>
              <w:t>Human health and social work activities</w:t>
            </w:r>
          </w:p>
        </w:tc>
        <w:tc>
          <w:tcPr>
            <w:tcW w:type="dxa" w:w="2351"/>
            <w:shd w:val="clear" w:color="auto" w:fill="DEEAF1"/>
          </w:tcPr>
          <w:p>
            <w:r>
              <w:t>257</w:t>
            </w:r>
          </w:p>
        </w:tc>
        <w:tc>
          <w:tcPr>
            <w:tcW w:type="dxa" w:w="2351"/>
            <w:shd w:val="clear" w:color="auto" w:fill="DEEAF1"/>
          </w:tcPr>
          <w:p>
            <w:r>
              <w:t>9.2%</w:t>
            </w:r>
          </w:p>
        </w:tc>
      </w:tr>
      <w:tr>
        <w:tc>
          <w:tcPr>
            <w:tcW w:type="dxa" w:w="2351"/>
          </w:tcPr>
          <w:p>
            <w:r>
              <w:t>N</w:t>
            </w:r>
          </w:p>
        </w:tc>
        <w:tc>
          <w:tcPr>
            <w:tcW w:type="dxa" w:w="2351"/>
          </w:tcPr>
          <w:p>
            <w:r>
              <w:t>Professional, scientific and technical activities</w:t>
            </w:r>
          </w:p>
        </w:tc>
        <w:tc>
          <w:tcPr>
            <w:tcW w:type="dxa" w:w="2351"/>
          </w:tcPr>
          <w:p>
            <w:r>
              <w:t>226</w:t>
            </w:r>
          </w:p>
        </w:tc>
        <w:tc>
          <w:tcPr>
            <w:tcW w:type="dxa" w:w="2351"/>
          </w:tcPr>
          <w:p>
            <w:r>
              <w:t>8.1%</w:t>
            </w:r>
          </w:p>
        </w:tc>
      </w:tr>
      <w:tr>
        <w:tc>
          <w:tcPr>
            <w:tcW w:type="dxa" w:w="2351"/>
            <w:shd w:val="clear" w:color="auto" w:fill="DEEAF1"/>
          </w:tcPr>
          <w:p>
            <w:r>
              <w:t>Q</w:t>
            </w:r>
          </w:p>
        </w:tc>
        <w:tc>
          <w:tcPr>
            <w:tcW w:type="dxa" w:w="2351"/>
            <w:shd w:val="clear" w:color="auto" w:fill="DEEAF1"/>
          </w:tcPr>
          <w:p>
            <w:r>
              <w:t>Education</w:t>
            </w:r>
          </w:p>
        </w:tc>
        <w:tc>
          <w:tcPr>
            <w:tcW w:type="dxa" w:w="2351"/>
            <w:shd w:val="clear" w:color="auto" w:fill="DEEAF1"/>
          </w:tcPr>
          <w:p>
            <w:r>
              <w:t>205</w:t>
            </w:r>
          </w:p>
        </w:tc>
        <w:tc>
          <w:tcPr>
            <w:tcW w:type="dxa" w:w="2351"/>
            <w:shd w:val="clear" w:color="auto" w:fill="DEEAF1"/>
          </w:tcPr>
          <w:p>
            <w:r>
              <w:t>7.4%</w:t>
            </w:r>
          </w:p>
        </w:tc>
      </w:tr>
      <w:tr>
        <w:tc>
          <w:tcPr>
            <w:tcW w:type="dxa" w:w="2351"/>
          </w:tcPr>
          <w:p>
            <w:r>
              <w:t>H</w:t>
            </w:r>
          </w:p>
        </w:tc>
        <w:tc>
          <w:tcPr>
            <w:tcW w:type="dxa" w:w="2351"/>
          </w:tcPr>
          <w:p>
            <w:r>
              <w:t>Transportation and storage</w:t>
            </w:r>
          </w:p>
        </w:tc>
        <w:tc>
          <w:tcPr>
            <w:tcW w:type="dxa" w:w="2351"/>
          </w:tcPr>
          <w:p>
            <w:r>
              <w:t>169</w:t>
            </w:r>
          </w:p>
        </w:tc>
        <w:tc>
          <w:tcPr>
            <w:tcW w:type="dxa" w:w="2351"/>
          </w:tcPr>
          <w:p>
            <w:r>
              <w:t>6.1%</w:t>
            </w:r>
          </w:p>
        </w:tc>
      </w:tr>
      <w:tr>
        <w:tc>
          <w:tcPr>
            <w:tcW w:type="dxa" w:w="2351"/>
            <w:shd w:val="clear" w:color="auto" w:fill="DEEAF1"/>
          </w:tcPr>
          <w:p>
            <w:r>
              <w:t>D</w:t>
            </w:r>
          </w:p>
        </w:tc>
        <w:tc>
          <w:tcPr>
            <w:tcW w:type="dxa" w:w="2351"/>
            <w:shd w:val="clear" w:color="auto" w:fill="DEEAF1"/>
          </w:tcPr>
          <w:p>
            <w:r>
              <w:t>Electricity, gas, steam and air conditioning supply</w:t>
            </w:r>
          </w:p>
        </w:tc>
        <w:tc>
          <w:tcPr>
            <w:tcW w:type="dxa" w:w="2351"/>
            <w:shd w:val="clear" w:color="auto" w:fill="DEEAF1"/>
          </w:tcPr>
          <w:p>
            <w:r>
              <w:t>133</w:t>
            </w:r>
          </w:p>
        </w:tc>
        <w:tc>
          <w:tcPr>
            <w:tcW w:type="dxa" w:w="2351"/>
            <w:shd w:val="clear" w:color="auto" w:fill="DEEAF1"/>
          </w:tcPr>
          <w:p>
            <w:r>
              <w:t>4.8%</w:t>
            </w:r>
          </w:p>
        </w:tc>
      </w:tr>
      <w:tr>
        <w:tc>
          <w:tcPr>
            <w:tcW w:type="dxa" w:w="2351"/>
          </w:tcPr>
          <w:p>
            <w:r>
              <w:t>B</w:t>
            </w:r>
          </w:p>
        </w:tc>
        <w:tc>
          <w:tcPr>
            <w:tcW w:type="dxa" w:w="2351"/>
          </w:tcPr>
          <w:p>
            <w:r>
              <w:t>Mining and quarrying</w:t>
            </w:r>
          </w:p>
        </w:tc>
        <w:tc>
          <w:tcPr>
            <w:tcW w:type="dxa" w:w="2351"/>
          </w:tcPr>
          <w:p>
            <w:r>
              <w:t>80</w:t>
            </w:r>
          </w:p>
        </w:tc>
        <w:tc>
          <w:tcPr>
            <w:tcW w:type="dxa" w:w="2351"/>
          </w:tcPr>
          <w:p>
            <w:r>
              <w:t>2.9%</w:t>
            </w:r>
          </w:p>
        </w:tc>
      </w:tr>
      <w:tr>
        <w:tc>
          <w:tcPr>
            <w:tcW w:type="dxa" w:w="2351"/>
            <w:shd w:val="clear" w:color="auto" w:fill="DEEAF1"/>
          </w:tcPr>
          <w:p>
            <w:r>
              <w:t>K</w:t>
            </w:r>
          </w:p>
        </w:tc>
        <w:tc>
          <w:tcPr>
            <w:tcW w:type="dxa" w:w="2351"/>
            <w:shd w:val="clear" w:color="auto" w:fill="DEEAF1"/>
          </w:tcPr>
          <w:p>
            <w:r>
              <w:t>Telecommunications, computer programming, consultanc</w:t>
            </w:r>
          </w:p>
        </w:tc>
        <w:tc>
          <w:tcPr>
            <w:tcW w:type="dxa" w:w="2351"/>
            <w:shd w:val="clear" w:color="auto" w:fill="DEEAF1"/>
          </w:tcPr>
          <w:p>
            <w:r>
              <w:t>49</w:t>
            </w:r>
          </w:p>
        </w:tc>
        <w:tc>
          <w:tcPr>
            <w:tcW w:type="dxa" w:w="2351"/>
            <w:shd w:val="clear" w:color="auto" w:fill="DEEAF1"/>
          </w:tcPr>
          <w:p>
            <w:r>
              <w:t>1.8%</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