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565C0"/>
          <w:sz w:val="36"/>
        </w:rPr>
        <w:t>SQ26 — ISIC Rev.5 Classification Report</w:t>
      </w:r>
    </w:p>
    <w:p>
      <w:pPr>
        <w:spacing w:after="40"/>
        <w:jc w:val="center"/>
      </w:pPr>
      <w:r>
        <w:rPr>
          <w:color w:val="555555"/>
          <w:sz w:val="26"/>
        </w:rPr>
        <w:t>Repository 19: Columbia University Libraries  ·  25 projects</w:t>
      </w:r>
    </w:p>
    <w:p>
      <w:pPr>
        <w:spacing w:after="320"/>
        <w:jc w:val="center"/>
      </w:pPr>
      <w:r>
        <w:rPr>
          <w:color w:val="AAAAAA"/>
          <w:sz w:val="18"/>
        </w:rPr>
        <w:t>Student ID: 23692652  ·  FAU Erlangen-Nürnberg  ·  SQ26 Project  ·  July 2026</w:t>
      </w:r>
    </w:p>
    <w:p>
      <w:pPr>
        <w:spacing w:before="280" w:after="80"/>
        <w:pBdr>
          <w:bottom w:val="single" w:sz="6" w:space="1" w:color="1565C0"/>
        </w:pBdr>
      </w:pPr>
      <w:r>
        <w:rPr>
          <w:b/>
          <w:color w:val="1565C0"/>
          <w:sz w:val="30"/>
        </w:rPr>
        <w:t>1. Primary ISIC Section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94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9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00" w:after="80"/>
      </w:pPr>
      <w:r>
        <w:rPr>
          <w:b/>
          <w:color w:val="1565C0"/>
          <w:sz w:val="24"/>
        </w:rPr>
        <w:t>Section Distribution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1565C0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5102"/>
            <w:shd w:val="clear" w:color="auto" w:fill="1565C0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Projects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850"/>
            <w:shd w:val="clear" w:color="auto" w:fill="E3F2FD"/>
          </w:tcPr>
          <w:p>
            <w:pPr>
              <w:spacing w:after="20" w:before="20"/>
            </w:pPr>
            <w:r>
              <w:rPr>
                <w:sz w:val="18"/>
              </w:rPr>
              <w:t>R</w:t>
            </w:r>
          </w:p>
        </w:tc>
        <w:tc>
          <w:tcPr>
            <w:tcW w:type="dxa" w:w="5102"/>
            <w:shd w:val="clear" w:color="auto" w:fill="E3F2FD"/>
          </w:tcPr>
          <w:p>
            <w:pPr>
              <w:spacing w:after="20" w:before="20"/>
            </w:pPr>
            <w:r>
              <w:rPr>
                <w:sz w:val="18"/>
              </w:rPr>
              <w:t>Human health and social work activities</w:t>
            </w:r>
          </w:p>
        </w:tc>
        <w:tc>
          <w:tcPr>
            <w:tcW w:type="dxa" w:w="1417"/>
            <w:shd w:val="clear" w:color="auto" w:fill="E3F2FD"/>
          </w:tcPr>
          <w:p>
            <w:pPr>
              <w:spacing w:after="20" w:before="20"/>
            </w:pPr>
            <w:r>
              <w:rPr>
                <w:sz w:val="18"/>
              </w:rPr>
              <w:t>13</w:t>
            </w:r>
          </w:p>
        </w:tc>
        <w:tc>
          <w:tcPr>
            <w:tcW w:type="dxa" w:w="1020"/>
            <w:shd w:val="clear" w:color="auto" w:fill="E3F2FD"/>
          </w:tcPr>
          <w:p>
            <w:pPr>
              <w:spacing w:after="20" w:before="20"/>
            </w:pPr>
            <w:r>
              <w:rPr>
                <w:sz w:val="18"/>
              </w:rPr>
              <w:t>52.0%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18"/>
              </w:rPr>
              <w:t>Professional, scientific and technical activities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10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>
              <w:rPr>
                <w:sz w:val="18"/>
              </w:rPr>
              <w:t>40.0%</w:t>
            </w:r>
          </w:p>
        </w:tc>
      </w:tr>
      <w:tr>
        <w:tc>
          <w:tcPr>
            <w:tcW w:type="dxa" w:w="850"/>
            <w:shd w:val="clear" w:color="auto" w:fill="E3F2FD"/>
          </w:tcPr>
          <w:p>
            <w:pPr>
              <w:spacing w:after="20" w:before="20"/>
            </w:pPr>
            <w:r>
              <w:rPr>
                <w:sz w:val="18"/>
              </w:rPr>
              <w:t>Q</w:t>
            </w:r>
          </w:p>
        </w:tc>
        <w:tc>
          <w:tcPr>
            <w:tcW w:type="dxa" w:w="5102"/>
            <w:shd w:val="clear" w:color="auto" w:fill="E3F2FD"/>
          </w:tcPr>
          <w:p>
            <w:pPr>
              <w:spacing w:after="20" w:before="20"/>
            </w:pPr>
            <w:r>
              <w:rPr>
                <w:sz w:val="18"/>
              </w:rPr>
              <w:t>Education</w:t>
            </w:r>
          </w:p>
        </w:tc>
        <w:tc>
          <w:tcPr>
            <w:tcW w:type="dxa" w:w="1417"/>
            <w:shd w:val="clear" w:color="auto" w:fill="E3F2FD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1020"/>
            <w:shd w:val="clear" w:color="auto" w:fill="E3F2FD"/>
          </w:tcPr>
          <w:p>
            <w:pPr>
              <w:spacing w:after="20" w:before="20"/>
            </w:pPr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850"/>
          </w:tcPr>
          <w:p>
            <w:pPr>
              <w:spacing w:after="20" w:before="20"/>
            </w:pPr>
            <w:r>
              <w:rPr>
                <w:sz w:val="18"/>
              </w:rPr>
              <w:t>F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18"/>
              </w:rPr>
              <w:t>Construction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>
              <w:rPr>
                <w:sz w:val="18"/>
              </w:rPr>
              <w:t>4.0%</w:t>
            </w:r>
          </w:p>
        </w:tc>
      </w:tr>
    </w:tbl>
    <w:p/>
    <w:p>
      <w:pPr>
        <w:spacing w:before="280" w:after="80"/>
        <w:pBdr>
          <w:bottom w:val="single" w:sz="6" w:space="1" w:color="1565C0"/>
        </w:pBdr>
      </w:pPr>
      <w:r>
        <w:rPr>
          <w:b/>
          <w:color w:val="1565C0"/>
          <w:sz w:val="30"/>
        </w:rPr>
        <w:t>2. Top-20 ISIC Classes (Section + Division)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624"/>
            <w:shd w:val="clear" w:color="auto" w:fill="1565C0"/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624"/>
            <w:shd w:val="clear" w:color="auto" w:fill="1565C0"/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Sec.</w:t>
            </w:r>
          </w:p>
        </w:tc>
        <w:tc>
          <w:tcPr>
            <w:tcW w:type="dxa" w:w="1020"/>
            <w:shd w:val="clear" w:color="auto" w:fill="1565C0"/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Division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Class Name</w:t>
            </w:r>
          </w:p>
        </w:tc>
        <w:tc>
          <w:tcPr>
            <w:tcW w:type="dxa" w:w="1020"/>
            <w:shd w:val="clear" w:color="auto" w:fill="1565C0"/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794"/>
            <w:shd w:val="clear" w:color="auto" w:fill="1565C0"/>
            <w:vAlign w:val="center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624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624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R</w:t>
            </w:r>
          </w:p>
        </w:tc>
        <w:tc>
          <w:tcPr>
            <w:tcW w:type="dxa" w:w="1020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86</w:t>
            </w:r>
          </w:p>
        </w:tc>
        <w:tc>
          <w:tcPr>
            <w:tcW w:type="dxa" w:w="5386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86 — Human health activities</w:t>
            </w:r>
          </w:p>
        </w:tc>
        <w:tc>
          <w:tcPr>
            <w:tcW w:type="dxa" w:w="1020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11</w:t>
            </w:r>
          </w:p>
        </w:tc>
        <w:tc>
          <w:tcPr>
            <w:tcW w:type="dxa" w:w="794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44.0%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74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74 — Other professional, scientific and technical activities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7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28.0%</w:t>
            </w:r>
          </w:p>
        </w:tc>
      </w:tr>
      <w:tr>
        <w:tc>
          <w:tcPr>
            <w:tcW w:type="dxa" w:w="624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3</w:t>
            </w:r>
          </w:p>
        </w:tc>
        <w:tc>
          <w:tcPr>
            <w:tcW w:type="dxa" w:w="624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N</w:t>
            </w:r>
          </w:p>
        </w:tc>
        <w:tc>
          <w:tcPr>
            <w:tcW w:type="dxa" w:w="1020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73</w:t>
            </w:r>
          </w:p>
        </w:tc>
        <w:tc>
          <w:tcPr>
            <w:tcW w:type="dxa" w:w="5386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73 — Activities of advertising, market research and public opinion polling</w:t>
            </w:r>
          </w:p>
        </w:tc>
        <w:tc>
          <w:tcPr>
            <w:tcW w:type="dxa" w:w="1020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12.0%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R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42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42 — Civil engineering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8.0%</w:t>
            </w:r>
          </w:p>
        </w:tc>
      </w:tr>
      <w:tr>
        <w:tc>
          <w:tcPr>
            <w:tcW w:type="dxa" w:w="624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5</w:t>
            </w:r>
          </w:p>
        </w:tc>
        <w:tc>
          <w:tcPr>
            <w:tcW w:type="dxa" w:w="624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F</w:t>
            </w:r>
          </w:p>
        </w:tc>
        <w:tc>
          <w:tcPr>
            <w:tcW w:type="dxa" w:w="1020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41</w:t>
            </w:r>
          </w:p>
        </w:tc>
        <w:tc>
          <w:tcPr>
            <w:tcW w:type="dxa" w:w="5386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41 — Construction of residential and non-residential buildings</w:t>
            </w:r>
          </w:p>
        </w:tc>
        <w:tc>
          <w:tcPr>
            <w:tcW w:type="dxa" w:w="1020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794"/>
            <w:shd w:val="clear" w:color="auto" w:fill="E3F2FD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6</w:t>
            </w:r>
          </w:p>
        </w:tc>
        <w:tc>
          <w:tcPr>
            <w:tcW w:type="dxa" w:w="62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Q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85</w:t>
            </w:r>
          </w:p>
        </w:tc>
        <w:tc>
          <w:tcPr>
            <w:tcW w:type="dxa" w:w="5386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85 — Education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4.0%</w:t>
            </w:r>
          </w:p>
        </w:tc>
      </w:tr>
    </w:tbl>
    <w:p/>
    <w:p>
      <w:pPr>
        <w:spacing w:before="280" w:after="80"/>
        <w:pBdr>
          <w:bottom w:val="single" w:sz="6" w:space="1" w:color="1565C0"/>
        </w:pBdr>
      </w:pPr>
      <w:r>
        <w:rPr>
          <w:b/>
          <w:color w:val="1565C0"/>
          <w:sz w:val="30"/>
        </w:rPr>
        <w:t>3. Comments on Findings</w:t>
      </w:r>
    </w:p>
    <w:p>
      <w:pPr>
        <w:pStyle w:val="ListBullet"/>
        <w:spacing w:after="60"/>
      </w:pPr>
      <w:r>
        <w:rPr>
          <w:sz w:val="21"/>
        </w:rPr>
        <w:t>Repository 19 (Columbia University Libraries) contains 25 classified projects across 4 ISIC Rev.5 sections (F, N, Q, R).</w:t>
      </w:r>
    </w:p>
    <w:p>
      <w:pPr>
        <w:pStyle w:val="ListBullet"/>
        <w:spacing w:after="60"/>
      </w:pPr>
      <w:r>
        <w:rPr>
          <w:sz w:val="21"/>
        </w:rPr>
        <w:t>Project types present: NOT_A_PROJECT (25).</w:t>
      </w:r>
    </w:p>
    <w:p>
      <w:pPr>
        <w:pStyle w:val="ListBullet"/>
        <w:spacing w:after="60"/>
      </w:pPr>
      <w:r>
        <w:rPr>
          <w:sz w:val="21"/>
        </w:rPr>
        <w:t>The dominant ISIC section is R — Human health and social work activities, accounting for 13 projects (52.0% of the repository).</w:t>
      </w:r>
    </w:p>
    <w:p>
      <w:pPr>
        <w:pStyle w:val="ListBullet"/>
        <w:spacing w:after="60"/>
      </w:pPr>
      <w:r>
        <w:rPr>
          <w:sz w:val="21"/>
        </w:rPr>
        <w:t>Classification confidence: 18 projects (72.0%) classified at high or very-high confidence by the voting ensemble.</w:t>
      </w:r>
    </w:p>
    <w:p>
      <w:pPr>
        <w:pStyle w:val="ListBullet"/>
        <w:spacing w:after="60"/>
      </w:pPr>
      <w:r>
        <w:rPr>
          <w:sz w:val="21"/>
        </w:rPr>
        <w:t>Section R (Human health and social work activities) is the dominant class, reflecting the repository's focus on medical, clinical, and social datasets.</w:t>
      </w:r>
    </w:p>
    <w:p>
      <w:pPr>
        <w:pStyle w:val="ListBullet"/>
        <w:spacing w:after="60"/>
      </w:pPr>
      <w:r>
        <w:rPr>
          <w:sz w:val="21"/>
        </w:rPr>
        <w:t>With only 4 sections represented, the repository has a narrow thematic focus. Future curation may benefit from broadening the scope.</w:t>
      </w:r>
    </w:p>
    <w:p/>
    <w:p>
      <w:pPr>
        <w:spacing w:before="280" w:after="80"/>
        <w:pBdr>
          <w:bottom w:val="single" w:sz="6" w:space="1" w:color="1565C0"/>
        </w:pBdr>
      </w:pPr>
      <w:r>
        <w:rPr>
          <w:b/>
          <w:color w:val="1565C0"/>
          <w:sz w:val="30"/>
        </w:rPr>
        <w:t>4. Top-15 ISIC Divisions (Secondary Classes)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75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75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