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AIM: </w:t>
      </w:r>
      <w:r w:rsidDel="00000000" w:rsidR="00000000" w:rsidRPr="00000000">
        <w:rPr>
          <w:rtl w:val="0"/>
        </w:rPr>
        <w:t xml:space="preserve">To understand the benefits of Cloud Infrastructure and Setup AWS Cloud9 IDE, Launch AWS Cloud9 IDE and Perform Collaboration Demonstration.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12700" l="12700" r="12700" t="127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12700" l="12700" r="12700" t="127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12700" l="12700" r="12700" t="127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12700" l="12700" r="12700" t="127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