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center"/>
      </w:pPr>
      <w:r>
        <w:t xml:space="preserve">Technical Report</w:t>
      </w:r>
    </w:p>
    <w:p>
      <w:pPr>
        <w:spacing w:after="40"/>
        <w:jc w:val="center"/>
      </w:pPr>
      <w:r>
        <w:rPr>
          <w:i/>
          <w:iCs/>
          <w:sz w:val="24"/>
          <w:szCs w:val="24"/>
        </w:rPr>
        <w:t xml:space="preserve">Personal Portfolio Website — Multi-Page Web Application and Data Architecture Design</w:t>
      </w:r>
    </w:p>
    <w:p>
      <w:pPr>
        <w:spacing w:after="400"/>
        <w:jc w:val="center"/>
      </w:pPr>
      <w:r>
        <w:rPr>
          <w:color w:val="555555"/>
          <w:sz w:val="20"/>
          <w:szCs w:val="20"/>
        </w:rPr>
        <w:t xml:space="preserve">Ibrahim Aliyu Aliyu  ·  Department of Computer Engineering, Ahmadu Bello University, Zaria  ·  2026</w:t>
      </w:r>
    </w:p>
    <w:p>
      <w:pPr>
        <w:pStyle w:val="Heading1"/>
        <w:spacing w:after="140" w:before="280"/>
      </w:pPr>
      <w:r>
        <w:t xml:space="preserve">1. Visual Design Rationale</w:t>
      </w:r>
    </w:p>
    <w:p>
      <w:pPr>
        <w:spacing w:after="140"/>
        <w:jc w:val="both"/>
      </w:pPr>
      <w:r>
        <w:t xml:space="preserve">The site uses a deliberate visual pairing of two worlds the author moves between daily: engineering precision and tailored craft. The palette is built from a blueprint navy (#14213A) and a warm parchment paper (#EFE8D8), with a brass/thread gold (#B8863B) standing in for both a tailor's thread and a highlight colour, and a circuit-trace teal-green (#2F6F5E) used for secondary accents, data labels, and structural markers such as timeline dots.</w:t>
      </w:r>
    </w:p>
    <w:p>
      <w:pPr>
        <w:spacing w:after="140"/>
        <w:jc w:val="both"/>
      </w:pPr>
      <w:r>
        <w:t xml:space="preserve">Typography follows the same logic: Fraunces, a display serif with personality, is used for headings, while IBM Plex Sans carries body text — a typeface family designed for technical and engineering contexts. IBM Plex Mono is reserved for short data-style labels (dates, tags, captions) rather than body copy, so the 'technical' register is present without overwhelming readability.</w:t>
      </w:r>
    </w:p>
    <w:p>
      <w:pPr>
        <w:spacing w:after="140"/>
        <w:jc w:val="both"/>
      </w:pPr>
      <w:r>
        <w:t xml:space="preserve">Layout is grid- and flexbox-based throughout: a blueprint-style dot grid appears behind dark sections as a subtle nod to schematic drawings, cards carry a small teal corner mark rather than a uniform drop shadow, and the education page uses a vertical timeline to reflect the chronological nature of that content. Interactive affordances — the accordion on the Skills page and the modal overlays on the Projects page — are built entirely from native HTML and CSS (the checkbox/label technique and the :target pseudo-class), satisfying the no-JavaScript constraint while still giving the site a sense of interactivity.</w:t>
      </w:r>
    </w:p>
    <w:p>
      <w:pPr>
        <w:pStyle w:val="Heading1"/>
        <w:spacing w:after="140" w:before="280"/>
      </w:pPr>
      <w:r>
        <w:t xml:space="preserve">2. JSON Data Structure Definition</w:t>
      </w:r>
    </w:p>
    <w:p>
      <w:pPr>
        <w:spacing w:after="140"/>
        <w:jc w:val="both"/>
      </w:pPr>
      <w:r>
        <w:t xml:space="preserve">Content that behaves as structured data — rather than free-form prose — is modelled separately in data/data.json, so the site's information architecture is not locked inside markup. The file has four top-level keys:</w:t>
      </w:r>
    </w:p>
    <w:p>
      <w:pPr>
        <w:pStyle w:val="ListParagraph"/>
        <w:numPr>
          <w:ilvl w:val="0"/>
          <w:numId w:val="1"/>
        </w:numPr>
        <w:spacing w:after="80"/>
      </w:pPr>
      <w:r>
        <w:t xml:space="preserve">site — owner name, headline role, and a last_updated date.</w:t>
      </w:r>
    </w:p>
    <w:p>
      <w:pPr>
        <w:pStyle w:val="ListParagraph"/>
        <w:numPr>
          <w:ilvl w:val="0"/>
          <w:numId w:val="1"/>
        </w:numPr>
        <w:spacing w:after="80"/>
      </w:pPr>
      <w:r>
        <w:t xml:space="preserve">projects — an array of objects, each with id, title, date, category, description and image_url, matching the assignment's required artifact schema.</w:t>
      </w:r>
    </w:p>
    <w:p>
      <w:pPr>
        <w:pStyle w:val="ListParagraph"/>
        <w:numPr>
          <w:ilvl w:val="0"/>
          <w:numId w:val="1"/>
        </w:numPr>
        <w:spacing w:after="80"/>
      </w:pPr>
      <w:r>
        <w:t xml:space="preserve">education — an array of {institution, period, credential} objects mirroring the Educational Background page's timeline.</w:t>
      </w:r>
    </w:p>
    <w:p>
      <w:pPr>
        <w:pStyle w:val="ListParagraph"/>
        <w:numPr>
          <w:ilvl w:val="0"/>
          <w:numId w:val="1"/>
        </w:numPr>
        <w:spacing w:after="80"/>
      </w:pPr>
      <w:r>
        <w:t xml:space="preserve">skills — an object grouping arrays of strings under technical, entrepreneurial and soft.</w:t>
      </w:r>
    </w:p>
    <w:p>
      <w:pPr>
        <w:spacing w:after="140"/>
        <w:jc w:val="both"/>
      </w:pPr>
      <w:r>
        <w:t xml:space="preserve">The Projects page in projects.html is a direct hand-authored reflection of this schema (since no server-side or client-side scripting is permitted to read the file at runtime); the JSON file itself remains the authoritative, machine-readable record of the same content, and would be the first thing consumed if the site were later migrated to a dynamic or server-rendered platform.</w:t>
      </w:r>
    </w:p>
    <w:p>
      <w:pPr>
        <w:spacing w:after="140"/>
        <w:jc w:val="both"/>
      </w:pPr>
      <w:r>
        <w:t xml:space="preserve">Example entry from projects:</w:t>
      </w:r>
    </w:p>
    <w:p>
      <w:pPr>
        <w:pBdr>
          <w:left w:val="single" w:color="B8863B" w:sz="14"/>
        </w:pBdr>
        <w:spacing w:after="200"/>
        <w:ind w:left="280"/>
      </w:pPr>
      <w:r>
        <w:rPr>
          <w:rFonts w:ascii="Courier New" w:cs="Courier New" w:eastAsia="Courier New" w:hAnsi="Courier New"/>
          <w:sz w:val="18"/>
          <w:szCs w:val="18"/>
        </w:rPr>
        <w:t xml:space="preserve">{ "id": "prj-001", "title": "Student Industrial Work Experience Scheme (SIWES)", "date": "2025", "category": "Industrial Training", "description": "...", "image_url": "assets/images/project-siwes.jpg" }</w:t>
      </w:r>
    </w:p>
    <w:p>
      <w:pPr>
        <w:pStyle w:val="Heading1"/>
        <w:spacing w:after="140" w:before="280"/>
      </w:pPr>
      <w:r>
        <w:t xml:space="preserve">3. JSON-LD and Semantic Metadata</w:t>
      </w:r>
    </w:p>
    <w:p>
      <w:pPr>
        <w:spacing w:after="140"/>
        <w:jc w:val="both"/>
      </w:pPr>
      <w:r>
        <w:t xml:space="preserve">Each page embeds a JSON-LD block inside &lt;head&gt;, using schema.org vocabulary appropriate to that page's content: Person and PostalAddress on the Home, About and Contact pages; EducationalOccupationalCredential on the Education page; ItemList of DefinedTerm and CreativeWork entries on the Skills and Projects pages. This is inert structured data — a &lt;script type="application/ld+json"&gt; element containing only a JSON literal, with no executable statements — so it satisfies the 'no JavaScript' constraint while giving search engines and other machine consumers a reliable, standards-based description of the page.</w:t>
      </w:r>
    </w:p>
    <w:p>
      <w:pPr>
        <w:pStyle w:val="Heading1"/>
        <w:spacing w:after="140" w:before="280"/>
      </w:pPr>
      <w:r>
        <w:t xml:space="preserve">4. HTTP/HTTPS Protocol and MIME Type Overview</w:t>
      </w:r>
    </w:p>
    <w:p>
      <w:pPr>
        <w:spacing w:after="140"/>
        <w:jc w:val="both"/>
      </w:pPr>
      <w:r>
        <w:t xml:space="preserve">All assets in this project are static files, so the request/response cycle is simple. When a browser requests a page — for example GET /about.html — the web server (a GitHub Pages/Netlify host or a university web host) responds over HTTP, or HTTPS once TLS-wrapped, with a status line, headers, and the file's bytes. Three MIME types matter for this build:</w:t>
      </w:r>
    </w:p>
    <w:p>
      <w:pPr>
        <w:pStyle w:val="ListParagraph"/>
        <w:numPr>
          <w:ilvl w:val="0"/>
          <w:numId w:val="1"/>
        </w:numPr>
        <w:spacing w:after="80"/>
      </w:pPr>
      <w:r>
        <w:t xml:space="preserve">text/html — served for every .html file; it tells the browser to parse the response as an HTML document and build the DOM/render tree from it.</w:t>
      </w:r>
    </w:p>
    <w:p>
      <w:pPr>
        <w:pStyle w:val="ListParagraph"/>
        <w:numPr>
          <w:ilvl w:val="0"/>
          <w:numId w:val="1"/>
        </w:numPr>
        <w:spacing w:after="80"/>
      </w:pPr>
      <w:r>
        <w:t xml:space="preserve">text/css — served for assets/css/style.css; the browser applies it to matching HTML as a separate, cacheable resource, which is why every page links to the same stylesheet rather than repeating styles.</w:t>
      </w:r>
    </w:p>
    <w:p>
      <w:pPr>
        <w:pStyle w:val="ListParagraph"/>
        <w:numPr>
          <w:ilvl w:val="0"/>
          <w:numId w:val="1"/>
        </w:numPr>
        <w:spacing w:after="80"/>
      </w:pPr>
      <w:r>
        <w:t xml:space="preserve">application/json — served for data/data.json when it is fetched directly (e.g. by a search-indexing bot, another tool, or a future dynamic front end); it signals that the payload is structured data, not markup or a script.</w:t>
      </w:r>
    </w:p>
    <w:p>
      <w:pPr>
        <w:spacing w:after="140"/>
        <w:jc w:val="both"/>
      </w:pPr>
      <w:r>
        <w:t xml:space="preserve">Because there is no client-side JavaScript issuing further requests, every navigation in this site is a full HTTP round trip: the browser requests a new .html file, the server returns it with the correct MIME type and a 200 status, and the browser repaints the whole page. HTTPS adds a TLS handshake in front of this exchange to encrypt the same request/response bodies in transit; it does not change what is served, only how it is protected.</w:t>
      </w:r>
    </w:p>
    <w:p>
      <w:pPr>
        <w:pStyle w:val="Heading1"/>
        <w:spacing w:after="140" w:before="280"/>
      </w:pPr>
      <w:r>
        <w:t xml:space="preserve">5. CMS Selection Justification (Static Architecture vs. a Full CMS)</w:t>
      </w:r>
    </w:p>
    <w:p>
      <w:pPr>
        <w:spacing w:after="140"/>
        <w:jc w:val="both"/>
      </w:pPr>
      <w:r>
        <w:t xml:space="preserve">This project was deliberately built as a hand-authored XHTML/CSS/JSON architecture rather than on a CMS such as WordPress, and it is worth being explicit about when that choice would stop being the right one.</w:t>
      </w:r>
    </w:p>
    <w:p>
      <w:pPr>
        <w:spacing w:after="140"/>
        <w:jc w:val="both"/>
      </w:pPr>
      <w:r>
        <w:t xml:space="preserve">For a single-author personal portfolio like this one, the static approach has real advantages. There is no database, no server-side runtime, and no plugin ecosystem to patch or secure — the entire attack surface is a handful of static files, which can be hosted for free on GitHub Pages or Netlify and served from a CDN with excellent load times. Every byte the browser receives is authored by hand, so there is no risk of theme or plugin bloat, and version control (a plain git repository) gives a complete, auditable history of every change. Content changes at a low frequency: personal details, education and CV entries are updated a handful of times a year, not daily, so the overhead of hand-editing HTML is small and is repaid by full control over markup and performance.</w:t>
      </w:r>
    </w:p>
    <w:p>
      <w:pPr>
        <w:spacing w:after="140"/>
        <w:jc w:val="both"/>
      </w:pPr>
      <w:r>
        <w:t xml:space="preserve">A CMS earns its overhead under different conditions. The first is team size and editor access: the moment more than one person needs to publish content, or a non-technical stakeholder (say, a co-founder of Maigoro Enterprises writing product updates) needs to add pages without touching code, a CMS's editorial interface becomes essential rather than optional. The second is update frequency: a catalogue or blog that changes daily or weekly benefits from a CMS's content workflows, drafts, scheduling and revision history, which would be painful to replicate by hand-editing files and redeploying. The third is content volume and structure: once the number of similar items (products, articles, case studies) grows into the dozens or hundreds, a CMS's templating — one layout driving many records from a database — removes the repetition that a static multi-page site otherwise forces on its author. The fourth is dynamic functionality: real user accounts, comment threads, search across content, or a shopping cart for Maigoro Enterprises' products all require server-side logic that a purely static site, by definition, cannot provide.</w:t>
      </w:r>
    </w:p>
    <w:p>
      <w:pPr>
        <w:spacing w:after="140"/>
        <w:jc w:val="both"/>
      </w:pPr>
      <w:r>
        <w:t xml:space="preserve">In short: this architecture is the right tool for a single author publishing infrequently updated, mostly static personal content, and it should be reconsidered the moment editorial access needs to widen, publishing frequency rises sharply, or the site needs genuinely dynamic, data-driven functionality — at which point migrating the same content (already modelled cleanly in data.json) into a CMS or framework becomes straightforward rather than a rebuild from scratch.</w:t>
      </w:r>
    </w:p>
    <w:p>
      <w:pPr>
        <w:pStyle w:val="Heading1"/>
        <w:spacing w:after="140" w:before="280"/>
      </w:pPr>
      <w:r>
        <w:t xml:space="preserve">6. Directory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shd w:fill="14213A" w:val="clear"/>
          </w:tcPr>
          <w:p>
            <w:r>
              <w:rPr>
                <w:b/>
                <w:bCs/>
                <w:color w:val="FFFFFF"/>
                <w:sz w:val="20"/>
                <w:szCs w:val="20"/>
              </w:rPr>
              <w:t xml:space="preserve">Path</w:t>
            </w:r>
          </w:p>
        </w:tc>
        <w:tc>
          <w:tcPr>
            <w:tcW w:type="dxa" w:w="6150"/>
            <w:shd w:fill="14213A" w:val="clear"/>
          </w:tcPr>
          <w:p>
            <w:r>
              <w:rPr>
                <w:b/>
                <w:bCs/>
                <w:color w:val="FFFFFF"/>
                <w:sz w:val="20"/>
                <w:szCs w:val="20"/>
              </w:rPr>
              <w:t xml:space="preserve">Contents</w:t>
            </w:r>
          </w:p>
        </w:tc>
      </w:tr>
      <w:tr>
        <w:tc>
          <w:tcPr>
            <w:tcW w:type="dxa" w:w="3000"/>
          </w:tcPr>
          <w:p>
            <w:r>
              <w:rPr>
                <w:b w:val="false"/>
                <w:bCs w:val="false"/>
                <w:color w:val="000000"/>
                <w:sz w:val="20"/>
                <w:szCs w:val="20"/>
              </w:rPr>
              <w:t xml:space="preserve">/index.html … /contact.html</w:t>
            </w:r>
          </w:p>
        </w:tc>
        <w:tc>
          <w:tcPr>
            <w:tcW w:type="dxa" w:w="3000"/>
          </w:tcPr>
          <w:p>
            <w:r>
              <w:rPr>
                <w:b w:val="false"/>
                <w:bCs w:val="false"/>
                <w:color w:val="000000"/>
                <w:sz w:val="20"/>
                <w:szCs w:val="20"/>
              </w:rPr>
              <w:t xml:space="preserve">The 8 site pages (Home, About Me, Educational Background, Technical Skills, Projects, Hobbies &amp; Interests, CV, Contact Me)</w:t>
            </w:r>
          </w:p>
        </w:tc>
      </w:tr>
      <w:tr>
        <w:tc>
          <w:tcPr>
            <w:tcW w:type="dxa" w:w="3000"/>
          </w:tcPr>
          <w:p>
            <w:r>
              <w:rPr>
                <w:b w:val="false"/>
                <w:bCs w:val="false"/>
                <w:color w:val="000000"/>
                <w:sz w:val="20"/>
                <w:szCs w:val="20"/>
              </w:rPr>
              <w:t xml:space="preserve">/assets/css/style.css</w:t>
            </w:r>
          </w:p>
        </w:tc>
        <w:tc>
          <w:tcPr>
            <w:tcW w:type="dxa" w:w="3000"/>
          </w:tcPr>
          <w:p>
            <w:r>
              <w:rPr>
                <w:b w:val="false"/>
                <w:bCs w:val="false"/>
                <w:color w:val="000000"/>
                <w:sz w:val="20"/>
                <w:szCs w:val="20"/>
              </w:rPr>
              <w:t xml:space="preserve">Single shared stylesheet — colour tokens, layout, responsive rules, CSS-only interactivity</w:t>
            </w:r>
          </w:p>
        </w:tc>
      </w:tr>
      <w:tr>
        <w:tc>
          <w:tcPr>
            <w:tcW w:type="dxa" w:w="3000"/>
          </w:tcPr>
          <w:p>
            <w:r>
              <w:rPr>
                <w:b w:val="false"/>
                <w:bCs w:val="false"/>
                <w:color w:val="000000"/>
                <w:sz w:val="20"/>
                <w:szCs w:val="20"/>
              </w:rPr>
              <w:t xml:space="preserve">/assets/images/</w:t>
            </w:r>
          </w:p>
        </w:tc>
        <w:tc>
          <w:tcPr>
            <w:tcW w:type="dxa" w:w="3000"/>
          </w:tcPr>
          <w:p>
            <w:r>
              <w:rPr>
                <w:b w:val="false"/>
                <w:bCs w:val="false"/>
                <w:color w:val="000000"/>
                <w:sz w:val="20"/>
                <w:szCs w:val="20"/>
              </w:rPr>
              <w:t xml:space="preserve">Profile photo and project imagery</w:t>
            </w:r>
          </w:p>
        </w:tc>
      </w:tr>
      <w:tr>
        <w:tc>
          <w:tcPr>
            <w:tcW w:type="dxa" w:w="3000"/>
          </w:tcPr>
          <w:p>
            <w:r>
              <w:rPr>
                <w:b w:val="false"/>
                <w:bCs w:val="false"/>
                <w:color w:val="000000"/>
                <w:sz w:val="20"/>
                <w:szCs w:val="20"/>
              </w:rPr>
              <w:t xml:space="preserve">/assets/downloads/</w:t>
            </w:r>
          </w:p>
        </w:tc>
        <w:tc>
          <w:tcPr>
            <w:tcW w:type="dxa" w:w="3000"/>
          </w:tcPr>
          <w:p>
            <w:r>
              <w:rPr>
                <w:b w:val="false"/>
                <w:bCs w:val="false"/>
                <w:color w:val="000000"/>
                <w:sz w:val="20"/>
                <w:szCs w:val="20"/>
              </w:rPr>
              <w:t xml:space="preserve">Downloadable CV (PDF)</w:t>
            </w:r>
          </w:p>
        </w:tc>
      </w:tr>
      <w:tr>
        <w:tc>
          <w:tcPr>
            <w:tcW w:type="dxa" w:w="3000"/>
          </w:tcPr>
          <w:p>
            <w:r>
              <w:rPr>
                <w:b w:val="false"/>
                <w:bCs w:val="false"/>
                <w:color w:val="000000"/>
                <w:sz w:val="20"/>
                <w:szCs w:val="20"/>
              </w:rPr>
              <w:t xml:space="preserve">/data/data.json</w:t>
            </w:r>
          </w:p>
        </w:tc>
        <w:tc>
          <w:tcPr>
            <w:tcW w:type="dxa" w:w="3000"/>
          </w:tcPr>
          <w:p>
            <w:r>
              <w:rPr>
                <w:b w:val="false"/>
                <w:bCs w:val="false"/>
                <w:color w:val="000000"/>
                <w:sz w:val="20"/>
                <w:szCs w:val="20"/>
              </w:rPr>
              <w:t xml:space="preserve">Structured content entities: site, projects, education, skills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2026-08-31T09:50:03.533Z</dcterms:created>
  <dcterms:modified xsi:type="dcterms:W3CDTF">2026-08-31T09:50:03.533Z</dcterms:modified>
</cp:coreProperties>
</file>

<file path=docProps/custom.xml><?xml version="1.0" encoding="utf-8"?>
<Properties xmlns="http://schemas.openxmlformats.org/officeDocument/2006/custom-properties" xmlns:vt="http://schemas.openxmlformats.org/officeDocument/2006/docPropsVTypes"/>
</file>