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EEFFE6">
      <w:pPr>
        <w:pStyle w:val="36"/>
        <w:jc w:val="center"/>
      </w:pPr>
      <w:r>
        <w:t>TEST-DRIVEN DEVELOPMENT REPORT</w:t>
      </w:r>
    </w:p>
    <w:p w14:paraId="0E8715B7">
      <w:pPr>
        <w:pStyle w:val="36"/>
        <w:jc w:val="center"/>
      </w:pPr>
      <w:r>
        <w:t>Client Credit Score Check Feature</w:t>
      </w:r>
      <w:r>
        <w:br w:type="textWrapping"/>
      </w:r>
    </w:p>
    <w:p w14:paraId="4B9D9B44">
      <w:pPr>
        <w:pStyle w:val="2"/>
      </w:pPr>
      <w:r>
        <w:t>1. INTRODUCTION</w:t>
      </w:r>
    </w:p>
    <w:p w14:paraId="7CF563D5">
      <w:r>
        <w:t>This report documents the Test-Driven Development (TDD) methodology applied to implement a new banking system feature: Client Credit Score Check. TDD is a software development approach where tests are written before the production code, ensuring that functionality meets specified requirements from the outset.</w:t>
      </w:r>
      <w:r>
        <w:br w:type="textWrapping"/>
      </w:r>
      <w:r>
        <w:t>The feature under development validates client credit scores before authorizing financial transactions, serving as a risk management control within the banking system.</w:t>
      </w:r>
    </w:p>
    <w:p w14:paraId="39BD882F">
      <w:pPr>
        <w:pStyle w:val="2"/>
      </w:pPr>
      <w:r>
        <w:t>2. FEATURE DESCRIPTION</w:t>
      </w:r>
    </w:p>
    <w:p w14:paraId="7BCA94D0">
      <w:pPr>
        <w:pStyle w:val="3"/>
      </w:pPr>
      <w:r>
        <w:t>2.1 Business Requirement</w:t>
      </w:r>
    </w:p>
    <w:p w14:paraId="5FA2E7CA">
      <w:r>
        <w:t>The Client Credit Score Check feature enforces the following rule:</w:t>
      </w:r>
      <w:r>
        <w:br w:type="textWrapping"/>
      </w:r>
      <w:r>
        <w:t>- Credit score ≥ 600: Transaction is allowed</w:t>
      </w:r>
      <w:r>
        <w:br w:type="textWrapping"/>
      </w:r>
      <w:r>
        <w:t>- Credit score &lt; 600: Transaction is blocked</w:t>
      </w:r>
    </w:p>
    <w:p w14:paraId="1A72DF6D">
      <w:pPr>
        <w:pStyle w:val="3"/>
      </w:pPr>
      <w:r>
        <w:t>2.2 Functional Behavior</w:t>
      </w:r>
    </w:p>
    <w:p w14:paraId="4703FF21">
      <w:r>
        <w:t>When a client initiates a withdrawal transaction:</w:t>
      </w:r>
      <w:r>
        <w:br w:type="textWrapping"/>
      </w:r>
      <w:r>
        <w:t>1. The system retrieves the client's credit score from an external credit service</w:t>
      </w:r>
      <w:r>
        <w:br w:type="textWrapping"/>
      </w:r>
      <w:r>
        <w:t>2. The credit score is evaluated against the threshold (600)</w:t>
      </w:r>
      <w:r>
        <w:br w:type="textWrapping"/>
      </w:r>
      <w:r>
        <w:t>3. If the score meets or exceeds the threshold, the withdrawal proceeds</w:t>
      </w:r>
      <w:r>
        <w:br w:type="textWrapping"/>
      </w:r>
      <w:r>
        <w:t>4. If the score falls below the threshold, the transaction is denied and the account balance remains unchanged</w:t>
      </w:r>
    </w:p>
    <w:p w14:paraId="697F6BDB">
      <w:pPr>
        <w:pStyle w:val="3"/>
      </w:pPr>
      <w:r>
        <w:t>2.3 Scope and Assumptions</w:t>
      </w:r>
    </w:p>
    <w:p w14:paraId="0F2714C1">
      <w:r>
        <w:t>- Account must be in Verified status</w:t>
      </w:r>
      <w:r>
        <w:br w:type="textWrapping"/>
      </w:r>
      <w:r>
        <w:t>- Withdrawal transactions are used for testing purposes</w:t>
      </w:r>
      <w:r>
        <w:br w:type="textWrapping"/>
      </w:r>
      <w:r>
        <w:t>- Credit score validation occurs BEFORE the withdrawal method is invoked</w:t>
      </w:r>
      <w:r>
        <w:br w:type="textWrapping"/>
      </w:r>
      <w:r>
        <w:t>- The credit service is mocked to isolate the transaction logic under test</w:t>
      </w:r>
    </w:p>
    <w:p w14:paraId="6570F331">
      <w:pPr>
        <w:pStyle w:val="2"/>
      </w:pPr>
      <w:r>
        <w:t>3. TEST PLAN</w:t>
      </w:r>
    </w:p>
    <w:p w14:paraId="7999AC76">
      <w:pPr>
        <w:pStyle w:val="3"/>
      </w:pPr>
      <w:r>
        <w:t>3.1 Testing Objectives</w:t>
      </w:r>
    </w:p>
    <w:p w14:paraId="5C5B1FA0">
      <w:r>
        <w:t>- Validate credit score threshold enforcement (600)</w:t>
      </w:r>
      <w:r>
        <w:br w:type="textWrapping"/>
      </w:r>
      <w:r>
        <w:t>- Verify transaction authorization logic</w:t>
      </w:r>
      <w:r>
        <w:br w:type="textWrapping"/>
      </w:r>
      <w:r>
        <w:t>- Confirm balance changes only occur for allowed transactions</w:t>
      </w:r>
      <w:r>
        <w:br w:type="textWrapping"/>
      </w:r>
      <w:r>
        <w:t>- Apply boundary value analysis to identify edge cases</w:t>
      </w:r>
    </w:p>
    <w:p w14:paraId="674B3F71">
      <w:pPr>
        <w:pStyle w:val="3"/>
      </w:pPr>
      <w:r>
        <w:t>3.2 Testing Approach</w:t>
      </w:r>
    </w:p>
    <w:p w14:paraId="546A1964">
      <w:r>
        <w:t>Technique: Boundary Value Analysis (BVA)</w:t>
      </w:r>
      <w:r>
        <w:br w:type="textWrapping"/>
      </w:r>
      <w:r>
        <w:t>BVA focuses on values at the boundaries of input domains, where errors are most likely to occur. For the credit score threshold of 600:</w:t>
      </w:r>
      <w:r>
        <w:br w:type="textWrapping"/>
      </w:r>
      <w:r>
        <w:t>- Above boundary: 750 (well above threshold)</w:t>
      </w:r>
      <w:r>
        <w:br w:type="textWrapping"/>
      </w:r>
      <w:r>
        <w:t>- On boundary: 600 (exact threshold value)</w:t>
      </w:r>
      <w:r>
        <w:br w:type="textWrapping"/>
      </w:r>
      <w:r>
        <w:t>- Below boundary: 599 (just below threshold)</w:t>
      </w:r>
    </w:p>
    <w:p w14:paraId="2A9A3BD4">
      <w:pPr>
        <w:pStyle w:val="3"/>
      </w:pPr>
      <w:r>
        <w:t>3.3 Test Environment</w:t>
      </w:r>
    </w:p>
    <w:p w14:paraId="22B9697C">
      <w:r>
        <w:t>- Framework: JUnit</w:t>
      </w:r>
      <w:r>
        <w:br w:type="textWrapping"/>
      </w:r>
      <w:r>
        <w:t>- Mock Objects: MockCreditService (simulates external credit scoring system)</w:t>
      </w:r>
      <w:r>
        <w:br w:type="textWrapping"/>
      </w:r>
      <w:r>
        <w:t>- Test Isolation: Each test initializes a fresh account with $1,000 balance</w:t>
      </w:r>
    </w:p>
    <w:p w14:paraId="733E5276">
      <w:pPr>
        <w:pStyle w:val="2"/>
      </w:pPr>
      <w:r>
        <w:t>4. TEST CASES</w:t>
      </w:r>
    </w:p>
    <w:p w14:paraId="6A2C7F1C">
      <w:pPr>
        <w:pStyle w:val="3"/>
      </w:pPr>
      <w:r>
        <w:t>Table 1: Test Case Summary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5E4E05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40" w:type="dxa"/>
          </w:tcPr>
          <w:p w14:paraId="5FE55122">
            <w:pPr>
              <w:spacing w:after="0" w:line="240" w:lineRule="auto"/>
            </w:pPr>
            <w:r>
              <w:t>Test ID</w:t>
            </w:r>
          </w:p>
        </w:tc>
        <w:tc>
          <w:tcPr>
            <w:tcW w:w="1440" w:type="dxa"/>
          </w:tcPr>
          <w:p w14:paraId="0654A980">
            <w:pPr>
              <w:spacing w:after="0" w:line="240" w:lineRule="auto"/>
            </w:pPr>
            <w:r>
              <w:t>Credit Score</w:t>
            </w:r>
          </w:p>
        </w:tc>
        <w:tc>
          <w:tcPr>
            <w:tcW w:w="1440" w:type="dxa"/>
          </w:tcPr>
          <w:p w14:paraId="63A25336">
            <w:pPr>
              <w:spacing w:after="0" w:line="240" w:lineRule="auto"/>
            </w:pPr>
            <w:r>
              <w:t>Transaction Amount</w:t>
            </w:r>
          </w:p>
        </w:tc>
        <w:tc>
          <w:tcPr>
            <w:tcW w:w="1440" w:type="dxa"/>
          </w:tcPr>
          <w:p w14:paraId="417650D1">
            <w:pPr>
              <w:spacing w:after="0" w:line="240" w:lineRule="auto"/>
            </w:pPr>
            <w:r>
              <w:t>Expected Result</w:t>
            </w:r>
          </w:p>
        </w:tc>
        <w:tc>
          <w:tcPr>
            <w:tcW w:w="1440" w:type="dxa"/>
          </w:tcPr>
          <w:p w14:paraId="6F456022">
            <w:pPr>
              <w:spacing w:after="0" w:line="240" w:lineRule="auto"/>
            </w:pPr>
            <w:r>
              <w:t>Expected Balance</w:t>
            </w:r>
          </w:p>
        </w:tc>
        <w:tc>
          <w:tcPr>
            <w:tcW w:w="1440" w:type="dxa"/>
          </w:tcPr>
          <w:p w14:paraId="665B487C">
            <w:pPr>
              <w:spacing w:after="0" w:line="240" w:lineRule="auto"/>
            </w:pPr>
            <w:r>
              <w:t>Rationale</w:t>
            </w:r>
          </w:p>
        </w:tc>
      </w:tr>
      <w:tr w14:paraId="7C14A5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147246F1">
            <w:pPr>
              <w:spacing w:after="0" w:line="240" w:lineRule="auto"/>
            </w:pPr>
            <w:r>
              <w:t>TC01</w:t>
            </w:r>
          </w:p>
        </w:tc>
        <w:tc>
          <w:tcPr>
            <w:tcW w:w="1440" w:type="dxa"/>
          </w:tcPr>
          <w:p w14:paraId="6F6A9A95">
            <w:pPr>
              <w:spacing w:after="0" w:line="240" w:lineRule="auto"/>
            </w:pPr>
            <w:r>
              <w:t>750</w:t>
            </w:r>
          </w:p>
        </w:tc>
        <w:tc>
          <w:tcPr>
            <w:tcW w:w="1440" w:type="dxa"/>
          </w:tcPr>
          <w:p w14:paraId="2C88A25E">
            <w:pPr>
              <w:spacing w:after="0" w:line="240" w:lineRule="auto"/>
            </w:pPr>
            <w:r>
              <w:t>$100</w:t>
            </w:r>
          </w:p>
        </w:tc>
        <w:tc>
          <w:tcPr>
            <w:tcW w:w="1440" w:type="dxa"/>
          </w:tcPr>
          <w:p w14:paraId="31E229A4">
            <w:pPr>
              <w:spacing w:after="0" w:line="240" w:lineRule="auto"/>
            </w:pPr>
            <w:r>
              <w:t>Allowed (true)</w:t>
            </w:r>
          </w:p>
        </w:tc>
        <w:tc>
          <w:tcPr>
            <w:tcW w:w="1440" w:type="dxa"/>
          </w:tcPr>
          <w:p w14:paraId="5A818F8F">
            <w:pPr>
              <w:spacing w:after="0" w:line="240" w:lineRule="auto"/>
            </w:pPr>
            <w:r>
              <w:t>$900</w:t>
            </w:r>
          </w:p>
        </w:tc>
        <w:tc>
          <w:tcPr>
            <w:tcW w:w="1440" w:type="dxa"/>
          </w:tcPr>
          <w:p w14:paraId="58DABE28">
            <w:pPr>
              <w:spacing w:after="0" w:line="240" w:lineRule="auto"/>
            </w:pPr>
            <w:r>
              <w:t>High credit score well above threshold</w:t>
            </w:r>
          </w:p>
        </w:tc>
      </w:tr>
      <w:tr w14:paraId="1EFC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464D7F4F">
            <w:pPr>
              <w:spacing w:after="0" w:line="240" w:lineRule="auto"/>
            </w:pPr>
            <w:r>
              <w:t>TC02</w:t>
            </w:r>
          </w:p>
        </w:tc>
        <w:tc>
          <w:tcPr>
            <w:tcW w:w="1440" w:type="dxa"/>
          </w:tcPr>
          <w:p w14:paraId="346759D8">
            <w:pPr>
              <w:spacing w:after="0" w:line="240" w:lineRule="auto"/>
            </w:pPr>
            <w:r>
              <w:t>600</w:t>
            </w:r>
          </w:p>
        </w:tc>
        <w:tc>
          <w:tcPr>
            <w:tcW w:w="1440" w:type="dxa"/>
          </w:tcPr>
          <w:p w14:paraId="3BFC2A06">
            <w:pPr>
              <w:spacing w:after="0" w:line="240" w:lineRule="auto"/>
            </w:pPr>
            <w:r>
              <w:t>$100</w:t>
            </w:r>
          </w:p>
        </w:tc>
        <w:tc>
          <w:tcPr>
            <w:tcW w:w="1440" w:type="dxa"/>
          </w:tcPr>
          <w:p w14:paraId="79FD61EB">
            <w:pPr>
              <w:spacing w:after="0" w:line="240" w:lineRule="auto"/>
            </w:pPr>
            <w:r>
              <w:t>Allowed (true)</w:t>
            </w:r>
          </w:p>
        </w:tc>
        <w:tc>
          <w:tcPr>
            <w:tcW w:w="1440" w:type="dxa"/>
          </w:tcPr>
          <w:p w14:paraId="03B8968C">
            <w:pPr>
              <w:spacing w:after="0" w:line="240" w:lineRule="auto"/>
            </w:pPr>
            <w:r>
              <w:t>$900</w:t>
            </w:r>
          </w:p>
        </w:tc>
        <w:tc>
          <w:tcPr>
            <w:tcW w:w="1440" w:type="dxa"/>
          </w:tcPr>
          <w:p w14:paraId="38A4C9AA">
            <w:pPr>
              <w:spacing w:after="0" w:line="240" w:lineRule="auto"/>
            </w:pPr>
            <w:r>
              <w:t>Boundary value: exactly at threshold (inclusive)</w:t>
            </w:r>
          </w:p>
        </w:tc>
      </w:tr>
      <w:tr w14:paraId="20F5C8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4B7F1BB4">
            <w:pPr>
              <w:spacing w:after="0" w:line="240" w:lineRule="auto"/>
            </w:pPr>
            <w:r>
              <w:t>TC03</w:t>
            </w:r>
          </w:p>
        </w:tc>
        <w:tc>
          <w:tcPr>
            <w:tcW w:w="1440" w:type="dxa"/>
          </w:tcPr>
          <w:p w14:paraId="044E6D64">
            <w:pPr>
              <w:spacing w:after="0" w:line="240" w:lineRule="auto"/>
            </w:pPr>
            <w:r>
              <w:t>599</w:t>
            </w:r>
          </w:p>
        </w:tc>
        <w:tc>
          <w:tcPr>
            <w:tcW w:w="1440" w:type="dxa"/>
          </w:tcPr>
          <w:p w14:paraId="0AAC8E3F">
            <w:pPr>
              <w:spacing w:after="0" w:line="240" w:lineRule="auto"/>
            </w:pPr>
            <w:r>
              <w:t>$100</w:t>
            </w:r>
          </w:p>
        </w:tc>
        <w:tc>
          <w:tcPr>
            <w:tcW w:w="1440" w:type="dxa"/>
          </w:tcPr>
          <w:p w14:paraId="76E71866">
            <w:pPr>
              <w:spacing w:after="0" w:line="240" w:lineRule="auto"/>
            </w:pPr>
            <w:r>
              <w:t>Blocked (false)</w:t>
            </w:r>
          </w:p>
        </w:tc>
        <w:tc>
          <w:tcPr>
            <w:tcW w:w="1440" w:type="dxa"/>
          </w:tcPr>
          <w:p w14:paraId="19937DB2">
            <w:pPr>
              <w:spacing w:after="0" w:line="240" w:lineRule="auto"/>
            </w:pPr>
            <w:r>
              <w:t>$1,000</w:t>
            </w:r>
          </w:p>
        </w:tc>
        <w:tc>
          <w:tcPr>
            <w:tcW w:w="1440" w:type="dxa"/>
          </w:tcPr>
          <w:p w14:paraId="08B37A06">
            <w:pPr>
              <w:spacing w:after="0" w:line="240" w:lineRule="auto"/>
            </w:pPr>
            <w:r>
              <w:t>Below threshold: transaction denied</w:t>
            </w:r>
          </w:p>
        </w:tc>
      </w:tr>
    </w:tbl>
    <w:p w14:paraId="26714C01">
      <w:pPr>
        <w:pStyle w:val="3"/>
      </w:pPr>
      <w:r>
        <w:t>4.1 Test Case Details</w:t>
      </w:r>
    </w:p>
    <w:p w14:paraId="32C509FA">
      <w:r>
        <w:t>TC01: testTransactionAllowedHighCreditScore</w:t>
      </w:r>
      <w:r>
        <w:br w:type="textWrapping"/>
      </w:r>
      <w:r>
        <w:t>- Purpose: Verify transactions are allowed for clients with excellent credit</w:t>
      </w:r>
      <w:r>
        <w:br w:type="textWrapping"/>
      </w:r>
      <w:r>
        <w:t>- Input: Credit score = 750, withdrawal = $100</w:t>
      </w:r>
      <w:r>
        <w:br w:type="textWrapping"/>
      </w:r>
      <w:r>
        <w:t>- Expected: Transaction succeeds, balance decreases to $900</w:t>
      </w:r>
      <w:r>
        <w:br w:type="textWrapping"/>
      </w:r>
      <w:r>
        <w:br w:type="textWrapping"/>
      </w:r>
      <w:r>
        <w:t>TC02: testTransactionAllowedBoundaryScore</w:t>
      </w:r>
      <w:r>
        <w:br w:type="textWrapping"/>
      </w:r>
      <w:r>
        <w:t>- Purpose: Validate boundary condition where score equals threshold</w:t>
      </w:r>
      <w:r>
        <w:br w:type="textWrapping"/>
      </w:r>
      <w:r>
        <w:t>- Input: Credit score = 600, withdrawal = $100</w:t>
      </w:r>
      <w:r>
        <w:br w:type="textWrapping"/>
      </w:r>
      <w:r>
        <w:t>- Expected: Transaction succeeds at boundary, balance decreases to $900</w:t>
      </w:r>
      <w:r>
        <w:br w:type="textWrapping"/>
      </w:r>
      <w:r>
        <w:br w:type="textWrapping"/>
      </w:r>
      <w:r>
        <w:t>TC03: testTransactionBlockedLowCreditScore</w:t>
      </w:r>
      <w:r>
        <w:br w:type="textWrapping"/>
      </w:r>
      <w:r>
        <w:t>- Purpose: Confirm transactions are blocked for insufficient credit scores</w:t>
      </w:r>
      <w:r>
        <w:br w:type="textWrapping"/>
      </w:r>
      <w:r>
        <w:t>- Input: Credit score = 599, withdrawal = $100</w:t>
      </w:r>
      <w:r>
        <w:br w:type="textWrapping"/>
      </w:r>
      <w:r>
        <w:t>- Expected: Transaction fails, balance remains $1,000</w:t>
      </w:r>
    </w:p>
    <w:p w14:paraId="10B86A47">
      <w:pPr>
        <w:pStyle w:val="2"/>
      </w:pPr>
      <w:r>
        <w:t>5. TDD CYCLE (Red → Green → Refactor)</w:t>
      </w:r>
    </w:p>
    <w:p w14:paraId="5138ACBD">
      <w:pPr>
        <w:pStyle w:val="3"/>
      </w:pPr>
      <w:r>
        <w:t>5.1 Phase 1: RED (Write Failing Tests)</w:t>
      </w:r>
    </w:p>
    <w:p w14:paraId="6061A184">
      <w:r>
        <w:t>The TDD process begins by writing test cases before any implementation exists:</w:t>
      </w:r>
      <w:r>
        <w:br w:type="textWrapping"/>
      </w:r>
      <w:r>
        <w:t>1. Write test for high credit score (750): Test expects transaction to succeed</w:t>
      </w:r>
      <w:r>
        <w:br w:type="textWrapping"/>
      </w:r>
      <w:r>
        <w:t>2. Write test for boundary value (600): Test expects transaction to succeed at threshold</w:t>
      </w:r>
      <w:r>
        <w:br w:type="textWrapping"/>
      </w:r>
      <w:r>
        <w:t>3. Write test for low credit score (599): Test expects transaction to be blocked</w:t>
      </w:r>
      <w:r>
        <w:br w:type="textWrapping"/>
      </w:r>
      <w:r>
        <w:br w:type="textWrapping"/>
      </w:r>
      <w:r>
        <w:t>At this stage, tests fail because TransactionProcessor.processWithdrawal() does not exist or returns incorrect results.</w:t>
      </w:r>
      <w:r>
        <w:br w:type="textWrapping"/>
      </w:r>
      <w:r>
        <w:t>Output: All tests fail (RED)</w:t>
      </w:r>
    </w:p>
    <w:p w14:paraId="23A83E15">
      <w:pPr>
        <w:pStyle w:val="3"/>
      </w:pPr>
      <w:r>
        <w:t>5.2 Phase 2: GREEN (Implement Minimal Code)</w:t>
      </w:r>
    </w:p>
    <w:p w14:paraId="6D3574AF">
      <w:r>
        <w:t>Write the simplest code to make all tests pass:</w:t>
      </w:r>
      <w:r>
        <w:br w:type="textWrapping"/>
      </w:r>
      <w:r>
        <w:br w:type="textWrapping"/>
      </w:r>
      <w:r>
        <w:t xml:space="preserve">    public boolean processWithdrawal(Account account, double amount) {</w:t>
      </w:r>
      <w:r>
        <w:br w:type="textWrapping"/>
      </w:r>
      <w:r>
        <w:t xml:space="preserve">        if (creditService.getCreditScore() &lt; 600) {</w:t>
      </w:r>
      <w:r>
        <w:br w:type="textWrapping"/>
      </w:r>
      <w:r>
        <w:t xml:space="preserve">            return false;  // Block transaction</w:t>
      </w:r>
      <w:r>
        <w:br w:type="textWrapping"/>
      </w:r>
      <w:r>
        <w:t xml:space="preserve">        }</w:t>
      </w:r>
      <w:r>
        <w:br w:type="textWrapping"/>
      </w:r>
      <w:r>
        <w:t xml:space="preserve">        return account.withdraw(amount);  // Allow transaction</w:t>
      </w:r>
      <w:r>
        <w:br w:type="textWrapping"/>
      </w:r>
      <w:r>
        <w:t xml:space="preserve">    }</w:t>
      </w:r>
      <w:r>
        <w:br w:type="textWrapping"/>
      </w:r>
      <w:r>
        <w:br w:type="textWrapping"/>
      </w:r>
      <w:r>
        <w:t>Key Implementation Points:</w:t>
      </w:r>
      <w:r>
        <w:br w:type="textWrapping"/>
      </w:r>
      <w:r>
        <w:t>- Credit score check is performed first</w:t>
      </w:r>
      <w:r>
        <w:br w:type="textWrapping"/>
      </w:r>
      <w:r>
        <w:t>- Transactions with score &lt; 600 are rejected immediately</w:t>
      </w:r>
      <w:r>
        <w:br w:type="textWrapping"/>
      </w:r>
      <w:r>
        <w:t>- Only qualifying transactions proceed to account.withdraw()</w:t>
      </w:r>
      <w:r>
        <w:br w:type="textWrapping"/>
      </w:r>
      <w:r>
        <w:br w:type="textWrapping"/>
      </w:r>
      <w:r>
        <w:t>Output: All tests pass (GREEN)</w:t>
      </w:r>
    </w:p>
    <w:p w14:paraId="23C1E71C">
      <w:pPr>
        <w:pStyle w:val="2"/>
      </w:pPr>
      <w:bookmarkStart w:id="0" w:name="_GoBack"/>
      <w:bookmarkEnd w:id="0"/>
      <w:r>
        <w:t>6. BOUNDARY VALUE ANALYSIS</w:t>
      </w:r>
    </w:p>
    <w:p w14:paraId="58C8D132">
      <w:pPr>
        <w:pStyle w:val="3"/>
      </w:pPr>
      <w:r>
        <w:t>6.1 Rationale for Boundary Testing</w:t>
      </w:r>
    </w:p>
    <w:p w14:paraId="35FFF23F">
      <w:r>
        <w:t>Boundary Value Analysis is a black-box testing technique that focuses on values at the edges of equivalence partitions. Defects commonly occur at boundaries due to:</w:t>
      </w:r>
      <w:r>
        <w:br w:type="textWrapping"/>
      </w:r>
      <w:r>
        <w:t>- Off-by-one errors in conditional logic</w:t>
      </w:r>
      <w:r>
        <w:br w:type="textWrapping"/>
      </w:r>
      <w:r>
        <w:t>- Incorrect use of comparison operators (&lt; vs ≤)</w:t>
      </w:r>
      <w:r>
        <w:br w:type="textWrapping"/>
      </w:r>
      <w:r>
        <w:t>- Edge case handling oversights</w:t>
      </w:r>
    </w:p>
    <w:p w14:paraId="69E353D4">
      <w:pPr>
        <w:pStyle w:val="3"/>
      </w:pPr>
      <w:r>
        <w:t>6.2 Equivalence Partitions</w:t>
      </w:r>
    </w:p>
    <w:p w14:paraId="44F54C52">
      <w:r>
        <w:t>Based on the credit score requirement, two partitions exist:</w:t>
      </w:r>
    </w:p>
    <w:p w14:paraId="247D2747">
      <w:pPr>
        <w:pStyle w:val="3"/>
      </w:pPr>
      <w:r>
        <w:t>Table 2: Equivalence Partitions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784D6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8E8C100">
            <w:pPr>
              <w:spacing w:after="0" w:line="240" w:lineRule="auto"/>
            </w:pPr>
            <w:r>
              <w:t>Partition</w:t>
            </w:r>
          </w:p>
        </w:tc>
        <w:tc>
          <w:tcPr>
            <w:tcW w:w="2880" w:type="dxa"/>
          </w:tcPr>
          <w:p w14:paraId="252D9F5A">
            <w:pPr>
              <w:spacing w:after="0" w:line="240" w:lineRule="auto"/>
            </w:pPr>
            <w:r>
              <w:t>Range</w:t>
            </w:r>
          </w:p>
        </w:tc>
        <w:tc>
          <w:tcPr>
            <w:tcW w:w="2880" w:type="dxa"/>
          </w:tcPr>
          <w:p w14:paraId="3CB56D9A">
            <w:pPr>
              <w:spacing w:after="0" w:line="240" w:lineRule="auto"/>
            </w:pPr>
            <w:r>
              <w:t>Expected Behavior</w:t>
            </w:r>
          </w:p>
        </w:tc>
      </w:tr>
      <w:tr w14:paraId="7EC134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A38F7B5">
            <w:pPr>
              <w:spacing w:after="0" w:line="240" w:lineRule="auto"/>
            </w:pPr>
            <w:r>
              <w:t>Valid</w:t>
            </w:r>
          </w:p>
        </w:tc>
        <w:tc>
          <w:tcPr>
            <w:tcW w:w="2880" w:type="dxa"/>
          </w:tcPr>
          <w:p w14:paraId="606DF338">
            <w:pPr>
              <w:spacing w:after="0" w:line="240" w:lineRule="auto"/>
            </w:pPr>
            <w:r>
              <w:t>score ≥ 600</w:t>
            </w:r>
          </w:p>
        </w:tc>
        <w:tc>
          <w:tcPr>
            <w:tcW w:w="2880" w:type="dxa"/>
          </w:tcPr>
          <w:p w14:paraId="7F63F26F">
            <w:pPr>
              <w:spacing w:after="0" w:line="240" w:lineRule="auto"/>
            </w:pPr>
            <w:r>
              <w:t>Transaction allowed</w:t>
            </w:r>
          </w:p>
        </w:tc>
      </w:tr>
      <w:tr w14:paraId="3EAA33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4D7B532">
            <w:pPr>
              <w:spacing w:after="0" w:line="240" w:lineRule="auto"/>
            </w:pPr>
            <w:r>
              <w:t>Invalid</w:t>
            </w:r>
          </w:p>
        </w:tc>
        <w:tc>
          <w:tcPr>
            <w:tcW w:w="2880" w:type="dxa"/>
          </w:tcPr>
          <w:p w14:paraId="19566678">
            <w:pPr>
              <w:spacing w:after="0" w:line="240" w:lineRule="auto"/>
            </w:pPr>
            <w:r>
              <w:t>score &lt; 600</w:t>
            </w:r>
          </w:p>
        </w:tc>
        <w:tc>
          <w:tcPr>
            <w:tcW w:w="2880" w:type="dxa"/>
          </w:tcPr>
          <w:p w14:paraId="379B3885">
            <w:pPr>
              <w:spacing w:after="0" w:line="240" w:lineRule="auto"/>
            </w:pPr>
            <w:r>
              <w:t>Transaction blocked</w:t>
            </w:r>
          </w:p>
        </w:tc>
      </w:tr>
    </w:tbl>
    <w:p w14:paraId="095C5FDF">
      <w:pPr>
        <w:pStyle w:val="3"/>
      </w:pPr>
      <w:r>
        <w:t>6.3 Selected Boundary Values</w:t>
      </w:r>
    </w:p>
    <w:p w14:paraId="5EA90153">
      <w:r>
        <w:t>- 600: Exact threshold value (tests inclusive boundary condition)</w:t>
      </w:r>
      <w:r>
        <w:br w:type="textWrapping"/>
      </w:r>
      <w:r>
        <w:t>- 599: One below threshold (tests rejection just below boundary)</w:t>
      </w:r>
      <w:r>
        <w:br w:type="textWrapping"/>
      </w:r>
      <w:r>
        <w:t>- 750: Representative valid value (confirms behavior well within valid range)</w:t>
      </w:r>
    </w:p>
    <w:p w14:paraId="5AD0C77F">
      <w:pPr>
        <w:pStyle w:val="3"/>
      </w:pPr>
      <w:r>
        <w:t>6.4 Findings</w:t>
      </w:r>
    </w:p>
    <w:p w14:paraId="34D7A887">
      <w:r>
        <w:t>All boundary tests passed, confirming:</w:t>
      </w:r>
      <w:r>
        <w:br w:type="textWrapping"/>
      </w:r>
      <w:r>
        <w:t>- The threshold is correctly implemented as inclusive (≥ 600)</w:t>
      </w:r>
      <w:r>
        <w:br w:type="textWrapping"/>
      </w:r>
      <w:r>
        <w:t>- The comparison operator correctly uses &lt; to block scores below 600</w:t>
      </w:r>
      <w:r>
        <w:br w:type="textWrapping"/>
      </w:r>
      <w:r>
        <w:t>- No off-by-one errors exist in the credit validation logic</w:t>
      </w:r>
    </w:p>
    <w:p w14:paraId="0BABB776">
      <w:pPr>
        <w:pStyle w:val="2"/>
      </w:pPr>
      <w:r>
        <w:t>7. CONCLUSION</w:t>
      </w:r>
    </w:p>
    <w:p w14:paraId="5AEC7AE2">
      <w:pPr>
        <w:pStyle w:val="3"/>
      </w:pPr>
      <w:r>
        <w:t>7.1 Summary</w:t>
      </w:r>
    </w:p>
    <w:p w14:paraId="687ADC99">
      <w:r>
        <w:t>This report documented the application of Test-Driven Development to implement the Client Credit Score Check feature for a banking system. The TDD approach followed the Red-Green-Refactor cycle:</w:t>
      </w:r>
      <w:r>
        <w:br w:type="textWrapping"/>
      </w:r>
      <w:r>
        <w:br w:type="textWrapping"/>
      </w:r>
      <w:r>
        <w:t>1. RED: Three test cases were written before implementation, covering high credit (750), boundary (600), and low credit (599) scenarios</w:t>
      </w:r>
      <w:r>
        <w:br w:type="textWrapping"/>
      </w:r>
      <w:r>
        <w:t>2. GREEN: Minimal implementation was added to satisfy all test requirements</w:t>
      </w:r>
      <w:r>
        <w:br w:type="textWrapping"/>
      </w:r>
      <w:r>
        <w:t>3. REFACTOR: Code was reviewed for quality improvements</w:t>
      </w:r>
    </w:p>
    <w:p w14:paraId="37383C82">
      <w:pPr>
        <w:pStyle w:val="3"/>
      </w:pPr>
      <w:r>
        <w:t>7.2 Testing Outcomes</w:t>
      </w:r>
    </w:p>
    <w:p w14:paraId="708B4051">
      <w:r>
        <w:t>All three test cases passed successfully:</w:t>
      </w:r>
      <w:r>
        <w:br w:type="textWrapping"/>
      </w:r>
      <w:r>
        <w:t>✅ TC01: High credit score (750) allows transaction</w:t>
      </w:r>
      <w:r>
        <w:br w:type="textWrapping"/>
      </w:r>
      <w:r>
        <w:t>✅ TC02: Boundary credit score (600) allows transaction</w:t>
      </w:r>
      <w:r>
        <w:br w:type="textWrapping"/>
      </w:r>
      <w:r>
        <w:t>✅ TC03: Low credit score (599) blocks transaction</w:t>
      </w:r>
    </w:p>
    <w:p w14:paraId="3FF212A8">
      <w:pPr>
        <w:pStyle w:val="3"/>
      </w:pPr>
      <w:r>
        <w:t>7.3 Benefits of TDD</w:t>
      </w:r>
    </w:p>
    <w:p w14:paraId="5E9AB017">
      <w:r>
        <w:t>The TDD methodology provided several advantages:</w:t>
      </w:r>
      <w:r>
        <w:br w:type="textWrapping"/>
      </w:r>
      <w:r>
        <w:t>- Requirements clarity: Writing tests first forced precise definition of expected behavior</w:t>
      </w:r>
      <w:r>
        <w:br w:type="textWrapping"/>
      </w:r>
      <w:r>
        <w:t>- Defect prevention: Tests were created before bugs could be introduced</w:t>
      </w:r>
      <w:r>
        <w:br w:type="textWrapping"/>
      </w:r>
      <w:r>
        <w:t>- Regression safety: Automated tests provide confidence when making future changes</w:t>
      </w:r>
      <w:r>
        <w:br w:type="textWrapping"/>
      </w:r>
      <w:r>
        <w:t>- Design feedback: Test-first approach encouraged simple, testable design</w:t>
      </w:r>
    </w:p>
    <w:p w14:paraId="0111B517">
      <w:r>
        <w:br w:type="textWrapping"/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8710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Theme="minorEastAsia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Nourhan Hesham</cp:lastModifiedBy>
  <dcterms:modified xsi:type="dcterms:W3CDTF">2025-12-30T23:28:21Z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1B0A80144BEB4F6F9EB1939F082DF541_12</vt:lpwstr>
  </property>
</Properties>
</file>