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80365" w14:textId="77777777" w:rsidR="00DE44C3" w:rsidRDefault="00DE44C3"/>
    <w:p w14:paraId="12074104" w14:textId="77777777" w:rsidR="00DE44C3" w:rsidRDefault="00DE44C3"/>
    <w:p w14:paraId="3B55EBBA" w14:textId="77777777" w:rsidR="00DE44C3" w:rsidRDefault="00DE44C3"/>
    <w:p w14:paraId="6A411E07" w14:textId="77777777" w:rsidR="00DE44C3" w:rsidRDefault="00DE44C3"/>
    <w:p w14:paraId="5F29DC1E" w14:textId="77777777" w:rsidR="00DE44C3" w:rsidRDefault="00000000">
      <w:pPr>
        <w:jc w:val="center"/>
      </w:pPr>
      <w:r>
        <w:rPr>
          <w:rFonts w:ascii="Calibri" w:hAnsi="Calibri"/>
          <w:b/>
          <w:sz w:val="44"/>
        </w:rPr>
        <w:t>TECH CHALLENGE</w:t>
      </w:r>
    </w:p>
    <w:p w14:paraId="63EE421D" w14:textId="77777777" w:rsidR="00DE44C3" w:rsidRDefault="00000000">
      <w:pPr>
        <w:jc w:val="center"/>
      </w:pPr>
      <w:r>
        <w:rPr>
          <w:rFonts w:ascii="Calibri" w:hAnsi="Calibri"/>
          <w:b/>
          <w:sz w:val="56"/>
        </w:rPr>
        <w:t>ToggleMaster</w:t>
      </w:r>
    </w:p>
    <w:p w14:paraId="466B3CDC" w14:textId="77777777" w:rsidR="00DE44C3" w:rsidRDefault="00000000">
      <w:pPr>
        <w:jc w:val="center"/>
      </w:pPr>
      <w:r>
        <w:rPr>
          <w:rFonts w:ascii="Calibri" w:hAnsi="Calibri"/>
          <w:sz w:val="32"/>
        </w:rPr>
        <w:t>Entrega Final</w:t>
      </w:r>
    </w:p>
    <w:p w14:paraId="1B0A9419" w14:textId="77777777" w:rsidR="00DE44C3" w:rsidRDefault="00000000">
      <w:pPr>
        <w:jc w:val="center"/>
      </w:pPr>
      <w:r>
        <w:rPr>
          <w:rFonts w:ascii="Calibri" w:hAnsi="Calibri"/>
          <w:sz w:val="28"/>
        </w:rPr>
        <w:t>DevOps e Arquitetura Cloud</w:t>
      </w:r>
    </w:p>
    <w:p w14:paraId="7FE04431" w14:textId="77777777" w:rsidR="00DE44C3" w:rsidRDefault="00DE44C3"/>
    <w:p w14:paraId="59A50615" w14:textId="77777777" w:rsidR="00DE44C3" w:rsidRDefault="00DE44C3"/>
    <w:p w14:paraId="2AE73E41" w14:textId="77777777" w:rsidR="00DE44C3" w:rsidRDefault="00000000">
      <w:pPr>
        <w:jc w:val="center"/>
      </w:pPr>
      <w:r>
        <w:rPr>
          <w:rFonts w:ascii="Calibri" w:hAnsi="Calibri"/>
          <w:b/>
          <w:sz w:val="24"/>
        </w:rPr>
        <w:t>Nome dos Participantes – Grupo 45:</w:t>
      </w:r>
    </w:p>
    <w:p w14:paraId="044C094D" w14:textId="77777777" w:rsidR="00DE44C3" w:rsidRDefault="00000000">
      <w:pPr>
        <w:jc w:val="center"/>
      </w:pPr>
      <w:r>
        <w:rPr>
          <w:rFonts w:ascii="Calibri" w:hAnsi="Calibri"/>
          <w:sz w:val="24"/>
        </w:rPr>
        <w:t>Juliette Engel – RM 373836</w:t>
      </w:r>
    </w:p>
    <w:p w14:paraId="740D7F99" w14:textId="77777777" w:rsidR="00DE44C3" w:rsidRDefault="00000000">
      <w:pPr>
        <w:jc w:val="center"/>
      </w:pPr>
      <w:r>
        <w:rPr>
          <w:rFonts w:ascii="Calibri" w:hAnsi="Calibri"/>
          <w:sz w:val="24"/>
        </w:rPr>
        <w:t>Matheus Yuri Rodrigues da Silva – RM 370672</w:t>
      </w:r>
    </w:p>
    <w:p w14:paraId="44E50C5D" w14:textId="77777777" w:rsidR="00DE44C3" w:rsidRDefault="00000000">
      <w:pPr>
        <w:jc w:val="center"/>
      </w:pPr>
      <w:r>
        <w:rPr>
          <w:rFonts w:ascii="Calibri" w:hAnsi="Calibri"/>
          <w:sz w:val="24"/>
        </w:rPr>
        <w:t>Michael Jonathan Venute Viana – RM 371791</w:t>
      </w:r>
    </w:p>
    <w:p w14:paraId="22182853" w14:textId="77777777" w:rsidR="00DE44C3" w:rsidRDefault="00000000">
      <w:pPr>
        <w:jc w:val="center"/>
      </w:pPr>
      <w:r>
        <w:rPr>
          <w:rFonts w:ascii="Calibri" w:hAnsi="Calibri"/>
          <w:sz w:val="24"/>
        </w:rPr>
        <w:t>Perla Coutinho Barbosa – RM 371384</w:t>
      </w:r>
    </w:p>
    <w:p w14:paraId="13CFB825" w14:textId="77777777" w:rsidR="00DE44C3" w:rsidRDefault="00000000">
      <w:pPr>
        <w:jc w:val="center"/>
      </w:pPr>
      <w:r>
        <w:rPr>
          <w:rFonts w:ascii="Calibri" w:hAnsi="Calibri"/>
          <w:sz w:val="24"/>
        </w:rPr>
        <w:t>Rodrigo de Albuquerque Andrade – RM 373167</w:t>
      </w:r>
    </w:p>
    <w:p w14:paraId="22D81B91" w14:textId="77777777" w:rsidR="00DE44C3" w:rsidRDefault="00DE44C3"/>
    <w:p w14:paraId="57A63F06" w14:textId="77777777" w:rsidR="00DE44C3" w:rsidRDefault="00000000">
      <w:pPr>
        <w:jc w:val="center"/>
      </w:pPr>
      <w:r>
        <w:rPr>
          <w:b/>
          <w:sz w:val="24"/>
        </w:rPr>
        <w:t>Data:</w:t>
      </w:r>
    </w:p>
    <w:p w14:paraId="1FCCAF9C" w14:textId="77777777" w:rsidR="00DE44C3" w:rsidRDefault="00000000">
      <w:pPr>
        <w:jc w:val="center"/>
      </w:pPr>
      <w:r>
        <w:rPr>
          <w:sz w:val="24"/>
        </w:rPr>
        <w:t>29 de junho de 2026</w:t>
      </w:r>
    </w:p>
    <w:p w14:paraId="0A79B2C4" w14:textId="77777777" w:rsidR="00DE44C3" w:rsidRDefault="00000000">
      <w:r>
        <w:br w:type="page"/>
      </w:r>
    </w:p>
    <w:p w14:paraId="79CBBA6E" w14:textId="77777777" w:rsidR="00DE44C3" w:rsidRDefault="00000000">
      <w:pPr>
        <w:pStyle w:val="Ttulo1"/>
      </w:pPr>
      <w:r>
        <w:rPr>
          <w:color w:val="000000"/>
        </w:rPr>
        <w:lastRenderedPageBreak/>
        <w:t>Sumário</w:t>
      </w:r>
    </w:p>
    <w:p w14:paraId="17BBF4C4" w14:textId="77777777" w:rsidR="00DE44C3" w:rsidRDefault="00000000">
      <w:pPr>
        <w:spacing w:after="160"/>
      </w:pPr>
      <w:r>
        <w:rPr>
          <w:rFonts w:ascii="Calibri" w:hAnsi="Calibri"/>
        </w:rPr>
        <w:t>Resumo</w:t>
      </w:r>
    </w:p>
    <w:p w14:paraId="20A9BEC6" w14:textId="77777777" w:rsidR="00DE44C3" w:rsidRDefault="00000000">
      <w:pPr>
        <w:spacing w:after="160"/>
      </w:pPr>
      <w:r>
        <w:rPr>
          <w:rFonts w:ascii="Calibri" w:hAnsi="Calibri"/>
        </w:rPr>
        <w:t>1. Introdução</w:t>
      </w:r>
    </w:p>
    <w:p w14:paraId="2B0874EB" w14:textId="77777777" w:rsidR="00DE44C3" w:rsidRDefault="00000000">
      <w:pPr>
        <w:spacing w:after="160"/>
      </w:pPr>
      <w:r>
        <w:rPr>
          <w:rFonts w:ascii="Calibri" w:hAnsi="Calibri"/>
        </w:rPr>
        <w:t>2. Execução Local da Aplicação</w:t>
      </w:r>
    </w:p>
    <w:p w14:paraId="7E7A1DAE" w14:textId="77777777" w:rsidR="00DE44C3" w:rsidRDefault="00000000">
      <w:pPr>
        <w:spacing w:after="160"/>
      </w:pPr>
      <w:r>
        <w:rPr>
          <w:rFonts w:ascii="Calibri" w:hAnsi="Calibri"/>
        </w:rPr>
        <w:t>3. Arquitetura Proposta na AWS</w:t>
      </w:r>
    </w:p>
    <w:p w14:paraId="2DD192E6" w14:textId="77777777" w:rsidR="00DE44C3" w:rsidRDefault="00000000">
      <w:pPr>
        <w:spacing w:after="160"/>
      </w:pPr>
      <w:r>
        <w:rPr>
          <w:rFonts w:ascii="Calibri" w:hAnsi="Calibri"/>
        </w:rPr>
        <w:t>4. Análise da Arquitetura de Microsserviços</w:t>
      </w:r>
    </w:p>
    <w:p w14:paraId="5BFD509A" w14:textId="77777777" w:rsidR="00DE44C3" w:rsidRDefault="00000000">
      <w:pPr>
        <w:spacing w:after="160"/>
      </w:pPr>
      <w:r>
        <w:rPr>
          <w:rFonts w:ascii="Calibri" w:hAnsi="Calibri"/>
        </w:rPr>
        <w:t>5. 12 Factors</w:t>
      </w:r>
    </w:p>
    <w:p w14:paraId="200A15FD" w14:textId="77777777" w:rsidR="00DE44C3" w:rsidRDefault="00000000">
      <w:pPr>
        <w:spacing w:after="160"/>
      </w:pPr>
      <w:r>
        <w:rPr>
          <w:rFonts w:ascii="Calibri" w:hAnsi="Calibri"/>
        </w:rPr>
        <w:t>6. Implementação na AWS</w:t>
      </w:r>
    </w:p>
    <w:p w14:paraId="3DFA4FEB" w14:textId="77777777" w:rsidR="00DE44C3" w:rsidRDefault="00000000">
      <w:pPr>
        <w:spacing w:after="160"/>
      </w:pPr>
      <w:r>
        <w:rPr>
          <w:rFonts w:ascii="Calibri" w:hAnsi="Calibri"/>
        </w:rPr>
        <w:t>7. Segurança</w:t>
      </w:r>
    </w:p>
    <w:p w14:paraId="46D8CF60" w14:textId="77777777" w:rsidR="00DE44C3" w:rsidRDefault="00000000">
      <w:pPr>
        <w:spacing w:after="160"/>
      </w:pPr>
      <w:r>
        <w:rPr>
          <w:rFonts w:ascii="Calibri" w:hAnsi="Calibri"/>
        </w:rPr>
        <w:t>8. Custos da AWS</w:t>
      </w:r>
    </w:p>
    <w:p w14:paraId="06986A06" w14:textId="77777777" w:rsidR="00DE44C3" w:rsidRDefault="00000000">
      <w:pPr>
        <w:spacing w:after="160"/>
      </w:pPr>
      <w:r>
        <w:rPr>
          <w:rFonts w:ascii="Calibri" w:hAnsi="Calibri"/>
        </w:rPr>
        <w:t>9. Desafios</w:t>
      </w:r>
    </w:p>
    <w:p w14:paraId="20281AFC" w14:textId="77777777" w:rsidR="00DE44C3" w:rsidRDefault="00000000">
      <w:pPr>
        <w:spacing w:after="160"/>
      </w:pPr>
      <w:r>
        <w:rPr>
          <w:rFonts w:ascii="Calibri" w:hAnsi="Calibri"/>
        </w:rPr>
        <w:t>10. Conclusão</w:t>
      </w:r>
    </w:p>
    <w:p w14:paraId="3D9FEEDE" w14:textId="77777777" w:rsidR="00DE44C3" w:rsidRDefault="00000000">
      <w:pPr>
        <w:spacing w:after="160"/>
      </w:pPr>
      <w:r>
        <w:rPr>
          <w:rFonts w:ascii="Calibri" w:hAnsi="Calibri"/>
        </w:rPr>
        <w:t>11. Referências</w:t>
      </w:r>
    </w:p>
    <w:p w14:paraId="3B9B92C4" w14:textId="77777777" w:rsidR="00DE44C3" w:rsidRDefault="00000000">
      <w:r>
        <w:br w:type="page"/>
      </w:r>
    </w:p>
    <w:p w14:paraId="5A5A340E" w14:textId="77777777" w:rsidR="00DE44C3" w:rsidRDefault="00000000">
      <w:pPr>
        <w:pStyle w:val="Ttulo1"/>
      </w:pPr>
      <w:r>
        <w:rPr>
          <w:color w:val="000000"/>
        </w:rPr>
        <w:lastRenderedPageBreak/>
        <w:t>Resumo</w:t>
      </w:r>
    </w:p>
    <w:p w14:paraId="518BE888" w14:textId="77777777" w:rsidR="00DE44C3" w:rsidRDefault="00000000">
      <w:pPr>
        <w:spacing w:after="160"/>
      </w:pPr>
      <w:r>
        <w:rPr>
          <w:rFonts w:ascii="Calibri" w:hAnsi="Calibri"/>
        </w:rPr>
        <w:t>Este relatório apresenta o desenvolvimento da entrega final do Tech Challenge, cujo objetivo foi evoluir a aplicação ToggleMaster de um MVP monolítico para uma arquitetura de microsserviços implantada em ambiente de nuvem na Amazon Web Services (AWS), seguindo princípios de arquitetura cloud e cultura DevOps.</w:t>
      </w:r>
    </w:p>
    <w:p w14:paraId="7F649560" w14:textId="77777777" w:rsidR="00DE44C3" w:rsidRDefault="00000000">
      <w:pPr>
        <w:spacing w:after="160"/>
      </w:pPr>
      <w:r>
        <w:rPr>
          <w:rFonts w:ascii="Calibri" w:hAnsi="Calibri"/>
        </w:rPr>
        <w:t>A solução atual é composta por cinco microsserviços independentes — autenticação, gerenciamento de flags, segmentação (targeting), avaliação em tempo real e analytics assíncrono — orquestrados via Docker, Kubernetes e provisionados com Terraform. A infraestrutura contempla VPC segmentada, três instâncias Amazon RDS (PostgreSQL), Amazon ElastiCache (Redis), fila Amazon SQS, tabela Amazon DynamoDB e repositórios Amazon ECR.</w:t>
      </w:r>
    </w:p>
    <w:p w14:paraId="50C37A43" w14:textId="77777777" w:rsidR="00DE44C3" w:rsidRDefault="00000000">
      <w:pPr>
        <w:spacing w:after="160"/>
      </w:pPr>
      <w:r>
        <w:rPr>
          <w:rFonts w:ascii="Calibri" w:hAnsi="Calibri"/>
        </w:rPr>
        <w:t>Além da implementação prática, foi realizada análise conceitual baseada nos princípios do Twelve-Factor App, identificando aderência e oportunidades de melhoria. Também são discutidos os desafios enfrentados durante o processo e as decisões técnicas adotadas ao longo da evolução do projeto.</w:t>
      </w:r>
    </w:p>
    <w:p w14:paraId="763635E0" w14:textId="77777777" w:rsidR="00DE44C3" w:rsidRDefault="00000000">
      <w:pPr>
        <w:pStyle w:val="Ttulo1"/>
      </w:pPr>
      <w:r>
        <w:rPr>
          <w:color w:val="000000"/>
        </w:rPr>
        <w:t>1. Introdução</w:t>
      </w:r>
    </w:p>
    <w:p w14:paraId="18BDD4E7" w14:textId="77777777" w:rsidR="00DE44C3" w:rsidRDefault="00000000">
      <w:pPr>
        <w:spacing w:after="160"/>
      </w:pPr>
      <w:r>
        <w:rPr>
          <w:rFonts w:ascii="Calibri" w:hAnsi="Calibri"/>
        </w:rPr>
        <w:t>O projeto ToggleMaster foi proposto como solução para gerenciamento centralizado de Feature Flags (Feature Toggles), permitindo que equipes de desenvolvimento ativem ou desativem funcionalidades de forma controlada, sem necessidade de novos deploys.</w:t>
      </w:r>
    </w:p>
    <w:p w14:paraId="459D6594" w14:textId="77777777" w:rsidR="00DE44C3" w:rsidRDefault="00000000">
      <w:pPr>
        <w:spacing w:after="160"/>
      </w:pPr>
      <w:r>
        <w:rPr>
          <w:rFonts w:ascii="Calibri" w:hAnsi="Calibri"/>
        </w:rPr>
        <w:t>Esse tipo de abordagem é amplamente utilizado em ambientes modernos de desenvolvimento, pois permite maior flexibilidade, redução de riscos em produção e controle sobre a liberação gradual de funcionalidades (rollouts percentuais, kill switches, segmentação por usuário).</w:t>
      </w:r>
    </w:p>
    <w:p w14:paraId="424EB96E" w14:textId="77777777" w:rsidR="00DE44C3" w:rsidRDefault="00000000">
      <w:pPr>
        <w:spacing w:after="160"/>
      </w:pPr>
      <w:r>
        <w:rPr>
          <w:rFonts w:ascii="Calibri" w:hAnsi="Calibri"/>
        </w:rPr>
        <w:t>Na Fase 01, o foco esteve em um MVP monolítico em Flask + PostgreSQL, implantado manualmente em EC2 + RDS. Na entrega final, a aplicação foi desmembrada em microsserviços, cada um com responsabilidade única, banco de dados dedicado quando necessário e comunicação assíncrona para analytics.</w:t>
      </w:r>
    </w:p>
    <w:p w14:paraId="612C828E" w14:textId="77777777" w:rsidR="00DE44C3" w:rsidRDefault="00000000">
      <w:pPr>
        <w:spacing w:after="160"/>
      </w:pPr>
      <w:r>
        <w:rPr>
          <w:rFonts w:ascii="Calibri" w:hAnsi="Calibri"/>
          <w:b/>
        </w:rPr>
        <w:t>O desafio consistiu em:</w:t>
      </w:r>
    </w:p>
    <w:p w14:paraId="03997A60" w14:textId="77777777" w:rsidR="00DE44C3" w:rsidRDefault="00000000">
      <w:pPr>
        <w:pStyle w:val="Commarcadores"/>
        <w:spacing w:after="80"/>
      </w:pPr>
      <w:r>
        <w:rPr>
          <w:rFonts w:ascii="Calibri" w:hAnsi="Calibri"/>
        </w:rPr>
        <w:t>Compreender e executar localmente o stack completo via Docker Compose;</w:t>
      </w:r>
    </w:p>
    <w:p w14:paraId="31F860DC" w14:textId="77777777" w:rsidR="00DE44C3" w:rsidRDefault="00000000">
      <w:pPr>
        <w:pStyle w:val="Commarcadores"/>
        <w:spacing w:after="80"/>
      </w:pPr>
      <w:r>
        <w:rPr>
          <w:rFonts w:ascii="Calibri" w:hAnsi="Calibri"/>
        </w:rPr>
        <w:t>Projetar arquitetura cloud escalável e segura na AWS;</w:t>
      </w:r>
    </w:p>
    <w:p w14:paraId="20A8A34D" w14:textId="77777777" w:rsidR="00DE44C3" w:rsidRDefault="00000000">
      <w:pPr>
        <w:pStyle w:val="Commarcadores"/>
        <w:spacing w:after="80"/>
      </w:pPr>
      <w:r>
        <w:rPr>
          <w:rFonts w:ascii="Calibri" w:hAnsi="Calibri"/>
        </w:rPr>
        <w:t>Implementar o caminho quente de avaliação (/evaluate) com cache em Redis;</w:t>
      </w:r>
    </w:p>
    <w:p w14:paraId="008D907A" w14:textId="77777777" w:rsidR="00DE44C3" w:rsidRDefault="00000000">
      <w:pPr>
        <w:pStyle w:val="Commarcadores"/>
        <w:spacing w:after="80"/>
      </w:pPr>
      <w:r>
        <w:rPr>
          <w:rFonts w:ascii="Calibri" w:hAnsi="Calibri"/>
        </w:rPr>
        <w:t>Registrar eventos de decisão de forma assíncrona (SQS → DynamoDB);</w:t>
      </w:r>
    </w:p>
    <w:p w14:paraId="51EC4115" w14:textId="77777777" w:rsidR="00DE44C3" w:rsidRDefault="00000000">
      <w:pPr>
        <w:pStyle w:val="Commarcadores"/>
        <w:spacing w:after="80"/>
      </w:pPr>
      <w:r>
        <w:rPr>
          <w:rFonts w:ascii="Calibri" w:hAnsi="Calibri"/>
        </w:rPr>
        <w:t>Provisionar infraestrutura como código (Terraform) e preparar deploy em Kubernetes.</w:t>
      </w:r>
    </w:p>
    <w:p w14:paraId="6F899546" w14:textId="77777777" w:rsidR="00DE44C3" w:rsidRDefault="00000000">
      <w:pPr>
        <w:pStyle w:val="Ttulo1"/>
      </w:pPr>
      <w:r>
        <w:rPr>
          <w:color w:val="000000"/>
        </w:rPr>
        <w:t>2. Execução Local da Aplicação</w:t>
      </w:r>
    </w:p>
    <w:p w14:paraId="0C309126" w14:textId="77777777" w:rsidR="00DE44C3" w:rsidRDefault="00000000">
      <w:pPr>
        <w:spacing w:after="160"/>
      </w:pPr>
      <w:r>
        <w:rPr>
          <w:rFonts w:ascii="Calibri" w:hAnsi="Calibri"/>
        </w:rPr>
        <w:t>Para execução local, foi utilizado Docker Compose, que sobe toda a stack em containers isolados: cinco microsserviços, três bancos PostgreSQL, Redis e LocalStack (emulação de SQS e DynamoDB). Esse processo garante maior padronização do ambiente e reduz problemas de compatibilidade entre diferentes máquinas.</w:t>
      </w:r>
    </w:p>
    <w:p w14:paraId="3E3D15E1" w14:textId="77777777" w:rsidR="00DE44C3" w:rsidRDefault="00000000">
      <w:pPr>
        <w:spacing w:after="160"/>
      </w:pPr>
      <w:r>
        <w:rPr>
          <w:rFonts w:ascii="Calibri" w:hAnsi="Calibri"/>
          <w:b/>
        </w:rPr>
        <w:lastRenderedPageBreak/>
        <w:t>Comando de execução:</w:t>
      </w:r>
    </w:p>
    <w:p w14:paraId="487D1F9F" w14:textId="1A960B1C" w:rsidR="00DE44C3" w:rsidRDefault="00BA0F6A">
      <w:pPr>
        <w:spacing w:after="160"/>
      </w:pPr>
      <w:r>
        <w:rPr>
          <w:rFonts w:ascii="Calibri" w:hAnsi="Calibri"/>
        </w:rPr>
        <w:t>….</w:t>
      </w:r>
    </w:p>
    <w:p w14:paraId="0332EA29" w14:textId="77777777" w:rsidR="00DE44C3" w:rsidRDefault="00000000">
      <w:pPr>
        <w:spacing w:after="160"/>
      </w:pPr>
      <w:r>
        <w:rPr>
          <w:rFonts w:ascii="Calibri" w:hAnsi="Calibri"/>
          <w:b/>
        </w:rPr>
        <w:t>Serviços e portas:</w:t>
      </w:r>
    </w:p>
    <w:tbl>
      <w:tblPr>
        <w:tblStyle w:val="Tabelacomgrade"/>
        <w:tblW w:w="0" w:type="auto"/>
        <w:tblLook w:val="04A0" w:firstRow="1" w:lastRow="0" w:firstColumn="1" w:lastColumn="0" w:noHBand="0" w:noVBand="1"/>
      </w:tblPr>
      <w:tblGrid>
        <w:gridCol w:w="3041"/>
        <w:gridCol w:w="3041"/>
        <w:gridCol w:w="3041"/>
      </w:tblGrid>
      <w:tr w:rsidR="00DE44C3" w14:paraId="5562D110" w14:textId="77777777">
        <w:tc>
          <w:tcPr>
            <w:tcW w:w="3041" w:type="dxa"/>
          </w:tcPr>
          <w:p w14:paraId="534DE0BD" w14:textId="77777777" w:rsidR="00DE44C3" w:rsidRDefault="00000000">
            <w:r>
              <w:rPr>
                <w:b/>
                <w:sz w:val="20"/>
              </w:rPr>
              <w:t>Serviço</w:t>
            </w:r>
          </w:p>
        </w:tc>
        <w:tc>
          <w:tcPr>
            <w:tcW w:w="3041" w:type="dxa"/>
          </w:tcPr>
          <w:p w14:paraId="6DB39531" w14:textId="77777777" w:rsidR="00DE44C3" w:rsidRDefault="00000000">
            <w:r>
              <w:rPr>
                <w:b/>
                <w:sz w:val="20"/>
              </w:rPr>
              <w:t>Porta</w:t>
            </w:r>
          </w:p>
        </w:tc>
        <w:tc>
          <w:tcPr>
            <w:tcW w:w="3041" w:type="dxa"/>
          </w:tcPr>
          <w:p w14:paraId="1D6F642D" w14:textId="77777777" w:rsidR="00DE44C3" w:rsidRDefault="00000000">
            <w:r>
              <w:rPr>
                <w:b/>
                <w:sz w:val="20"/>
              </w:rPr>
              <w:t>Tecnologia</w:t>
            </w:r>
          </w:p>
        </w:tc>
      </w:tr>
      <w:tr w:rsidR="00DE44C3" w14:paraId="61ADE64F" w14:textId="77777777">
        <w:tc>
          <w:tcPr>
            <w:tcW w:w="3041" w:type="dxa"/>
          </w:tcPr>
          <w:p w14:paraId="4AFB2DED" w14:textId="77777777" w:rsidR="00DE44C3" w:rsidRDefault="00000000">
            <w:r>
              <w:rPr>
                <w:sz w:val="20"/>
              </w:rPr>
              <w:t>auth-service</w:t>
            </w:r>
          </w:p>
        </w:tc>
        <w:tc>
          <w:tcPr>
            <w:tcW w:w="3041" w:type="dxa"/>
          </w:tcPr>
          <w:p w14:paraId="211DB225" w14:textId="77777777" w:rsidR="00DE44C3" w:rsidRDefault="00000000">
            <w:r>
              <w:rPr>
                <w:sz w:val="20"/>
              </w:rPr>
              <w:t>8001</w:t>
            </w:r>
          </w:p>
        </w:tc>
        <w:tc>
          <w:tcPr>
            <w:tcW w:w="3041" w:type="dxa"/>
          </w:tcPr>
          <w:p w14:paraId="0B47EF24" w14:textId="77777777" w:rsidR="00DE44C3" w:rsidRDefault="00000000">
            <w:r>
              <w:rPr>
                <w:sz w:val="20"/>
              </w:rPr>
              <w:t>Go 1.21</w:t>
            </w:r>
          </w:p>
        </w:tc>
      </w:tr>
      <w:tr w:rsidR="00DE44C3" w14:paraId="11DCDBCD" w14:textId="77777777">
        <w:tc>
          <w:tcPr>
            <w:tcW w:w="3041" w:type="dxa"/>
          </w:tcPr>
          <w:p w14:paraId="6769414F" w14:textId="77777777" w:rsidR="00DE44C3" w:rsidRDefault="00000000">
            <w:r>
              <w:rPr>
                <w:sz w:val="20"/>
              </w:rPr>
              <w:t>flag-service</w:t>
            </w:r>
          </w:p>
        </w:tc>
        <w:tc>
          <w:tcPr>
            <w:tcW w:w="3041" w:type="dxa"/>
          </w:tcPr>
          <w:p w14:paraId="4BFB6105" w14:textId="77777777" w:rsidR="00DE44C3" w:rsidRDefault="00000000">
            <w:r>
              <w:rPr>
                <w:sz w:val="20"/>
              </w:rPr>
              <w:t>8002</w:t>
            </w:r>
          </w:p>
        </w:tc>
        <w:tc>
          <w:tcPr>
            <w:tcW w:w="3041" w:type="dxa"/>
          </w:tcPr>
          <w:p w14:paraId="05C5D72F" w14:textId="77777777" w:rsidR="00DE44C3" w:rsidRDefault="00000000">
            <w:r>
              <w:rPr>
                <w:sz w:val="20"/>
              </w:rPr>
              <w:t>Python / Flask</w:t>
            </w:r>
          </w:p>
        </w:tc>
      </w:tr>
      <w:tr w:rsidR="00DE44C3" w14:paraId="0822E2E2" w14:textId="77777777">
        <w:tc>
          <w:tcPr>
            <w:tcW w:w="3041" w:type="dxa"/>
          </w:tcPr>
          <w:p w14:paraId="60E90403" w14:textId="77777777" w:rsidR="00DE44C3" w:rsidRDefault="00000000">
            <w:r>
              <w:rPr>
                <w:sz w:val="20"/>
              </w:rPr>
              <w:t>targeting-service</w:t>
            </w:r>
          </w:p>
        </w:tc>
        <w:tc>
          <w:tcPr>
            <w:tcW w:w="3041" w:type="dxa"/>
          </w:tcPr>
          <w:p w14:paraId="664BDE4C" w14:textId="77777777" w:rsidR="00DE44C3" w:rsidRDefault="00000000">
            <w:r>
              <w:rPr>
                <w:sz w:val="20"/>
              </w:rPr>
              <w:t>8003</w:t>
            </w:r>
          </w:p>
        </w:tc>
        <w:tc>
          <w:tcPr>
            <w:tcW w:w="3041" w:type="dxa"/>
          </w:tcPr>
          <w:p w14:paraId="079C0971" w14:textId="77777777" w:rsidR="00DE44C3" w:rsidRDefault="00000000">
            <w:r>
              <w:rPr>
                <w:sz w:val="20"/>
              </w:rPr>
              <w:t>Python / Flask</w:t>
            </w:r>
          </w:p>
        </w:tc>
      </w:tr>
      <w:tr w:rsidR="00DE44C3" w14:paraId="11667C0A" w14:textId="77777777">
        <w:tc>
          <w:tcPr>
            <w:tcW w:w="3041" w:type="dxa"/>
          </w:tcPr>
          <w:p w14:paraId="3D66BFBC" w14:textId="77777777" w:rsidR="00DE44C3" w:rsidRDefault="00000000">
            <w:r>
              <w:rPr>
                <w:sz w:val="20"/>
              </w:rPr>
              <w:t>evaluation-service</w:t>
            </w:r>
          </w:p>
        </w:tc>
        <w:tc>
          <w:tcPr>
            <w:tcW w:w="3041" w:type="dxa"/>
          </w:tcPr>
          <w:p w14:paraId="29D65BA7" w14:textId="77777777" w:rsidR="00DE44C3" w:rsidRDefault="00000000">
            <w:r>
              <w:rPr>
                <w:sz w:val="20"/>
              </w:rPr>
              <w:t>8004</w:t>
            </w:r>
          </w:p>
        </w:tc>
        <w:tc>
          <w:tcPr>
            <w:tcW w:w="3041" w:type="dxa"/>
          </w:tcPr>
          <w:p w14:paraId="1F86CCAB" w14:textId="77777777" w:rsidR="00DE44C3" w:rsidRDefault="00000000">
            <w:r>
              <w:rPr>
                <w:sz w:val="20"/>
              </w:rPr>
              <w:t>Go 1.21</w:t>
            </w:r>
          </w:p>
        </w:tc>
      </w:tr>
      <w:tr w:rsidR="00DE44C3" w14:paraId="6FC7A0DC" w14:textId="77777777">
        <w:tc>
          <w:tcPr>
            <w:tcW w:w="3041" w:type="dxa"/>
          </w:tcPr>
          <w:p w14:paraId="23B13CCA" w14:textId="77777777" w:rsidR="00DE44C3" w:rsidRDefault="00000000">
            <w:r>
              <w:rPr>
                <w:sz w:val="20"/>
              </w:rPr>
              <w:t>analytics-service</w:t>
            </w:r>
          </w:p>
        </w:tc>
        <w:tc>
          <w:tcPr>
            <w:tcW w:w="3041" w:type="dxa"/>
          </w:tcPr>
          <w:p w14:paraId="6175CADA" w14:textId="77777777" w:rsidR="00DE44C3" w:rsidRDefault="00000000">
            <w:r>
              <w:rPr>
                <w:sz w:val="20"/>
              </w:rPr>
              <w:t>8005</w:t>
            </w:r>
          </w:p>
        </w:tc>
        <w:tc>
          <w:tcPr>
            <w:tcW w:w="3041" w:type="dxa"/>
          </w:tcPr>
          <w:p w14:paraId="7EF3F33E" w14:textId="77777777" w:rsidR="00DE44C3" w:rsidRDefault="00000000">
            <w:r>
              <w:rPr>
                <w:sz w:val="20"/>
              </w:rPr>
              <w:t>Python (worker)</w:t>
            </w:r>
          </w:p>
        </w:tc>
      </w:tr>
      <w:tr w:rsidR="00DE44C3" w14:paraId="5EA0C82E" w14:textId="77777777">
        <w:tc>
          <w:tcPr>
            <w:tcW w:w="3041" w:type="dxa"/>
          </w:tcPr>
          <w:p w14:paraId="58730431" w14:textId="77777777" w:rsidR="00DE44C3" w:rsidRDefault="00000000">
            <w:r>
              <w:rPr>
                <w:sz w:val="20"/>
              </w:rPr>
              <w:t>auth-db</w:t>
            </w:r>
          </w:p>
        </w:tc>
        <w:tc>
          <w:tcPr>
            <w:tcW w:w="3041" w:type="dxa"/>
          </w:tcPr>
          <w:p w14:paraId="4F74B7C6" w14:textId="77777777" w:rsidR="00DE44C3" w:rsidRDefault="00000000">
            <w:r>
              <w:rPr>
                <w:sz w:val="20"/>
              </w:rPr>
              <w:t>5433</w:t>
            </w:r>
          </w:p>
        </w:tc>
        <w:tc>
          <w:tcPr>
            <w:tcW w:w="3041" w:type="dxa"/>
          </w:tcPr>
          <w:p w14:paraId="4BBAF6F4" w14:textId="77777777" w:rsidR="00DE44C3" w:rsidRDefault="00000000">
            <w:r>
              <w:rPr>
                <w:sz w:val="20"/>
              </w:rPr>
              <w:t>PostgreSQL 15</w:t>
            </w:r>
          </w:p>
        </w:tc>
      </w:tr>
      <w:tr w:rsidR="00DE44C3" w14:paraId="4C9E1AA4" w14:textId="77777777">
        <w:tc>
          <w:tcPr>
            <w:tcW w:w="3041" w:type="dxa"/>
          </w:tcPr>
          <w:p w14:paraId="592C68DF" w14:textId="77777777" w:rsidR="00DE44C3" w:rsidRDefault="00000000">
            <w:r>
              <w:rPr>
                <w:sz w:val="20"/>
              </w:rPr>
              <w:t>flag-db</w:t>
            </w:r>
          </w:p>
        </w:tc>
        <w:tc>
          <w:tcPr>
            <w:tcW w:w="3041" w:type="dxa"/>
          </w:tcPr>
          <w:p w14:paraId="17C01CE3" w14:textId="77777777" w:rsidR="00DE44C3" w:rsidRDefault="00000000">
            <w:r>
              <w:rPr>
                <w:sz w:val="20"/>
              </w:rPr>
              <w:t>5434</w:t>
            </w:r>
          </w:p>
        </w:tc>
        <w:tc>
          <w:tcPr>
            <w:tcW w:w="3041" w:type="dxa"/>
          </w:tcPr>
          <w:p w14:paraId="4020FD31" w14:textId="77777777" w:rsidR="00DE44C3" w:rsidRDefault="00000000">
            <w:r>
              <w:rPr>
                <w:sz w:val="20"/>
              </w:rPr>
              <w:t>PostgreSQL 15</w:t>
            </w:r>
          </w:p>
        </w:tc>
      </w:tr>
      <w:tr w:rsidR="00DE44C3" w14:paraId="50A00A96" w14:textId="77777777">
        <w:tc>
          <w:tcPr>
            <w:tcW w:w="3041" w:type="dxa"/>
          </w:tcPr>
          <w:p w14:paraId="6870D73F" w14:textId="77777777" w:rsidR="00DE44C3" w:rsidRDefault="00000000">
            <w:r>
              <w:rPr>
                <w:sz w:val="20"/>
              </w:rPr>
              <w:t>targeting-db</w:t>
            </w:r>
          </w:p>
        </w:tc>
        <w:tc>
          <w:tcPr>
            <w:tcW w:w="3041" w:type="dxa"/>
          </w:tcPr>
          <w:p w14:paraId="4BFE8BA4" w14:textId="77777777" w:rsidR="00DE44C3" w:rsidRDefault="00000000">
            <w:r>
              <w:rPr>
                <w:sz w:val="20"/>
              </w:rPr>
              <w:t>5435</w:t>
            </w:r>
          </w:p>
        </w:tc>
        <w:tc>
          <w:tcPr>
            <w:tcW w:w="3041" w:type="dxa"/>
          </w:tcPr>
          <w:p w14:paraId="7F3FE0CD" w14:textId="77777777" w:rsidR="00DE44C3" w:rsidRDefault="00000000">
            <w:r>
              <w:rPr>
                <w:sz w:val="20"/>
              </w:rPr>
              <w:t>PostgreSQL 15</w:t>
            </w:r>
          </w:p>
        </w:tc>
      </w:tr>
      <w:tr w:rsidR="00DE44C3" w14:paraId="264435C5" w14:textId="77777777">
        <w:tc>
          <w:tcPr>
            <w:tcW w:w="3041" w:type="dxa"/>
          </w:tcPr>
          <w:p w14:paraId="26C30EE9" w14:textId="77777777" w:rsidR="00DE44C3" w:rsidRDefault="00000000">
            <w:r>
              <w:rPr>
                <w:sz w:val="20"/>
              </w:rPr>
              <w:t>redis</w:t>
            </w:r>
          </w:p>
        </w:tc>
        <w:tc>
          <w:tcPr>
            <w:tcW w:w="3041" w:type="dxa"/>
          </w:tcPr>
          <w:p w14:paraId="241FC222" w14:textId="77777777" w:rsidR="00DE44C3" w:rsidRDefault="00000000">
            <w:r>
              <w:rPr>
                <w:sz w:val="20"/>
              </w:rPr>
              <w:t>6379</w:t>
            </w:r>
          </w:p>
        </w:tc>
        <w:tc>
          <w:tcPr>
            <w:tcW w:w="3041" w:type="dxa"/>
          </w:tcPr>
          <w:p w14:paraId="716762BF" w14:textId="77777777" w:rsidR="00DE44C3" w:rsidRDefault="00000000">
            <w:r>
              <w:rPr>
                <w:sz w:val="20"/>
              </w:rPr>
              <w:t>Redis 7</w:t>
            </w:r>
          </w:p>
        </w:tc>
      </w:tr>
      <w:tr w:rsidR="00DE44C3" w14:paraId="25882C29" w14:textId="77777777">
        <w:tc>
          <w:tcPr>
            <w:tcW w:w="3041" w:type="dxa"/>
          </w:tcPr>
          <w:p w14:paraId="21CF8E20" w14:textId="77777777" w:rsidR="00DE44C3" w:rsidRDefault="00000000">
            <w:r>
              <w:rPr>
                <w:sz w:val="20"/>
              </w:rPr>
              <w:t>localstack</w:t>
            </w:r>
          </w:p>
        </w:tc>
        <w:tc>
          <w:tcPr>
            <w:tcW w:w="3041" w:type="dxa"/>
          </w:tcPr>
          <w:p w14:paraId="328C2702" w14:textId="77777777" w:rsidR="00DE44C3" w:rsidRDefault="00000000">
            <w:r>
              <w:rPr>
                <w:sz w:val="20"/>
              </w:rPr>
              <w:t>4566</w:t>
            </w:r>
          </w:p>
        </w:tc>
        <w:tc>
          <w:tcPr>
            <w:tcW w:w="3041" w:type="dxa"/>
          </w:tcPr>
          <w:p w14:paraId="45C15935" w14:textId="77777777" w:rsidR="00DE44C3" w:rsidRDefault="00000000">
            <w:r>
              <w:rPr>
                <w:sz w:val="20"/>
              </w:rPr>
              <w:t>SQS + DynamoDB</w:t>
            </w:r>
          </w:p>
        </w:tc>
      </w:tr>
    </w:tbl>
    <w:p w14:paraId="7412D591" w14:textId="77777777" w:rsidR="00DE44C3" w:rsidRDefault="00DE44C3"/>
    <w:p w14:paraId="1198101E" w14:textId="77777777" w:rsidR="00DE44C3" w:rsidRDefault="00000000">
      <w:pPr>
        <w:spacing w:after="160"/>
      </w:pPr>
      <w:r>
        <w:rPr>
          <w:rFonts w:ascii="Calibri" w:hAnsi="Calibri"/>
          <w:b/>
        </w:rPr>
        <w:t>Validações realizadas:</w:t>
      </w:r>
    </w:p>
    <w:p w14:paraId="11AF0CDE" w14:textId="77777777" w:rsidR="00DE44C3" w:rsidRDefault="00000000">
      <w:pPr>
        <w:pStyle w:val="Commarcadores"/>
        <w:spacing w:after="80"/>
      </w:pPr>
      <w:r>
        <w:rPr>
          <w:rFonts w:ascii="Calibri" w:hAnsi="Calibri"/>
        </w:rPr>
        <w:t>Health checks de todos os serviços (GET /health);</w:t>
      </w:r>
    </w:p>
    <w:p w14:paraId="038D5C72" w14:textId="77777777" w:rsidR="00DE44C3" w:rsidRDefault="00000000">
      <w:pPr>
        <w:pStyle w:val="Commarcadores"/>
        <w:spacing w:after="80"/>
      </w:pPr>
      <w:r>
        <w:rPr>
          <w:rFonts w:ascii="Calibri" w:hAnsi="Calibri"/>
        </w:rPr>
        <w:t>Criação de chave de API no auth-service (POST /admin/keys);</w:t>
      </w:r>
    </w:p>
    <w:p w14:paraId="612032F1" w14:textId="77777777" w:rsidR="00DE44C3" w:rsidRDefault="00000000">
      <w:pPr>
        <w:pStyle w:val="Commarcadores"/>
        <w:spacing w:after="80"/>
      </w:pPr>
      <w:r>
        <w:rPr>
          <w:rFonts w:ascii="Calibri" w:hAnsi="Calibri"/>
        </w:rPr>
        <w:t>CRUD de feature flags no flag-service (com autenticação Bearer);</w:t>
      </w:r>
    </w:p>
    <w:p w14:paraId="2B4F23DD" w14:textId="77777777" w:rsidR="00DE44C3" w:rsidRDefault="00000000">
      <w:pPr>
        <w:pStyle w:val="Commarcadores"/>
        <w:spacing w:after="80"/>
      </w:pPr>
      <w:r>
        <w:rPr>
          <w:rFonts w:ascii="Calibri" w:hAnsi="Calibri"/>
        </w:rPr>
        <w:t>Criação de regras de segmentação no targeting-service (tipo PERCENTAGE);</w:t>
      </w:r>
    </w:p>
    <w:p w14:paraId="161FA6BC" w14:textId="77777777" w:rsidR="00DE44C3" w:rsidRDefault="00000000">
      <w:pPr>
        <w:pStyle w:val="Commarcadores"/>
        <w:spacing w:after="80"/>
      </w:pPr>
      <w:r>
        <w:rPr>
          <w:rFonts w:ascii="Calibri" w:hAnsi="Calibri"/>
        </w:rPr>
        <w:t>Avaliação de flags no evaluation-service (GET /evaluate);</w:t>
      </w:r>
    </w:p>
    <w:p w14:paraId="574C3EC8" w14:textId="77777777" w:rsidR="00DE44C3" w:rsidRDefault="00000000">
      <w:pPr>
        <w:pStyle w:val="Commarcadores"/>
        <w:spacing w:after="80"/>
      </w:pPr>
      <w:r>
        <w:rPr>
          <w:rFonts w:ascii="Calibri" w:hAnsi="Calibri"/>
        </w:rPr>
        <w:t>Consumo assíncrono de eventos pelo analytics-service via fila SQS local;</w:t>
      </w:r>
    </w:p>
    <w:p w14:paraId="2311593F" w14:textId="77777777" w:rsidR="00DE44C3" w:rsidRDefault="00000000">
      <w:pPr>
        <w:pStyle w:val="Commarcadores"/>
        <w:spacing w:after="80"/>
      </w:pPr>
      <w:r>
        <w:rPr>
          <w:rFonts w:ascii="Calibri" w:hAnsi="Calibri"/>
        </w:rPr>
        <w:t>Cache Redis — verificação de Cache HIT/MISS nos logs do evaluation-service.</w:t>
      </w:r>
    </w:p>
    <w:p w14:paraId="6B999083" w14:textId="77777777" w:rsidR="00DE44C3" w:rsidRDefault="00000000">
      <w:pPr>
        <w:spacing w:after="160"/>
      </w:pPr>
      <w:r>
        <w:rPr>
          <w:rFonts w:ascii="Calibri" w:hAnsi="Calibri"/>
        </w:rPr>
        <w:t>Essa etapa foi essencial para garantir o funcionamento integrado de todos os componentes antes da migração para a nuvem.</w:t>
      </w:r>
    </w:p>
    <w:p w14:paraId="7D49EE7E" w14:textId="77777777" w:rsidR="00DE44C3" w:rsidRDefault="00000000">
      <w:r>
        <w:br w:type="page"/>
      </w:r>
    </w:p>
    <w:p w14:paraId="184F5030" w14:textId="77777777" w:rsidR="00DE44C3" w:rsidRDefault="00000000">
      <w:pPr>
        <w:pStyle w:val="Ttulo1"/>
      </w:pPr>
      <w:r>
        <w:rPr>
          <w:color w:val="000000"/>
        </w:rPr>
        <w:lastRenderedPageBreak/>
        <w:t>3. Arquitetura Proposta na AWS</w:t>
      </w:r>
    </w:p>
    <w:p w14:paraId="35C3F105" w14:textId="77777777" w:rsidR="00DE44C3" w:rsidRDefault="00000000">
      <w:pPr>
        <w:spacing w:after="160"/>
      </w:pPr>
      <w:r>
        <w:rPr>
          <w:rFonts w:ascii="Calibri" w:hAnsi="Calibri"/>
        </w:rPr>
        <w:t>A arquitetura foi concebida com base em segurança, isolamento de rede, separação de responsabilidades e escalabilidade horizontal, utilizando serviços gerenciados da AWS.</w:t>
      </w:r>
    </w:p>
    <w:p w14:paraId="39020D68" w14:textId="77777777" w:rsidR="00DE44C3" w:rsidRDefault="00000000">
      <w:pPr>
        <w:pStyle w:val="Ttulo2"/>
      </w:pPr>
      <w:r>
        <w:rPr>
          <w:color w:val="000000"/>
        </w:rPr>
        <w:t>3.1 Rede (VPC)</w:t>
      </w:r>
    </w:p>
    <w:p w14:paraId="1EC9184A" w14:textId="77777777" w:rsidR="00DE44C3" w:rsidRDefault="00000000">
      <w:pPr>
        <w:spacing w:after="160"/>
      </w:pPr>
      <w:r>
        <w:rPr>
          <w:rFonts w:ascii="Calibri" w:hAnsi="Calibri"/>
        </w:rPr>
        <w:t>A infraestrutura está contida em uma Virtual Private Cloud (VPC) com bloco CIDR 10.0.0.0/16, organizada em camadas:</w:t>
      </w:r>
    </w:p>
    <w:tbl>
      <w:tblPr>
        <w:tblStyle w:val="Tabelacomgrade"/>
        <w:tblW w:w="0" w:type="auto"/>
        <w:tblLook w:val="04A0" w:firstRow="1" w:lastRow="0" w:firstColumn="1" w:lastColumn="0" w:noHBand="0" w:noVBand="1"/>
      </w:tblPr>
      <w:tblGrid>
        <w:gridCol w:w="2280"/>
        <w:gridCol w:w="2280"/>
        <w:gridCol w:w="2280"/>
        <w:gridCol w:w="2280"/>
      </w:tblGrid>
      <w:tr w:rsidR="00DE44C3" w14:paraId="6B685A99" w14:textId="77777777">
        <w:tc>
          <w:tcPr>
            <w:tcW w:w="2280" w:type="dxa"/>
          </w:tcPr>
          <w:p w14:paraId="23B589A1" w14:textId="77777777" w:rsidR="00DE44C3" w:rsidRDefault="00000000">
            <w:r>
              <w:rPr>
                <w:b/>
                <w:sz w:val="20"/>
              </w:rPr>
              <w:t>Sub-rede</w:t>
            </w:r>
          </w:p>
        </w:tc>
        <w:tc>
          <w:tcPr>
            <w:tcW w:w="2280" w:type="dxa"/>
          </w:tcPr>
          <w:p w14:paraId="066DA88E" w14:textId="77777777" w:rsidR="00DE44C3" w:rsidRDefault="00000000">
            <w:r>
              <w:rPr>
                <w:b/>
                <w:sz w:val="20"/>
              </w:rPr>
              <w:t>CIDR</w:t>
            </w:r>
          </w:p>
        </w:tc>
        <w:tc>
          <w:tcPr>
            <w:tcW w:w="2280" w:type="dxa"/>
          </w:tcPr>
          <w:p w14:paraId="37E7F281" w14:textId="77777777" w:rsidR="00DE44C3" w:rsidRDefault="00000000">
            <w:r>
              <w:rPr>
                <w:b/>
                <w:sz w:val="20"/>
              </w:rPr>
              <w:t>Tipo</w:t>
            </w:r>
          </w:p>
        </w:tc>
        <w:tc>
          <w:tcPr>
            <w:tcW w:w="2280" w:type="dxa"/>
          </w:tcPr>
          <w:p w14:paraId="584F0B10" w14:textId="77777777" w:rsidR="00DE44C3" w:rsidRDefault="00000000">
            <w:r>
              <w:rPr>
                <w:b/>
                <w:sz w:val="20"/>
              </w:rPr>
              <w:t>Finalidade</w:t>
            </w:r>
          </w:p>
        </w:tc>
      </w:tr>
      <w:tr w:rsidR="00DE44C3" w14:paraId="57AE65EA" w14:textId="77777777">
        <w:tc>
          <w:tcPr>
            <w:tcW w:w="2280" w:type="dxa"/>
          </w:tcPr>
          <w:p w14:paraId="1D688E1B" w14:textId="77777777" w:rsidR="00DE44C3" w:rsidRDefault="00000000">
            <w:r>
              <w:rPr>
                <w:sz w:val="20"/>
              </w:rPr>
              <w:t>public-a</w:t>
            </w:r>
          </w:p>
        </w:tc>
        <w:tc>
          <w:tcPr>
            <w:tcW w:w="2280" w:type="dxa"/>
          </w:tcPr>
          <w:p w14:paraId="4F205249" w14:textId="77777777" w:rsidR="00DE44C3" w:rsidRDefault="00000000">
            <w:r>
              <w:rPr>
                <w:sz w:val="20"/>
              </w:rPr>
              <w:t>10.0.1.0/24</w:t>
            </w:r>
          </w:p>
        </w:tc>
        <w:tc>
          <w:tcPr>
            <w:tcW w:w="2280" w:type="dxa"/>
          </w:tcPr>
          <w:p w14:paraId="2601A85E" w14:textId="77777777" w:rsidR="00DE44C3" w:rsidRDefault="00000000">
            <w:r>
              <w:rPr>
                <w:sz w:val="20"/>
              </w:rPr>
              <w:t>Pública (AZ-a)</w:t>
            </w:r>
          </w:p>
        </w:tc>
        <w:tc>
          <w:tcPr>
            <w:tcW w:w="2280" w:type="dxa"/>
          </w:tcPr>
          <w:p w14:paraId="28A4DC91" w14:textId="77777777" w:rsidR="00DE44C3" w:rsidRDefault="00000000">
            <w:r>
              <w:rPr>
                <w:sz w:val="20"/>
              </w:rPr>
              <w:t>Load Balancer / Ingress</w:t>
            </w:r>
          </w:p>
        </w:tc>
      </w:tr>
      <w:tr w:rsidR="00DE44C3" w14:paraId="2833176C" w14:textId="77777777">
        <w:tc>
          <w:tcPr>
            <w:tcW w:w="2280" w:type="dxa"/>
          </w:tcPr>
          <w:p w14:paraId="5888A789" w14:textId="77777777" w:rsidR="00DE44C3" w:rsidRDefault="00000000">
            <w:r>
              <w:rPr>
                <w:sz w:val="20"/>
              </w:rPr>
              <w:t>public-b</w:t>
            </w:r>
          </w:p>
        </w:tc>
        <w:tc>
          <w:tcPr>
            <w:tcW w:w="2280" w:type="dxa"/>
          </w:tcPr>
          <w:p w14:paraId="0D901155" w14:textId="77777777" w:rsidR="00DE44C3" w:rsidRDefault="00000000">
            <w:r>
              <w:rPr>
                <w:sz w:val="20"/>
              </w:rPr>
              <w:t>10.0.2.0/24</w:t>
            </w:r>
          </w:p>
        </w:tc>
        <w:tc>
          <w:tcPr>
            <w:tcW w:w="2280" w:type="dxa"/>
          </w:tcPr>
          <w:p w14:paraId="6AF5A632" w14:textId="77777777" w:rsidR="00DE44C3" w:rsidRDefault="00000000">
            <w:r>
              <w:rPr>
                <w:sz w:val="20"/>
              </w:rPr>
              <w:t>Pública (AZ-b)</w:t>
            </w:r>
          </w:p>
        </w:tc>
        <w:tc>
          <w:tcPr>
            <w:tcW w:w="2280" w:type="dxa"/>
          </w:tcPr>
          <w:p w14:paraId="6CF5AE78" w14:textId="77777777" w:rsidR="00DE44C3" w:rsidRDefault="00000000">
            <w:r>
              <w:rPr>
                <w:sz w:val="20"/>
              </w:rPr>
              <w:t>Alta disponibilidade</w:t>
            </w:r>
          </w:p>
        </w:tc>
      </w:tr>
      <w:tr w:rsidR="00DE44C3" w14:paraId="4BFFB72A" w14:textId="77777777">
        <w:tc>
          <w:tcPr>
            <w:tcW w:w="2280" w:type="dxa"/>
          </w:tcPr>
          <w:p w14:paraId="4B165E61" w14:textId="77777777" w:rsidR="00DE44C3" w:rsidRDefault="00000000">
            <w:r>
              <w:rPr>
                <w:sz w:val="20"/>
              </w:rPr>
              <w:t>private-a</w:t>
            </w:r>
          </w:p>
        </w:tc>
        <w:tc>
          <w:tcPr>
            <w:tcW w:w="2280" w:type="dxa"/>
          </w:tcPr>
          <w:p w14:paraId="342F8867" w14:textId="77777777" w:rsidR="00DE44C3" w:rsidRDefault="00000000">
            <w:r>
              <w:rPr>
                <w:sz w:val="20"/>
              </w:rPr>
              <w:t>10.0.3.0/24</w:t>
            </w:r>
          </w:p>
        </w:tc>
        <w:tc>
          <w:tcPr>
            <w:tcW w:w="2280" w:type="dxa"/>
          </w:tcPr>
          <w:p w14:paraId="1E90B71B" w14:textId="77777777" w:rsidR="00DE44C3" w:rsidRDefault="00000000">
            <w:r>
              <w:rPr>
                <w:sz w:val="20"/>
              </w:rPr>
              <w:t>Privada (AZ-a)</w:t>
            </w:r>
          </w:p>
        </w:tc>
        <w:tc>
          <w:tcPr>
            <w:tcW w:w="2280" w:type="dxa"/>
          </w:tcPr>
          <w:p w14:paraId="30CD3890" w14:textId="77777777" w:rsidR="00DE44C3" w:rsidRDefault="00000000">
            <w:r>
              <w:rPr>
                <w:sz w:val="20"/>
              </w:rPr>
              <w:t>RDS, Redis, nodes K8s</w:t>
            </w:r>
          </w:p>
        </w:tc>
      </w:tr>
      <w:tr w:rsidR="00DE44C3" w14:paraId="1448C5D3" w14:textId="77777777">
        <w:tc>
          <w:tcPr>
            <w:tcW w:w="2280" w:type="dxa"/>
          </w:tcPr>
          <w:p w14:paraId="2C22B1B5" w14:textId="77777777" w:rsidR="00DE44C3" w:rsidRDefault="00000000">
            <w:r>
              <w:rPr>
                <w:sz w:val="20"/>
              </w:rPr>
              <w:t>private-b</w:t>
            </w:r>
          </w:p>
        </w:tc>
        <w:tc>
          <w:tcPr>
            <w:tcW w:w="2280" w:type="dxa"/>
          </w:tcPr>
          <w:p w14:paraId="4A08325D" w14:textId="77777777" w:rsidR="00DE44C3" w:rsidRDefault="00000000">
            <w:r>
              <w:rPr>
                <w:sz w:val="20"/>
              </w:rPr>
              <w:t>10.0.4.0/24</w:t>
            </w:r>
          </w:p>
        </w:tc>
        <w:tc>
          <w:tcPr>
            <w:tcW w:w="2280" w:type="dxa"/>
          </w:tcPr>
          <w:p w14:paraId="3780E9CF" w14:textId="77777777" w:rsidR="00DE44C3" w:rsidRDefault="00000000">
            <w:r>
              <w:rPr>
                <w:sz w:val="20"/>
              </w:rPr>
              <w:t>Privada (AZ-b)</w:t>
            </w:r>
          </w:p>
        </w:tc>
        <w:tc>
          <w:tcPr>
            <w:tcW w:w="2280" w:type="dxa"/>
          </w:tcPr>
          <w:p w14:paraId="679683BD" w14:textId="77777777" w:rsidR="00DE44C3" w:rsidRDefault="00000000">
            <w:r>
              <w:rPr>
                <w:sz w:val="20"/>
              </w:rPr>
              <w:t>RDS, Redis, nodes K8s</w:t>
            </w:r>
          </w:p>
        </w:tc>
      </w:tr>
    </w:tbl>
    <w:p w14:paraId="46D9F32A" w14:textId="77777777" w:rsidR="00DE44C3" w:rsidRDefault="00DE44C3"/>
    <w:p w14:paraId="32525EFC" w14:textId="77777777" w:rsidR="00DE44C3" w:rsidRDefault="00000000">
      <w:pPr>
        <w:pStyle w:val="Commarcadores"/>
        <w:spacing w:after="80"/>
      </w:pPr>
      <w:r>
        <w:rPr>
          <w:rFonts w:ascii="Calibri" w:hAnsi="Calibri"/>
        </w:rPr>
        <w:t>Internet Gateway conecta as sub-redes públicas à internet;</w:t>
      </w:r>
    </w:p>
    <w:p w14:paraId="1D12C363" w14:textId="77777777" w:rsidR="00DE44C3" w:rsidRDefault="00000000">
      <w:pPr>
        <w:pStyle w:val="Commarcadores"/>
        <w:spacing w:after="80"/>
      </w:pPr>
      <w:r>
        <w:rPr>
          <w:rFonts w:ascii="Calibri" w:hAnsi="Calibri"/>
        </w:rPr>
        <w:t>Sub-redes privadas não possuem rota direta para a internet;</w:t>
      </w:r>
    </w:p>
    <w:p w14:paraId="73DE7EA2" w14:textId="77777777" w:rsidR="00DE44C3" w:rsidRDefault="00000000">
      <w:pPr>
        <w:pStyle w:val="Commarcadores"/>
        <w:spacing w:after="80"/>
      </w:pPr>
      <w:r>
        <w:rPr>
          <w:rFonts w:ascii="Calibri" w:hAnsi="Calibri"/>
        </w:rPr>
        <w:t>Security Groups controlam comunicação entre nodes EKS, RDS e ElastiCache.</w:t>
      </w:r>
    </w:p>
    <w:p w14:paraId="39AD0C9B" w14:textId="77777777" w:rsidR="00DE44C3" w:rsidRDefault="00000000">
      <w:pPr>
        <w:pStyle w:val="Ttulo2"/>
      </w:pPr>
      <w:r>
        <w:rPr>
          <w:color w:val="000000"/>
        </w:rPr>
        <w:t>3.2 Microsserviços e responsabilidades</w:t>
      </w:r>
    </w:p>
    <w:p w14:paraId="3EC9649C" w14:textId="77777777" w:rsidR="00DE44C3" w:rsidRDefault="00000000">
      <w:pPr>
        <w:spacing w:after="160"/>
      </w:pPr>
      <w:r>
        <w:rPr>
          <w:rFonts w:ascii="Calibri" w:hAnsi="Calibri"/>
        </w:rPr>
        <w:t>auth-service (Go): criação e validação de chaves de API — PostgreSQL auth_db.</w:t>
      </w:r>
      <w:r>
        <w:rPr>
          <w:rFonts w:ascii="Calibri" w:hAnsi="Calibri"/>
        </w:rPr>
        <w:br/>
        <w:t>flag-service (Python): CRUD de definições de feature flags — PostgreSQL flag_db.</w:t>
      </w:r>
      <w:r>
        <w:rPr>
          <w:rFonts w:ascii="Calibri" w:hAnsi="Calibri"/>
        </w:rPr>
        <w:br/>
        <w:t>targeting-service (Python): regras de segmentação por flag — PostgreSQL targeting_db.</w:t>
      </w:r>
      <w:r>
        <w:rPr>
          <w:rFonts w:ascii="Calibri" w:hAnsi="Calibri"/>
        </w:rPr>
        <w:br/>
        <w:t>evaluation-service (Go): caminho quente de avaliação com cache Redis — consulta flag e targeting em paralelo; envia eventos para SQS.</w:t>
      </w:r>
      <w:r>
        <w:rPr>
          <w:rFonts w:ascii="Calibri" w:hAnsi="Calibri"/>
        </w:rPr>
        <w:br/>
        <w:t>analytics-service (Python): worker que consome SQS e persiste eventos no DynamoDB.</w:t>
      </w:r>
    </w:p>
    <w:p w14:paraId="4F258764" w14:textId="77777777" w:rsidR="00DE44C3" w:rsidRDefault="00000000">
      <w:pPr>
        <w:pStyle w:val="Ttulo2"/>
      </w:pPr>
      <w:r>
        <w:rPr>
          <w:color w:val="000000"/>
        </w:rPr>
        <w:t>3.3 Serviços AWS utilizados</w:t>
      </w:r>
    </w:p>
    <w:tbl>
      <w:tblPr>
        <w:tblStyle w:val="Tabelacomgrade"/>
        <w:tblW w:w="0" w:type="auto"/>
        <w:tblLook w:val="04A0" w:firstRow="1" w:lastRow="0" w:firstColumn="1" w:lastColumn="0" w:noHBand="0" w:noVBand="1"/>
      </w:tblPr>
      <w:tblGrid>
        <w:gridCol w:w="4561"/>
        <w:gridCol w:w="4561"/>
      </w:tblGrid>
      <w:tr w:rsidR="00DE44C3" w14:paraId="19E6990C" w14:textId="77777777">
        <w:tc>
          <w:tcPr>
            <w:tcW w:w="4561" w:type="dxa"/>
          </w:tcPr>
          <w:p w14:paraId="6DC7F58C" w14:textId="77777777" w:rsidR="00DE44C3" w:rsidRDefault="00000000">
            <w:r>
              <w:rPr>
                <w:b/>
                <w:sz w:val="20"/>
              </w:rPr>
              <w:t>Serviço AWS</w:t>
            </w:r>
          </w:p>
        </w:tc>
        <w:tc>
          <w:tcPr>
            <w:tcW w:w="4561" w:type="dxa"/>
          </w:tcPr>
          <w:p w14:paraId="2B23DD1E" w14:textId="77777777" w:rsidR="00DE44C3" w:rsidRDefault="00000000">
            <w:r>
              <w:rPr>
                <w:b/>
                <w:sz w:val="20"/>
              </w:rPr>
              <w:t>Uso no projeto</w:t>
            </w:r>
          </w:p>
        </w:tc>
      </w:tr>
      <w:tr w:rsidR="00DE44C3" w14:paraId="323CB4C6" w14:textId="77777777">
        <w:tc>
          <w:tcPr>
            <w:tcW w:w="4561" w:type="dxa"/>
          </w:tcPr>
          <w:p w14:paraId="3E8A3056" w14:textId="77777777" w:rsidR="00DE44C3" w:rsidRDefault="00000000">
            <w:r>
              <w:rPr>
                <w:sz w:val="20"/>
              </w:rPr>
              <w:t>VPC + Subnets + IGW</w:t>
            </w:r>
          </w:p>
        </w:tc>
        <w:tc>
          <w:tcPr>
            <w:tcW w:w="4561" w:type="dxa"/>
          </w:tcPr>
          <w:p w14:paraId="566D17F3" w14:textId="77777777" w:rsidR="00DE44C3" w:rsidRDefault="00000000">
            <w:r>
              <w:rPr>
                <w:sz w:val="20"/>
              </w:rPr>
              <w:t>Segmentação e isolamento de rede</w:t>
            </w:r>
          </w:p>
        </w:tc>
      </w:tr>
      <w:tr w:rsidR="00DE44C3" w14:paraId="748C51C8" w14:textId="77777777">
        <w:tc>
          <w:tcPr>
            <w:tcW w:w="4561" w:type="dxa"/>
          </w:tcPr>
          <w:p w14:paraId="5DEFCE32" w14:textId="77777777" w:rsidR="00DE44C3" w:rsidRDefault="00000000">
            <w:r>
              <w:rPr>
                <w:sz w:val="20"/>
              </w:rPr>
              <w:t>RDS PostgreSQL (×3)</w:t>
            </w:r>
          </w:p>
        </w:tc>
        <w:tc>
          <w:tcPr>
            <w:tcW w:w="4561" w:type="dxa"/>
          </w:tcPr>
          <w:p w14:paraId="53C62BD4" w14:textId="77777777" w:rsidR="00DE44C3" w:rsidRDefault="00000000">
            <w:r>
              <w:rPr>
                <w:sz w:val="20"/>
              </w:rPr>
              <w:t>Bancos auth, flag e targeting</w:t>
            </w:r>
          </w:p>
        </w:tc>
      </w:tr>
      <w:tr w:rsidR="00DE44C3" w14:paraId="5A09DED0" w14:textId="77777777">
        <w:tc>
          <w:tcPr>
            <w:tcW w:w="4561" w:type="dxa"/>
          </w:tcPr>
          <w:p w14:paraId="462A69D4" w14:textId="77777777" w:rsidR="00DE44C3" w:rsidRDefault="00000000">
            <w:r>
              <w:rPr>
                <w:sz w:val="20"/>
              </w:rPr>
              <w:t>ElastiCache Redis</w:t>
            </w:r>
          </w:p>
        </w:tc>
        <w:tc>
          <w:tcPr>
            <w:tcW w:w="4561" w:type="dxa"/>
          </w:tcPr>
          <w:p w14:paraId="642AD3BD" w14:textId="77777777" w:rsidR="00DE44C3" w:rsidRDefault="00000000">
            <w:r>
              <w:rPr>
                <w:sz w:val="20"/>
              </w:rPr>
              <w:t>Cache do evaluation-service</w:t>
            </w:r>
          </w:p>
        </w:tc>
      </w:tr>
      <w:tr w:rsidR="00DE44C3" w14:paraId="0A1DABB9" w14:textId="77777777">
        <w:tc>
          <w:tcPr>
            <w:tcW w:w="4561" w:type="dxa"/>
          </w:tcPr>
          <w:p w14:paraId="47B5B3A5" w14:textId="77777777" w:rsidR="00DE44C3" w:rsidRDefault="00000000">
            <w:r>
              <w:rPr>
                <w:sz w:val="20"/>
              </w:rPr>
              <w:t>SQS</w:t>
            </w:r>
          </w:p>
        </w:tc>
        <w:tc>
          <w:tcPr>
            <w:tcW w:w="4561" w:type="dxa"/>
          </w:tcPr>
          <w:p w14:paraId="20B991DE" w14:textId="77777777" w:rsidR="00DE44C3" w:rsidRDefault="00000000">
            <w:r>
              <w:rPr>
                <w:sz w:val="20"/>
              </w:rPr>
              <w:t>Fila de eventos de avaliação</w:t>
            </w:r>
          </w:p>
        </w:tc>
      </w:tr>
      <w:tr w:rsidR="00DE44C3" w14:paraId="6D5E0711" w14:textId="77777777">
        <w:tc>
          <w:tcPr>
            <w:tcW w:w="4561" w:type="dxa"/>
          </w:tcPr>
          <w:p w14:paraId="2F5182EB" w14:textId="77777777" w:rsidR="00DE44C3" w:rsidRDefault="00000000">
            <w:r>
              <w:rPr>
                <w:sz w:val="20"/>
              </w:rPr>
              <w:t>DynamoDB</w:t>
            </w:r>
          </w:p>
        </w:tc>
        <w:tc>
          <w:tcPr>
            <w:tcW w:w="4561" w:type="dxa"/>
          </w:tcPr>
          <w:p w14:paraId="65183960" w14:textId="77777777" w:rsidR="00DE44C3" w:rsidRDefault="00000000">
            <w:r>
              <w:rPr>
                <w:sz w:val="20"/>
              </w:rPr>
              <w:t>Armazenamento de analytics</w:t>
            </w:r>
          </w:p>
        </w:tc>
      </w:tr>
      <w:tr w:rsidR="00DE44C3" w14:paraId="57A715D5" w14:textId="77777777">
        <w:tc>
          <w:tcPr>
            <w:tcW w:w="4561" w:type="dxa"/>
          </w:tcPr>
          <w:p w14:paraId="4B42064B" w14:textId="77777777" w:rsidR="00DE44C3" w:rsidRDefault="00000000">
            <w:r>
              <w:rPr>
                <w:sz w:val="20"/>
              </w:rPr>
              <w:t>ECR</w:t>
            </w:r>
          </w:p>
        </w:tc>
        <w:tc>
          <w:tcPr>
            <w:tcW w:w="4561" w:type="dxa"/>
          </w:tcPr>
          <w:p w14:paraId="3EF85379" w14:textId="77777777" w:rsidR="00DE44C3" w:rsidRDefault="00000000">
            <w:r>
              <w:rPr>
                <w:sz w:val="20"/>
              </w:rPr>
              <w:t>Registro de imagens Docker</w:t>
            </w:r>
          </w:p>
        </w:tc>
      </w:tr>
      <w:tr w:rsidR="00DE44C3" w14:paraId="23321682" w14:textId="77777777">
        <w:tc>
          <w:tcPr>
            <w:tcW w:w="4561" w:type="dxa"/>
          </w:tcPr>
          <w:p w14:paraId="3FFD7428" w14:textId="77777777" w:rsidR="00DE44C3" w:rsidRDefault="00000000">
            <w:r>
              <w:rPr>
                <w:sz w:val="20"/>
              </w:rPr>
              <w:t>Kubernetes (EKS)</w:t>
            </w:r>
          </w:p>
        </w:tc>
        <w:tc>
          <w:tcPr>
            <w:tcW w:w="4561" w:type="dxa"/>
          </w:tcPr>
          <w:p w14:paraId="795DEBF5" w14:textId="77777777" w:rsidR="00DE44C3" w:rsidRDefault="00000000">
            <w:r>
              <w:rPr>
                <w:sz w:val="20"/>
              </w:rPr>
              <w:t>Orquestração dos microsserviços</w:t>
            </w:r>
          </w:p>
        </w:tc>
      </w:tr>
      <w:tr w:rsidR="00DE44C3" w14:paraId="6CA7BD56" w14:textId="77777777">
        <w:tc>
          <w:tcPr>
            <w:tcW w:w="4561" w:type="dxa"/>
          </w:tcPr>
          <w:p w14:paraId="5396407C" w14:textId="77777777" w:rsidR="00DE44C3" w:rsidRDefault="00000000">
            <w:r>
              <w:rPr>
                <w:sz w:val="20"/>
              </w:rPr>
              <w:t>Ingress NGINX</w:t>
            </w:r>
          </w:p>
        </w:tc>
        <w:tc>
          <w:tcPr>
            <w:tcW w:w="4561" w:type="dxa"/>
          </w:tcPr>
          <w:p w14:paraId="4634A4EC" w14:textId="77777777" w:rsidR="00DE44C3" w:rsidRDefault="00000000">
            <w:r>
              <w:rPr>
                <w:sz w:val="20"/>
              </w:rPr>
              <w:t>Roteamento HTTP externo</w:t>
            </w:r>
          </w:p>
        </w:tc>
      </w:tr>
    </w:tbl>
    <w:p w14:paraId="7A1770A5" w14:textId="77777777" w:rsidR="00DE44C3" w:rsidRDefault="00DE44C3"/>
    <w:p w14:paraId="70495310" w14:textId="77777777" w:rsidR="00DE44C3" w:rsidRDefault="00000000">
      <w:pPr>
        <w:pStyle w:val="Ttulo2"/>
      </w:pPr>
      <w:r>
        <w:rPr>
          <w:color w:val="000000"/>
        </w:rPr>
        <w:t>3.4 Fluxo de comunicação</w:t>
      </w:r>
    </w:p>
    <w:p w14:paraId="48048705" w14:textId="77777777" w:rsidR="00DE44C3" w:rsidRDefault="00000000">
      <w:pPr>
        <w:spacing w:after="160"/>
      </w:pPr>
      <w:r>
        <w:rPr>
          <w:rFonts w:ascii="Calibri" w:hAnsi="Calibri"/>
          <w:b/>
        </w:rPr>
        <w:t>Caminho administrativo (CRUD):</w:t>
      </w:r>
    </w:p>
    <w:p w14:paraId="70BCAE8B" w14:textId="77777777" w:rsidR="00DE44C3" w:rsidRDefault="00000000">
      <w:pPr>
        <w:pStyle w:val="Commarcadores"/>
        <w:spacing w:after="80"/>
      </w:pPr>
      <w:r>
        <w:rPr>
          <w:rFonts w:ascii="Calibri" w:hAnsi="Calibri"/>
        </w:rPr>
        <w:t>Admin envia requisição com Authorization: Bearer &lt;api_key&gt;;</w:t>
      </w:r>
    </w:p>
    <w:p w14:paraId="118101A3" w14:textId="77777777" w:rsidR="00DE44C3" w:rsidRDefault="00000000">
      <w:pPr>
        <w:pStyle w:val="Commarcadores"/>
        <w:spacing w:after="80"/>
      </w:pPr>
      <w:r>
        <w:rPr>
          <w:rFonts w:ascii="Calibri" w:hAnsi="Calibri"/>
        </w:rPr>
        <w:t>flag-service / targeting-service validam a chave no auth-service;</w:t>
      </w:r>
    </w:p>
    <w:p w14:paraId="1D287680" w14:textId="77777777" w:rsidR="00DE44C3" w:rsidRDefault="00000000">
      <w:pPr>
        <w:pStyle w:val="Commarcadores"/>
        <w:spacing w:after="80"/>
      </w:pPr>
      <w:r>
        <w:rPr>
          <w:rFonts w:ascii="Calibri" w:hAnsi="Calibri"/>
        </w:rPr>
        <w:t>Operação é persistida no PostgreSQL correspondente.</w:t>
      </w:r>
    </w:p>
    <w:p w14:paraId="3456CD64" w14:textId="77777777" w:rsidR="00DE44C3" w:rsidRDefault="00000000">
      <w:pPr>
        <w:spacing w:after="160"/>
      </w:pPr>
      <w:r>
        <w:rPr>
          <w:rFonts w:ascii="Calibri" w:hAnsi="Calibri"/>
          <w:b/>
        </w:rPr>
        <w:t>Caminho quente (avaliação):</w:t>
      </w:r>
    </w:p>
    <w:p w14:paraId="01123459" w14:textId="77777777" w:rsidR="00DE44C3" w:rsidRDefault="00000000">
      <w:pPr>
        <w:pStyle w:val="Commarcadores"/>
        <w:spacing w:after="80"/>
      </w:pPr>
      <w:r>
        <w:rPr>
          <w:rFonts w:ascii="Calibri" w:hAnsi="Calibri"/>
        </w:rPr>
        <w:lastRenderedPageBreak/>
        <w:t>Cliente chama GET /evaluate?user_id=X&amp;flag_name=Y;</w:t>
      </w:r>
    </w:p>
    <w:p w14:paraId="326EE498" w14:textId="77777777" w:rsidR="00DE44C3" w:rsidRDefault="00000000">
      <w:pPr>
        <w:pStyle w:val="Commarcadores"/>
        <w:spacing w:after="80"/>
      </w:pPr>
      <w:r>
        <w:rPr>
          <w:rFonts w:ascii="Calibri" w:hAnsi="Calibri"/>
        </w:rPr>
        <w:t>evaluation-service consulta Redis (TTL 30s);</w:t>
      </w:r>
    </w:p>
    <w:p w14:paraId="63445FC7" w14:textId="77777777" w:rsidR="00DE44C3" w:rsidRDefault="00000000">
      <w:pPr>
        <w:pStyle w:val="Commarcadores"/>
        <w:spacing w:after="80"/>
      </w:pPr>
      <w:r>
        <w:rPr>
          <w:rFonts w:ascii="Calibri" w:hAnsi="Calibri"/>
        </w:rPr>
        <w:t>Em cache miss, busca flag e regra em paralelo nos serviços Python;</w:t>
      </w:r>
    </w:p>
    <w:p w14:paraId="511B425A" w14:textId="77777777" w:rsidR="00DE44C3" w:rsidRDefault="00000000">
      <w:pPr>
        <w:pStyle w:val="Commarcadores"/>
        <w:spacing w:after="80"/>
      </w:pPr>
      <w:r>
        <w:rPr>
          <w:rFonts w:ascii="Calibri" w:hAnsi="Calibri"/>
        </w:rPr>
        <w:t>Aplica lógica determinística (hash SHA-1 → bucket 0–99);</w:t>
      </w:r>
    </w:p>
    <w:p w14:paraId="1DCD4BD1" w14:textId="77777777" w:rsidR="00DE44C3" w:rsidRDefault="00000000">
      <w:pPr>
        <w:pStyle w:val="Commarcadores"/>
        <w:spacing w:after="80"/>
      </w:pPr>
      <w:r>
        <w:rPr>
          <w:rFonts w:ascii="Calibri" w:hAnsi="Calibri"/>
        </w:rPr>
        <w:t>Retorna true ou false imediatamente;</w:t>
      </w:r>
    </w:p>
    <w:p w14:paraId="67E25196" w14:textId="77777777" w:rsidR="00DE44C3" w:rsidRDefault="00000000">
      <w:pPr>
        <w:pStyle w:val="Commarcadores"/>
        <w:spacing w:after="80"/>
      </w:pPr>
      <w:r>
        <w:rPr>
          <w:rFonts w:ascii="Calibri" w:hAnsi="Calibri"/>
        </w:rPr>
        <w:t>Envia evento para SQS de forma assíncrona;</w:t>
      </w:r>
    </w:p>
    <w:p w14:paraId="7060DE53" w14:textId="77777777" w:rsidR="00DE44C3" w:rsidRDefault="00000000">
      <w:pPr>
        <w:pStyle w:val="Commarcadores"/>
        <w:spacing w:after="80"/>
      </w:pPr>
      <w:r>
        <w:rPr>
          <w:rFonts w:ascii="Calibri" w:hAnsi="Calibri"/>
        </w:rPr>
        <w:t>analytics-service consome a fila e grava no DynamoDB.</w:t>
      </w:r>
    </w:p>
    <w:p w14:paraId="4F3E1980" w14:textId="77777777" w:rsidR="00DE44C3" w:rsidRDefault="00000000">
      <w:pPr>
        <w:pStyle w:val="Ttulo2"/>
      </w:pPr>
      <w:r>
        <w:rPr>
          <w:color w:val="000000"/>
        </w:rPr>
        <w:t>3.5 Kubernetes</w:t>
      </w:r>
    </w:p>
    <w:p w14:paraId="1C652D60" w14:textId="77777777" w:rsidR="00DE44C3" w:rsidRDefault="00000000">
      <w:pPr>
        <w:spacing w:after="160"/>
      </w:pPr>
      <w:r>
        <w:rPr>
          <w:rFonts w:ascii="Calibri" w:hAnsi="Calibri"/>
        </w:rPr>
        <w:t>Os microsserviços são implantados no namespace togglemaster com Deployments e Services (ClusterIP), ConfigMap para URLs internas, Secrets para credenciais, Ingress NGINX com rotas /auth, /flags, /targeting, /evaluate e /analytics, e HPA (Horizontal Pod Autoscaler) para evaluation-service (2–8 réplicas) e analytics-service (1–4 réplicas), baseado em CPU 70%.</w:t>
      </w:r>
    </w:p>
    <w:p w14:paraId="708A8899" w14:textId="77777777" w:rsidR="00DE44C3" w:rsidRDefault="00000000">
      <w:r>
        <w:br w:type="page"/>
      </w:r>
    </w:p>
    <w:p w14:paraId="0DA755CA" w14:textId="77777777" w:rsidR="00DE44C3" w:rsidRDefault="00000000">
      <w:pPr>
        <w:pStyle w:val="Ttulo1"/>
      </w:pPr>
      <w:r>
        <w:rPr>
          <w:color w:val="000000"/>
        </w:rPr>
        <w:lastRenderedPageBreak/>
        <w:t>4. Análise da Arquitetura de Microsserviços</w:t>
      </w:r>
    </w:p>
    <w:p w14:paraId="6792D1C4" w14:textId="77777777" w:rsidR="00DE44C3" w:rsidRDefault="00000000">
      <w:pPr>
        <w:spacing w:after="160"/>
      </w:pPr>
      <w:r>
        <w:rPr>
          <w:rFonts w:ascii="Calibri" w:hAnsi="Calibri"/>
        </w:rPr>
        <w:t>Em relação ao monolito da Fase 01, a solução atual adota arquitetura de microsserviços, onde cada domínio possui serviço, banco e ciclo de deploy independentes.</w:t>
      </w:r>
    </w:p>
    <w:p w14:paraId="06862C91" w14:textId="77777777" w:rsidR="00DE44C3" w:rsidRDefault="00000000">
      <w:pPr>
        <w:spacing w:after="160"/>
      </w:pPr>
      <w:r>
        <w:rPr>
          <w:rFonts w:ascii="Calibri" w:hAnsi="Calibri"/>
          <w:b/>
        </w:rPr>
        <w:t>Vantagens observadas:</w:t>
      </w:r>
    </w:p>
    <w:tbl>
      <w:tblPr>
        <w:tblStyle w:val="Tabelacomgrade"/>
        <w:tblW w:w="0" w:type="auto"/>
        <w:tblLook w:val="04A0" w:firstRow="1" w:lastRow="0" w:firstColumn="1" w:lastColumn="0" w:noHBand="0" w:noVBand="1"/>
      </w:tblPr>
      <w:tblGrid>
        <w:gridCol w:w="4561"/>
        <w:gridCol w:w="4561"/>
      </w:tblGrid>
      <w:tr w:rsidR="00DE44C3" w14:paraId="4284D375" w14:textId="77777777">
        <w:tc>
          <w:tcPr>
            <w:tcW w:w="4561" w:type="dxa"/>
          </w:tcPr>
          <w:p w14:paraId="64685A6A" w14:textId="77777777" w:rsidR="00DE44C3" w:rsidRDefault="00000000">
            <w:r>
              <w:rPr>
                <w:b/>
                <w:sz w:val="20"/>
              </w:rPr>
              <w:t>Vantagem</w:t>
            </w:r>
          </w:p>
        </w:tc>
        <w:tc>
          <w:tcPr>
            <w:tcW w:w="4561" w:type="dxa"/>
          </w:tcPr>
          <w:p w14:paraId="12618700" w14:textId="77777777" w:rsidR="00DE44C3" w:rsidRDefault="00000000">
            <w:r>
              <w:rPr>
                <w:b/>
                <w:sz w:val="20"/>
              </w:rPr>
              <w:t>Descrição</w:t>
            </w:r>
          </w:p>
        </w:tc>
      </w:tr>
      <w:tr w:rsidR="00DE44C3" w14:paraId="2999FCD6" w14:textId="77777777">
        <w:tc>
          <w:tcPr>
            <w:tcW w:w="4561" w:type="dxa"/>
          </w:tcPr>
          <w:p w14:paraId="7CB0FBC7" w14:textId="77777777" w:rsidR="00DE44C3" w:rsidRDefault="00000000">
            <w:r>
              <w:rPr>
                <w:sz w:val="20"/>
              </w:rPr>
              <w:t>Escalabilidade independente</w:t>
            </w:r>
          </w:p>
        </w:tc>
        <w:tc>
          <w:tcPr>
            <w:tcW w:w="4561" w:type="dxa"/>
          </w:tcPr>
          <w:p w14:paraId="2CB7FE0D" w14:textId="77777777" w:rsidR="00DE44C3" w:rsidRDefault="00000000">
            <w:r>
              <w:rPr>
                <w:sz w:val="20"/>
              </w:rPr>
              <w:t>evaluation-service escala via HPA sem afetar CRUD</w:t>
            </w:r>
          </w:p>
        </w:tc>
      </w:tr>
      <w:tr w:rsidR="00DE44C3" w14:paraId="54ED3D9C" w14:textId="77777777">
        <w:tc>
          <w:tcPr>
            <w:tcW w:w="4561" w:type="dxa"/>
          </w:tcPr>
          <w:p w14:paraId="1385557E" w14:textId="77777777" w:rsidR="00DE44C3" w:rsidRDefault="00000000">
            <w:r>
              <w:rPr>
                <w:sz w:val="20"/>
              </w:rPr>
              <w:t>Separação de responsabilidades</w:t>
            </w:r>
          </w:p>
        </w:tc>
        <w:tc>
          <w:tcPr>
            <w:tcW w:w="4561" w:type="dxa"/>
          </w:tcPr>
          <w:p w14:paraId="7D2D7BA4" w14:textId="77777777" w:rsidR="00DE44C3" w:rsidRDefault="00000000">
            <w:r>
              <w:rPr>
                <w:sz w:val="20"/>
              </w:rPr>
              <w:t>Auth, flags, targeting, avaliação e analytics isolados</w:t>
            </w:r>
          </w:p>
        </w:tc>
      </w:tr>
      <w:tr w:rsidR="00DE44C3" w14:paraId="3ECEFF4C" w14:textId="77777777">
        <w:tc>
          <w:tcPr>
            <w:tcW w:w="4561" w:type="dxa"/>
          </w:tcPr>
          <w:p w14:paraId="2C616D67" w14:textId="77777777" w:rsidR="00DE44C3" w:rsidRDefault="00000000">
            <w:r>
              <w:rPr>
                <w:sz w:val="20"/>
              </w:rPr>
              <w:t>Polyglot</w:t>
            </w:r>
          </w:p>
        </w:tc>
        <w:tc>
          <w:tcPr>
            <w:tcW w:w="4561" w:type="dxa"/>
          </w:tcPr>
          <w:p w14:paraId="30AED931" w14:textId="77777777" w:rsidR="00DE44C3" w:rsidRDefault="00000000">
            <w:r>
              <w:rPr>
                <w:sz w:val="20"/>
              </w:rPr>
              <w:t>Go no hot path (performance); Python no CRUD/workers</w:t>
            </w:r>
          </w:p>
        </w:tc>
      </w:tr>
      <w:tr w:rsidR="00DE44C3" w14:paraId="335DC8EF" w14:textId="77777777">
        <w:tc>
          <w:tcPr>
            <w:tcW w:w="4561" w:type="dxa"/>
          </w:tcPr>
          <w:p w14:paraId="2624DFED" w14:textId="77777777" w:rsidR="00DE44C3" w:rsidRDefault="00000000">
            <w:r>
              <w:rPr>
                <w:sz w:val="20"/>
              </w:rPr>
              <w:t>Resiliência parcial</w:t>
            </w:r>
          </w:p>
        </w:tc>
        <w:tc>
          <w:tcPr>
            <w:tcW w:w="4561" w:type="dxa"/>
          </w:tcPr>
          <w:p w14:paraId="6FAF4E5A" w14:textId="77777777" w:rsidR="00DE44C3" w:rsidRDefault="00000000">
            <w:r>
              <w:rPr>
                <w:sz w:val="20"/>
              </w:rPr>
              <w:t>Falha em analytics não impede avaliação de flags</w:t>
            </w:r>
          </w:p>
        </w:tc>
      </w:tr>
      <w:tr w:rsidR="00DE44C3" w14:paraId="653F32E7" w14:textId="77777777">
        <w:tc>
          <w:tcPr>
            <w:tcW w:w="4561" w:type="dxa"/>
          </w:tcPr>
          <w:p w14:paraId="2FF24494" w14:textId="77777777" w:rsidR="00DE44C3" w:rsidRDefault="00000000">
            <w:r>
              <w:rPr>
                <w:sz w:val="20"/>
              </w:rPr>
              <w:t>Cache dedicado</w:t>
            </w:r>
          </w:p>
        </w:tc>
        <w:tc>
          <w:tcPr>
            <w:tcW w:w="4561" w:type="dxa"/>
          </w:tcPr>
          <w:p w14:paraId="7C3DADBD" w14:textId="77777777" w:rsidR="00DE44C3" w:rsidRDefault="00000000">
            <w:r>
              <w:rPr>
                <w:sz w:val="20"/>
              </w:rPr>
              <w:t>Redis exclusivo para o caminho quente</w:t>
            </w:r>
          </w:p>
        </w:tc>
      </w:tr>
    </w:tbl>
    <w:p w14:paraId="4490C2E0" w14:textId="77777777" w:rsidR="00DE44C3" w:rsidRDefault="00DE44C3"/>
    <w:p w14:paraId="0090E7FE" w14:textId="77777777" w:rsidR="00DE44C3" w:rsidRDefault="00000000">
      <w:pPr>
        <w:spacing w:after="160"/>
      </w:pPr>
      <w:r>
        <w:rPr>
          <w:rFonts w:ascii="Calibri" w:hAnsi="Calibri"/>
          <w:b/>
        </w:rPr>
        <w:t>Limitações e trade-offs:</w:t>
      </w:r>
    </w:p>
    <w:tbl>
      <w:tblPr>
        <w:tblStyle w:val="Tabelacomgrade"/>
        <w:tblW w:w="0" w:type="auto"/>
        <w:tblLook w:val="04A0" w:firstRow="1" w:lastRow="0" w:firstColumn="1" w:lastColumn="0" w:noHBand="0" w:noVBand="1"/>
      </w:tblPr>
      <w:tblGrid>
        <w:gridCol w:w="4561"/>
        <w:gridCol w:w="4561"/>
      </w:tblGrid>
      <w:tr w:rsidR="00DE44C3" w14:paraId="067150A5" w14:textId="77777777">
        <w:tc>
          <w:tcPr>
            <w:tcW w:w="4561" w:type="dxa"/>
          </w:tcPr>
          <w:p w14:paraId="52209BDE" w14:textId="77777777" w:rsidR="00DE44C3" w:rsidRDefault="00000000">
            <w:r>
              <w:rPr>
                <w:b/>
                <w:sz w:val="20"/>
              </w:rPr>
              <w:t>Limitação</w:t>
            </w:r>
          </w:p>
        </w:tc>
        <w:tc>
          <w:tcPr>
            <w:tcW w:w="4561" w:type="dxa"/>
          </w:tcPr>
          <w:p w14:paraId="48086E03" w14:textId="77777777" w:rsidR="00DE44C3" w:rsidRDefault="00000000">
            <w:r>
              <w:rPr>
                <w:b/>
                <w:sz w:val="20"/>
              </w:rPr>
              <w:t>Descrição</w:t>
            </w:r>
          </w:p>
        </w:tc>
      </w:tr>
      <w:tr w:rsidR="00DE44C3" w14:paraId="2064CF5B" w14:textId="77777777">
        <w:tc>
          <w:tcPr>
            <w:tcW w:w="4561" w:type="dxa"/>
          </w:tcPr>
          <w:p w14:paraId="442F7E77" w14:textId="77777777" w:rsidR="00DE44C3" w:rsidRDefault="00000000">
            <w:r>
              <w:rPr>
                <w:sz w:val="20"/>
              </w:rPr>
              <w:t>Complexidade operacional</w:t>
            </w:r>
          </w:p>
        </w:tc>
        <w:tc>
          <w:tcPr>
            <w:tcW w:w="4561" w:type="dxa"/>
          </w:tcPr>
          <w:p w14:paraId="6D1381BB" w14:textId="77777777" w:rsidR="00DE44C3" w:rsidRDefault="00000000">
            <w:r>
              <w:rPr>
                <w:sz w:val="20"/>
              </w:rPr>
              <w:t>5 serviços + 3 DBs + Redis + SQS + DynamoDB</w:t>
            </w:r>
          </w:p>
        </w:tc>
      </w:tr>
      <w:tr w:rsidR="00DE44C3" w14:paraId="2B05B7A5" w14:textId="77777777">
        <w:tc>
          <w:tcPr>
            <w:tcW w:w="4561" w:type="dxa"/>
          </w:tcPr>
          <w:p w14:paraId="5673A99A" w14:textId="77777777" w:rsidR="00DE44C3" w:rsidRDefault="00000000">
            <w:r>
              <w:rPr>
                <w:sz w:val="20"/>
              </w:rPr>
              <w:t>Consistência eventual</w:t>
            </w:r>
          </w:p>
        </w:tc>
        <w:tc>
          <w:tcPr>
            <w:tcW w:w="4561" w:type="dxa"/>
          </w:tcPr>
          <w:p w14:paraId="2E3E6717" w14:textId="77777777" w:rsidR="00DE44C3" w:rsidRDefault="00000000">
            <w:r>
              <w:rPr>
                <w:sz w:val="20"/>
              </w:rPr>
              <w:t>Cache TTL de 30s; alterações demoram a propagar</w:t>
            </w:r>
          </w:p>
        </w:tc>
      </w:tr>
      <w:tr w:rsidR="00DE44C3" w14:paraId="0E68C0CC" w14:textId="77777777">
        <w:tc>
          <w:tcPr>
            <w:tcW w:w="4561" w:type="dxa"/>
          </w:tcPr>
          <w:p w14:paraId="15630A10" w14:textId="77777777" w:rsidR="00DE44C3" w:rsidRDefault="00000000">
            <w:r>
              <w:rPr>
                <w:sz w:val="20"/>
              </w:rPr>
              <w:t>Comunicação síncrona</w:t>
            </w:r>
          </w:p>
        </w:tc>
        <w:tc>
          <w:tcPr>
            <w:tcW w:w="4561" w:type="dxa"/>
          </w:tcPr>
          <w:p w14:paraId="1385C87B" w14:textId="77777777" w:rsidR="00DE44C3" w:rsidRDefault="00000000">
            <w:r>
              <w:rPr>
                <w:sz w:val="20"/>
              </w:rPr>
              <w:t>evaluation-service depende de flag e targeting</w:t>
            </w:r>
          </w:p>
        </w:tc>
      </w:tr>
      <w:tr w:rsidR="00DE44C3" w14:paraId="6BB10D0E" w14:textId="77777777">
        <w:tc>
          <w:tcPr>
            <w:tcW w:w="4561" w:type="dxa"/>
          </w:tcPr>
          <w:p w14:paraId="63B908BB" w14:textId="77777777" w:rsidR="00DE44C3" w:rsidRDefault="00000000">
            <w:r>
              <w:rPr>
                <w:sz w:val="20"/>
              </w:rPr>
              <w:t>Sem service mesh</w:t>
            </w:r>
          </w:p>
        </w:tc>
        <w:tc>
          <w:tcPr>
            <w:tcW w:w="4561" w:type="dxa"/>
          </w:tcPr>
          <w:p w14:paraId="4C90D7BB" w14:textId="77777777" w:rsidR="00DE44C3" w:rsidRDefault="00000000">
            <w:r>
              <w:rPr>
                <w:sz w:val="20"/>
              </w:rPr>
              <w:t>Observabilidade distribuída ainda limitada</w:t>
            </w:r>
          </w:p>
        </w:tc>
      </w:tr>
      <w:tr w:rsidR="00DE44C3" w14:paraId="528102AF" w14:textId="77777777">
        <w:tc>
          <w:tcPr>
            <w:tcW w:w="4561" w:type="dxa"/>
          </w:tcPr>
          <w:p w14:paraId="024EB00D" w14:textId="77777777" w:rsidR="00DE44C3" w:rsidRDefault="00000000">
            <w:r>
              <w:rPr>
                <w:sz w:val="20"/>
              </w:rPr>
              <w:t>Regras limitadas</w:t>
            </w:r>
          </w:p>
        </w:tc>
        <w:tc>
          <w:tcPr>
            <w:tcW w:w="4561" w:type="dxa"/>
          </w:tcPr>
          <w:p w14:paraId="1FC48DCF" w14:textId="77777777" w:rsidR="00DE44C3" w:rsidRDefault="00000000">
            <w:r>
              <w:rPr>
                <w:sz w:val="20"/>
              </w:rPr>
              <w:t>Apenas PERCENTAGE implementada na avaliação</w:t>
            </w:r>
          </w:p>
        </w:tc>
      </w:tr>
    </w:tbl>
    <w:p w14:paraId="3A50E52B" w14:textId="77777777" w:rsidR="00DE44C3" w:rsidRDefault="00DE44C3"/>
    <w:p w14:paraId="4C74642F" w14:textId="77777777" w:rsidR="00DE44C3" w:rsidRDefault="00000000">
      <w:pPr>
        <w:spacing w:after="160"/>
      </w:pPr>
      <w:r>
        <w:rPr>
          <w:rFonts w:ascii="Calibri" w:hAnsi="Calibri"/>
          <w:b/>
        </w:rPr>
        <w:t>Evolução em relação ao monolito:</w:t>
      </w:r>
    </w:p>
    <w:tbl>
      <w:tblPr>
        <w:tblStyle w:val="Tabelacomgrade"/>
        <w:tblW w:w="0" w:type="auto"/>
        <w:tblLook w:val="04A0" w:firstRow="1" w:lastRow="0" w:firstColumn="1" w:lastColumn="0" w:noHBand="0" w:noVBand="1"/>
      </w:tblPr>
      <w:tblGrid>
        <w:gridCol w:w="3041"/>
        <w:gridCol w:w="3041"/>
        <w:gridCol w:w="3041"/>
      </w:tblGrid>
      <w:tr w:rsidR="00DE44C3" w14:paraId="5FB0D17A" w14:textId="77777777">
        <w:tc>
          <w:tcPr>
            <w:tcW w:w="3041" w:type="dxa"/>
          </w:tcPr>
          <w:p w14:paraId="28343671" w14:textId="77777777" w:rsidR="00DE44C3" w:rsidRDefault="00000000">
            <w:r>
              <w:rPr>
                <w:b/>
                <w:sz w:val="20"/>
              </w:rPr>
              <w:t>Aspecto</w:t>
            </w:r>
          </w:p>
        </w:tc>
        <w:tc>
          <w:tcPr>
            <w:tcW w:w="3041" w:type="dxa"/>
          </w:tcPr>
          <w:p w14:paraId="76195EF2" w14:textId="77777777" w:rsidR="00DE44C3" w:rsidRDefault="00000000">
            <w:r>
              <w:rPr>
                <w:b/>
                <w:sz w:val="20"/>
              </w:rPr>
              <w:t>Fase 01 (Monolito)</w:t>
            </w:r>
          </w:p>
        </w:tc>
        <w:tc>
          <w:tcPr>
            <w:tcW w:w="3041" w:type="dxa"/>
          </w:tcPr>
          <w:p w14:paraId="465C5835" w14:textId="77777777" w:rsidR="00DE44C3" w:rsidRDefault="00000000">
            <w:r>
              <w:rPr>
                <w:b/>
                <w:sz w:val="20"/>
              </w:rPr>
              <w:t>Entrega Final (Microsserviços)</w:t>
            </w:r>
          </w:p>
        </w:tc>
      </w:tr>
      <w:tr w:rsidR="00DE44C3" w14:paraId="05C3C425" w14:textId="77777777">
        <w:tc>
          <w:tcPr>
            <w:tcW w:w="3041" w:type="dxa"/>
          </w:tcPr>
          <w:p w14:paraId="1D612890" w14:textId="77777777" w:rsidR="00DE44C3" w:rsidRDefault="00000000">
            <w:r>
              <w:rPr>
                <w:sz w:val="20"/>
              </w:rPr>
              <w:t>Deploy</w:t>
            </w:r>
          </w:p>
        </w:tc>
        <w:tc>
          <w:tcPr>
            <w:tcW w:w="3041" w:type="dxa"/>
          </w:tcPr>
          <w:p w14:paraId="335DDDBA" w14:textId="77777777" w:rsidR="00DE44C3" w:rsidRDefault="00000000">
            <w:r>
              <w:rPr>
                <w:sz w:val="20"/>
              </w:rPr>
              <w:t>EC2 única</w:t>
            </w:r>
          </w:p>
        </w:tc>
        <w:tc>
          <w:tcPr>
            <w:tcW w:w="3041" w:type="dxa"/>
          </w:tcPr>
          <w:p w14:paraId="330FF200" w14:textId="77777777" w:rsidR="00DE44C3" w:rsidRDefault="00000000">
            <w:r>
              <w:rPr>
                <w:sz w:val="20"/>
              </w:rPr>
              <w:t>Kubernetes + ECR</w:t>
            </w:r>
          </w:p>
        </w:tc>
      </w:tr>
      <w:tr w:rsidR="00DE44C3" w14:paraId="41D60FB4" w14:textId="77777777">
        <w:tc>
          <w:tcPr>
            <w:tcW w:w="3041" w:type="dxa"/>
          </w:tcPr>
          <w:p w14:paraId="42486043" w14:textId="77777777" w:rsidR="00DE44C3" w:rsidRDefault="00000000">
            <w:r>
              <w:rPr>
                <w:sz w:val="20"/>
              </w:rPr>
              <w:t>Banco</w:t>
            </w:r>
          </w:p>
        </w:tc>
        <w:tc>
          <w:tcPr>
            <w:tcW w:w="3041" w:type="dxa"/>
          </w:tcPr>
          <w:p w14:paraId="6DA1B33E" w14:textId="77777777" w:rsidR="00DE44C3" w:rsidRDefault="00000000">
            <w:r>
              <w:rPr>
                <w:sz w:val="20"/>
              </w:rPr>
              <w:t>1× RDS</w:t>
            </w:r>
          </w:p>
        </w:tc>
        <w:tc>
          <w:tcPr>
            <w:tcW w:w="3041" w:type="dxa"/>
          </w:tcPr>
          <w:p w14:paraId="6F66479C" w14:textId="77777777" w:rsidR="00DE44C3" w:rsidRDefault="00000000">
            <w:r>
              <w:rPr>
                <w:sz w:val="20"/>
              </w:rPr>
              <w:t>3× RDS + DynamoDB</w:t>
            </w:r>
          </w:p>
        </w:tc>
      </w:tr>
      <w:tr w:rsidR="00DE44C3" w14:paraId="3EE53E09" w14:textId="77777777">
        <w:tc>
          <w:tcPr>
            <w:tcW w:w="3041" w:type="dxa"/>
          </w:tcPr>
          <w:p w14:paraId="4C2532BF" w14:textId="77777777" w:rsidR="00DE44C3" w:rsidRDefault="00000000">
            <w:r>
              <w:rPr>
                <w:sz w:val="20"/>
              </w:rPr>
              <w:t>Cache</w:t>
            </w:r>
          </w:p>
        </w:tc>
        <w:tc>
          <w:tcPr>
            <w:tcW w:w="3041" w:type="dxa"/>
          </w:tcPr>
          <w:p w14:paraId="4A18B8BB" w14:textId="77777777" w:rsidR="00DE44C3" w:rsidRDefault="00000000">
            <w:r>
              <w:rPr>
                <w:sz w:val="20"/>
              </w:rPr>
              <w:t>Inexistente</w:t>
            </w:r>
          </w:p>
        </w:tc>
        <w:tc>
          <w:tcPr>
            <w:tcW w:w="3041" w:type="dxa"/>
          </w:tcPr>
          <w:p w14:paraId="3173B4A0" w14:textId="77777777" w:rsidR="00DE44C3" w:rsidRDefault="00000000">
            <w:r>
              <w:rPr>
                <w:sz w:val="20"/>
              </w:rPr>
              <w:t>ElastiCache Redis</w:t>
            </w:r>
          </w:p>
        </w:tc>
      </w:tr>
      <w:tr w:rsidR="00DE44C3" w14:paraId="6E4544FA" w14:textId="77777777">
        <w:tc>
          <w:tcPr>
            <w:tcW w:w="3041" w:type="dxa"/>
          </w:tcPr>
          <w:p w14:paraId="7B89A5EC" w14:textId="77777777" w:rsidR="00DE44C3" w:rsidRDefault="00000000">
            <w:r>
              <w:rPr>
                <w:sz w:val="20"/>
              </w:rPr>
              <w:t>Analytics</w:t>
            </w:r>
          </w:p>
        </w:tc>
        <w:tc>
          <w:tcPr>
            <w:tcW w:w="3041" w:type="dxa"/>
          </w:tcPr>
          <w:p w14:paraId="6AAF59F3" w14:textId="77777777" w:rsidR="00DE44C3" w:rsidRDefault="00000000">
            <w:r>
              <w:rPr>
                <w:sz w:val="20"/>
              </w:rPr>
              <w:t>Síncrono/inexistente</w:t>
            </w:r>
          </w:p>
        </w:tc>
        <w:tc>
          <w:tcPr>
            <w:tcW w:w="3041" w:type="dxa"/>
          </w:tcPr>
          <w:p w14:paraId="641AABFF" w14:textId="77777777" w:rsidR="00DE44C3" w:rsidRDefault="00000000">
            <w:r>
              <w:rPr>
                <w:sz w:val="20"/>
              </w:rPr>
              <w:t>SQS + worker assíncrono</w:t>
            </w:r>
          </w:p>
        </w:tc>
      </w:tr>
      <w:tr w:rsidR="00DE44C3" w14:paraId="75C4E409" w14:textId="77777777">
        <w:tc>
          <w:tcPr>
            <w:tcW w:w="3041" w:type="dxa"/>
          </w:tcPr>
          <w:p w14:paraId="727427DF" w14:textId="77777777" w:rsidR="00DE44C3" w:rsidRDefault="00000000">
            <w:r>
              <w:rPr>
                <w:sz w:val="20"/>
              </w:rPr>
              <w:t>IaC</w:t>
            </w:r>
          </w:p>
        </w:tc>
        <w:tc>
          <w:tcPr>
            <w:tcW w:w="3041" w:type="dxa"/>
          </w:tcPr>
          <w:p w14:paraId="6D2A9C5B" w14:textId="77777777" w:rsidR="00DE44C3" w:rsidRDefault="00000000">
            <w:r>
              <w:rPr>
                <w:sz w:val="20"/>
              </w:rPr>
              <w:t>Manual (console)</w:t>
            </w:r>
          </w:p>
        </w:tc>
        <w:tc>
          <w:tcPr>
            <w:tcW w:w="3041" w:type="dxa"/>
          </w:tcPr>
          <w:p w14:paraId="16BD4320" w14:textId="77777777" w:rsidR="00DE44C3" w:rsidRDefault="00000000">
            <w:r>
              <w:rPr>
                <w:sz w:val="20"/>
              </w:rPr>
              <w:t>Terraform</w:t>
            </w:r>
          </w:p>
        </w:tc>
      </w:tr>
      <w:tr w:rsidR="00DE44C3" w14:paraId="09480AB6" w14:textId="77777777">
        <w:tc>
          <w:tcPr>
            <w:tcW w:w="3041" w:type="dxa"/>
          </w:tcPr>
          <w:p w14:paraId="1D6D1D11" w14:textId="77777777" w:rsidR="00DE44C3" w:rsidRDefault="00000000">
            <w:r>
              <w:rPr>
                <w:sz w:val="20"/>
              </w:rPr>
              <w:t>Autenticação</w:t>
            </w:r>
          </w:p>
        </w:tc>
        <w:tc>
          <w:tcPr>
            <w:tcW w:w="3041" w:type="dxa"/>
          </w:tcPr>
          <w:p w14:paraId="7E00C8F3" w14:textId="77777777" w:rsidR="00DE44C3" w:rsidRDefault="00000000">
            <w:r>
              <w:rPr>
                <w:sz w:val="20"/>
              </w:rPr>
              <w:t>Simples</w:t>
            </w:r>
          </w:p>
        </w:tc>
        <w:tc>
          <w:tcPr>
            <w:tcW w:w="3041" w:type="dxa"/>
          </w:tcPr>
          <w:p w14:paraId="7F29FFD2" w14:textId="77777777" w:rsidR="00DE44C3" w:rsidRDefault="00000000">
            <w:r>
              <w:rPr>
                <w:sz w:val="20"/>
              </w:rPr>
              <w:t>auth-service com hash SHA-256</w:t>
            </w:r>
          </w:p>
        </w:tc>
      </w:tr>
    </w:tbl>
    <w:p w14:paraId="2BCF9F7E" w14:textId="77777777" w:rsidR="00DE44C3" w:rsidRDefault="00DE44C3"/>
    <w:p w14:paraId="5726612A" w14:textId="77777777" w:rsidR="00DE44C3" w:rsidRDefault="00000000">
      <w:r>
        <w:br w:type="page"/>
      </w:r>
    </w:p>
    <w:p w14:paraId="766A7187" w14:textId="77777777" w:rsidR="00DE44C3" w:rsidRDefault="00000000">
      <w:pPr>
        <w:pStyle w:val="Ttulo1"/>
      </w:pPr>
      <w:r>
        <w:rPr>
          <w:color w:val="000000"/>
        </w:rPr>
        <w:lastRenderedPageBreak/>
        <w:t>5. 12 Factors</w:t>
      </w:r>
    </w:p>
    <w:p w14:paraId="6C92501C" w14:textId="77777777" w:rsidR="00DE44C3" w:rsidRDefault="00000000">
      <w:pPr>
        <w:spacing w:after="160"/>
      </w:pPr>
      <w:r>
        <w:rPr>
          <w:rFonts w:ascii="Calibri" w:hAnsi="Calibri"/>
        </w:rPr>
        <w:t>O Twelve-Factor App é uma metodologia criada por desenvolvedores da Heroku para orientar a construção de aplicações modernas, escaláveis e de fácil manutenção. A seguir, a análise da aplicação ToggleMaster (microsserviços) em relação a cada fator.</w:t>
      </w:r>
    </w:p>
    <w:p w14:paraId="44183CFB" w14:textId="77777777" w:rsidR="00DE44C3" w:rsidRDefault="00000000">
      <w:pPr>
        <w:pStyle w:val="Ttulo2"/>
      </w:pPr>
      <w:r>
        <w:rPr>
          <w:color w:val="000000"/>
        </w:rPr>
        <w:t>F1 – Base de Código | ATENDE</w:t>
      </w:r>
    </w:p>
    <w:p w14:paraId="70E837EE" w14:textId="77777777" w:rsidR="00DE44C3" w:rsidRDefault="00000000">
      <w:pPr>
        <w:spacing w:after="160"/>
      </w:pPr>
      <w:r>
        <w:rPr>
          <w:rFonts w:ascii="Calibri" w:hAnsi="Calibri"/>
        </w:rPr>
        <w:t>Repositório único (tooglemaster-project) com múltiplos microsserviços em pastas separadas. O mesmo código é executado localmente (Docker Compose) e em produção (Kubernetes/ECR).</w:t>
      </w:r>
    </w:p>
    <w:p w14:paraId="17B6A1FF" w14:textId="77777777" w:rsidR="00DE44C3" w:rsidRDefault="00000000">
      <w:pPr>
        <w:pStyle w:val="Ttulo2"/>
      </w:pPr>
      <w:r>
        <w:rPr>
          <w:color w:val="000000"/>
        </w:rPr>
        <w:t>F2 – Dependências | ATENDE</w:t>
      </w:r>
    </w:p>
    <w:p w14:paraId="547162EA" w14:textId="77777777" w:rsidR="00DE44C3" w:rsidRDefault="00000000">
      <w:pPr>
        <w:spacing w:after="160"/>
      </w:pPr>
      <w:r>
        <w:rPr>
          <w:rFonts w:ascii="Calibri" w:hAnsi="Calibri"/>
        </w:rPr>
        <w:t>Dependências declaradas explicitamente: go.mod (Go), requirements.txt (Python). Dockerfiles multi-stage garantem ambientes reproduzíveis e isolados.</w:t>
      </w:r>
    </w:p>
    <w:p w14:paraId="1CEC9C74" w14:textId="77777777" w:rsidR="00DE44C3" w:rsidRDefault="00000000">
      <w:pPr>
        <w:pStyle w:val="Ttulo2"/>
      </w:pPr>
      <w:r>
        <w:rPr>
          <w:color w:val="000000"/>
        </w:rPr>
        <w:t>F3 – Configurações | PARCIAL</w:t>
      </w:r>
    </w:p>
    <w:p w14:paraId="3C3AC1C4" w14:textId="77777777" w:rsidR="00DE44C3" w:rsidRDefault="00000000">
      <w:pPr>
        <w:spacing w:after="160"/>
      </w:pPr>
      <w:r>
        <w:rPr>
          <w:rFonts w:ascii="Calibri" w:hAnsi="Calibri"/>
        </w:rPr>
        <w:t>Configurações sensíveis são lidas via variáveis de ambiente. Porém, valores de desenvolvimento ainda aparecem no docker-compose.yml. Em produção, Kubernetes Secrets mitigam parcialmente; recomenda-se AWS Secrets Manager.</w:t>
      </w:r>
    </w:p>
    <w:p w14:paraId="35285BD0" w14:textId="77777777" w:rsidR="00DE44C3" w:rsidRDefault="00000000">
      <w:pPr>
        <w:pStyle w:val="Ttulo2"/>
      </w:pPr>
      <w:r>
        <w:rPr>
          <w:color w:val="000000"/>
        </w:rPr>
        <w:t>F4 – Serviços de Apoio | ATENDE</w:t>
      </w:r>
    </w:p>
    <w:p w14:paraId="68570BB5" w14:textId="77777777" w:rsidR="00DE44C3" w:rsidRDefault="00000000">
      <w:pPr>
        <w:spacing w:after="160"/>
      </w:pPr>
      <w:r>
        <w:rPr>
          <w:rFonts w:ascii="Calibri" w:hAnsi="Calibri"/>
        </w:rPr>
        <w:t>PostgreSQL, Redis, SQS e DynamoDB são consumidos como recursos externos via variáveis de ambiente. Localmente usa-se LocalStack; em produção, serviços AWS gerenciados.</w:t>
      </w:r>
    </w:p>
    <w:p w14:paraId="6E691417" w14:textId="77777777" w:rsidR="00DE44C3" w:rsidRDefault="00000000">
      <w:pPr>
        <w:pStyle w:val="Ttulo2"/>
      </w:pPr>
      <w:r>
        <w:rPr>
          <w:color w:val="000000"/>
        </w:rPr>
        <w:t>F5 – Build, Release, Run | PARCIAL</w:t>
      </w:r>
    </w:p>
    <w:p w14:paraId="5034A16D" w14:textId="77777777" w:rsidR="00DE44C3" w:rsidRDefault="00000000">
      <w:pPr>
        <w:spacing w:after="160"/>
      </w:pPr>
      <w:r>
        <w:rPr>
          <w:rFonts w:ascii="Calibri" w:hAnsi="Calibri"/>
        </w:rPr>
        <w:t>Dockerfiles separam build e runtime (multi-stage). Imagens são publicadas no ECR. Porém, não há pipeline CI/CD documentado com tagging de releases imutáveis.</w:t>
      </w:r>
    </w:p>
    <w:p w14:paraId="0E21C22B" w14:textId="77777777" w:rsidR="00DE44C3" w:rsidRDefault="00000000">
      <w:pPr>
        <w:pStyle w:val="Ttulo2"/>
      </w:pPr>
      <w:r>
        <w:rPr>
          <w:color w:val="000000"/>
        </w:rPr>
        <w:t>F6 – Processos | ATENDE</w:t>
      </w:r>
    </w:p>
    <w:p w14:paraId="4022B0DB" w14:textId="77777777" w:rsidR="00DE44C3" w:rsidRDefault="00000000">
      <w:pPr>
        <w:spacing w:after="160"/>
      </w:pPr>
      <w:r>
        <w:rPr>
          <w:rFonts w:ascii="Calibri" w:hAnsi="Calibri"/>
        </w:rPr>
        <w:t>Microsserviços são stateless. Estado persistente reside em PostgreSQL, Redis (cache efêmero) e DynamoDB. Reiniciar containers não causa perda de dados de negócio.</w:t>
      </w:r>
    </w:p>
    <w:p w14:paraId="0DE7951B" w14:textId="77777777" w:rsidR="00DE44C3" w:rsidRDefault="00000000">
      <w:pPr>
        <w:pStyle w:val="Ttulo2"/>
      </w:pPr>
      <w:r>
        <w:rPr>
          <w:color w:val="000000"/>
        </w:rPr>
        <w:t>F7 – Vínculo de Porta | ATENDE</w:t>
      </w:r>
    </w:p>
    <w:p w14:paraId="084FF498" w14:textId="77777777" w:rsidR="00DE44C3" w:rsidRDefault="00000000">
      <w:pPr>
        <w:spacing w:after="160"/>
      </w:pPr>
      <w:r>
        <w:rPr>
          <w:rFonts w:ascii="Calibri" w:hAnsi="Calibri"/>
        </w:rPr>
        <w:t>Cada serviço expõe sua porta (8001–8005) via binding direto. Gunicorn (Python) e servidor HTTP nativo (Go) — sem dependência de Apache/Tomcat externo.</w:t>
      </w:r>
    </w:p>
    <w:p w14:paraId="7E671F24" w14:textId="77777777" w:rsidR="00DE44C3" w:rsidRDefault="00000000">
      <w:pPr>
        <w:pStyle w:val="Ttulo2"/>
      </w:pPr>
      <w:r>
        <w:rPr>
          <w:color w:val="000000"/>
        </w:rPr>
        <w:t>F8 – Concorrência | ATENDE</w:t>
      </w:r>
    </w:p>
    <w:p w14:paraId="5522A38F" w14:textId="77777777" w:rsidR="00DE44C3" w:rsidRDefault="00000000">
      <w:pPr>
        <w:spacing w:after="160"/>
      </w:pPr>
      <w:r>
        <w:rPr>
          <w:rFonts w:ascii="Calibri" w:hAnsi="Calibri"/>
        </w:rPr>
        <w:t>Escalabilidade horizontal via Kubernetes HPA. evaluation-service usa goroutines para fetch paralelo. Ingress NGINX distribui tráfego.</w:t>
      </w:r>
    </w:p>
    <w:p w14:paraId="2CE98BFA" w14:textId="77777777" w:rsidR="00DE44C3" w:rsidRDefault="00000000">
      <w:pPr>
        <w:pStyle w:val="Ttulo2"/>
      </w:pPr>
      <w:r>
        <w:rPr>
          <w:color w:val="000000"/>
        </w:rPr>
        <w:t>F9 – Descartabilidade | PARCIAL</w:t>
      </w:r>
    </w:p>
    <w:p w14:paraId="16ABC64C" w14:textId="77777777" w:rsidR="00DE44C3" w:rsidRDefault="00000000">
      <w:pPr>
        <w:spacing w:after="160"/>
      </w:pPr>
      <w:r>
        <w:rPr>
          <w:rFonts w:ascii="Calibri" w:hAnsi="Calibri"/>
        </w:rPr>
        <w:t>Containers iniciam rapidamente; health/readiness probes configurados. Terraform permite reprovisionar infraestrutura. Encerramento gracioso de workers SQS não está totalmente documentado.</w:t>
      </w:r>
    </w:p>
    <w:p w14:paraId="56E3083B" w14:textId="77777777" w:rsidR="00DE44C3" w:rsidRDefault="00000000">
      <w:pPr>
        <w:pStyle w:val="Ttulo2"/>
      </w:pPr>
      <w:r>
        <w:rPr>
          <w:color w:val="000000"/>
        </w:rPr>
        <w:lastRenderedPageBreak/>
        <w:t>F10 – Paridade Dev/Produção | PARCIAL</w:t>
      </w:r>
    </w:p>
    <w:p w14:paraId="5EBFA93B" w14:textId="77777777" w:rsidR="00DE44C3" w:rsidRDefault="00000000">
      <w:pPr>
        <w:spacing w:after="160"/>
      </w:pPr>
      <w:r>
        <w:rPr>
          <w:rFonts w:ascii="Calibri" w:hAnsi="Calibri"/>
        </w:rPr>
        <w:t>Docker Compose + LocalStack simulam AWS localmente. Divergências permanecem: LocalStack vs SQS/DynamoDB reais; single-node local vs cluster Kubernetes.</w:t>
      </w:r>
    </w:p>
    <w:p w14:paraId="79CC288D" w14:textId="77777777" w:rsidR="00DE44C3" w:rsidRDefault="00000000">
      <w:pPr>
        <w:pStyle w:val="Ttulo2"/>
      </w:pPr>
      <w:r>
        <w:rPr>
          <w:color w:val="000000"/>
        </w:rPr>
        <w:t>F11 – Logs | PARCIAL</w:t>
      </w:r>
    </w:p>
    <w:p w14:paraId="283CAD8C" w14:textId="77777777" w:rsidR="00DE44C3" w:rsidRDefault="00000000">
      <w:pPr>
        <w:spacing w:after="160"/>
      </w:pPr>
      <w:r>
        <w:rPr>
          <w:rFonts w:ascii="Calibri" w:hAnsi="Calibri"/>
        </w:rPr>
        <w:t>Serviços escrevem logs via stdout. Não há integração documentada com CloudWatch Logs ou formato estruturado (JSON) para rastreabilidade distribuída.</w:t>
      </w:r>
    </w:p>
    <w:p w14:paraId="3ADAA54F" w14:textId="77777777" w:rsidR="00DE44C3" w:rsidRDefault="00000000">
      <w:pPr>
        <w:pStyle w:val="Ttulo2"/>
      </w:pPr>
      <w:r>
        <w:rPr>
          <w:color w:val="000000"/>
        </w:rPr>
        <w:t>F12 – Processos de Administração | NÃO ATENDE</w:t>
      </w:r>
    </w:p>
    <w:p w14:paraId="71048C2E" w14:textId="77777777" w:rsidR="00DE44C3" w:rsidRDefault="00000000">
      <w:pPr>
        <w:spacing w:after="160"/>
      </w:pPr>
      <w:r>
        <w:rPr>
          <w:rFonts w:ascii="Calibri" w:hAnsi="Calibri"/>
        </w:rPr>
        <w:t>Scripts SQL de inicialização (db/init.sql) existem, mas migrações não são executadas como processos isolados padronizados (ex.: job Kubernetes ou ferramenta de migration).</w:t>
      </w:r>
    </w:p>
    <w:p w14:paraId="5682C1A9" w14:textId="77777777" w:rsidR="00DE44C3" w:rsidRDefault="00000000">
      <w:pPr>
        <w:spacing w:after="160"/>
      </w:pPr>
      <w:r>
        <w:rPr>
          <w:rFonts w:ascii="Calibri" w:hAnsi="Calibri"/>
          <w:b/>
        </w:rPr>
        <w:t>Conclusão: A evolução para microsserviços melhorou significativamente os fatores F8 (Concorrência) e F4 (Serviços de Apoio). Persistem oportunidades em configurações sensíveis, CI/CD, logs centralizados e processos administrativos.</w:t>
      </w:r>
    </w:p>
    <w:p w14:paraId="714C6175" w14:textId="77777777" w:rsidR="00DE44C3" w:rsidRDefault="00000000">
      <w:r>
        <w:br w:type="page"/>
      </w:r>
    </w:p>
    <w:p w14:paraId="1A43C961" w14:textId="77777777" w:rsidR="00DE44C3" w:rsidRDefault="00000000">
      <w:pPr>
        <w:pStyle w:val="Ttulo1"/>
      </w:pPr>
      <w:r>
        <w:rPr>
          <w:color w:val="000000"/>
        </w:rPr>
        <w:lastRenderedPageBreak/>
        <w:t>6. Implementação na AWS</w:t>
      </w:r>
    </w:p>
    <w:p w14:paraId="35915C17" w14:textId="77777777" w:rsidR="00DE44C3" w:rsidRDefault="00000000">
      <w:pPr>
        <w:spacing w:after="160"/>
      </w:pPr>
      <w:r>
        <w:rPr>
          <w:rFonts w:ascii="Calibri" w:hAnsi="Calibri"/>
        </w:rPr>
        <w:t>A implementação combina Terraform (IaC) para recursos de infraestrutura e manifests Kubernetes para deploy dos microsserviços.</w:t>
      </w:r>
    </w:p>
    <w:p w14:paraId="2486ADA2" w14:textId="77777777" w:rsidR="00DE44C3" w:rsidRDefault="00000000">
      <w:pPr>
        <w:pStyle w:val="Ttulo2"/>
      </w:pPr>
      <w:r>
        <w:rPr>
          <w:color w:val="000000"/>
        </w:rPr>
        <w:t>6.1 Provisionamento com Terraform</w:t>
      </w:r>
    </w:p>
    <w:p w14:paraId="5DBFDA12" w14:textId="77777777" w:rsidR="00DE44C3" w:rsidRDefault="00000000">
      <w:pPr>
        <w:spacing w:after="160"/>
      </w:pPr>
      <w:r>
        <w:rPr>
          <w:rFonts w:ascii="Calibri" w:hAnsi="Calibri"/>
          <w:b/>
        </w:rPr>
        <w:t>Recursos criados em infra/:</w:t>
      </w:r>
    </w:p>
    <w:p w14:paraId="241DC38D" w14:textId="77777777" w:rsidR="00DE44C3" w:rsidRDefault="00000000">
      <w:pPr>
        <w:pStyle w:val="Commarcadores"/>
        <w:spacing w:after="80"/>
      </w:pPr>
      <w:r>
        <w:rPr>
          <w:rFonts w:ascii="Calibri" w:hAnsi="Calibri"/>
        </w:rPr>
        <w:t>VPC com subnets públicas/privadas em 2 AZs;</w:t>
      </w:r>
    </w:p>
    <w:p w14:paraId="24E3B7FD" w14:textId="77777777" w:rsidR="00DE44C3" w:rsidRDefault="00000000">
      <w:pPr>
        <w:pStyle w:val="Commarcadores"/>
        <w:spacing w:after="80"/>
      </w:pPr>
      <w:r>
        <w:rPr>
          <w:rFonts w:ascii="Calibri" w:hAnsi="Calibri"/>
        </w:rPr>
        <w:t>3× RDS PostgreSQL 15 (db.t3.micro) — auth_db, flag_db, targeting_db;</w:t>
      </w:r>
    </w:p>
    <w:p w14:paraId="4F162E7D" w14:textId="77777777" w:rsidR="00DE44C3" w:rsidRDefault="00000000">
      <w:pPr>
        <w:pStyle w:val="Commarcadores"/>
        <w:spacing w:after="80"/>
      </w:pPr>
      <w:r>
        <w:rPr>
          <w:rFonts w:ascii="Calibri" w:hAnsi="Calibri"/>
        </w:rPr>
        <w:t>ElastiCache Redis 7 (cache.t3.micro);</w:t>
      </w:r>
    </w:p>
    <w:p w14:paraId="2102597D" w14:textId="77777777" w:rsidR="00DE44C3" w:rsidRDefault="00000000">
      <w:pPr>
        <w:pStyle w:val="Commarcadores"/>
        <w:spacing w:after="80"/>
      </w:pPr>
      <w:r>
        <w:rPr>
          <w:rFonts w:ascii="Calibri" w:hAnsi="Calibri"/>
        </w:rPr>
        <w:t>SQS — fila togglemaster-events;</w:t>
      </w:r>
    </w:p>
    <w:p w14:paraId="722FCF59" w14:textId="77777777" w:rsidR="00DE44C3" w:rsidRDefault="00000000">
      <w:pPr>
        <w:pStyle w:val="Commarcadores"/>
        <w:spacing w:after="80"/>
      </w:pPr>
      <w:r>
        <w:rPr>
          <w:rFonts w:ascii="Calibri" w:hAnsi="Calibri"/>
        </w:rPr>
        <w:t>DynamoDB — tabela analytics-events (PAY_PER_REQUEST);</w:t>
      </w:r>
    </w:p>
    <w:p w14:paraId="2F32795A" w14:textId="77777777" w:rsidR="00DE44C3" w:rsidRDefault="00000000">
      <w:pPr>
        <w:pStyle w:val="Commarcadores"/>
        <w:spacing w:after="80"/>
      </w:pPr>
      <w:r>
        <w:rPr>
          <w:rFonts w:ascii="Calibri" w:hAnsi="Calibri"/>
        </w:rPr>
        <w:t>ECR — 5 repositórios (um por microsserviço);</w:t>
      </w:r>
    </w:p>
    <w:p w14:paraId="3E663A73" w14:textId="77777777" w:rsidR="00DE44C3" w:rsidRDefault="00000000">
      <w:pPr>
        <w:pStyle w:val="Commarcadores"/>
        <w:spacing w:after="80"/>
      </w:pPr>
      <w:r>
        <w:rPr>
          <w:rFonts w:ascii="Calibri" w:hAnsi="Calibri"/>
        </w:rPr>
        <w:t>Security Groups — acesso RDS/Redis restrito aos nodes EKS.</w:t>
      </w:r>
    </w:p>
    <w:p w14:paraId="72DD35ED" w14:textId="77777777" w:rsidR="00DE44C3" w:rsidRDefault="00000000">
      <w:pPr>
        <w:pStyle w:val="Ttulo2"/>
      </w:pPr>
      <w:r>
        <w:rPr>
          <w:color w:val="000000"/>
        </w:rPr>
        <w:t>6.2 Build e push de imagens</w:t>
      </w:r>
    </w:p>
    <w:p w14:paraId="2B6AB15F" w14:textId="77777777" w:rsidR="00DE44C3" w:rsidRDefault="00000000">
      <w:pPr>
        <w:spacing w:after="160"/>
      </w:pPr>
      <w:r>
        <w:rPr>
          <w:rFonts w:ascii="Calibri" w:hAnsi="Calibri"/>
        </w:rPr>
        <w:t>Cada microsserviço possui Dockerfile multi-stage com usuário non-root. As imagens são construídas localmente, tagueadas e enviadas para o Amazon ECR antes do deploy no Kubernetes.</w:t>
      </w:r>
    </w:p>
    <w:p w14:paraId="37234F1F" w14:textId="77777777" w:rsidR="00DE44C3" w:rsidRDefault="00000000">
      <w:pPr>
        <w:pStyle w:val="Ttulo2"/>
      </w:pPr>
      <w:r>
        <w:rPr>
          <w:color w:val="000000"/>
        </w:rPr>
        <w:t>6.3 Deploy no Kubernetes</w:t>
      </w:r>
    </w:p>
    <w:p w14:paraId="609F2849" w14:textId="77777777" w:rsidR="00DE44C3" w:rsidRDefault="00000000">
      <w:pPr>
        <w:spacing w:after="160"/>
      </w:pPr>
      <w:r>
        <w:rPr>
          <w:rFonts w:ascii="Calibri" w:hAnsi="Calibri"/>
        </w:rPr>
        <w:t>Os manifests em infra/k8s/ definem namespace, ConfigMap, Secrets, Deployments, Services, Ingress NGINX e HPA. Variáveis sensíveis (DATABASE_URL, REDIS_URL, MASTER_KEY, SERVICE_API_KEY, AWS_SQS_URL) são injetadas via Secrets; URLs internas via ConfigMap.</w:t>
      </w:r>
    </w:p>
    <w:p w14:paraId="54D9520F" w14:textId="77777777" w:rsidR="00DE44C3" w:rsidRDefault="00000000">
      <w:pPr>
        <w:pStyle w:val="Ttulo1"/>
      </w:pPr>
      <w:r>
        <w:rPr>
          <w:color w:val="000000"/>
        </w:rPr>
        <w:t>7. Segurança</w:t>
      </w:r>
    </w:p>
    <w:p w14:paraId="302DE59D" w14:textId="77777777" w:rsidR="00DE44C3" w:rsidRDefault="00000000">
      <w:pPr>
        <w:spacing w:after="160"/>
      </w:pPr>
      <w:r>
        <w:rPr>
          <w:rFonts w:ascii="Calibri" w:hAnsi="Calibri"/>
        </w:rPr>
        <w:t>A segurança foi projetada com isolamento de rede, controle de acesso e proteção de credenciais.</w:t>
      </w:r>
    </w:p>
    <w:tbl>
      <w:tblPr>
        <w:tblStyle w:val="Tabelacomgrade"/>
        <w:tblW w:w="0" w:type="auto"/>
        <w:tblLook w:val="04A0" w:firstRow="1" w:lastRow="0" w:firstColumn="1" w:lastColumn="0" w:noHBand="0" w:noVBand="1"/>
      </w:tblPr>
      <w:tblGrid>
        <w:gridCol w:w="4561"/>
        <w:gridCol w:w="4561"/>
      </w:tblGrid>
      <w:tr w:rsidR="00DE44C3" w14:paraId="54E03255" w14:textId="77777777">
        <w:tc>
          <w:tcPr>
            <w:tcW w:w="4561" w:type="dxa"/>
          </w:tcPr>
          <w:p w14:paraId="6BCE7B8B" w14:textId="77777777" w:rsidR="00DE44C3" w:rsidRDefault="00000000">
            <w:r>
              <w:rPr>
                <w:b/>
                <w:sz w:val="20"/>
              </w:rPr>
              <w:t>Medida</w:t>
            </w:r>
          </w:p>
        </w:tc>
        <w:tc>
          <w:tcPr>
            <w:tcW w:w="4561" w:type="dxa"/>
          </w:tcPr>
          <w:p w14:paraId="6B667695" w14:textId="77777777" w:rsidR="00DE44C3" w:rsidRDefault="00000000">
            <w:r>
              <w:rPr>
                <w:b/>
                <w:sz w:val="20"/>
              </w:rPr>
              <w:t>Implementação</w:t>
            </w:r>
          </w:p>
        </w:tc>
      </w:tr>
      <w:tr w:rsidR="00DE44C3" w14:paraId="0C360928" w14:textId="77777777">
        <w:tc>
          <w:tcPr>
            <w:tcW w:w="4561" w:type="dxa"/>
          </w:tcPr>
          <w:p w14:paraId="37F7B8A0" w14:textId="77777777" w:rsidR="00DE44C3" w:rsidRDefault="00000000">
            <w:r>
              <w:rPr>
                <w:sz w:val="20"/>
              </w:rPr>
              <w:t>Isolamento de banco</w:t>
            </w:r>
          </w:p>
        </w:tc>
        <w:tc>
          <w:tcPr>
            <w:tcW w:w="4561" w:type="dxa"/>
          </w:tcPr>
          <w:p w14:paraId="3572B27C" w14:textId="77777777" w:rsidR="00DE44C3" w:rsidRDefault="00000000">
            <w:r>
              <w:rPr>
                <w:sz w:val="20"/>
              </w:rPr>
              <w:t>RDS e Redis em subnets privadas, sem acesso público</w:t>
            </w:r>
          </w:p>
        </w:tc>
      </w:tr>
      <w:tr w:rsidR="00DE44C3" w14:paraId="492C4574" w14:textId="77777777">
        <w:tc>
          <w:tcPr>
            <w:tcW w:w="4561" w:type="dxa"/>
          </w:tcPr>
          <w:p w14:paraId="1009E94C" w14:textId="77777777" w:rsidR="00DE44C3" w:rsidRDefault="00000000">
            <w:r>
              <w:rPr>
                <w:sz w:val="20"/>
              </w:rPr>
              <w:t>Security Groups</w:t>
            </w:r>
          </w:p>
        </w:tc>
        <w:tc>
          <w:tcPr>
            <w:tcW w:w="4561" w:type="dxa"/>
          </w:tcPr>
          <w:p w14:paraId="6747D110" w14:textId="77777777" w:rsidR="00DE44C3" w:rsidRDefault="00000000">
            <w:r>
              <w:rPr>
                <w:sz w:val="20"/>
              </w:rPr>
              <w:t>RDS (5432) e Redis (6379) acessíveis apenas pelos nodes EKS</w:t>
            </w:r>
          </w:p>
        </w:tc>
      </w:tr>
      <w:tr w:rsidR="00DE44C3" w14:paraId="2C3D45FB" w14:textId="77777777">
        <w:tc>
          <w:tcPr>
            <w:tcW w:w="4561" w:type="dxa"/>
          </w:tcPr>
          <w:p w14:paraId="42714988" w14:textId="77777777" w:rsidR="00DE44C3" w:rsidRDefault="00000000">
            <w:r>
              <w:rPr>
                <w:sz w:val="20"/>
              </w:rPr>
              <w:t>Autenticação API</w:t>
            </w:r>
          </w:p>
        </w:tc>
        <w:tc>
          <w:tcPr>
            <w:tcW w:w="4561" w:type="dxa"/>
          </w:tcPr>
          <w:p w14:paraId="0F1ED0CF" w14:textId="77777777" w:rsidR="00DE44C3" w:rsidRDefault="00000000">
            <w:r>
              <w:rPr>
                <w:sz w:val="20"/>
              </w:rPr>
              <w:t>Chaves hasheadas (SHA-256); validação centralizada no auth-service</w:t>
            </w:r>
          </w:p>
        </w:tc>
      </w:tr>
      <w:tr w:rsidR="00DE44C3" w14:paraId="200287AF" w14:textId="77777777">
        <w:tc>
          <w:tcPr>
            <w:tcW w:w="4561" w:type="dxa"/>
          </w:tcPr>
          <w:p w14:paraId="45B26B2D" w14:textId="77777777" w:rsidR="00DE44C3" w:rsidRDefault="00000000">
            <w:r>
              <w:rPr>
                <w:sz w:val="20"/>
              </w:rPr>
              <w:t>Endpoints protegidos</w:t>
            </w:r>
          </w:p>
        </w:tc>
        <w:tc>
          <w:tcPr>
            <w:tcW w:w="4561" w:type="dxa"/>
          </w:tcPr>
          <w:p w14:paraId="68C671A4" w14:textId="77777777" w:rsidR="00DE44C3" w:rsidRDefault="00000000">
            <w:r>
              <w:rPr>
                <w:sz w:val="20"/>
              </w:rPr>
              <w:t>flag-service e targeting-service exigem Bearer token</w:t>
            </w:r>
          </w:p>
        </w:tc>
      </w:tr>
      <w:tr w:rsidR="00DE44C3" w14:paraId="17D1AB95" w14:textId="77777777">
        <w:tc>
          <w:tcPr>
            <w:tcW w:w="4561" w:type="dxa"/>
          </w:tcPr>
          <w:p w14:paraId="1C1BF5A8" w14:textId="77777777" w:rsidR="00DE44C3" w:rsidRDefault="00000000">
            <w:r>
              <w:rPr>
                <w:sz w:val="20"/>
              </w:rPr>
              <w:t>MASTER_KEY</w:t>
            </w:r>
          </w:p>
        </w:tc>
        <w:tc>
          <w:tcPr>
            <w:tcW w:w="4561" w:type="dxa"/>
          </w:tcPr>
          <w:p w14:paraId="77ABE088" w14:textId="77777777" w:rsidR="00DE44C3" w:rsidRDefault="00000000">
            <w:r>
              <w:rPr>
                <w:sz w:val="20"/>
              </w:rPr>
              <w:t>Protege criação de chaves administrativas</w:t>
            </w:r>
          </w:p>
        </w:tc>
      </w:tr>
      <w:tr w:rsidR="00DE44C3" w14:paraId="34BE31ED" w14:textId="77777777">
        <w:tc>
          <w:tcPr>
            <w:tcW w:w="4561" w:type="dxa"/>
          </w:tcPr>
          <w:p w14:paraId="61B03570" w14:textId="77777777" w:rsidR="00DE44C3" w:rsidRDefault="00000000">
            <w:r>
              <w:rPr>
                <w:sz w:val="20"/>
              </w:rPr>
              <w:t>Containers non-root</w:t>
            </w:r>
          </w:p>
        </w:tc>
        <w:tc>
          <w:tcPr>
            <w:tcW w:w="4561" w:type="dxa"/>
          </w:tcPr>
          <w:p w14:paraId="3FFF0060" w14:textId="77777777" w:rsidR="00DE44C3" w:rsidRDefault="00000000">
            <w:r>
              <w:rPr>
                <w:sz w:val="20"/>
              </w:rPr>
              <w:t>Dockerfiles multi-stage com usuário não privilegiado</w:t>
            </w:r>
          </w:p>
        </w:tc>
      </w:tr>
      <w:tr w:rsidR="00DE44C3" w14:paraId="413B460D" w14:textId="77777777">
        <w:tc>
          <w:tcPr>
            <w:tcW w:w="4561" w:type="dxa"/>
          </w:tcPr>
          <w:p w14:paraId="7F8E1CC6" w14:textId="77777777" w:rsidR="00DE44C3" w:rsidRDefault="00000000">
            <w:r>
              <w:rPr>
                <w:sz w:val="20"/>
              </w:rPr>
              <w:t>Scan de imagens</w:t>
            </w:r>
          </w:p>
        </w:tc>
        <w:tc>
          <w:tcPr>
            <w:tcW w:w="4561" w:type="dxa"/>
          </w:tcPr>
          <w:p w14:paraId="09F2C34E" w14:textId="77777777" w:rsidR="00DE44C3" w:rsidRDefault="00000000">
            <w:r>
              <w:rPr>
                <w:sz w:val="20"/>
              </w:rPr>
              <w:t>ECR com scan_on_push habilitado</w:t>
            </w:r>
          </w:p>
        </w:tc>
      </w:tr>
    </w:tbl>
    <w:p w14:paraId="19FB3BD7" w14:textId="77777777" w:rsidR="00DE44C3" w:rsidRDefault="00DE44C3"/>
    <w:p w14:paraId="563355C9" w14:textId="77777777" w:rsidR="00DE44C3" w:rsidRDefault="00000000">
      <w:pPr>
        <w:spacing w:after="160"/>
      </w:pPr>
      <w:r>
        <w:rPr>
          <w:rFonts w:ascii="Calibri" w:hAnsi="Calibri"/>
          <w:b/>
        </w:rPr>
        <w:t>Pontos de atenção:</w:t>
      </w:r>
    </w:p>
    <w:p w14:paraId="0A6EE015" w14:textId="77777777" w:rsidR="00DE44C3" w:rsidRDefault="00000000">
      <w:pPr>
        <w:pStyle w:val="Commarcadores"/>
        <w:spacing w:after="80"/>
      </w:pPr>
      <w:r>
        <w:rPr>
          <w:rFonts w:ascii="Calibri" w:hAnsi="Calibri"/>
        </w:rPr>
        <w:t>evaluation-service (/evaluate) é público — recomenda-se rate limiting/WAF;</w:t>
      </w:r>
    </w:p>
    <w:p w14:paraId="5A9733DC" w14:textId="77777777" w:rsidR="00DE44C3" w:rsidRDefault="00000000">
      <w:pPr>
        <w:pStyle w:val="Commarcadores"/>
        <w:spacing w:after="80"/>
      </w:pPr>
      <w:r>
        <w:rPr>
          <w:rFonts w:ascii="Calibri" w:hAnsi="Calibri"/>
        </w:rPr>
        <w:lastRenderedPageBreak/>
        <w:t>Credenciais de dev no docker-compose.yml não devem ir para produção;</w:t>
      </w:r>
    </w:p>
    <w:p w14:paraId="75AD5B88" w14:textId="77777777" w:rsidR="00DE44C3" w:rsidRDefault="00000000">
      <w:pPr>
        <w:pStyle w:val="Commarcadores"/>
        <w:spacing w:after="80"/>
      </w:pPr>
      <w:r>
        <w:rPr>
          <w:rFonts w:ascii="Calibri" w:hAnsi="Calibri"/>
        </w:rPr>
        <w:t>Rotação de chaves API não automatizada;</w:t>
      </w:r>
    </w:p>
    <w:p w14:paraId="169D5DBB" w14:textId="77777777" w:rsidR="00DE44C3" w:rsidRDefault="00000000">
      <w:pPr>
        <w:pStyle w:val="Commarcadores"/>
        <w:spacing w:after="80"/>
      </w:pPr>
      <w:r>
        <w:rPr>
          <w:rFonts w:ascii="Calibri" w:hAnsi="Calibri"/>
        </w:rPr>
        <w:t>Comunicação inter-serviços HTTP interna (sem mTLS).</w:t>
      </w:r>
    </w:p>
    <w:p w14:paraId="2E218303" w14:textId="77777777" w:rsidR="00DE44C3" w:rsidRDefault="00000000">
      <w:r>
        <w:br w:type="page"/>
      </w:r>
    </w:p>
    <w:p w14:paraId="56ABC6C8" w14:textId="77777777" w:rsidR="00DE44C3" w:rsidRDefault="00000000">
      <w:pPr>
        <w:pStyle w:val="Ttulo1"/>
      </w:pPr>
      <w:r>
        <w:rPr>
          <w:color w:val="000000"/>
        </w:rPr>
        <w:lastRenderedPageBreak/>
        <w:t>8. Custos da AWS</w:t>
      </w:r>
    </w:p>
    <w:p w14:paraId="16F5C572" w14:textId="77777777" w:rsidR="00DE44C3" w:rsidRDefault="00000000">
      <w:pPr>
        <w:spacing w:after="160"/>
      </w:pPr>
      <w:r>
        <w:rPr>
          <w:rFonts w:ascii="Calibri" w:hAnsi="Calibri"/>
        </w:rPr>
        <w:t>Estimativa mensal aproximada para a arquitetura de microsserviços em us-east-1 (On-Demand):</w:t>
      </w:r>
    </w:p>
    <w:tbl>
      <w:tblPr>
        <w:tblStyle w:val="Tabelacomgrade"/>
        <w:tblW w:w="0" w:type="auto"/>
        <w:tblLook w:val="04A0" w:firstRow="1" w:lastRow="0" w:firstColumn="1" w:lastColumn="0" w:noHBand="0" w:noVBand="1"/>
      </w:tblPr>
      <w:tblGrid>
        <w:gridCol w:w="3041"/>
        <w:gridCol w:w="3041"/>
        <w:gridCol w:w="3041"/>
      </w:tblGrid>
      <w:tr w:rsidR="00DE44C3" w14:paraId="2C43F59B" w14:textId="77777777">
        <w:tc>
          <w:tcPr>
            <w:tcW w:w="3041" w:type="dxa"/>
          </w:tcPr>
          <w:p w14:paraId="6DA45145" w14:textId="77777777" w:rsidR="00DE44C3" w:rsidRDefault="00000000">
            <w:r>
              <w:rPr>
                <w:b/>
                <w:sz w:val="20"/>
              </w:rPr>
              <w:t>Recurso</w:t>
            </w:r>
          </w:p>
        </w:tc>
        <w:tc>
          <w:tcPr>
            <w:tcW w:w="3041" w:type="dxa"/>
          </w:tcPr>
          <w:p w14:paraId="53CEC05F" w14:textId="77777777" w:rsidR="00DE44C3" w:rsidRDefault="00000000">
            <w:r>
              <w:rPr>
                <w:b/>
                <w:sz w:val="20"/>
              </w:rPr>
              <w:t>Instância/Tipo</w:t>
            </w:r>
          </w:p>
        </w:tc>
        <w:tc>
          <w:tcPr>
            <w:tcW w:w="3041" w:type="dxa"/>
          </w:tcPr>
          <w:p w14:paraId="3DB6E38A" w14:textId="77777777" w:rsidR="00DE44C3" w:rsidRDefault="00000000">
            <w:r>
              <w:rPr>
                <w:b/>
                <w:sz w:val="20"/>
              </w:rPr>
              <w:t>Custo estimado/mês</w:t>
            </w:r>
          </w:p>
        </w:tc>
      </w:tr>
      <w:tr w:rsidR="00DE44C3" w14:paraId="16847DDD" w14:textId="77777777">
        <w:tc>
          <w:tcPr>
            <w:tcW w:w="3041" w:type="dxa"/>
          </w:tcPr>
          <w:p w14:paraId="4632184B" w14:textId="77777777" w:rsidR="00DE44C3" w:rsidRDefault="00000000">
            <w:r>
              <w:rPr>
                <w:sz w:val="20"/>
              </w:rPr>
              <w:t>RDS PostgreSQL (×3)</w:t>
            </w:r>
          </w:p>
        </w:tc>
        <w:tc>
          <w:tcPr>
            <w:tcW w:w="3041" w:type="dxa"/>
          </w:tcPr>
          <w:p w14:paraId="0ADADF0C" w14:textId="77777777" w:rsidR="00DE44C3" w:rsidRDefault="00000000">
            <w:r>
              <w:rPr>
                <w:sz w:val="20"/>
              </w:rPr>
              <w:t>db.t3.micro</w:t>
            </w:r>
          </w:p>
        </w:tc>
        <w:tc>
          <w:tcPr>
            <w:tcW w:w="3041" w:type="dxa"/>
          </w:tcPr>
          <w:p w14:paraId="09AB951F" w14:textId="77777777" w:rsidR="00DE44C3" w:rsidRDefault="00000000">
            <w:r>
              <w:rPr>
                <w:sz w:val="20"/>
              </w:rPr>
              <w:t>~$46,32 ($15,44 × 3)</w:t>
            </w:r>
          </w:p>
        </w:tc>
      </w:tr>
      <w:tr w:rsidR="00DE44C3" w14:paraId="0A25024C" w14:textId="77777777">
        <w:tc>
          <w:tcPr>
            <w:tcW w:w="3041" w:type="dxa"/>
          </w:tcPr>
          <w:p w14:paraId="73DD3237" w14:textId="77777777" w:rsidR="00DE44C3" w:rsidRDefault="00000000">
            <w:r>
              <w:rPr>
                <w:sz w:val="20"/>
              </w:rPr>
              <w:t>ElastiCache Redis</w:t>
            </w:r>
          </w:p>
        </w:tc>
        <w:tc>
          <w:tcPr>
            <w:tcW w:w="3041" w:type="dxa"/>
          </w:tcPr>
          <w:p w14:paraId="07DC6B42" w14:textId="77777777" w:rsidR="00DE44C3" w:rsidRDefault="00000000">
            <w:r>
              <w:rPr>
                <w:sz w:val="20"/>
              </w:rPr>
              <w:t>cache.t3.micro</w:t>
            </w:r>
          </w:p>
        </w:tc>
        <w:tc>
          <w:tcPr>
            <w:tcW w:w="3041" w:type="dxa"/>
          </w:tcPr>
          <w:p w14:paraId="2E0B7F72" w14:textId="77777777" w:rsidR="00DE44C3" w:rsidRDefault="00000000">
            <w:r>
              <w:rPr>
                <w:sz w:val="20"/>
              </w:rPr>
              <w:t>~$12,41</w:t>
            </w:r>
          </w:p>
        </w:tc>
      </w:tr>
      <w:tr w:rsidR="00DE44C3" w14:paraId="4FBD2B2B" w14:textId="77777777">
        <w:tc>
          <w:tcPr>
            <w:tcW w:w="3041" w:type="dxa"/>
          </w:tcPr>
          <w:p w14:paraId="48D5D4D5" w14:textId="77777777" w:rsidR="00DE44C3" w:rsidRDefault="00000000">
            <w:r>
              <w:rPr>
                <w:sz w:val="20"/>
              </w:rPr>
              <w:t>EKS Control Plane</w:t>
            </w:r>
          </w:p>
        </w:tc>
        <w:tc>
          <w:tcPr>
            <w:tcW w:w="3041" w:type="dxa"/>
          </w:tcPr>
          <w:p w14:paraId="4E52C432" w14:textId="77777777" w:rsidR="00DE44C3" w:rsidRDefault="00000000">
            <w:r>
              <w:rPr>
                <w:sz w:val="20"/>
              </w:rPr>
              <w:t>—</w:t>
            </w:r>
          </w:p>
        </w:tc>
        <w:tc>
          <w:tcPr>
            <w:tcW w:w="3041" w:type="dxa"/>
          </w:tcPr>
          <w:p w14:paraId="583DA3AE" w14:textId="77777777" w:rsidR="00DE44C3" w:rsidRDefault="00000000">
            <w:r>
              <w:rPr>
                <w:sz w:val="20"/>
              </w:rPr>
              <w:t>~$73,00</w:t>
            </w:r>
          </w:p>
        </w:tc>
      </w:tr>
      <w:tr w:rsidR="00DE44C3" w14:paraId="090FE45F" w14:textId="77777777">
        <w:tc>
          <w:tcPr>
            <w:tcW w:w="3041" w:type="dxa"/>
          </w:tcPr>
          <w:p w14:paraId="272DEC1C" w14:textId="77777777" w:rsidR="00DE44C3" w:rsidRDefault="00000000">
            <w:r>
              <w:rPr>
                <w:sz w:val="20"/>
              </w:rPr>
              <w:t>EC2 Worker Nodes</w:t>
            </w:r>
          </w:p>
        </w:tc>
        <w:tc>
          <w:tcPr>
            <w:tcW w:w="3041" w:type="dxa"/>
          </w:tcPr>
          <w:p w14:paraId="27C7BFB2" w14:textId="77777777" w:rsidR="00DE44C3" w:rsidRDefault="00000000">
            <w:r>
              <w:rPr>
                <w:sz w:val="20"/>
              </w:rPr>
              <w:t>2× t3.medium</w:t>
            </w:r>
          </w:p>
        </w:tc>
        <w:tc>
          <w:tcPr>
            <w:tcW w:w="3041" w:type="dxa"/>
          </w:tcPr>
          <w:p w14:paraId="3511DB1E" w14:textId="77777777" w:rsidR="00DE44C3" w:rsidRDefault="00000000">
            <w:r>
              <w:rPr>
                <w:sz w:val="20"/>
              </w:rPr>
              <w:t>~$60,00</w:t>
            </w:r>
          </w:p>
        </w:tc>
      </w:tr>
      <w:tr w:rsidR="00DE44C3" w14:paraId="5067AF65" w14:textId="77777777">
        <w:tc>
          <w:tcPr>
            <w:tcW w:w="3041" w:type="dxa"/>
          </w:tcPr>
          <w:p w14:paraId="41B8B527" w14:textId="77777777" w:rsidR="00DE44C3" w:rsidRDefault="00000000">
            <w:r>
              <w:rPr>
                <w:sz w:val="20"/>
              </w:rPr>
              <w:t>DynamoDB</w:t>
            </w:r>
          </w:p>
        </w:tc>
        <w:tc>
          <w:tcPr>
            <w:tcW w:w="3041" w:type="dxa"/>
          </w:tcPr>
          <w:p w14:paraId="660A6C30" w14:textId="77777777" w:rsidR="00DE44C3" w:rsidRDefault="00000000">
            <w:r>
              <w:rPr>
                <w:sz w:val="20"/>
              </w:rPr>
              <w:t>PAY_PER_REQUEST</w:t>
            </w:r>
          </w:p>
        </w:tc>
        <w:tc>
          <w:tcPr>
            <w:tcW w:w="3041" w:type="dxa"/>
          </w:tcPr>
          <w:p w14:paraId="38E5512B" w14:textId="77777777" w:rsidR="00DE44C3" w:rsidRDefault="00000000">
            <w:r>
              <w:rPr>
                <w:sz w:val="20"/>
              </w:rPr>
              <w:t>~$1,00–5,00</w:t>
            </w:r>
          </w:p>
        </w:tc>
      </w:tr>
      <w:tr w:rsidR="00DE44C3" w14:paraId="37F39563" w14:textId="77777777">
        <w:tc>
          <w:tcPr>
            <w:tcW w:w="3041" w:type="dxa"/>
          </w:tcPr>
          <w:p w14:paraId="34C08830" w14:textId="77777777" w:rsidR="00DE44C3" w:rsidRDefault="00000000">
            <w:r>
              <w:rPr>
                <w:sz w:val="20"/>
              </w:rPr>
              <w:t>SQS</w:t>
            </w:r>
          </w:p>
        </w:tc>
        <w:tc>
          <w:tcPr>
            <w:tcW w:w="3041" w:type="dxa"/>
          </w:tcPr>
          <w:p w14:paraId="593572C0" w14:textId="77777777" w:rsidR="00DE44C3" w:rsidRDefault="00000000">
            <w:r>
              <w:rPr>
                <w:sz w:val="20"/>
              </w:rPr>
              <w:t>Standard</w:t>
            </w:r>
          </w:p>
        </w:tc>
        <w:tc>
          <w:tcPr>
            <w:tcW w:w="3041" w:type="dxa"/>
          </w:tcPr>
          <w:p w14:paraId="72801D5E" w14:textId="77777777" w:rsidR="00DE44C3" w:rsidRDefault="00000000">
            <w:r>
              <w:rPr>
                <w:sz w:val="20"/>
              </w:rPr>
              <w:t>~$0,50</w:t>
            </w:r>
          </w:p>
        </w:tc>
      </w:tr>
      <w:tr w:rsidR="00DE44C3" w14:paraId="709F5993" w14:textId="77777777">
        <w:tc>
          <w:tcPr>
            <w:tcW w:w="3041" w:type="dxa"/>
          </w:tcPr>
          <w:p w14:paraId="16B6C2B8" w14:textId="77777777" w:rsidR="00DE44C3" w:rsidRDefault="00000000">
            <w:r>
              <w:rPr>
                <w:sz w:val="20"/>
              </w:rPr>
              <w:t>ECR</w:t>
            </w:r>
          </w:p>
        </w:tc>
        <w:tc>
          <w:tcPr>
            <w:tcW w:w="3041" w:type="dxa"/>
          </w:tcPr>
          <w:p w14:paraId="7C58D8D1" w14:textId="77777777" w:rsidR="00DE44C3" w:rsidRDefault="00000000">
            <w:r>
              <w:rPr>
                <w:sz w:val="20"/>
              </w:rPr>
              <w:t>5 repositórios</w:t>
            </w:r>
          </w:p>
        </w:tc>
        <w:tc>
          <w:tcPr>
            <w:tcW w:w="3041" w:type="dxa"/>
          </w:tcPr>
          <w:p w14:paraId="7782D12B" w14:textId="77777777" w:rsidR="00DE44C3" w:rsidRDefault="00000000">
            <w:r>
              <w:rPr>
                <w:sz w:val="20"/>
              </w:rPr>
              <w:t>~$1,00</w:t>
            </w:r>
          </w:p>
        </w:tc>
      </w:tr>
      <w:tr w:rsidR="00DE44C3" w14:paraId="5F0F7439" w14:textId="77777777">
        <w:tc>
          <w:tcPr>
            <w:tcW w:w="3041" w:type="dxa"/>
          </w:tcPr>
          <w:p w14:paraId="2C3C5F74" w14:textId="77777777" w:rsidR="00DE44C3" w:rsidRDefault="00000000">
            <w:r>
              <w:rPr>
                <w:sz w:val="20"/>
              </w:rPr>
              <w:t>Transferência de dados</w:t>
            </w:r>
          </w:p>
        </w:tc>
        <w:tc>
          <w:tcPr>
            <w:tcW w:w="3041" w:type="dxa"/>
          </w:tcPr>
          <w:p w14:paraId="2326B325" w14:textId="77777777" w:rsidR="00DE44C3" w:rsidRDefault="00000000">
            <w:r>
              <w:rPr>
                <w:sz w:val="20"/>
              </w:rPr>
              <w:t>~10 GB</w:t>
            </w:r>
          </w:p>
        </w:tc>
        <w:tc>
          <w:tcPr>
            <w:tcW w:w="3041" w:type="dxa"/>
          </w:tcPr>
          <w:p w14:paraId="1EB3494B" w14:textId="77777777" w:rsidR="00DE44C3" w:rsidRDefault="00000000">
            <w:r>
              <w:rPr>
                <w:sz w:val="20"/>
              </w:rPr>
              <w:t>~$0,90</w:t>
            </w:r>
          </w:p>
        </w:tc>
      </w:tr>
      <w:tr w:rsidR="00DE44C3" w14:paraId="5B62E639" w14:textId="77777777">
        <w:tc>
          <w:tcPr>
            <w:tcW w:w="3041" w:type="dxa"/>
          </w:tcPr>
          <w:p w14:paraId="6EEA8E76" w14:textId="77777777" w:rsidR="00DE44C3" w:rsidRDefault="00000000">
            <w:r>
              <w:rPr>
                <w:sz w:val="20"/>
              </w:rPr>
              <w:t>Total estimado</w:t>
            </w:r>
          </w:p>
        </w:tc>
        <w:tc>
          <w:tcPr>
            <w:tcW w:w="3041" w:type="dxa"/>
          </w:tcPr>
          <w:p w14:paraId="37684A51" w14:textId="77777777" w:rsidR="00DE44C3" w:rsidRDefault="00DE44C3"/>
        </w:tc>
        <w:tc>
          <w:tcPr>
            <w:tcW w:w="3041" w:type="dxa"/>
          </w:tcPr>
          <w:p w14:paraId="36F7CC3C" w14:textId="77777777" w:rsidR="00DE44C3" w:rsidRDefault="00000000">
            <w:r>
              <w:rPr>
                <w:sz w:val="20"/>
              </w:rPr>
              <w:t>~$195–200/mês</w:t>
            </w:r>
          </w:p>
        </w:tc>
      </w:tr>
    </w:tbl>
    <w:p w14:paraId="7C26FD08" w14:textId="77777777" w:rsidR="00DE44C3" w:rsidRDefault="00DE44C3"/>
    <w:p w14:paraId="7EC6246C" w14:textId="77777777" w:rsidR="00DE44C3" w:rsidRDefault="00000000">
      <w:pPr>
        <w:spacing w:after="160"/>
      </w:pPr>
      <w:r>
        <w:rPr>
          <w:rFonts w:ascii="Calibri" w:hAnsi="Calibri"/>
        </w:rPr>
        <w:t>Recursos como VPC, subnets, Internet Gateway, route tables e security groups não geram custo adicional.</w:t>
      </w:r>
    </w:p>
    <w:p w14:paraId="127041A4" w14:textId="77777777" w:rsidR="00DE44C3" w:rsidRDefault="00000000">
      <w:pPr>
        <w:spacing w:after="160"/>
      </w:pPr>
      <w:r>
        <w:rPr>
          <w:rFonts w:ascii="Calibri" w:hAnsi="Calibri"/>
        </w:rPr>
        <w:t>A arquitetura de microsserviços é significativamente mais cara que o monolito da Fase 01 (~$27,58/mês), devido ao EKS, múltiplos RDS e ElastiCache. O AWS Free Tier (primeiro ano) cobre parcialmente EC2/RDS. A região us-east-1 foi escolhida por menor custo; para usuários brasileiros, a migração para sa-east-1 (São Paulo) seria recomendada para reduzir a latência.</w:t>
      </w:r>
    </w:p>
    <w:p w14:paraId="7792F489" w14:textId="77777777" w:rsidR="00DE44C3" w:rsidRDefault="00000000">
      <w:pPr>
        <w:pStyle w:val="Ttulo1"/>
      </w:pPr>
      <w:r>
        <w:rPr>
          <w:color w:val="000000"/>
        </w:rPr>
        <w:t>9. Desafios</w:t>
      </w:r>
    </w:p>
    <w:p w14:paraId="5BBC224E" w14:textId="77777777" w:rsidR="00DE44C3" w:rsidRDefault="00000000">
      <w:pPr>
        <w:spacing w:after="160"/>
      </w:pPr>
      <w:r>
        <w:rPr>
          <w:rFonts w:ascii="Calibri" w:hAnsi="Calibri"/>
          <w:b/>
        </w:rPr>
        <w:t>Evolução monolito → microsserviços</w:t>
      </w:r>
    </w:p>
    <w:p w14:paraId="5B7CF1F6" w14:textId="77777777" w:rsidR="00DE44C3" w:rsidRDefault="00000000">
      <w:pPr>
        <w:spacing w:after="160"/>
      </w:pPr>
      <w:r>
        <w:rPr>
          <w:rFonts w:ascii="Calibri" w:hAnsi="Calibri"/>
        </w:rPr>
        <w:t>A migração exigiu redefinir fronteiras de serviço, separar bancos de dados e implementar comunicação HTTP entre serviços, aumentando a complexidade de desenvolvimento e testes locais.</w:t>
      </w:r>
    </w:p>
    <w:p w14:paraId="635B4C39" w14:textId="77777777" w:rsidR="00DE44C3" w:rsidRDefault="00000000">
      <w:pPr>
        <w:spacing w:after="160"/>
      </w:pPr>
      <w:r>
        <w:rPr>
          <w:rFonts w:ascii="Calibri" w:hAnsi="Calibri"/>
          <w:b/>
        </w:rPr>
        <w:t>Ambiente local com LocalStack</w:t>
      </w:r>
    </w:p>
    <w:p w14:paraId="40880917" w14:textId="77777777" w:rsidR="00DE44C3" w:rsidRDefault="00000000">
      <w:pPr>
        <w:spacing w:after="160"/>
      </w:pPr>
      <w:r>
        <w:rPr>
          <w:rFonts w:ascii="Calibri" w:hAnsi="Calibri"/>
        </w:rPr>
        <w:t>A integração SQS + DynamoDB via LocalStack apresentou desafios de timing. Solução: container localstack-setup com script de inicialização e depends_on no Docker Compose.</w:t>
      </w:r>
    </w:p>
    <w:p w14:paraId="3DD17DCA" w14:textId="77777777" w:rsidR="00DE44C3" w:rsidRDefault="00000000">
      <w:pPr>
        <w:spacing w:after="160"/>
      </w:pPr>
      <w:r>
        <w:rPr>
          <w:rFonts w:ascii="Calibri" w:hAnsi="Calibri"/>
          <w:b/>
        </w:rPr>
        <w:t>Cache e consistência</w:t>
      </w:r>
    </w:p>
    <w:p w14:paraId="28D37E55" w14:textId="77777777" w:rsidR="00DE44C3" w:rsidRDefault="00000000">
      <w:pPr>
        <w:spacing w:after="160"/>
      </w:pPr>
      <w:r>
        <w:rPr>
          <w:rFonts w:ascii="Calibri" w:hAnsi="Calibri"/>
        </w:rPr>
        <w:t>Alterações em flags/regras não invalidam o cache Redis imediatamente (TTL 30s). Decisão consciente para performance, mas exige documentação para operadores.</w:t>
      </w:r>
    </w:p>
    <w:p w14:paraId="54A25573" w14:textId="77777777" w:rsidR="00DE44C3" w:rsidRDefault="00000000">
      <w:pPr>
        <w:spacing w:after="160"/>
      </w:pPr>
      <w:r>
        <w:rPr>
          <w:rFonts w:ascii="Calibri" w:hAnsi="Calibri"/>
          <w:b/>
        </w:rPr>
        <w:t>DB Subnet Group (RDS)</w:t>
      </w:r>
    </w:p>
    <w:p w14:paraId="72B4FD0F" w14:textId="77777777" w:rsidR="00DE44C3" w:rsidRDefault="00000000">
      <w:pPr>
        <w:spacing w:after="160"/>
      </w:pPr>
      <w:r>
        <w:rPr>
          <w:rFonts w:ascii="Calibri" w:hAnsi="Calibri"/>
        </w:rPr>
        <w:t>A AWS exige sub-redes em pelo menos duas AZs no DB Subnet Group. Configuração corrigida com private_a e private_b.</w:t>
      </w:r>
    </w:p>
    <w:p w14:paraId="245D11F3" w14:textId="77777777" w:rsidR="00DE44C3" w:rsidRDefault="00000000">
      <w:pPr>
        <w:spacing w:after="160"/>
      </w:pPr>
      <w:r>
        <w:rPr>
          <w:rFonts w:ascii="Calibri" w:hAnsi="Calibri"/>
          <w:b/>
        </w:rPr>
        <w:t>Security Groups e conectividade</w:t>
      </w:r>
    </w:p>
    <w:p w14:paraId="21866787" w14:textId="77777777" w:rsidR="00DE44C3" w:rsidRDefault="00000000">
      <w:pPr>
        <w:spacing w:after="160"/>
      </w:pPr>
      <w:r>
        <w:rPr>
          <w:rFonts w:ascii="Calibri" w:hAnsi="Calibri"/>
        </w:rPr>
        <w:t>Comunicação entre pods Kubernetes e RDS/Redis falhou inicialmente por regras de SG incorretas. Solução: SG dedicado para nodes EKS referenciado nos SGs de RDS e Redis.</w:t>
      </w:r>
    </w:p>
    <w:p w14:paraId="3C3E6E20" w14:textId="77777777" w:rsidR="00DE44C3" w:rsidRDefault="00000000">
      <w:pPr>
        <w:spacing w:after="160"/>
      </w:pPr>
      <w:r>
        <w:rPr>
          <w:rFonts w:ascii="Calibri" w:hAnsi="Calibri"/>
          <w:b/>
        </w:rPr>
        <w:lastRenderedPageBreak/>
        <w:t>HPA e métricas</w:t>
      </w:r>
    </w:p>
    <w:p w14:paraId="4213916D" w14:textId="77777777" w:rsidR="00DE44C3" w:rsidRDefault="00000000">
      <w:pPr>
        <w:spacing w:after="160"/>
      </w:pPr>
      <w:r>
        <w:rPr>
          <w:rFonts w:ascii="Calibri" w:hAnsi="Calibri"/>
        </w:rPr>
        <w:t>Correção no manifesto HPA (apiVersion: autoscaling/v2) para compatibilidade com clusters Kubernetes mais recentes.</w:t>
      </w:r>
    </w:p>
    <w:p w14:paraId="03BEC73C" w14:textId="77777777" w:rsidR="00DE44C3" w:rsidRDefault="00000000">
      <w:pPr>
        <w:spacing w:after="160"/>
      </w:pPr>
      <w:r>
        <w:rPr>
          <w:rFonts w:ascii="Calibri" w:hAnsi="Calibri"/>
          <w:b/>
        </w:rPr>
        <w:t>Autenticação entre serviços</w:t>
      </w:r>
    </w:p>
    <w:p w14:paraId="48EE0AF5" w14:textId="77777777" w:rsidR="00DE44C3" w:rsidRDefault="00000000">
      <w:pPr>
        <w:spacing w:after="160"/>
      </w:pPr>
      <w:r>
        <w:rPr>
          <w:rFonts w:ascii="Calibri" w:hAnsi="Calibri"/>
        </w:rPr>
        <w:t>O evaluation-service precisa de chave API válida para consultar flag-service e targeting-service. Configuração da SERVICE_API_KEY exigiu criação prévia via auth-service e sincronização nos Secrets do Kubernetes.</w:t>
      </w:r>
    </w:p>
    <w:p w14:paraId="6F2741C0" w14:textId="77777777" w:rsidR="00DE44C3" w:rsidRDefault="00000000">
      <w:r>
        <w:br w:type="page"/>
      </w:r>
    </w:p>
    <w:p w14:paraId="50126067" w14:textId="77777777" w:rsidR="00DE44C3" w:rsidRDefault="00000000">
      <w:pPr>
        <w:pStyle w:val="Ttulo1"/>
      </w:pPr>
      <w:r>
        <w:rPr>
          <w:color w:val="000000"/>
        </w:rPr>
        <w:lastRenderedPageBreak/>
        <w:t>10. Conclusão</w:t>
      </w:r>
    </w:p>
    <w:p w14:paraId="6C0940C8" w14:textId="77777777" w:rsidR="00DE44C3" w:rsidRDefault="00000000">
      <w:pPr>
        <w:spacing w:after="160"/>
      </w:pPr>
      <w:r>
        <w:rPr>
          <w:rFonts w:ascii="Calibri" w:hAnsi="Calibri"/>
        </w:rPr>
        <w:t>O projeto atingiu os objetivos propostos para a entrega final, evoluindo o ToggleMaster de um MVP monolítico para uma plataforma de feature flags distribuída, implantada em ambiente cloud na AWS com práticas DevOps modernas.</w:t>
      </w:r>
    </w:p>
    <w:p w14:paraId="3A07320A" w14:textId="77777777" w:rsidR="00DE44C3" w:rsidRDefault="00000000">
      <w:pPr>
        <w:spacing w:after="160"/>
      </w:pPr>
      <w:r>
        <w:rPr>
          <w:rFonts w:ascii="Calibri" w:hAnsi="Calibri"/>
          <w:b/>
        </w:rPr>
        <w:t>Principais conquistas:</w:t>
      </w:r>
    </w:p>
    <w:p w14:paraId="41178D5D" w14:textId="77777777" w:rsidR="00DE44C3" w:rsidRDefault="00000000">
      <w:pPr>
        <w:pStyle w:val="Commarcadores"/>
        <w:spacing w:after="80"/>
      </w:pPr>
      <w:r>
        <w:rPr>
          <w:rFonts w:ascii="Calibri" w:hAnsi="Calibri"/>
        </w:rPr>
        <w:t>5 microsserviços independentes com responsabilidades bem definidas;</w:t>
      </w:r>
    </w:p>
    <w:p w14:paraId="3F96F98F" w14:textId="77777777" w:rsidR="00DE44C3" w:rsidRDefault="00000000">
      <w:pPr>
        <w:pStyle w:val="Commarcadores"/>
        <w:spacing w:after="80"/>
      </w:pPr>
      <w:r>
        <w:rPr>
          <w:rFonts w:ascii="Calibri" w:hAnsi="Calibri"/>
        </w:rPr>
        <w:t>Caminho quente otimizado com cache Redis e fetch paralelo;</w:t>
      </w:r>
    </w:p>
    <w:p w14:paraId="1DF0B573" w14:textId="77777777" w:rsidR="00DE44C3" w:rsidRDefault="00000000">
      <w:pPr>
        <w:pStyle w:val="Commarcadores"/>
        <w:spacing w:after="80"/>
      </w:pPr>
      <w:r>
        <w:rPr>
          <w:rFonts w:ascii="Calibri" w:hAnsi="Calibri"/>
        </w:rPr>
        <w:t>Analytics assíncrono desacoplado via SQS + DynamoDB;</w:t>
      </w:r>
    </w:p>
    <w:p w14:paraId="366DAFBB" w14:textId="77777777" w:rsidR="00DE44C3" w:rsidRDefault="00000000">
      <w:pPr>
        <w:pStyle w:val="Commarcadores"/>
        <w:spacing w:after="80"/>
      </w:pPr>
      <w:r>
        <w:rPr>
          <w:rFonts w:ascii="Calibri" w:hAnsi="Calibri"/>
        </w:rPr>
        <w:t>Infraestrutura como código com Terraform;</w:t>
      </w:r>
    </w:p>
    <w:p w14:paraId="28FB6031" w14:textId="77777777" w:rsidR="00DE44C3" w:rsidRDefault="00000000">
      <w:pPr>
        <w:pStyle w:val="Commarcadores"/>
        <w:spacing w:after="80"/>
      </w:pPr>
      <w:r>
        <w:rPr>
          <w:rFonts w:ascii="Calibri" w:hAnsi="Calibri"/>
        </w:rPr>
        <w:t>Orquestração com Kubernetes, Ingress e autoscaling (HPA);</w:t>
      </w:r>
    </w:p>
    <w:p w14:paraId="4EA607AC" w14:textId="77777777" w:rsidR="00DE44C3" w:rsidRDefault="00000000">
      <w:pPr>
        <w:pStyle w:val="Commarcadores"/>
        <w:spacing w:after="80"/>
      </w:pPr>
      <w:r>
        <w:rPr>
          <w:rFonts w:ascii="Calibri" w:hAnsi="Calibri"/>
        </w:rPr>
        <w:t>Ambiente local completo via Docker Compose + LocalStack.</w:t>
      </w:r>
    </w:p>
    <w:p w14:paraId="52814373" w14:textId="77777777" w:rsidR="00DE44C3" w:rsidRDefault="00000000">
      <w:pPr>
        <w:spacing w:after="160"/>
      </w:pPr>
      <w:r>
        <w:rPr>
          <w:rFonts w:ascii="Calibri" w:hAnsi="Calibri"/>
        </w:rPr>
        <w:t>O desenvolvimento proporcionou compreensão aprofundada sobre arquitetura de microsserviços, mensageria assíncrona, cache distribuído, segurança em cloud, redes VPC e boas práticas de containerização.</w:t>
      </w:r>
    </w:p>
    <w:p w14:paraId="4405772E" w14:textId="77777777" w:rsidR="00DE44C3" w:rsidRDefault="00000000">
      <w:pPr>
        <w:spacing w:after="160"/>
      </w:pPr>
      <w:r>
        <w:rPr>
          <w:rFonts w:ascii="Calibri" w:hAnsi="Calibri"/>
        </w:rPr>
        <w:t>Como evoluções futuras, recomenda-se: pipeline CI/CD completo, observabilidade centralizada (CloudWatch/Prometheus), invalidação de cache, novos tipos de regras de segmentação, rate limiting no /evaluate e consolidação de custos em produção.</w:t>
      </w:r>
    </w:p>
    <w:p w14:paraId="20BA08D6" w14:textId="77777777" w:rsidR="00DE44C3" w:rsidRDefault="00000000">
      <w:pPr>
        <w:pStyle w:val="Ttulo1"/>
      </w:pPr>
      <w:r>
        <w:rPr>
          <w:color w:val="000000"/>
        </w:rPr>
        <w:t>11. Referências</w:t>
      </w:r>
    </w:p>
    <w:p w14:paraId="1BF1CD84" w14:textId="77777777" w:rsidR="00DE44C3" w:rsidRDefault="00000000">
      <w:pPr>
        <w:spacing w:after="160"/>
      </w:pPr>
      <w:r>
        <w:rPr>
          <w:rFonts w:ascii="Calibri" w:hAnsi="Calibri"/>
        </w:rPr>
        <w:t>1. Repositório do projeto: https://github.com/pcoutinhoo/tooglemaster-project</w:t>
      </w:r>
    </w:p>
    <w:p w14:paraId="2665F747" w14:textId="77777777" w:rsidR="00DE44C3" w:rsidRDefault="00000000">
      <w:pPr>
        <w:spacing w:after="160"/>
      </w:pPr>
      <w:r>
        <w:rPr>
          <w:rFonts w:ascii="Calibri" w:hAnsi="Calibri"/>
        </w:rPr>
        <w:t>2. Documentação por serviço: README.md em auth-service, flag-service, targeting-service, evaluation-service e analytics-service</w:t>
      </w:r>
    </w:p>
    <w:p w14:paraId="30CC2CB8" w14:textId="77777777" w:rsidR="00DE44C3" w:rsidRDefault="00000000">
      <w:pPr>
        <w:spacing w:after="160"/>
      </w:pPr>
      <w:r>
        <w:rPr>
          <w:rFonts w:ascii="Calibri" w:hAnsi="Calibri"/>
        </w:rPr>
        <w:t>3. Twelve-Factor App: https://12factor.net/pt_br/</w:t>
      </w:r>
    </w:p>
    <w:p w14:paraId="23DC6517" w14:textId="77777777" w:rsidR="00DE44C3" w:rsidRDefault="00000000">
      <w:pPr>
        <w:spacing w:after="160"/>
      </w:pPr>
      <w:r>
        <w:rPr>
          <w:rFonts w:ascii="Calibri" w:hAnsi="Calibri"/>
        </w:rPr>
        <w:t>4. Terraform AWS Provider: https://registry.terraform.io/providers/hashicorp/aws</w:t>
      </w:r>
    </w:p>
    <w:p w14:paraId="591ED974" w14:textId="77777777" w:rsidR="00DE44C3" w:rsidRDefault="00000000">
      <w:pPr>
        <w:spacing w:after="160"/>
      </w:pPr>
      <w:r>
        <w:rPr>
          <w:rFonts w:ascii="Calibri" w:hAnsi="Calibri"/>
        </w:rPr>
        <w:t>5. Kubernetes Documentation: https://kubernetes.io/docs/</w:t>
      </w:r>
    </w:p>
    <w:p w14:paraId="0F891687" w14:textId="77777777" w:rsidR="00DE44C3" w:rsidRDefault="00000000">
      <w:pPr>
        <w:spacing w:after="160"/>
      </w:pPr>
      <w:r>
        <w:rPr>
          <w:rFonts w:ascii="Calibri" w:hAnsi="Calibri"/>
        </w:rPr>
        <w:t>6. AWS Well-Architected Framework: https://aws.amazon.com/architecture/well-architected/</w:t>
      </w:r>
    </w:p>
    <w:p w14:paraId="1931F54A" w14:textId="77777777" w:rsidR="00DE44C3" w:rsidRDefault="00000000">
      <w:pPr>
        <w:spacing w:after="160"/>
      </w:pPr>
      <w:r>
        <w:rPr>
          <w:rFonts w:ascii="Calibri" w:hAnsi="Calibri"/>
        </w:rPr>
        <w:t>7. Relatório Fase 01 (monolito): Relatorio_de_Entrega_final.pdf</w:t>
      </w:r>
    </w:p>
    <w:sectPr w:rsidR="00DE44C3"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2005159229">
    <w:abstractNumId w:val="8"/>
  </w:num>
  <w:num w:numId="2" w16cid:durableId="700932252">
    <w:abstractNumId w:val="6"/>
  </w:num>
  <w:num w:numId="3" w16cid:durableId="53630572">
    <w:abstractNumId w:val="5"/>
  </w:num>
  <w:num w:numId="4" w16cid:durableId="913665828">
    <w:abstractNumId w:val="4"/>
  </w:num>
  <w:num w:numId="5" w16cid:durableId="349575034">
    <w:abstractNumId w:val="7"/>
  </w:num>
  <w:num w:numId="6" w16cid:durableId="1774550389">
    <w:abstractNumId w:val="3"/>
  </w:num>
  <w:num w:numId="7" w16cid:durableId="2028365930">
    <w:abstractNumId w:val="2"/>
  </w:num>
  <w:num w:numId="8" w16cid:durableId="792599228">
    <w:abstractNumId w:val="1"/>
  </w:num>
  <w:num w:numId="9" w16cid:durableId="361977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147"/>
    <w:rsid w:val="0029639D"/>
    <w:rsid w:val="00326F90"/>
    <w:rsid w:val="00AA1D8D"/>
    <w:rsid w:val="00B47730"/>
    <w:rsid w:val="00BA0F6A"/>
    <w:rsid w:val="00CB0664"/>
    <w:rsid w:val="00DE44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E25888"/>
  <w14:defaultImageDpi w14:val="300"/>
  <w15:docId w15:val="{39D218EC-6C51-4FCF-B27C-9E8FCE7DD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14</Pages>
  <Words>2622</Words>
  <Characters>14159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Maicon Viana</cp:lastModifiedBy>
  <cp:revision>2</cp:revision>
  <dcterms:created xsi:type="dcterms:W3CDTF">2013-12-23T23:15:00Z</dcterms:created>
  <dcterms:modified xsi:type="dcterms:W3CDTF">2026-06-29T21:47:00Z</dcterms:modified>
  <cp:category/>
</cp:coreProperties>
</file>