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pacing w:after="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pacing w:after="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pacing w:after="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pacing w:after="20" w:before="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36"/>
          <w:szCs w:val="36"/>
        </w:rPr>
        <w:t xml:space="preserve">SERVICIO NACIONAL DE APRENDIZAJE — SENA</w:t>
      </w:r>
    </w:p>
    <w:p>
      <w:pPr>
        <w:spacing w:after="6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E5B8A"/>
          <w:sz w:val="26"/>
          <w:szCs w:val="26"/>
        </w:rPr>
        <w:t xml:space="preserve">Centro de Formación Agroindustrial — CEFA</w:t>
      </w:r>
    </w:p>
    <w:p>
      <w:pPr>
        <w:pBdr>
          <w:bottom w:val="single" w:color="1F3864" w:sz="8"/>
        </w:pBdr>
        <w:spacing w:after="200" w:before="200"/>
        <w:jc w:val="center"/>
      </w:pPr>
    </w:p>
    <w:p>
      <w:pPr>
        <w:spacing w:after="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pacing w:after="20" w:before="4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56"/>
          <w:szCs w:val="56"/>
        </w:rPr>
        <w:t xml:space="preserve">PLAN DE PRUEBAS DE SOFTWARE</w:t>
      </w:r>
    </w:p>
    <w:p>
      <w:pPr>
        <w:spacing w:after="10" w:before="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2E5B8A"/>
          <w:sz w:val="40"/>
          <w:szCs w:val="40"/>
        </w:rPr>
        <w:t xml:space="preserve">SISTEMA SIGESI</w:t>
      </w:r>
    </w:p>
    <w:p>
      <w:pPr>
        <w:spacing w:after="120" w:before="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4472C4"/>
          <w:sz w:val="28"/>
          <w:szCs w:val="28"/>
        </w:rPr>
        <w:t xml:space="preserve">Sistema Documental de Semilleros de Investigación</w:t>
      </w:r>
    </w:p>
    <w:p>
      <w:pPr>
        <w:spacing w:after="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pacing w:after="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pacing w:after="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pacing w:after="10" w:before="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4"/>
          <w:szCs w:val="24"/>
        </w:rPr>
        <w:t xml:space="preserve">Elaborado por: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Juan Esteban Aldana Cortes</w:t>
      </w:r>
    </w:p>
    <w:p>
      <w:pPr>
        <w:spacing w:after="0" w:before="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666666"/>
          <w:sz w:val="22"/>
          <w:szCs w:val="22"/>
        </w:rPr>
        <w:t xml:space="preserve">Año 2026</w:t>
      </w:r>
    </w:p>
    <w:p>
      <w:r>
        <w:br w:type="page"/>
      </w:r>
    </w:p>
    <w:p>
      <w:pPr>
        <w:pStyle w:val="Heading1"/>
        <w:spacing w:after="16" w:before="28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32"/>
          <w:szCs w:val="32"/>
        </w:rPr>
        <w:t xml:space="preserve">CONTROL DE VERSIONES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shd w:fill="D6E4F0" w:color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20"/>
                <w:szCs w:val="20"/>
              </w:rPr>
              <w:t xml:space="preserve">Versión</w:t>
            </w:r>
          </w:p>
        </w:tc>
        <w:tc>
          <w:tcPr>
            <w:tcW w:type="pct" w:w="20%"/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shd w:fill="D6E4F0" w:color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20"/>
                <w:szCs w:val="20"/>
              </w:rPr>
              <w:t xml:space="preserve">Fecha</w:t>
            </w:r>
          </w:p>
        </w:tc>
        <w:tc>
          <w:tcPr>
            <w:tcW w:type="pct" w:w="38%"/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shd w:fill="D6E4F0" w:color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20"/>
                <w:szCs w:val="20"/>
              </w:rPr>
              <w:t xml:space="preserve">Autor</w:t>
            </w:r>
          </w:p>
        </w:tc>
        <w:tc>
          <w:tcPr>
            <w:tcW w:type="pct" w:w="30%"/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shd w:fill="D6E4F0" w:color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1.0</w:t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2026-04-08</w:t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Juan Esteban Aldana Cortes</w:t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Versión inicial del Plan de Pruebas</w:t>
            </w:r>
          </w:p>
        </w:tc>
      </w:tr>
    </w:tbl>
    <w:p>
      <w:pPr>
        <w:spacing w:after="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r>
        <w:br w:type="page"/>
      </w:r>
    </w:p>
    <w:p>
      <w:pPr>
        <w:pStyle w:val="Heading1"/>
        <w:spacing w:after="16" w:before="28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32"/>
          <w:szCs w:val="32"/>
        </w:rPr>
        <w:t xml:space="preserve">1. INTRODUCCIÓN</w:t>
      </w:r>
    </w:p>
    <w:p>
      <w:pPr>
        <w:pStyle w:val="Heading2"/>
        <w:spacing w:after="12" w:before="20"/>
      </w:pPr>
      <w:r>
        <w:rPr>
          <w:rFonts w:ascii="Calibri" w:cs="Calibri" w:eastAsia="Calibri" w:hAnsi="Calibri"/>
          <w:b/>
          <w:bCs/>
          <w:i w:val="false"/>
          <w:iCs w:val="false"/>
          <w:color w:val="2E5B8A"/>
          <w:sz w:val="26"/>
          <w:szCs w:val="26"/>
        </w:rPr>
        <w:t xml:space="preserve">1.1 Propósito</w:t>
      </w:r>
    </w:p>
    <w:p>
      <w:pPr>
        <w:spacing w:after="8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Definir la estrategia, alcance, recursos y cronograma de las actividades de prueba para validar que el sistema SIGESI cumple con los requisitos funcionales y no funcionales establecidos. Este plan cubre la validación del sistema documental de semilleros e investigación del SENA, asegurando la correcta gestión de documentos, flujos de aprobación y control de acceso por roles.</w:t>
      </w:r>
    </w:p>
    <w:p>
      <w:pPr>
        <w:pStyle w:val="Heading2"/>
        <w:spacing w:after="12" w:before="20"/>
      </w:pPr>
      <w:r>
        <w:rPr>
          <w:rFonts w:ascii="Calibri" w:cs="Calibri" w:eastAsia="Calibri" w:hAnsi="Calibri"/>
          <w:b/>
          <w:bCs/>
          <w:i w:val="false"/>
          <w:iCs w:val="false"/>
          <w:color w:val="2E5B8A"/>
          <w:sz w:val="26"/>
          <w:szCs w:val="26"/>
        </w:rPr>
        <w:t xml:space="preserve">1.2 Alcance</w:t>
      </w:r>
    </w:p>
    <w:p>
      <w:pPr>
        <w:spacing w:after="8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El plan abarca los 10 módulos del sistema: autenticación, 7 módulos por rol de usuario, el flujo transversal de aprobación de productos (4 etapas) y la seguridad multi-tenant por Training Center. Se excluye la infraestructura de red y los sistemas externos al SIGESI.</w:t>
      </w:r>
    </w:p>
    <w:p>
      <w:pPr>
        <w:pStyle w:val="Heading2"/>
        <w:spacing w:after="12" w:before="20"/>
      </w:pPr>
      <w:r>
        <w:rPr>
          <w:rFonts w:ascii="Calibri" w:cs="Calibri" w:eastAsia="Calibri" w:hAnsi="Calibri"/>
          <w:b/>
          <w:bCs/>
          <w:i w:val="false"/>
          <w:iCs w:val="false"/>
          <w:color w:val="2E5B8A"/>
          <w:sz w:val="26"/>
          <w:szCs w:val="26"/>
        </w:rPr>
        <w:t xml:space="preserve">1.3 Referencias</w:t>
      </w:r>
    </w:p>
    <w:p>
      <w:pPr>
        <w:spacing w:after="80" w:before="60"/>
        <w:ind w:left="283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• Especificación de Requisitos SIGESI v1.0</w:t>
      </w:r>
    </w:p>
    <w:p>
      <w:pPr>
        <w:spacing w:after="80" w:before="60"/>
        <w:ind w:left="283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• Documento de Arquitectura GIDESTH</w:t>
      </w:r>
    </w:p>
    <w:p>
      <w:pPr>
        <w:spacing w:after="80" w:before="60"/>
        <w:ind w:left="283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• Laravel 12 Documentation</w:t>
      </w:r>
    </w:p>
    <w:p>
      <w:pPr>
        <w:spacing w:after="80" w:before="60"/>
        <w:ind w:left="283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• Spatie Permission 6.24 — Documentación oficial</w:t>
      </w:r>
    </w:p>
    <w:p>
      <w:pPr>
        <w:spacing w:after="80" w:before="60"/>
        <w:ind w:left="283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• Estándar IEEE 829 para Documentación de Pruebas de Software</w:t>
      </w:r>
    </w:p>
    <w:p>
      <w:pPr>
        <w:pStyle w:val="Heading2"/>
        <w:spacing w:after="12" w:before="20"/>
      </w:pPr>
      <w:r>
        <w:rPr>
          <w:rFonts w:ascii="Calibri" w:cs="Calibri" w:eastAsia="Calibri" w:hAnsi="Calibri"/>
          <w:b/>
          <w:bCs/>
          <w:i w:val="false"/>
          <w:iCs w:val="false"/>
          <w:color w:val="2E5B8A"/>
          <w:sz w:val="26"/>
          <w:szCs w:val="26"/>
        </w:rPr>
        <w:t xml:space="preserve">1.4 Definiciones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</w:tblGrid>
      <w:tr>
        <w:tc>
          <w:tcPr>
            <w:tcW w:type="pct" w:w="25%"/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shd w:fill="D6E4F0" w:color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20"/>
                <w:szCs w:val="20"/>
              </w:rPr>
              <w:t xml:space="preserve">Término</w:t>
            </w:r>
          </w:p>
        </w:tc>
        <w:tc>
          <w:tcPr>
            <w:tcW w:type="pct" w:w="75%"/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shd w:fill="D6E4F0" w:color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20"/>
                <w:szCs w:val="20"/>
              </w:rPr>
              <w:t xml:space="preserve">Definición</w:t>
            </w:r>
          </w:p>
        </w:tc>
      </w:tr>
      <w:tr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Training Center</w:t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Centro de Formación al que pertenece un usuario y que delimita su acceso a datos</w:t>
            </w:r>
          </w:p>
        </w:tc>
      </w:tr>
      <w:tr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Multi-tenancy</w:t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Aislamiento de datos por training_center_id que impide acceso cruzado entre centros</w:t>
            </w:r>
          </w:p>
        </w:tc>
      </w:tr>
      <w:tr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Producto</w:t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Entregable académico/investigativo que sigue el flujo de aprobación de 4 etapas entre roles</w:t>
            </w:r>
          </w:p>
        </w:tc>
      </w:tr>
      <w:tr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Semillero</w:t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Grupo de aprendices e investigadores del SENA que desarrollan proyectos de investigación formativa</w:t>
            </w:r>
          </w:p>
        </w:tc>
      </w:tr>
      <w:tr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Rol</w:t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Perfil de usuario en el sistema (7 roles): super_administrador, administrador_sistema, director_semilleros, lider_semillero, asesor_semillero, director_investigacion, investigador_asociado</w:t>
            </w:r>
          </w:p>
        </w:tc>
      </w:tr>
      <w:tr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Estado</w:t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Valor del ciclo de vida de un producto o semillero: pendiente, aprobado_lider, rechazado_lider, formalizado, en_revision, aprobado_final, rechazado_final</w:t>
            </w:r>
          </w:p>
        </w:tc>
      </w:tr>
    </w:tbl>
    <w:p>
      <w:pPr>
        <w:spacing w:after="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r>
        <w:br w:type="page"/>
      </w:r>
    </w:p>
    <w:p>
      <w:pPr>
        <w:pStyle w:val="Heading1"/>
        <w:spacing w:after="16" w:before="28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32"/>
          <w:szCs w:val="32"/>
        </w:rPr>
        <w:t xml:space="preserve">2. ELEMENTOS A PROBAR</w:t>
      </w:r>
    </w:p>
    <w:p>
      <w:pPr>
        <w:spacing w:after="8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Los siguientes módulos del sistema SIGESI están sujetos a pruebas en este plan:</w:t>
      </w:r>
    </w:p>
    <w:p>
      <w:pPr>
        <w:spacing w:after="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</w:tblGrid>
      <w:tr>
        <w:tc>
          <w:tcPr>
            <w:tcW w:type="pct" w:w="12%"/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shd w:fill="D6E4F0" w:color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20"/>
                <w:szCs w:val="20"/>
              </w:rPr>
              <w:t xml:space="preserve">ID</w:t>
            </w:r>
          </w:p>
        </w:tc>
        <w:tc>
          <w:tcPr>
            <w:tcW w:type="pct" w:w="30%"/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shd w:fill="D6E4F0" w:color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20"/>
                <w:szCs w:val="20"/>
              </w:rPr>
              <w:t xml:space="preserve">Módulo</w:t>
            </w:r>
          </w:p>
        </w:tc>
        <w:tc>
          <w:tcPr>
            <w:tcW w:type="pct" w:w="58%"/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shd w:fill="D6E4F0" w:color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MOD-01</w:t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Autenticación y Gestión de Sesión</w:t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Login por rol, logout, recuperación de contraseña, redirección post-login por rol, bloqueo de usuarios inactivos. Basado en Laravel Fortify.</w:t>
            </w:r>
          </w:p>
        </w:tc>
      </w:tr>
      <w:tr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MOD-02</w:t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Módulo Super Administrador</w:t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Dashboard global, gestión de Centros de Formación (CRUD), gestión global de usuarios de todos los centros, catálogos de catálogos institucionales.</w:t>
            </w:r>
          </w:p>
        </w:tc>
      </w:tr>
      <w:tr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MOD-03</w:t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Módulo Administrador del Sistema</w:t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Dashboard del centro propio, CRUD usuarios del centro, asignación de roles con training_center_id, gestión de grupos de investigación del centro.</w:t>
            </w:r>
          </w:p>
        </w:tc>
      </w:tr>
      <w:tr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MOD-04</w:t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Módulo Director de Semilleros</w:t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Dashboard semilleros del centro, CRUD semilleros (nombre, jornada, modalidad, estado), asignación de líder, documentos institucionales, reportes PDF/Excel.</w:t>
            </w:r>
          </w:p>
        </w:tc>
      </w:tr>
      <w:tr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MOD-05</w:t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Módulo Líder de Semillero</w:t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Dashboard semillero propio, lista de asesores, revisión y aprobación/rechazo de productos (Etapa 2 del flujo), documentos internos y archivos del semillero.</w:t>
            </w:r>
          </w:p>
        </w:tc>
      </w:tr>
      <w:tr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MOD-06</w:t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Módulo Asesor de Semillero</w:t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Dashboard, semilleros asignados, CRUD proyectos, creación de productos (Etapa 1), subida de evidencias, gestión de aprendices, exportación de reportes.</w:t>
            </w:r>
          </w:p>
        </w:tc>
      </w:tr>
      <w:tr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MOD-07</w:t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Módulo Director de Investigación</w:t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Dashboard grupo de investigación, gestión de investigadores del grupo, revisión y aprobación/rechazo definitivo de productos (Etapa 4), documentos del grupo.</w:t>
            </w:r>
          </w:p>
        </w:tc>
      </w:tr>
      <w:tr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MOD-08</w:t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Módulo Investigador Asociado</w:t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Dashboard, proyectos del grupo, formalización de productos aprobados por líder (Etapa 3), subida de evidencias, exportación de reportes.</w:t>
            </w:r>
          </w:p>
        </w:tc>
      </w:tr>
      <w:tr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MOD-09</w:t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Flujo de Aprobación de Productos</w:t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Ciclo completo de 4 etapas: Asesor crea → Líder aprueba/rechaza → Investigador formaliza → Director de Investigación aprueba/rechaza definitivo.</w:t>
            </w:r>
          </w:p>
        </w:tc>
      </w:tr>
      <w:tr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MOD-10</w:t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Multi-tenancy y Control de Acceso</w:t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Aislamiento de datos por training_center_id, verificación de middleware de roles, denegación de acceso cruzado entre centros, super_admin con acceso global.</w:t>
            </w:r>
          </w:p>
        </w:tc>
      </w:tr>
    </w:tbl>
    <w:p>
      <w:pPr>
        <w:spacing w:after="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r>
        <w:br w:type="page"/>
      </w:r>
    </w:p>
    <w:p>
      <w:pPr>
        <w:pStyle w:val="Heading1"/>
        <w:spacing w:after="16" w:before="28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32"/>
          <w:szCs w:val="32"/>
        </w:rPr>
        <w:t xml:space="preserve">3. CARACTERÍSTICAS A PROBAR</w:t>
      </w:r>
    </w:p>
    <w:p>
      <w:pPr>
        <w:pStyle w:val="Heading2"/>
        <w:spacing w:after="12" w:before="20"/>
      </w:pPr>
      <w:r>
        <w:rPr>
          <w:rFonts w:ascii="Calibri" w:cs="Calibri" w:eastAsia="Calibri" w:hAnsi="Calibri"/>
          <w:b/>
          <w:bCs/>
          <w:i w:val="false"/>
          <w:iCs w:val="false"/>
          <w:color w:val="2E5B8A"/>
          <w:sz w:val="26"/>
          <w:szCs w:val="26"/>
        </w:rPr>
        <w:t xml:space="preserve">3.1 Características Funcionales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shd w:fill="D6E4F0" w:color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20"/>
                <w:szCs w:val="20"/>
              </w:rPr>
              <w:t xml:space="preserve">ID</w:t>
            </w:r>
          </w:p>
        </w:tc>
        <w:tc>
          <w:tcPr>
            <w:tcW w:type="pct" w:w="30%"/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shd w:fill="D6E4F0" w:color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20"/>
                <w:szCs w:val="20"/>
              </w:rPr>
              <w:t xml:space="preserve">Característica</w:t>
            </w:r>
          </w:p>
        </w:tc>
        <w:tc>
          <w:tcPr>
            <w:tcW w:type="pct" w:w="25%"/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shd w:fill="D6E4F0" w:color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20"/>
                <w:szCs w:val="20"/>
              </w:rPr>
              <w:t xml:space="preserve">Módulo(s) asociado(s)</w:t>
            </w:r>
          </w:p>
        </w:tc>
        <w:tc>
          <w:tcPr>
            <w:tcW w:type="pct" w:w="15%"/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shd w:fill="D6E4F0" w:color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20"/>
                <w:szCs w:val="20"/>
              </w:rPr>
              <w:t xml:space="preserve">Prioridad</w:t>
            </w:r>
          </w:p>
        </w:tc>
        <w:tc>
          <w:tcPr>
            <w:tcW w:type="pct" w:w="18%"/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shd w:fill="D6E4F0" w:color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20"/>
                <w:szCs w:val="20"/>
              </w:rPr>
              <w:t xml:space="preserve">Criterio básico</w:t>
            </w:r>
          </w:p>
        </w:tc>
      </w:tr>
      <w:tr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FT-01</w:t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Autenticación por rol con redirección correcta</w:t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MOD-01</w:t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Alta</w:t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Cada rol redirige a su dashboard</w:t>
            </w:r>
          </w:p>
        </w:tc>
      </w:tr>
      <w:tr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FT-02</w:t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CRUD de Centros de Formación</w:t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MOD-02</w:t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Alta</w:t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Crear, editar, listar, eliminar centros</w:t>
            </w:r>
          </w:p>
        </w:tc>
      </w:tr>
      <w:tr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FT-03</w:t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CRUD de Usuarios con asignación de roles y training_center</w:t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MOD-02, MOD-03</w:t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Alta</w:t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training_center_id correcto en roles bound</w:t>
            </w:r>
          </w:p>
        </w:tc>
      </w:tr>
      <w:tr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FT-04</w:t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CRUD de Semilleros con asignación de líder</w:t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MOD-04</w:t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Alta</w:t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Semillero creado con jornada, modalidad, estado</w:t>
            </w:r>
          </w:p>
        </w:tc>
      </w:tr>
      <w:tr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FT-05</w:t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CRUD de Grupos de Investigación</w:t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MOD-03, MOD-07</w:t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Alta</w:t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Grupo vinculado a training_center correcto</w:t>
            </w:r>
          </w:p>
        </w:tc>
      </w:tr>
      <w:tr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FT-06</w:t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CRUD de Proyectos (semillero y grupo)</w:t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MOD-06, MOD-08</w:t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Media</w:t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tipo_origen asignado correctamente</w:t>
            </w:r>
          </w:p>
        </w:tc>
      </w:tr>
      <w:tr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FT-07</w:t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Ciclo completo de aprobación de productos (4 etapas)</w:t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MOD-09</w:t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Crítica</w:t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Estado avanza correctamente en cada etapa</w:t>
            </w:r>
          </w:p>
        </w:tc>
      </w:tr>
      <w:tr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FT-08</w:t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Subida y gestión de evidencias y documentos</w:t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MOD-04...08</w:t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Media</w:t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Archivo guardado y descargable</w:t>
            </w:r>
          </w:p>
        </w:tc>
      </w:tr>
      <w:tr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FT-09</w:t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Generación de reportes PDF y Excel</w:t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MOD-04, MOD-06, MOD-08</w:t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Media</w:t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Archivo descargado sin error, datos correctos</w:t>
            </w:r>
          </w:p>
        </w:tc>
      </w:tr>
      <w:tr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FT-10</w:t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Gestión de catálogos institucionales</w:t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MOD-02</w:t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Baja</w:t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EntityPosition, ExternalAdvisor, InvestigationType</w:t>
            </w:r>
          </w:p>
        </w:tc>
      </w:tr>
    </w:tbl>
    <w:p>
      <w:pPr>
        <w:spacing w:after="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2"/>
        <w:spacing w:after="12" w:before="20"/>
      </w:pPr>
      <w:r>
        <w:rPr>
          <w:rFonts w:ascii="Calibri" w:cs="Calibri" w:eastAsia="Calibri" w:hAnsi="Calibri"/>
          <w:b/>
          <w:bCs/>
          <w:i w:val="false"/>
          <w:iCs w:val="false"/>
          <w:color w:val="2E5B8A"/>
          <w:sz w:val="26"/>
          <w:szCs w:val="26"/>
        </w:rPr>
        <w:t xml:space="preserve">3.2 Características No Funcionales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shd w:fill="D6E4F0" w:color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20"/>
                <w:szCs w:val="20"/>
              </w:rPr>
              <w:t xml:space="preserve">ID</w:t>
            </w:r>
          </w:p>
        </w:tc>
        <w:tc>
          <w:tcPr>
            <w:tcW w:type="pct" w:w="35%"/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shd w:fill="D6E4F0" w:color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20"/>
                <w:szCs w:val="20"/>
              </w:rPr>
              <w:t xml:space="preserve">Característica</w:t>
            </w:r>
          </w:p>
        </w:tc>
        <w:tc>
          <w:tcPr>
            <w:tcW w:type="pct" w:w="38%"/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shd w:fill="D6E4F0" w:color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20"/>
                <w:szCs w:val="20"/>
              </w:rPr>
              <w:t xml:space="preserve">Descripción</w:t>
            </w:r>
          </w:p>
        </w:tc>
        <w:tc>
          <w:tcPr>
            <w:tcW w:type="pct" w:w="15%"/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shd w:fill="D6E4F0" w:color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20"/>
                <w:szCs w:val="20"/>
              </w:rPr>
              <w:t xml:space="preserve">Prioridad</w:t>
            </w:r>
          </w:p>
        </w:tc>
      </w:tr>
      <w:tr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NFT-01</w:t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Aislamiento multi-tenant por training_center</w:t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Ningún usuario puede acceder a datos de otro Training Center</w:t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Crítica</w:t>
            </w:r>
          </w:p>
        </w:tc>
      </w:tr>
      <w:tr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NFT-02</w:t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Control de acceso por rol (Spatie Permission)</w:t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Ningún usuario puede acceder a rutas de un rol distinto al propio</w:t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Crítica</w:t>
            </w:r>
          </w:p>
        </w:tc>
      </w:tr>
      <w:tr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NFT-03</w:t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Consistencia de la interfaz Livewire + Flux</w:t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Componentes reactivos responden sin recarga de página, mensajes de error visibles</w:t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Media</w:t>
            </w:r>
          </w:p>
        </w:tc>
      </w:tr>
    </w:tbl>
    <w:p>
      <w:pPr>
        <w:spacing w:after="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2"/>
        <w:spacing w:after="12" w:before="20"/>
      </w:pPr>
      <w:r>
        <w:rPr>
          <w:rFonts w:ascii="Calibri" w:cs="Calibri" w:eastAsia="Calibri" w:hAnsi="Calibri"/>
          <w:b/>
          <w:bCs/>
          <w:i w:val="false"/>
          <w:iCs w:val="false"/>
          <w:color w:val="2E5B8A"/>
          <w:sz w:val="26"/>
          <w:szCs w:val="26"/>
        </w:rPr>
        <w:t xml:space="preserve">3.3 Características excluidas</w:t>
      </w:r>
    </w:p>
    <w:p>
      <w:pPr>
        <w:spacing w:after="80" w:before="60"/>
        <w:ind w:left="283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• Rendimiento bajo carga masiva de usuarios concurrentes</w:t>
      </w:r>
    </w:p>
    <w:p>
      <w:pPr>
        <w:spacing w:after="80" w:before="60"/>
        <w:ind w:left="283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• Compatibilidad con navegadores obsoletos (Internet Explorer)</w:t>
      </w:r>
    </w:p>
    <w:p>
      <w:pPr>
        <w:spacing w:after="80" w:before="60"/>
        <w:ind w:left="283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• Integración con sistemas externos al SIGESI</w:t>
      </w:r>
    </w:p>
    <w:p>
      <w:pPr>
        <w:spacing w:after="80" w:before="60"/>
        <w:ind w:left="283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• Pruebas de penetración (pentest) a nivel de infraestructura</w:t>
      </w:r>
    </w:p>
    <w:p>
      <w:pPr>
        <w:spacing w:after="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r>
        <w:br w:type="page"/>
      </w:r>
    </w:p>
    <w:p>
      <w:pPr>
        <w:pStyle w:val="Heading1"/>
        <w:spacing w:after="16" w:before="28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32"/>
          <w:szCs w:val="32"/>
        </w:rPr>
        <w:t xml:space="preserve">4. ESTRATEGIA DE PRUEBAS</w:t>
      </w:r>
    </w:p>
    <w:p>
      <w:pPr>
        <w:pStyle w:val="Heading2"/>
        <w:spacing w:after="12" w:before="20"/>
      </w:pPr>
      <w:r>
        <w:rPr>
          <w:rFonts w:ascii="Calibri" w:cs="Calibri" w:eastAsia="Calibri" w:hAnsi="Calibri"/>
          <w:b/>
          <w:bCs/>
          <w:i w:val="false"/>
          <w:iCs w:val="false"/>
          <w:color w:val="2E5B8A"/>
          <w:sz w:val="26"/>
          <w:szCs w:val="26"/>
        </w:rPr>
        <w:t xml:space="preserve">4.1 Tipos de prueba</w:t>
      </w:r>
    </w:p>
    <w:p>
      <w:pPr>
        <w:spacing w:after="8" w:before="16"/>
      </w:pPr>
      <w:r>
        <w:rPr>
          <w:rFonts w:ascii="Calibri" w:cs="Calibri" w:eastAsia="Calibri" w:hAnsi="Calibri"/>
          <w:b/>
          <w:bCs/>
          <w:i w:val="false"/>
          <w:iCs w:val="false"/>
          <w:color w:val="4472C4"/>
          <w:sz w:val="24"/>
          <w:szCs w:val="24"/>
        </w:rPr>
        <w:t xml:space="preserve">4.1.1 Pruebas Funcionales</w:t>
      </w:r>
    </w:p>
    <w:p>
      <w:pPr>
        <w:spacing w:after="8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Nivel: Sistema e Integración. Técnica: Caja negra basada en casos de uso por rol. Herramienta: PHPUnit 11.5.3 + navegador web. Cobertura objetivo: 100% de flujos críticos (FT-01 a FT-10).</w:t>
      </w:r>
    </w:p>
    <w:p>
      <w:pPr>
        <w:spacing w:after="8" w:before="16"/>
      </w:pPr>
      <w:r>
        <w:rPr>
          <w:rFonts w:ascii="Calibri" w:cs="Calibri" w:eastAsia="Calibri" w:hAnsi="Calibri"/>
          <w:b/>
          <w:bCs/>
          <w:i w:val="false"/>
          <w:iCs w:val="false"/>
          <w:color w:val="4472C4"/>
          <w:sz w:val="24"/>
          <w:szCs w:val="24"/>
        </w:rPr>
        <w:t xml:space="preserve">4.1.2 Pruebas de Integración</w:t>
      </w:r>
    </w:p>
    <w:p>
      <w:pPr>
        <w:spacing w:after="8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Verificación del flujo completo de aprobación de productos entre los 4 roles participantes. Verificación de la propagación correcta del training_center_id entre módulos. Herramienta: PHPUnit con RefreshDatabase (SQLite en memoria).</w:t>
      </w:r>
    </w:p>
    <w:p>
      <w:pPr>
        <w:spacing w:after="8" w:before="16"/>
      </w:pPr>
      <w:r>
        <w:rPr>
          <w:rFonts w:ascii="Calibri" w:cs="Calibri" w:eastAsia="Calibri" w:hAnsi="Calibri"/>
          <w:b/>
          <w:bCs/>
          <w:i w:val="false"/>
          <w:iCs w:val="false"/>
          <w:color w:val="4472C4"/>
          <w:sz w:val="24"/>
          <w:szCs w:val="24"/>
        </w:rPr>
        <w:t xml:space="preserve">4.1.3 Pruebas de Seguridad</w:t>
      </w:r>
    </w:p>
    <w:p>
      <w:pPr>
        <w:spacing w:after="80" w:before="60"/>
        <w:ind w:left="283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• Intentos de acceso cruzado entre Training Centers (debe ser denegado con HTTP 403/redirect)</w:t>
      </w:r>
    </w:p>
    <w:p>
      <w:pPr>
        <w:spacing w:after="80" w:before="60"/>
        <w:ind w:left="283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• Acceso a rutas de otros roles sin autenticación del rol requerido</w:t>
      </w:r>
    </w:p>
    <w:p>
      <w:pPr>
        <w:spacing w:after="80" w:before="60"/>
        <w:ind w:left="283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• Verificación de middleware role: aplicado correctamente en cada prefijo de ruta</w:t>
      </w:r>
    </w:p>
    <w:p>
      <w:pPr>
        <w:spacing w:after="80" w:before="60"/>
        <w:ind w:left="283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• Técnica: Pruebas de autorización manual + PHPUnit actingAs()</w:t>
      </w:r>
    </w:p>
    <w:p>
      <w:pPr>
        <w:spacing w:after="8" w:before="16"/>
      </w:pPr>
      <w:r>
        <w:rPr>
          <w:rFonts w:ascii="Calibri" w:cs="Calibri" w:eastAsia="Calibri" w:hAnsi="Calibri"/>
          <w:b/>
          <w:bCs/>
          <w:i w:val="false"/>
          <w:iCs w:val="false"/>
          <w:color w:val="4472C4"/>
          <w:sz w:val="24"/>
          <w:szCs w:val="24"/>
        </w:rPr>
        <w:t xml:space="preserve">4.1.4 Pruebas de Regresión</w:t>
      </w:r>
    </w:p>
    <w:p>
      <w:pPr>
        <w:spacing w:after="8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Ejecutar la suite PHPUnit completa (composer test) tras cada modificación en TrainingCenterAccess o en el flujo de estados de productos. Verificar que cambios en módulos individuales no afectan otros módulos del mismo training_center.</w:t>
      </w:r>
    </w:p>
    <w:p>
      <w:pPr>
        <w:spacing w:after="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2"/>
        <w:spacing w:after="12" w:before="20"/>
      </w:pPr>
      <w:r>
        <w:rPr>
          <w:rFonts w:ascii="Calibri" w:cs="Calibri" w:eastAsia="Calibri" w:hAnsi="Calibri"/>
          <w:b/>
          <w:bCs/>
          <w:i w:val="false"/>
          <w:iCs w:val="false"/>
          <w:color w:val="2E5B8A"/>
          <w:sz w:val="26"/>
          <w:szCs w:val="26"/>
        </w:rPr>
        <w:t xml:space="preserve">4.2 Ambiente de pruebas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shd w:fill="D6E4F0" w:color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20"/>
                <w:szCs w:val="20"/>
              </w:rPr>
              <w:t xml:space="preserve">Componente</w:t>
            </w:r>
          </w:p>
        </w:tc>
        <w:tc>
          <w:tcPr>
            <w:tcW w:type="pct" w:w="70%"/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shd w:fill="D6E4F0" w:color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URL base</w:t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http://localhost (Laragon)</w:t>
            </w:r>
          </w:p>
        </w:tc>
      </w:tr>
      <w:tr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Base de datos</w:t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MySQL — sistema_documental @ 127.0.0.1:3306</w:t>
            </w:r>
          </w:p>
        </w:tc>
      </w:tr>
      <w:tr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PHP</w:t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8.2.28</w:t>
            </w:r>
          </w:p>
        </w:tc>
      </w:tr>
      <w:tr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Laravel</w:t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12.51.0</w:t>
            </w:r>
          </w:p>
        </w:tc>
      </w:tr>
      <w:tr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Livewire</w:t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4.0</w:t>
            </w:r>
          </w:p>
        </w:tc>
      </w:tr>
      <w:tr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Datos de prueba</w:t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php artisan db:seed (DatabaseSeeder — 7 usuarios + 1 Training Center CEFA)</w:t>
            </w:r>
          </w:p>
        </w:tc>
      </w:tr>
      <w:tr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Tests automatizados</w:t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SQLite en memoria (phpunit.xml) — comando: composer test</w:t>
            </w:r>
          </w:p>
        </w:tc>
      </w:tr>
      <w:tr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Contraseña universal</w:t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password (todos los usuarios del seeder)</w:t>
            </w:r>
          </w:p>
        </w:tc>
      </w:tr>
    </w:tbl>
    <w:p>
      <w:pPr>
        <w:spacing w:after="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2"/>
        <w:spacing w:after="12" w:before="20"/>
      </w:pPr>
      <w:r>
        <w:rPr>
          <w:rFonts w:ascii="Calibri" w:cs="Calibri" w:eastAsia="Calibri" w:hAnsi="Calibri"/>
          <w:b/>
          <w:bCs/>
          <w:i w:val="false"/>
          <w:iCs w:val="false"/>
          <w:color w:val="2E5B8A"/>
          <w:sz w:val="26"/>
          <w:szCs w:val="26"/>
        </w:rPr>
        <w:t xml:space="preserve">4.3 Criterios de entrada</w:t>
      </w:r>
    </w:p>
    <w:p>
      <w:pPr>
        <w:spacing w:after="80" w:before="60"/>
        <w:ind w:left="283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• Base de datos migrada y sembrada: php artisan migrate --seed</w:t>
      </w:r>
    </w:p>
    <w:p>
      <w:pPr>
        <w:spacing w:after="80" w:before="60"/>
        <w:ind w:left="283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• Servidor Laragon en ejecución (Apache + MySQL)</w:t>
      </w:r>
    </w:p>
    <w:p>
      <w:pPr>
        <w:spacing w:after="80" w:before="60"/>
        <w:ind w:left="283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• Los 7 usuarios de prueba del DatabaseSeeder están disponibles en la BD</w:t>
      </w:r>
    </w:p>
    <w:p>
      <w:pPr>
        <w:spacing w:after="80" w:before="60"/>
        <w:ind w:left="283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• Build de assets ejecutado: npm run build</w:t>
      </w:r>
    </w:p>
    <w:p>
      <w:pPr>
        <w:spacing w:after="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2"/>
        <w:spacing w:after="12" w:before="20"/>
      </w:pPr>
      <w:r>
        <w:rPr>
          <w:rFonts w:ascii="Calibri" w:cs="Calibri" w:eastAsia="Calibri" w:hAnsi="Calibri"/>
          <w:b/>
          <w:bCs/>
          <w:i w:val="false"/>
          <w:iCs w:val="false"/>
          <w:color w:val="2E5B8A"/>
          <w:sz w:val="26"/>
          <w:szCs w:val="26"/>
        </w:rPr>
        <w:t xml:space="preserve">4.4 Criterios de salida</w:t>
      </w:r>
    </w:p>
    <w:p>
      <w:pPr>
        <w:spacing w:after="80" w:before="60"/>
        <w:ind w:left="283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• 100% de casos de prueba de alta y crítica prioridad ejecutados</w:t>
      </w:r>
    </w:p>
    <w:p>
      <w:pPr>
        <w:spacing w:after="80" w:before="60"/>
        <w:ind w:left="283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• 0 defectos críticos abiertos al finalizar el ciclo de pruebas</w:t>
      </w:r>
    </w:p>
    <w:p>
      <w:pPr>
        <w:spacing w:after="80" w:before="60"/>
        <w:ind w:left="283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• Defectos de baja prioridad documentados, analizados y aceptados por el responsable</w:t>
      </w:r>
    </w:p>
    <w:p>
      <w:pPr>
        <w:spacing w:after="80" w:before="60"/>
        <w:ind w:left="283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• Suite PHPUnit ejecutada sin fallos (composer test = verde)</w:t>
      </w:r>
    </w:p>
    <w:p>
      <w:r>
        <w:br w:type="page"/>
      </w:r>
    </w:p>
    <w:p>
      <w:pPr>
        <w:pStyle w:val="Heading1"/>
        <w:spacing w:after="16" w:before="28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32"/>
          <w:szCs w:val="32"/>
        </w:rPr>
        <w:t xml:space="preserve">5. CRITERIOS DE APROBACIÓN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</w:tblGrid>
      <w:tr>
        <w:tc>
          <w:tcPr>
            <w:tcW w:type="pct" w:w="20%"/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shd w:fill="D6E4F0" w:color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20"/>
                <w:szCs w:val="20"/>
              </w:rPr>
              <w:t xml:space="preserve">Tipo</w:t>
            </w:r>
          </w:p>
        </w:tc>
        <w:tc>
          <w:tcPr>
            <w:tcW w:type="pct" w:w="55%"/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shd w:fill="D6E4F0" w:color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20"/>
                <w:szCs w:val="20"/>
              </w:rPr>
              <w:t xml:space="preserve">Criterio</w:t>
            </w:r>
          </w:p>
        </w:tc>
        <w:tc>
          <w:tcPr>
            <w:tcW w:type="pct" w:w="25%"/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shd w:fill="D6E4F0" w:color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20"/>
                <w:szCs w:val="20"/>
              </w:rPr>
              <w:t xml:space="preserve">Resultado esperado</w:t>
            </w:r>
          </w:p>
        </w:tc>
      </w:tr>
      <w:tr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Funcional</w:t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Todos los flujos de los 10 módulos ejecutados sin error bloqueante</w:t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APROBADO</w:t>
            </w:r>
          </w:p>
        </w:tc>
      </w:tr>
      <w:tr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Seguridad</w:t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Ningún usuario puede acceder a datos de otro training_center</w:t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APROBADO</w:t>
            </w:r>
          </w:p>
        </w:tc>
      </w:tr>
      <w:tr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Seguridad</w:t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Ningún usuario puede acceder a rutas de otro rol</w:t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APROBADO</w:t>
            </w:r>
          </w:p>
        </w:tc>
      </w:tr>
      <w:tr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Flujo crítico</w:t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El ciclo completo de aprobación de 4 etapas funciona con estados correctos</w:t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APROBADO</w:t>
            </w:r>
          </w:p>
        </w:tc>
      </w:tr>
      <w:tr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Reportes</w:t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Los reportes PDF y Excel se generan sin error y con datos correctos del centro</w:t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APROBADO</w:t>
            </w:r>
          </w:p>
        </w:tc>
      </w:tr>
      <w:tr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Regresión</w:t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La suite PHPUnit (composer test) pasa sin fallos tras el refactoring</w:t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VERDE</w:t>
            </w:r>
          </w:p>
        </w:tc>
      </w:tr>
    </w:tbl>
    <w:p>
      <w:pPr>
        <w:spacing w:after="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2"/>
        <w:spacing w:after="12" w:before="20"/>
      </w:pPr>
      <w:r>
        <w:rPr>
          <w:rFonts w:ascii="Calibri" w:cs="Calibri" w:eastAsia="Calibri" w:hAnsi="Calibri"/>
          <w:b/>
          <w:bCs/>
          <w:i w:val="false"/>
          <w:iCs w:val="false"/>
          <w:color w:val="2E5B8A"/>
          <w:sz w:val="26"/>
          <w:szCs w:val="26"/>
        </w:rPr>
        <w:t xml:space="preserve">5.1 Criterios de suspensión</w:t>
      </w:r>
    </w:p>
    <w:p>
      <w:pPr>
        <w:spacing w:after="8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Las pruebas se suspenden si se presenta alguna de las siguientes condiciones:</w:t>
      </w:r>
    </w:p>
    <w:p>
      <w:pPr>
        <w:spacing w:after="80" w:before="60"/>
        <w:ind w:left="283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• Defecto crítico que impide la autenticación de cualquier rol del sistema</w:t>
      </w:r>
    </w:p>
    <w:p>
      <w:pPr>
        <w:spacing w:after="80" w:before="60"/>
        <w:ind w:left="283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• Corrupción de datos de training_center_id que afecte el aislamiento multi-tenant</w:t>
      </w:r>
    </w:p>
    <w:p>
      <w:pPr>
        <w:spacing w:after="80" w:before="60"/>
        <w:ind w:left="283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• Fallo en el flujo de aprobación que bloquee completamente a un rol participante</w:t>
      </w:r>
    </w:p>
    <w:p>
      <w:pPr>
        <w:spacing w:after="80" w:before="60"/>
        <w:ind w:left="283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• Ambiente de pruebas no disponible (base de datos, servidor)</w:t>
      </w:r>
    </w:p>
    <w:p>
      <w:r>
        <w:br w:type="page"/>
      </w:r>
    </w:p>
    <w:p>
      <w:pPr>
        <w:pStyle w:val="Heading1"/>
        <w:spacing w:after="16" w:before="28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32"/>
          <w:szCs w:val="32"/>
        </w:rPr>
        <w:t xml:space="preserve">6. RESUMEN DE EJECUCIÓN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Nota: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Esta tabla se diligencia durante la ejecución de las pruebas. Los valores de Ejecutados, Pasaron, Fallaron y Bloqueados se registran al finalizar cada módulo.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34%"/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shd w:fill="D6E4F0" w:color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20"/>
                <w:szCs w:val="20"/>
              </w:rPr>
              <w:t xml:space="preserve">Módulo</w:t>
            </w:r>
          </w:p>
        </w:tc>
        <w:tc>
          <w:tcPr>
            <w:tcW w:type="pct" w:w="13%"/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shd w:fill="D6E4F0" w:color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20"/>
                <w:szCs w:val="20"/>
              </w:rPr>
              <w:t xml:space="preserve">Total Casos</w:t>
            </w:r>
          </w:p>
        </w:tc>
        <w:tc>
          <w:tcPr>
            <w:tcW w:type="pct" w:w="13%"/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shd w:fill="D6E4F0" w:color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20"/>
                <w:szCs w:val="20"/>
              </w:rPr>
              <w:t xml:space="preserve">Ejecutados</w:t>
            </w:r>
          </w:p>
        </w:tc>
        <w:tc>
          <w:tcPr>
            <w:tcW w:type="pct" w:w="13%"/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shd w:fill="D6E4F0" w:color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20"/>
                <w:szCs w:val="20"/>
              </w:rPr>
              <w:t xml:space="preserve">Pasaron</w:t>
            </w:r>
          </w:p>
        </w:tc>
        <w:tc>
          <w:tcPr>
            <w:tcW w:type="pct" w:w="13%"/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shd w:fill="D6E4F0" w:color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20"/>
                <w:szCs w:val="20"/>
              </w:rPr>
              <w:t xml:space="preserve">Fallaron</w:t>
            </w:r>
          </w:p>
        </w:tc>
        <w:tc>
          <w:tcPr>
            <w:tcW w:type="pct" w:w="14%"/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shd w:fill="D6E4F0" w:color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20"/>
                <w:szCs w:val="20"/>
              </w:rPr>
              <w:t xml:space="preserve">Bloqueados</w:t>
            </w:r>
          </w:p>
        </w:tc>
      </w:tr>
      <w:tr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MOD-01  Autenticación</w:t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12</w:t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MOD-02  Super Administrador</w:t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10</w:t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MOD-03  Administrador del Sistema</w:t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14</w:t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MOD-04  Director de Semilleros</w:t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13</w:t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MOD-05  Líder de Semillero</w:t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11</w:t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MOD-06  Asesor de Semillero</w:t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15</w:t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MOD-07  Director de Investigación</w:t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11</w:t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MOD-08  Investigador Asociado</w:t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10</w:t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MOD-09  Flujo de Aprobación</w:t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14</w:t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MOD-10  Multi-tenancy y Seguridad</w:t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7</w:t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shd w:fill="D6E4F0" w:color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TOTAL</w:t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shd w:fill="D6E4F0" w:color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117</w:t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shd w:fill="D6E4F0" w:color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shd w:fill="D6E4F0" w:color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shd w:fill="D6E4F0" w:color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shd w:fill="D6E4F0" w:color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spacing w:after="16" w:before="28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32"/>
          <w:szCs w:val="32"/>
        </w:rPr>
        <w:t xml:space="preserve">7. APROBACIONES</w:t>
      </w:r>
    </w:p>
    <w:p>
      <w:pPr>
        <w:spacing w:after="8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El presente Plan de Pruebas ha sido elaborado, revisado y aprobado por los responsables indicados a continuación:</w:t>
      </w:r>
    </w:p>
    <w:p>
      <w:pPr>
        <w:spacing w:after="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  <w:gridCol w:w="100"/>
      </w:tblGrid>
      <w:tr>
        <w:tc>
          <w:tcPr>
            <w:tcW w:type="pct" w:w="20%"/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shd w:fill="D6E4F0" w:color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20"/>
                <w:szCs w:val="20"/>
              </w:rPr>
              <w:t xml:space="preserve">Rol</w:t>
            </w:r>
          </w:p>
        </w:tc>
        <w:tc>
          <w:tcPr>
            <w:tcW w:type="pct" w:w="35%"/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shd w:fill="D6E4F0" w:color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20"/>
                <w:szCs w:val="20"/>
              </w:rPr>
              <w:t xml:space="preserve">Nombre</w:t>
            </w:r>
          </w:p>
        </w:tc>
        <w:tc>
          <w:tcPr>
            <w:tcW w:type="pct" w:w="25%"/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shd w:fill="D6E4F0" w:color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20"/>
                <w:szCs w:val="20"/>
              </w:rPr>
              <w:t xml:space="preserve">Firma</w:t>
            </w:r>
          </w:p>
        </w:tc>
        <w:tc>
          <w:tcPr>
            <w:tcW w:type="pct" w:w="20%"/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shd w:fill="D6E4F0" w:color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20"/>
                <w:szCs w:val="20"/>
              </w:rPr>
              <w:t xml:space="preserve">Fecha</w:t>
            </w:r>
          </w:p>
        </w:tc>
      </w:tr>
      <w:tr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Elaboró</w:t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Juan Esteban Aldana Cortes</w:t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________________</w:t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2026-04-08</w:t>
            </w:r>
          </w:p>
        </w:tc>
      </w:tr>
      <w:tr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Revisó</w:t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________________</w:t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Aprobó</w:t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________________</w:t>
            </w:r>
          </w:p>
        </w:tc>
        <w:tc>
          <w:tcPr>
            <w:tcBorders>
              <w:top w:val="single" w:color="BDC6D6" w:sz="4"/>
              <w:left w:val="single" w:color="BDC6D6" w:sz="4"/>
              <w:bottom w:val="single" w:color="BDC6D6" w:sz="4"/>
              <w:right w:val="single" w:color="BDC6D6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pacing w:after="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pacing w:after="80" w:before="6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888888"/>
          <w:sz w:val="18"/>
          <w:szCs w:val="18"/>
        </w:rPr>
        <w:t xml:space="preserve">SIGESI — Sistema Documental de Semilleros de Investigación</w:t>
      </w:r>
    </w:p>
    <w:p>
      <w:pPr>
        <w:spacing w:after="80" w:before="6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888888"/>
          <w:sz w:val="18"/>
          <w:szCs w:val="18"/>
        </w:rPr>
        <w:t xml:space="preserve">SENA — Centro de Formación Agroindustrial (CEFA) — 2026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DC6D6" w:sz="4"/>
      </w:pBdr>
      <w:spacing w:before="60"/>
      <w:jc w:val="center"/>
    </w:pPr>
    <w:r>
      <w:rPr>
        <w:rFonts w:ascii="Calibri" w:cs="Calibri" w:eastAsia="Calibri" w:hAnsi="Calibri"/>
        <w:b w:val="false"/>
        <w:bCs w:val="false"/>
        <w:i w:val="false"/>
        <w:iCs w:val="false"/>
        <w:color w:val="888888"/>
        <w:sz w:val="18"/>
        <w:szCs w:val="18"/>
      </w:rPr>
      <w:t xml:space="preserve">SIGESI — Plan de Pruebas v1.0  |  Pág. </w:t>
    </w:r>
    <w:r>
      <w:rPr>
        <w:rFonts w:ascii="Calibri" w:cs="Calibri" w:eastAsia="Calibri" w:hAnsi="Calibri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b w:val="false"/>
        <w:bCs w:val="false"/>
        <w:i w:val="false"/>
        <w:iCs w:val="false"/>
        <w:color w:val="888888"/>
        <w:sz w:val="18"/>
        <w:szCs w:val="18"/>
      </w:rPr>
      <w:t xml:space="preserve"> de </w:t>
    </w:r>
    <w:r>
      <w:rPr>
        <w:rFonts w:ascii="Calibri" w:cs="Calibri" w:eastAsia="Calibri" w:hAnsi="Calibri"/>
        <w:color w:val="88888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2026-06-12T13:54:19.929Z</dcterms:created>
  <dcterms:modified xsi:type="dcterms:W3CDTF">2026-06-12T13:54:19.931Z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