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000"/>
      </w:tblGrid>
      <w:tr w:rsidR="0096330E" w:rsidRPr="0096330E" w14:paraId="5E9895A0" w14:textId="77777777" w:rsidTr="0096330E">
        <w:tblPrEx>
          <w:tblCellMar>
            <w:top w:w="0" w:type="dxa"/>
            <w:bottom w:w="0" w:type="dxa"/>
          </w:tblCellMar>
        </w:tblPrEx>
        <w:trPr>
          <w:cantSplit/>
        </w:trPr>
        <w:tc>
          <w:tcPr>
            <w:tcW w:w="13000" w:type="dxa"/>
            <w:tcBorders>
              <w:top w:val="single" w:sz="4" w:space="0" w:color="auto"/>
              <w:bottom w:val="nil"/>
            </w:tcBorders>
            <w:shd w:val="clear" w:color="auto" w:fill="D9D9D9"/>
          </w:tcPr>
          <w:p w14:paraId="7C3A2B35" w14:textId="4445CCAB" w:rsidR="0096330E" w:rsidRPr="0096330E" w:rsidRDefault="0096330E" w:rsidP="0096330E">
            <w:pPr>
              <w:spacing w:after="0" w:line="240" w:lineRule="auto"/>
              <w:rPr>
                <w:b/>
                <w:sz w:val="28"/>
              </w:rPr>
            </w:pPr>
            <w:r w:rsidRPr="0096330E">
              <w:rPr>
                <w:b/>
                <w:sz w:val="28"/>
              </w:rPr>
              <w:t>Maine Bureau of Insurance</w:t>
            </w:r>
          </w:p>
        </w:tc>
      </w:tr>
      <w:tr w:rsidR="0096330E" w14:paraId="0789E432" w14:textId="77777777" w:rsidTr="0096330E">
        <w:tblPrEx>
          <w:tblCellMar>
            <w:top w:w="0" w:type="dxa"/>
            <w:bottom w:w="0" w:type="dxa"/>
          </w:tblCellMar>
        </w:tblPrEx>
        <w:trPr>
          <w:cantSplit/>
        </w:trPr>
        <w:tc>
          <w:tcPr>
            <w:tcW w:w="13000" w:type="dxa"/>
            <w:tcBorders>
              <w:top w:val="nil"/>
            </w:tcBorders>
            <w:shd w:val="clear" w:color="auto" w:fill="auto"/>
          </w:tcPr>
          <w:p w14:paraId="1EB10141" w14:textId="44C9A0C0" w:rsidR="0096330E" w:rsidRDefault="0096330E" w:rsidP="0096330E">
            <w:pPr>
              <w:spacing w:after="0" w:line="240" w:lineRule="auto"/>
            </w:pPr>
            <w:r>
              <w:t>Form Filing Review Requirements Checklist</w:t>
            </w:r>
          </w:p>
        </w:tc>
      </w:tr>
      <w:tr w:rsidR="0096330E" w14:paraId="477B5DAE" w14:textId="77777777" w:rsidTr="0096330E">
        <w:tblPrEx>
          <w:tblCellMar>
            <w:top w:w="0" w:type="dxa"/>
            <w:bottom w:w="0" w:type="dxa"/>
          </w:tblCellMar>
        </w:tblPrEx>
        <w:trPr>
          <w:cantSplit/>
        </w:trPr>
        <w:tc>
          <w:tcPr>
            <w:tcW w:w="13000" w:type="dxa"/>
            <w:shd w:val="clear" w:color="auto" w:fill="auto"/>
          </w:tcPr>
          <w:p w14:paraId="500413E0" w14:textId="0628BD6C" w:rsidR="0096330E" w:rsidRDefault="0096330E" w:rsidP="0096330E">
            <w:pPr>
              <w:spacing w:after="0" w:line="240" w:lineRule="auto"/>
            </w:pPr>
            <w:r>
              <w:t xml:space="preserve">TOI - </w:t>
            </w:r>
          </w:p>
        </w:tc>
      </w:tr>
      <w:tr w:rsidR="0096330E" w14:paraId="5378FE54" w14:textId="77777777" w:rsidTr="0096330E">
        <w:tblPrEx>
          <w:tblCellMar>
            <w:top w:w="0" w:type="dxa"/>
            <w:bottom w:w="0" w:type="dxa"/>
          </w:tblCellMar>
        </w:tblPrEx>
        <w:trPr>
          <w:cantSplit/>
        </w:trPr>
        <w:tc>
          <w:tcPr>
            <w:tcW w:w="13000" w:type="dxa"/>
            <w:shd w:val="clear" w:color="auto" w:fill="auto"/>
          </w:tcPr>
          <w:p w14:paraId="62C5A5DD" w14:textId="63F77947" w:rsidR="0096330E" w:rsidRDefault="0096330E" w:rsidP="0096330E">
            <w:pPr>
              <w:spacing w:after="0" w:line="240" w:lineRule="auto"/>
            </w:pPr>
            <w:r>
              <w:t>Group Life</w:t>
            </w:r>
          </w:p>
        </w:tc>
      </w:tr>
      <w:tr w:rsidR="0096330E" w14:paraId="1A97460F" w14:textId="77777777" w:rsidTr="0096330E">
        <w:tblPrEx>
          <w:tblCellMar>
            <w:top w:w="0" w:type="dxa"/>
            <w:bottom w:w="0" w:type="dxa"/>
          </w:tblCellMar>
        </w:tblPrEx>
        <w:trPr>
          <w:cantSplit/>
        </w:trPr>
        <w:tc>
          <w:tcPr>
            <w:tcW w:w="13000" w:type="dxa"/>
            <w:shd w:val="clear" w:color="auto" w:fill="auto"/>
          </w:tcPr>
          <w:p w14:paraId="63C1BDB2" w14:textId="27F4769B" w:rsidR="0096330E" w:rsidRDefault="0096330E" w:rsidP="0096330E">
            <w:pPr>
              <w:spacing w:after="0" w:line="240" w:lineRule="auto"/>
            </w:pPr>
            <w:r>
              <w:t>Revised – 4/5/2021</w:t>
            </w:r>
          </w:p>
        </w:tc>
      </w:tr>
      <w:tr w:rsidR="0096330E" w14:paraId="73A4973F" w14:textId="77777777" w:rsidTr="0096330E">
        <w:tblPrEx>
          <w:tblCellMar>
            <w:top w:w="0" w:type="dxa"/>
            <w:bottom w:w="0" w:type="dxa"/>
          </w:tblCellMar>
        </w:tblPrEx>
        <w:trPr>
          <w:cantSplit/>
        </w:trPr>
        <w:tc>
          <w:tcPr>
            <w:tcW w:w="13000" w:type="dxa"/>
            <w:shd w:val="clear" w:color="auto" w:fill="auto"/>
          </w:tcPr>
          <w:p w14:paraId="3867729C" w14:textId="6876DBAB" w:rsidR="0096330E" w:rsidRDefault="0096330E" w:rsidP="0096330E">
            <w:pPr>
              <w:spacing w:after="0" w:line="240" w:lineRule="auto"/>
            </w:pPr>
            <w:r>
              <w:t>Carriers must confirm compliance and IDENTIFY the LOCATION (Form number, Page number, Section, Paragraph, etc.) of the standard in the form in the last column.  Any response of N/A requires that a carrier explain why the requirement is not applicable.</w:t>
            </w:r>
          </w:p>
        </w:tc>
      </w:tr>
      <w:tr w:rsidR="0096330E" w14:paraId="3D9C3828" w14:textId="77777777" w:rsidTr="0096330E">
        <w:tblPrEx>
          <w:tblCellMar>
            <w:top w:w="0" w:type="dxa"/>
            <w:bottom w:w="0" w:type="dxa"/>
          </w:tblCellMar>
        </w:tblPrEx>
        <w:trPr>
          <w:cantSplit/>
        </w:trPr>
        <w:tc>
          <w:tcPr>
            <w:tcW w:w="13000" w:type="dxa"/>
            <w:shd w:val="clear" w:color="auto" w:fill="auto"/>
          </w:tcPr>
          <w:p w14:paraId="0C4B3E28" w14:textId="32D61447" w:rsidR="0096330E" w:rsidRDefault="0096330E" w:rsidP="0096330E">
            <w:pPr>
              <w:spacing w:after="0" w:line="240" w:lineRule="auto"/>
            </w:pPr>
            <w:r>
              <w:t>This checklist is intended to provide a summary of State and Federal requirements for the TOI listed above.  Please see the laws/rules referenced in the checklist below for the full requirement.</w:t>
            </w:r>
          </w:p>
        </w:tc>
      </w:tr>
    </w:tbl>
    <w:p w14:paraId="276B9845" w14:textId="77777777" w:rsidR="00B06969" w:rsidRDefault="00B06969"/>
    <w:tbl>
      <w:tblPr>
        <w:tblW w:w="15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000"/>
        <w:gridCol w:w="9000"/>
        <w:gridCol w:w="2000"/>
      </w:tblGrid>
      <w:tr w:rsidR="0096330E" w:rsidRPr="0096330E" w14:paraId="3A2191E6" w14:textId="77777777" w:rsidTr="0096330E">
        <w:tblPrEx>
          <w:tblCellMar>
            <w:top w:w="0" w:type="dxa"/>
            <w:bottom w:w="0" w:type="dxa"/>
          </w:tblCellMar>
        </w:tblPrEx>
        <w:trPr>
          <w:cantSplit/>
        </w:trPr>
        <w:tc>
          <w:tcPr>
            <w:tcW w:w="2000" w:type="dxa"/>
            <w:tcBorders>
              <w:bottom w:val="single" w:sz="4" w:space="0" w:color="auto"/>
            </w:tcBorders>
            <w:shd w:val="clear" w:color="auto" w:fill="D9D9D9"/>
          </w:tcPr>
          <w:p w14:paraId="3F53B8A7" w14:textId="190C1BDD" w:rsidR="0096330E" w:rsidRPr="0096330E" w:rsidRDefault="0096330E" w:rsidP="0096330E">
            <w:pPr>
              <w:spacing w:after="0" w:line="240" w:lineRule="auto"/>
              <w:jc w:val="center"/>
              <w:rPr>
                <w:b/>
              </w:rPr>
            </w:pPr>
            <w:r w:rsidRPr="0096330E">
              <w:rPr>
                <w:b/>
              </w:rPr>
              <w:t>REVIEW REQUIREMENTS</w:t>
            </w:r>
          </w:p>
        </w:tc>
        <w:tc>
          <w:tcPr>
            <w:tcW w:w="2000" w:type="dxa"/>
            <w:tcBorders>
              <w:bottom w:val="single" w:sz="4" w:space="0" w:color="auto"/>
            </w:tcBorders>
            <w:shd w:val="clear" w:color="auto" w:fill="D9D9D9"/>
          </w:tcPr>
          <w:p w14:paraId="09DFBCDB" w14:textId="0095BC0A" w:rsidR="0096330E" w:rsidRPr="0096330E" w:rsidRDefault="0096330E" w:rsidP="0096330E">
            <w:pPr>
              <w:spacing w:after="0" w:line="240" w:lineRule="auto"/>
              <w:jc w:val="center"/>
              <w:rPr>
                <w:b/>
              </w:rPr>
            </w:pPr>
            <w:r w:rsidRPr="0096330E">
              <w:rPr>
                <w:b/>
              </w:rPr>
              <w:t>REFERENCES</w:t>
            </w:r>
          </w:p>
        </w:tc>
        <w:tc>
          <w:tcPr>
            <w:tcW w:w="9000" w:type="dxa"/>
            <w:tcBorders>
              <w:bottom w:val="single" w:sz="4" w:space="0" w:color="auto"/>
            </w:tcBorders>
            <w:shd w:val="clear" w:color="auto" w:fill="D9D9D9"/>
          </w:tcPr>
          <w:p w14:paraId="675CDD65" w14:textId="77777777" w:rsidR="0096330E" w:rsidRPr="0096330E" w:rsidRDefault="0096330E" w:rsidP="0096330E">
            <w:pPr>
              <w:spacing w:after="0" w:line="240" w:lineRule="auto"/>
              <w:jc w:val="center"/>
              <w:rPr>
                <w:b/>
              </w:rPr>
            </w:pPr>
          </w:p>
        </w:tc>
        <w:tc>
          <w:tcPr>
            <w:tcW w:w="2000" w:type="dxa"/>
            <w:tcBorders>
              <w:bottom w:val="single" w:sz="4" w:space="0" w:color="auto"/>
            </w:tcBorders>
            <w:shd w:val="clear" w:color="auto" w:fill="D9D9D9"/>
          </w:tcPr>
          <w:p w14:paraId="70A6629A" w14:textId="0B5B7B71" w:rsidR="0096330E" w:rsidRPr="0096330E" w:rsidRDefault="0096330E" w:rsidP="0096330E">
            <w:pPr>
              <w:spacing w:after="0" w:line="240" w:lineRule="auto"/>
              <w:jc w:val="center"/>
              <w:rPr>
                <w:b/>
              </w:rPr>
            </w:pPr>
            <w:r w:rsidRPr="0096330E">
              <w:rPr>
                <w:b/>
              </w:rPr>
              <w:t>COMPLIANCE</w:t>
            </w:r>
          </w:p>
        </w:tc>
      </w:tr>
      <w:tr w:rsidR="0096330E" w:rsidRPr="0096330E" w14:paraId="5CEB3D31" w14:textId="77777777" w:rsidTr="0096330E">
        <w:tblPrEx>
          <w:tblCellMar>
            <w:top w:w="0" w:type="dxa"/>
            <w:bottom w:w="0" w:type="dxa"/>
          </w:tblCellMar>
        </w:tblPrEx>
        <w:trPr>
          <w:cantSplit/>
        </w:trPr>
        <w:tc>
          <w:tcPr>
            <w:tcW w:w="2000" w:type="dxa"/>
            <w:shd w:val="clear" w:color="auto" w:fill="D9D9D9"/>
          </w:tcPr>
          <w:p w14:paraId="34E70A62" w14:textId="7E767952" w:rsidR="0096330E" w:rsidRPr="0096330E" w:rsidRDefault="0096330E" w:rsidP="0096330E">
            <w:pPr>
              <w:spacing w:after="0" w:line="240" w:lineRule="auto"/>
              <w:jc w:val="center"/>
              <w:rPr>
                <w:b/>
              </w:rPr>
            </w:pPr>
            <w:r w:rsidRPr="0096330E">
              <w:rPr>
                <w:b/>
              </w:rPr>
              <w:t>GENERAL SUBMISSION REQUIREMENTS</w:t>
            </w:r>
          </w:p>
        </w:tc>
        <w:tc>
          <w:tcPr>
            <w:tcW w:w="2000" w:type="dxa"/>
            <w:shd w:val="clear" w:color="auto" w:fill="D9D9D9"/>
          </w:tcPr>
          <w:p w14:paraId="1E8625AC" w14:textId="77777777" w:rsidR="0096330E" w:rsidRPr="0096330E" w:rsidRDefault="0096330E" w:rsidP="0096330E">
            <w:pPr>
              <w:spacing w:after="0" w:line="240" w:lineRule="auto"/>
              <w:jc w:val="center"/>
              <w:rPr>
                <w:b/>
              </w:rPr>
            </w:pPr>
          </w:p>
        </w:tc>
        <w:tc>
          <w:tcPr>
            <w:tcW w:w="9000" w:type="dxa"/>
            <w:shd w:val="clear" w:color="auto" w:fill="D9D9D9"/>
          </w:tcPr>
          <w:p w14:paraId="1B6009AF" w14:textId="77777777" w:rsidR="0096330E" w:rsidRPr="0096330E" w:rsidRDefault="0096330E" w:rsidP="0096330E">
            <w:pPr>
              <w:spacing w:after="0" w:line="240" w:lineRule="auto"/>
              <w:jc w:val="center"/>
              <w:rPr>
                <w:b/>
              </w:rPr>
            </w:pPr>
          </w:p>
        </w:tc>
        <w:tc>
          <w:tcPr>
            <w:tcW w:w="2000" w:type="dxa"/>
            <w:shd w:val="clear" w:color="auto" w:fill="D9D9D9"/>
          </w:tcPr>
          <w:p w14:paraId="4E603C04" w14:textId="77777777" w:rsidR="0096330E" w:rsidRPr="0096330E" w:rsidRDefault="0096330E" w:rsidP="0096330E">
            <w:pPr>
              <w:spacing w:after="0" w:line="240" w:lineRule="auto"/>
              <w:jc w:val="center"/>
              <w:rPr>
                <w:b/>
              </w:rPr>
            </w:pPr>
          </w:p>
        </w:tc>
      </w:tr>
      <w:tr w:rsidR="0096330E" w:rsidRPr="0096330E" w14:paraId="4A6B500F" w14:textId="77777777" w:rsidTr="0096330E">
        <w:tblPrEx>
          <w:tblCellMar>
            <w:top w:w="0" w:type="dxa"/>
            <w:bottom w:w="0" w:type="dxa"/>
          </w:tblCellMar>
        </w:tblPrEx>
        <w:trPr>
          <w:cantSplit/>
        </w:trPr>
        <w:tc>
          <w:tcPr>
            <w:tcW w:w="2000" w:type="dxa"/>
            <w:shd w:val="clear" w:color="auto" w:fill="auto"/>
          </w:tcPr>
          <w:p w14:paraId="4797758A" w14:textId="216A4553" w:rsidR="0096330E" w:rsidRPr="0096330E" w:rsidRDefault="0096330E" w:rsidP="0096330E">
            <w:pPr>
              <w:spacing w:after="0" w:line="240" w:lineRule="auto"/>
              <w:rPr>
                <w:sz w:val="20"/>
              </w:rPr>
            </w:pPr>
            <w:r>
              <w:rPr>
                <w:sz w:val="20"/>
              </w:rPr>
              <w:t>Electronic (SERFF) Filing Requirements:</w:t>
            </w:r>
          </w:p>
        </w:tc>
        <w:tc>
          <w:tcPr>
            <w:tcW w:w="2000" w:type="dxa"/>
            <w:shd w:val="clear" w:color="auto" w:fill="auto"/>
          </w:tcPr>
          <w:p w14:paraId="188508D3" w14:textId="576668F9" w:rsidR="0096330E" w:rsidRPr="0096330E" w:rsidRDefault="0096330E" w:rsidP="0096330E">
            <w:pPr>
              <w:spacing w:after="0" w:line="240" w:lineRule="auto"/>
              <w:rPr>
                <w:sz w:val="20"/>
              </w:rPr>
            </w:pPr>
            <w:hyperlink r:id="rId6" w:history="1">
              <w:r w:rsidRPr="0096330E">
                <w:rPr>
                  <w:rStyle w:val="Hyperlink"/>
                  <w:sz w:val="20"/>
                </w:rPr>
                <w:t>Title 24-A § 2412</w:t>
              </w:r>
            </w:hyperlink>
            <w:r>
              <w:rPr>
                <w:sz w:val="20"/>
              </w:rPr>
              <w:t xml:space="preserve">(2) </w:t>
            </w:r>
            <w:hyperlink r:id="rId7" w:history="1">
              <w:r w:rsidRPr="0096330E">
                <w:rPr>
                  <w:rStyle w:val="Hyperlink"/>
                  <w:sz w:val="20"/>
                </w:rPr>
                <w:t>Bulletin 360</w:t>
              </w:r>
            </w:hyperlink>
          </w:p>
        </w:tc>
        <w:tc>
          <w:tcPr>
            <w:tcW w:w="9000" w:type="dxa"/>
            <w:shd w:val="clear" w:color="auto" w:fill="auto"/>
          </w:tcPr>
          <w:p w14:paraId="42B04A63" w14:textId="5CD3BF66" w:rsidR="0096330E" w:rsidRPr="0096330E" w:rsidRDefault="0096330E" w:rsidP="0096330E">
            <w:pPr>
              <w:spacing w:after="0" w:line="240" w:lineRule="auto"/>
              <w:rPr>
                <w:sz w:val="20"/>
              </w:rPr>
            </w:pPr>
            <w:r>
              <w:rPr>
                <w:sz w:val="20"/>
              </w:rPr>
              <w:t>All filings must be filed electronically, using the NAIC System for Electronic Rate and Form Filing (SERFF). See http://www.serff.com</w:t>
            </w:r>
          </w:p>
        </w:tc>
        <w:tc>
          <w:tcPr>
            <w:tcW w:w="2000" w:type="dxa"/>
            <w:shd w:val="clear" w:color="auto" w:fill="auto"/>
          </w:tcPr>
          <w:p w14:paraId="0022999A" w14:textId="77777777" w:rsidR="0096330E" w:rsidRPr="0096330E" w:rsidRDefault="0096330E" w:rsidP="0096330E">
            <w:pPr>
              <w:spacing w:after="0" w:line="240" w:lineRule="auto"/>
              <w:rPr>
                <w:sz w:val="20"/>
              </w:rPr>
            </w:pPr>
          </w:p>
        </w:tc>
      </w:tr>
      <w:tr w:rsidR="0096330E" w:rsidRPr="0096330E" w14:paraId="275ADC5C" w14:textId="77777777" w:rsidTr="0096330E">
        <w:tblPrEx>
          <w:tblCellMar>
            <w:top w:w="0" w:type="dxa"/>
            <w:bottom w:w="0" w:type="dxa"/>
          </w:tblCellMar>
        </w:tblPrEx>
        <w:trPr>
          <w:cantSplit/>
        </w:trPr>
        <w:tc>
          <w:tcPr>
            <w:tcW w:w="2000" w:type="dxa"/>
            <w:shd w:val="clear" w:color="auto" w:fill="auto"/>
          </w:tcPr>
          <w:p w14:paraId="11EB2240" w14:textId="4262890A" w:rsidR="0096330E" w:rsidRPr="0096330E" w:rsidRDefault="0096330E" w:rsidP="0096330E">
            <w:pPr>
              <w:spacing w:after="0" w:line="240" w:lineRule="auto"/>
              <w:rPr>
                <w:sz w:val="20"/>
              </w:rPr>
            </w:pPr>
            <w:r>
              <w:rPr>
                <w:sz w:val="20"/>
              </w:rPr>
              <w:t>FILING FEES</w:t>
            </w:r>
          </w:p>
        </w:tc>
        <w:tc>
          <w:tcPr>
            <w:tcW w:w="2000" w:type="dxa"/>
            <w:shd w:val="clear" w:color="auto" w:fill="auto"/>
          </w:tcPr>
          <w:p w14:paraId="048DA81A" w14:textId="66D94512" w:rsidR="0096330E" w:rsidRPr="0096330E" w:rsidRDefault="0096330E" w:rsidP="0096330E">
            <w:pPr>
              <w:spacing w:after="0" w:line="240" w:lineRule="auto"/>
              <w:rPr>
                <w:sz w:val="20"/>
              </w:rPr>
            </w:pPr>
            <w:hyperlink r:id="rId8" w:history="1">
              <w:r w:rsidRPr="0096330E">
                <w:rPr>
                  <w:rStyle w:val="Hyperlink"/>
                  <w:sz w:val="20"/>
                </w:rPr>
                <w:t>Title 24-A § 601</w:t>
              </w:r>
            </w:hyperlink>
            <w:r>
              <w:rPr>
                <w:sz w:val="20"/>
              </w:rPr>
              <w:t xml:space="preserve"> (17)</w:t>
            </w:r>
          </w:p>
        </w:tc>
        <w:tc>
          <w:tcPr>
            <w:tcW w:w="9000" w:type="dxa"/>
            <w:shd w:val="clear" w:color="auto" w:fill="auto"/>
          </w:tcPr>
          <w:p w14:paraId="49769F6C" w14:textId="3CF8E997" w:rsidR="0096330E" w:rsidRPr="0096330E" w:rsidRDefault="0096330E" w:rsidP="0096330E">
            <w:pPr>
              <w:spacing w:after="0" w:line="240" w:lineRule="auto"/>
              <w:rPr>
                <w:sz w:val="20"/>
              </w:rPr>
            </w:pPr>
            <w:r>
              <w:rPr>
                <w:sz w:val="20"/>
              </w:rPr>
              <w:t>$20.00 for Rate filings, rating rules filings, insurance policy, forms, riders, endorsements and certificates. See General Instructions page in SERFF for additional information on filing fee structure. Filing fees must be submitted by EFT in SERFF at the time of submission of the filing. All filings require a filing fee unless specifically excluded per 24-A M.R.S.A. §4222(1), and/or are a required annual report.</w:t>
            </w:r>
          </w:p>
        </w:tc>
        <w:tc>
          <w:tcPr>
            <w:tcW w:w="2000" w:type="dxa"/>
            <w:shd w:val="clear" w:color="auto" w:fill="auto"/>
          </w:tcPr>
          <w:p w14:paraId="66CED1FE" w14:textId="77777777" w:rsidR="0096330E" w:rsidRPr="0096330E" w:rsidRDefault="0096330E" w:rsidP="0096330E">
            <w:pPr>
              <w:spacing w:after="0" w:line="240" w:lineRule="auto"/>
              <w:rPr>
                <w:sz w:val="20"/>
              </w:rPr>
            </w:pPr>
          </w:p>
        </w:tc>
      </w:tr>
      <w:tr w:rsidR="0096330E" w:rsidRPr="0096330E" w14:paraId="611AB24D" w14:textId="77777777" w:rsidTr="0096330E">
        <w:tblPrEx>
          <w:tblCellMar>
            <w:top w:w="0" w:type="dxa"/>
            <w:bottom w:w="0" w:type="dxa"/>
          </w:tblCellMar>
        </w:tblPrEx>
        <w:trPr>
          <w:cantSplit/>
        </w:trPr>
        <w:tc>
          <w:tcPr>
            <w:tcW w:w="2000" w:type="dxa"/>
            <w:shd w:val="clear" w:color="auto" w:fill="auto"/>
          </w:tcPr>
          <w:p w14:paraId="63C47C27" w14:textId="34261727" w:rsidR="0096330E" w:rsidRPr="0096330E" w:rsidRDefault="0096330E" w:rsidP="0096330E">
            <w:pPr>
              <w:spacing w:after="0" w:line="240" w:lineRule="auto"/>
              <w:rPr>
                <w:sz w:val="20"/>
              </w:rPr>
            </w:pPr>
            <w:r>
              <w:rPr>
                <w:sz w:val="20"/>
              </w:rPr>
              <w:t>Grounds for disapproval</w:t>
            </w:r>
          </w:p>
        </w:tc>
        <w:tc>
          <w:tcPr>
            <w:tcW w:w="2000" w:type="dxa"/>
            <w:shd w:val="clear" w:color="auto" w:fill="auto"/>
          </w:tcPr>
          <w:p w14:paraId="03DBCFFE" w14:textId="3AD7E187" w:rsidR="0096330E" w:rsidRPr="0096330E" w:rsidRDefault="0096330E" w:rsidP="0096330E">
            <w:pPr>
              <w:spacing w:after="0" w:line="240" w:lineRule="auto"/>
              <w:rPr>
                <w:sz w:val="20"/>
              </w:rPr>
            </w:pPr>
            <w:hyperlink r:id="rId9" w:history="1">
              <w:r w:rsidRPr="0096330E">
                <w:rPr>
                  <w:rStyle w:val="Hyperlink"/>
                  <w:sz w:val="20"/>
                </w:rPr>
                <w:t>Title 24-A § 2413</w:t>
              </w:r>
            </w:hyperlink>
          </w:p>
        </w:tc>
        <w:tc>
          <w:tcPr>
            <w:tcW w:w="9000" w:type="dxa"/>
            <w:shd w:val="clear" w:color="auto" w:fill="auto"/>
          </w:tcPr>
          <w:p w14:paraId="22C7055D" w14:textId="719CB218" w:rsidR="0096330E" w:rsidRPr="0096330E" w:rsidRDefault="0096330E" w:rsidP="0096330E">
            <w:pPr>
              <w:spacing w:after="0" w:line="240" w:lineRule="auto"/>
              <w:rPr>
                <w:sz w:val="20"/>
              </w:rPr>
            </w:pPr>
            <w:r>
              <w:rPr>
                <w:sz w:val="20"/>
              </w:rPr>
              <w:t>Seven categories of the grounds for disapproving a filing.</w:t>
            </w:r>
          </w:p>
        </w:tc>
        <w:tc>
          <w:tcPr>
            <w:tcW w:w="2000" w:type="dxa"/>
            <w:shd w:val="clear" w:color="auto" w:fill="auto"/>
          </w:tcPr>
          <w:p w14:paraId="48257C34" w14:textId="77777777" w:rsidR="0096330E" w:rsidRPr="0096330E" w:rsidRDefault="0096330E" w:rsidP="0096330E">
            <w:pPr>
              <w:spacing w:after="0" w:line="240" w:lineRule="auto"/>
              <w:rPr>
                <w:sz w:val="20"/>
              </w:rPr>
            </w:pPr>
          </w:p>
        </w:tc>
      </w:tr>
      <w:tr w:rsidR="0096330E" w:rsidRPr="0096330E" w14:paraId="67586329" w14:textId="77777777" w:rsidTr="0096330E">
        <w:tblPrEx>
          <w:tblCellMar>
            <w:top w:w="0" w:type="dxa"/>
            <w:bottom w:w="0" w:type="dxa"/>
          </w:tblCellMar>
        </w:tblPrEx>
        <w:trPr>
          <w:cantSplit/>
        </w:trPr>
        <w:tc>
          <w:tcPr>
            <w:tcW w:w="2000" w:type="dxa"/>
            <w:shd w:val="clear" w:color="auto" w:fill="auto"/>
          </w:tcPr>
          <w:p w14:paraId="583724E3" w14:textId="236932F7" w:rsidR="0096330E" w:rsidRPr="0096330E" w:rsidRDefault="0096330E" w:rsidP="0096330E">
            <w:pPr>
              <w:spacing w:after="0" w:line="240" w:lineRule="auto"/>
              <w:rPr>
                <w:sz w:val="20"/>
              </w:rPr>
            </w:pPr>
            <w:r>
              <w:rPr>
                <w:sz w:val="20"/>
              </w:rPr>
              <w:t>Readability</w:t>
            </w:r>
          </w:p>
        </w:tc>
        <w:tc>
          <w:tcPr>
            <w:tcW w:w="2000" w:type="dxa"/>
            <w:shd w:val="clear" w:color="auto" w:fill="auto"/>
          </w:tcPr>
          <w:p w14:paraId="568F0E67" w14:textId="35763AD9" w:rsidR="0096330E" w:rsidRPr="0096330E" w:rsidRDefault="0096330E" w:rsidP="0096330E">
            <w:pPr>
              <w:spacing w:after="0" w:line="240" w:lineRule="auto"/>
              <w:rPr>
                <w:sz w:val="20"/>
              </w:rPr>
            </w:pPr>
            <w:hyperlink r:id="rId10" w:history="1">
              <w:r w:rsidRPr="0096330E">
                <w:rPr>
                  <w:rStyle w:val="Hyperlink"/>
                  <w:sz w:val="20"/>
                </w:rPr>
                <w:t>Title 24-A § 2441</w:t>
              </w:r>
            </w:hyperlink>
          </w:p>
        </w:tc>
        <w:tc>
          <w:tcPr>
            <w:tcW w:w="9000" w:type="dxa"/>
            <w:shd w:val="clear" w:color="auto" w:fill="auto"/>
          </w:tcPr>
          <w:p w14:paraId="49285B83" w14:textId="1A1602CE" w:rsidR="0096330E" w:rsidRPr="0096330E" w:rsidRDefault="0096330E" w:rsidP="0096330E">
            <w:pPr>
              <w:spacing w:after="0" w:line="240" w:lineRule="auto"/>
              <w:rPr>
                <w:sz w:val="20"/>
              </w:rPr>
            </w:pPr>
            <w:r>
              <w:rPr>
                <w:sz w:val="20"/>
              </w:rPr>
              <w:t>Minimum of 50.  Riders, endorsements, applications all must be scored. They may be scored either individually or in conjunction with the policy/certificate to which they will be attached. Exceptions: Federally mandated forms/language, Groups &gt; 1000, Group Annuities as funding vehicles.  Scores must be entered on form schedule tab in SERFF.</w:t>
            </w:r>
          </w:p>
        </w:tc>
        <w:tc>
          <w:tcPr>
            <w:tcW w:w="2000" w:type="dxa"/>
            <w:shd w:val="clear" w:color="auto" w:fill="auto"/>
          </w:tcPr>
          <w:p w14:paraId="2C4B7F1E" w14:textId="77777777" w:rsidR="0096330E" w:rsidRPr="0096330E" w:rsidRDefault="0096330E" w:rsidP="0096330E">
            <w:pPr>
              <w:spacing w:after="0" w:line="240" w:lineRule="auto"/>
              <w:rPr>
                <w:sz w:val="20"/>
              </w:rPr>
            </w:pPr>
          </w:p>
        </w:tc>
      </w:tr>
      <w:tr w:rsidR="0096330E" w:rsidRPr="0096330E" w14:paraId="599595AA" w14:textId="77777777" w:rsidTr="0096330E">
        <w:tblPrEx>
          <w:tblCellMar>
            <w:top w:w="0" w:type="dxa"/>
            <w:bottom w:w="0" w:type="dxa"/>
          </w:tblCellMar>
        </w:tblPrEx>
        <w:trPr>
          <w:cantSplit/>
        </w:trPr>
        <w:tc>
          <w:tcPr>
            <w:tcW w:w="2000" w:type="dxa"/>
            <w:tcBorders>
              <w:bottom w:val="single" w:sz="4" w:space="0" w:color="auto"/>
            </w:tcBorders>
            <w:shd w:val="clear" w:color="auto" w:fill="auto"/>
          </w:tcPr>
          <w:p w14:paraId="44E0FDC0" w14:textId="5976542E" w:rsidR="0096330E" w:rsidRPr="0096330E" w:rsidRDefault="0096330E" w:rsidP="0096330E">
            <w:pPr>
              <w:spacing w:after="0" w:line="240" w:lineRule="auto"/>
              <w:rPr>
                <w:sz w:val="20"/>
              </w:rPr>
            </w:pPr>
            <w:r>
              <w:rPr>
                <w:sz w:val="20"/>
              </w:rPr>
              <w:t>Variability of Language</w:t>
            </w:r>
          </w:p>
        </w:tc>
        <w:tc>
          <w:tcPr>
            <w:tcW w:w="2000" w:type="dxa"/>
            <w:tcBorders>
              <w:bottom w:val="single" w:sz="4" w:space="0" w:color="auto"/>
            </w:tcBorders>
            <w:shd w:val="clear" w:color="auto" w:fill="auto"/>
          </w:tcPr>
          <w:p w14:paraId="249EF635" w14:textId="369A25C3" w:rsidR="0096330E" w:rsidRDefault="0096330E" w:rsidP="0096330E">
            <w:pPr>
              <w:spacing w:after="0" w:line="240" w:lineRule="auto"/>
              <w:rPr>
                <w:sz w:val="20"/>
              </w:rPr>
            </w:pPr>
            <w:hyperlink r:id="rId11" w:history="1">
              <w:r w:rsidRPr="0096330E">
                <w:rPr>
                  <w:rStyle w:val="Hyperlink"/>
                  <w:sz w:val="20"/>
                </w:rPr>
                <w:t>Title 24-A § 2412</w:t>
              </w:r>
            </w:hyperlink>
            <w:r>
              <w:rPr>
                <w:sz w:val="20"/>
              </w:rPr>
              <w:t xml:space="preserve">  </w:t>
            </w:r>
          </w:p>
          <w:p w14:paraId="06739122" w14:textId="0E923025" w:rsidR="0096330E" w:rsidRPr="0096330E" w:rsidRDefault="0096330E" w:rsidP="0096330E">
            <w:pPr>
              <w:spacing w:after="0" w:line="240" w:lineRule="auto"/>
              <w:rPr>
                <w:sz w:val="20"/>
              </w:rPr>
            </w:pPr>
            <w:hyperlink r:id="rId12" w:history="1">
              <w:r w:rsidRPr="0096330E">
                <w:rPr>
                  <w:rStyle w:val="Hyperlink"/>
                  <w:sz w:val="20"/>
                </w:rPr>
                <w:t>Title 24-A § 2413</w:t>
              </w:r>
            </w:hyperlink>
          </w:p>
        </w:tc>
        <w:tc>
          <w:tcPr>
            <w:tcW w:w="9000" w:type="dxa"/>
            <w:tcBorders>
              <w:bottom w:val="single" w:sz="4" w:space="0" w:color="auto"/>
            </w:tcBorders>
            <w:shd w:val="clear" w:color="auto" w:fill="auto"/>
          </w:tcPr>
          <w:p w14:paraId="1A938BC9" w14:textId="703CCC3E" w:rsidR="0096330E" w:rsidRPr="0096330E" w:rsidRDefault="0096330E" w:rsidP="0096330E">
            <w:pPr>
              <w:spacing w:after="0" w:line="240" w:lineRule="auto"/>
              <w:rPr>
                <w:sz w:val="20"/>
              </w:rPr>
            </w:pPr>
            <w:r>
              <w:rPr>
                <w:sz w:val="20"/>
              </w:rPr>
              <w:t>Forms with variable bracketed information must include all the possible language that might be placed within the brackets. The use of too many variables will result in filing disapproval as Bureau staff may not be able to determine whether the filing is compliant with Maine laws and regulations.</w:t>
            </w:r>
          </w:p>
        </w:tc>
        <w:tc>
          <w:tcPr>
            <w:tcW w:w="2000" w:type="dxa"/>
            <w:tcBorders>
              <w:bottom w:val="single" w:sz="4" w:space="0" w:color="auto"/>
            </w:tcBorders>
            <w:shd w:val="clear" w:color="auto" w:fill="auto"/>
          </w:tcPr>
          <w:p w14:paraId="29666DF8" w14:textId="77777777" w:rsidR="0096330E" w:rsidRPr="0096330E" w:rsidRDefault="0096330E" w:rsidP="0096330E">
            <w:pPr>
              <w:spacing w:after="0" w:line="240" w:lineRule="auto"/>
              <w:rPr>
                <w:sz w:val="20"/>
              </w:rPr>
            </w:pPr>
          </w:p>
        </w:tc>
      </w:tr>
      <w:tr w:rsidR="0096330E" w:rsidRPr="0096330E" w14:paraId="16D06858" w14:textId="77777777" w:rsidTr="0096330E">
        <w:tblPrEx>
          <w:tblCellMar>
            <w:top w:w="0" w:type="dxa"/>
            <w:bottom w:w="0" w:type="dxa"/>
          </w:tblCellMar>
        </w:tblPrEx>
        <w:trPr>
          <w:cantSplit/>
        </w:trPr>
        <w:tc>
          <w:tcPr>
            <w:tcW w:w="2000" w:type="dxa"/>
            <w:shd w:val="clear" w:color="auto" w:fill="D9D9D9"/>
          </w:tcPr>
          <w:p w14:paraId="5A9B7B0A" w14:textId="677457C7" w:rsidR="0096330E" w:rsidRPr="0096330E" w:rsidRDefault="0096330E" w:rsidP="0096330E">
            <w:pPr>
              <w:spacing w:after="0" w:line="240" w:lineRule="auto"/>
              <w:jc w:val="center"/>
              <w:rPr>
                <w:b/>
              </w:rPr>
            </w:pPr>
            <w:r w:rsidRPr="0096330E">
              <w:rPr>
                <w:b/>
              </w:rPr>
              <w:t>GENERAL POLICY PROVISIONS</w:t>
            </w:r>
          </w:p>
        </w:tc>
        <w:tc>
          <w:tcPr>
            <w:tcW w:w="2000" w:type="dxa"/>
            <w:shd w:val="clear" w:color="auto" w:fill="D9D9D9"/>
          </w:tcPr>
          <w:p w14:paraId="19CC1822" w14:textId="77777777" w:rsidR="0096330E" w:rsidRPr="0096330E" w:rsidRDefault="0096330E" w:rsidP="0096330E">
            <w:pPr>
              <w:spacing w:after="0" w:line="240" w:lineRule="auto"/>
              <w:jc w:val="center"/>
              <w:rPr>
                <w:b/>
              </w:rPr>
            </w:pPr>
          </w:p>
        </w:tc>
        <w:tc>
          <w:tcPr>
            <w:tcW w:w="9000" w:type="dxa"/>
            <w:shd w:val="clear" w:color="auto" w:fill="D9D9D9"/>
          </w:tcPr>
          <w:p w14:paraId="45C6A09A" w14:textId="77777777" w:rsidR="0096330E" w:rsidRPr="0096330E" w:rsidRDefault="0096330E" w:rsidP="0096330E">
            <w:pPr>
              <w:spacing w:after="0" w:line="240" w:lineRule="auto"/>
              <w:jc w:val="center"/>
              <w:rPr>
                <w:b/>
              </w:rPr>
            </w:pPr>
          </w:p>
        </w:tc>
        <w:tc>
          <w:tcPr>
            <w:tcW w:w="2000" w:type="dxa"/>
            <w:shd w:val="clear" w:color="auto" w:fill="D9D9D9"/>
          </w:tcPr>
          <w:p w14:paraId="700BFC06" w14:textId="77777777" w:rsidR="0096330E" w:rsidRPr="0096330E" w:rsidRDefault="0096330E" w:rsidP="0096330E">
            <w:pPr>
              <w:spacing w:after="0" w:line="240" w:lineRule="auto"/>
              <w:jc w:val="center"/>
              <w:rPr>
                <w:b/>
              </w:rPr>
            </w:pPr>
          </w:p>
        </w:tc>
      </w:tr>
      <w:tr w:rsidR="0096330E" w:rsidRPr="0096330E" w14:paraId="520BA3A3" w14:textId="77777777" w:rsidTr="0096330E">
        <w:tblPrEx>
          <w:tblCellMar>
            <w:top w:w="0" w:type="dxa"/>
            <w:bottom w:w="0" w:type="dxa"/>
          </w:tblCellMar>
        </w:tblPrEx>
        <w:trPr>
          <w:cantSplit/>
        </w:trPr>
        <w:tc>
          <w:tcPr>
            <w:tcW w:w="2000" w:type="dxa"/>
            <w:shd w:val="clear" w:color="auto" w:fill="auto"/>
          </w:tcPr>
          <w:p w14:paraId="543FBCAD" w14:textId="142D41BB" w:rsidR="0096330E" w:rsidRPr="0096330E" w:rsidRDefault="0096330E" w:rsidP="0096330E">
            <w:pPr>
              <w:spacing w:after="0" w:line="240" w:lineRule="auto"/>
              <w:rPr>
                <w:sz w:val="20"/>
              </w:rPr>
            </w:pPr>
            <w:r>
              <w:rPr>
                <w:sz w:val="20"/>
              </w:rPr>
              <w:lastRenderedPageBreak/>
              <w:t>AIDS and Medical Lifestyle Standards</w:t>
            </w:r>
          </w:p>
        </w:tc>
        <w:tc>
          <w:tcPr>
            <w:tcW w:w="2000" w:type="dxa"/>
            <w:shd w:val="clear" w:color="auto" w:fill="auto"/>
          </w:tcPr>
          <w:p w14:paraId="2C362858" w14:textId="02B3A388" w:rsidR="0096330E" w:rsidRPr="0096330E" w:rsidRDefault="0096330E" w:rsidP="0096330E">
            <w:pPr>
              <w:spacing w:after="0" w:line="240" w:lineRule="auto"/>
              <w:rPr>
                <w:sz w:val="20"/>
              </w:rPr>
            </w:pPr>
            <w:hyperlink r:id="rId13" w:history="1">
              <w:r w:rsidRPr="0096330E">
                <w:rPr>
                  <w:rStyle w:val="Hyperlink"/>
                  <w:sz w:val="20"/>
                </w:rPr>
                <w:t>Rule 490</w:t>
              </w:r>
            </w:hyperlink>
          </w:p>
        </w:tc>
        <w:tc>
          <w:tcPr>
            <w:tcW w:w="9000" w:type="dxa"/>
            <w:shd w:val="clear" w:color="auto" w:fill="auto"/>
          </w:tcPr>
          <w:p w14:paraId="34B6763C" w14:textId="68031E94" w:rsidR="0096330E" w:rsidRPr="0096330E" w:rsidRDefault="0096330E" w:rsidP="0096330E">
            <w:pPr>
              <w:spacing w:after="0" w:line="240" w:lineRule="auto"/>
              <w:rPr>
                <w:sz w:val="20"/>
              </w:rPr>
            </w:pPr>
            <w:r>
              <w:rPr>
                <w:sz w:val="20"/>
              </w:rPr>
              <w:t>The purpose of this rule is to clarify the standards applicable to written informed consent forms required to be completed by persons required to take a test for the presence of the antibody to the Human Immunodeficiency Virus (HIV) or for the Human Immunodeficiency Antigen by an insurer, nonprofit hospital service organization, nonprofit medical service organization, or a nonprofit health care plan, to establish standards for pretest and post-test counseling required to be provided to persons subject to testing as required by 5 M.R.S.A. Section 19203-A, and to establish standards for medical and lifestyle application questions and underwriting.</w:t>
            </w:r>
          </w:p>
        </w:tc>
        <w:tc>
          <w:tcPr>
            <w:tcW w:w="2000" w:type="dxa"/>
            <w:shd w:val="clear" w:color="auto" w:fill="auto"/>
          </w:tcPr>
          <w:p w14:paraId="56E2B376" w14:textId="77777777" w:rsidR="0096330E" w:rsidRPr="0096330E" w:rsidRDefault="0096330E" w:rsidP="0096330E">
            <w:pPr>
              <w:spacing w:after="0" w:line="240" w:lineRule="auto"/>
              <w:rPr>
                <w:sz w:val="20"/>
              </w:rPr>
            </w:pPr>
          </w:p>
        </w:tc>
      </w:tr>
      <w:tr w:rsidR="0096330E" w:rsidRPr="0096330E" w14:paraId="2BE070B0" w14:textId="77777777" w:rsidTr="0096330E">
        <w:tblPrEx>
          <w:tblCellMar>
            <w:top w:w="0" w:type="dxa"/>
            <w:bottom w:w="0" w:type="dxa"/>
          </w:tblCellMar>
        </w:tblPrEx>
        <w:trPr>
          <w:cantSplit/>
        </w:trPr>
        <w:tc>
          <w:tcPr>
            <w:tcW w:w="2000" w:type="dxa"/>
            <w:shd w:val="clear" w:color="auto" w:fill="auto"/>
          </w:tcPr>
          <w:p w14:paraId="23918207" w14:textId="5AB91132" w:rsidR="0096330E" w:rsidRPr="0096330E" w:rsidRDefault="0096330E" w:rsidP="0096330E">
            <w:pPr>
              <w:spacing w:after="0" w:line="240" w:lineRule="auto"/>
              <w:rPr>
                <w:sz w:val="20"/>
              </w:rPr>
            </w:pPr>
            <w:r>
              <w:rPr>
                <w:sz w:val="20"/>
              </w:rPr>
              <w:t>AIDS/ARC/HIV</w:t>
            </w:r>
          </w:p>
        </w:tc>
        <w:tc>
          <w:tcPr>
            <w:tcW w:w="2000" w:type="dxa"/>
            <w:shd w:val="clear" w:color="auto" w:fill="auto"/>
          </w:tcPr>
          <w:p w14:paraId="203609E8" w14:textId="480E6359" w:rsidR="0096330E" w:rsidRPr="0096330E" w:rsidRDefault="0096330E" w:rsidP="0096330E">
            <w:pPr>
              <w:spacing w:after="0" w:line="240" w:lineRule="auto"/>
              <w:rPr>
                <w:sz w:val="20"/>
              </w:rPr>
            </w:pPr>
            <w:hyperlink r:id="rId14" w:history="1">
              <w:r w:rsidRPr="0096330E">
                <w:rPr>
                  <w:rStyle w:val="Hyperlink"/>
                  <w:sz w:val="20"/>
                </w:rPr>
                <w:t>Title 24-A § 2629</w:t>
              </w:r>
            </w:hyperlink>
          </w:p>
        </w:tc>
        <w:tc>
          <w:tcPr>
            <w:tcW w:w="9000" w:type="dxa"/>
            <w:shd w:val="clear" w:color="auto" w:fill="auto"/>
          </w:tcPr>
          <w:p w14:paraId="5426C812" w14:textId="6E374383" w:rsidR="0096330E" w:rsidRPr="0096330E" w:rsidRDefault="0096330E" w:rsidP="0096330E">
            <w:pPr>
              <w:spacing w:after="0" w:line="240" w:lineRule="auto"/>
              <w:rPr>
                <w:sz w:val="20"/>
              </w:rPr>
            </w:pPr>
            <w:r>
              <w:rPr>
                <w:sz w:val="20"/>
              </w:rPr>
              <w:t>No group life or health insurance policy delivered or issued for delivery in this State may provide more restrictive coverage for death, or benefits for sickness or disablement, or the related expenses resulting from Acquired Immune Deficiency Syndrome (AIDS), AIDS Related Complex (ARC) or HIV related diseases than for any other sickness or disabling condition or exclude benefits for AIDS, ARC or HIV related diseases except through an exclusion under which all sicknesses and diseases are treated the same. This section shall not apply to a policy providing benefits for specific diseases or accidental injury only. </w:t>
            </w:r>
          </w:p>
        </w:tc>
        <w:tc>
          <w:tcPr>
            <w:tcW w:w="2000" w:type="dxa"/>
            <w:shd w:val="clear" w:color="auto" w:fill="auto"/>
          </w:tcPr>
          <w:p w14:paraId="6ED63C9E" w14:textId="77777777" w:rsidR="0096330E" w:rsidRPr="0096330E" w:rsidRDefault="0096330E" w:rsidP="0096330E">
            <w:pPr>
              <w:spacing w:after="0" w:line="240" w:lineRule="auto"/>
              <w:rPr>
                <w:sz w:val="20"/>
              </w:rPr>
            </w:pPr>
          </w:p>
        </w:tc>
      </w:tr>
      <w:tr w:rsidR="0096330E" w:rsidRPr="0096330E" w14:paraId="6E9F66A7" w14:textId="77777777" w:rsidTr="0096330E">
        <w:tblPrEx>
          <w:tblCellMar>
            <w:top w:w="0" w:type="dxa"/>
            <w:bottom w:w="0" w:type="dxa"/>
          </w:tblCellMar>
        </w:tblPrEx>
        <w:trPr>
          <w:cantSplit/>
        </w:trPr>
        <w:tc>
          <w:tcPr>
            <w:tcW w:w="2000" w:type="dxa"/>
            <w:shd w:val="clear" w:color="auto" w:fill="auto"/>
          </w:tcPr>
          <w:p w14:paraId="5C4FCA01" w14:textId="5925FD10" w:rsidR="0096330E" w:rsidRPr="0096330E" w:rsidRDefault="0096330E" w:rsidP="0096330E">
            <w:pPr>
              <w:spacing w:after="0" w:line="240" w:lineRule="auto"/>
              <w:rPr>
                <w:sz w:val="20"/>
              </w:rPr>
            </w:pPr>
            <w:r>
              <w:rPr>
                <w:sz w:val="20"/>
              </w:rPr>
              <w:t>Association Groups</w:t>
            </w:r>
          </w:p>
        </w:tc>
        <w:tc>
          <w:tcPr>
            <w:tcW w:w="2000" w:type="dxa"/>
            <w:shd w:val="clear" w:color="auto" w:fill="auto"/>
          </w:tcPr>
          <w:p w14:paraId="7C057FCC" w14:textId="25245501" w:rsidR="0096330E" w:rsidRPr="0096330E" w:rsidRDefault="0096330E" w:rsidP="0096330E">
            <w:pPr>
              <w:spacing w:after="0" w:line="240" w:lineRule="auto"/>
              <w:rPr>
                <w:sz w:val="20"/>
              </w:rPr>
            </w:pPr>
            <w:hyperlink r:id="rId15" w:history="1">
              <w:r w:rsidRPr="0096330E">
                <w:rPr>
                  <w:rStyle w:val="Hyperlink"/>
                  <w:sz w:val="20"/>
                </w:rPr>
                <w:t>Title 24-A § 2607-A</w:t>
              </w:r>
            </w:hyperlink>
          </w:p>
        </w:tc>
        <w:tc>
          <w:tcPr>
            <w:tcW w:w="9000" w:type="dxa"/>
            <w:shd w:val="clear" w:color="auto" w:fill="auto"/>
          </w:tcPr>
          <w:p w14:paraId="7A04A37A" w14:textId="301E0D77" w:rsidR="0096330E" w:rsidRPr="0096330E" w:rsidRDefault="0096330E" w:rsidP="0096330E">
            <w:pPr>
              <w:spacing w:after="0" w:line="240" w:lineRule="auto"/>
              <w:rPr>
                <w:sz w:val="20"/>
              </w:rPr>
            </w:pPr>
            <w:r>
              <w:rPr>
                <w:sz w:val="20"/>
              </w:rPr>
              <w:t>The association shall have at the outset a minimum of 50 persons; shall have been organized and maintained in good faith for purposes other than that of obtaining insurance; shall have been in existence for at least 2 years; and shall have a constitution and by-laws that provide: That the association holds regular meetings not less than annually to further the purposes of the members; that the association collects dues or solicits contributions from members; and that the members have voting privileges and representation on the governing board and committees. Copies of the constitution and by-laws must be submitted. Articles of incorporation, etc. are also helpful.</w:t>
            </w:r>
          </w:p>
        </w:tc>
        <w:tc>
          <w:tcPr>
            <w:tcW w:w="2000" w:type="dxa"/>
            <w:shd w:val="clear" w:color="auto" w:fill="auto"/>
          </w:tcPr>
          <w:p w14:paraId="1F006E97" w14:textId="77777777" w:rsidR="0096330E" w:rsidRPr="0096330E" w:rsidRDefault="0096330E" w:rsidP="0096330E">
            <w:pPr>
              <w:spacing w:after="0" w:line="240" w:lineRule="auto"/>
              <w:rPr>
                <w:sz w:val="20"/>
              </w:rPr>
            </w:pPr>
          </w:p>
        </w:tc>
      </w:tr>
      <w:tr w:rsidR="0096330E" w:rsidRPr="0096330E" w14:paraId="31756639" w14:textId="77777777" w:rsidTr="0096330E">
        <w:tblPrEx>
          <w:tblCellMar>
            <w:top w:w="0" w:type="dxa"/>
            <w:bottom w:w="0" w:type="dxa"/>
          </w:tblCellMar>
        </w:tblPrEx>
        <w:trPr>
          <w:cantSplit/>
        </w:trPr>
        <w:tc>
          <w:tcPr>
            <w:tcW w:w="2000" w:type="dxa"/>
            <w:shd w:val="clear" w:color="auto" w:fill="auto"/>
          </w:tcPr>
          <w:p w14:paraId="7431FFAA" w14:textId="0BF74E1C" w:rsidR="0096330E" w:rsidRPr="0096330E" w:rsidRDefault="0096330E" w:rsidP="0096330E">
            <w:pPr>
              <w:spacing w:after="0" w:line="240" w:lineRule="auto"/>
              <w:rPr>
                <w:sz w:val="20"/>
              </w:rPr>
            </w:pPr>
            <w:r>
              <w:rPr>
                <w:sz w:val="20"/>
              </w:rPr>
              <w:t>Conversion on Termination of Eligibility</w:t>
            </w:r>
          </w:p>
        </w:tc>
        <w:tc>
          <w:tcPr>
            <w:tcW w:w="2000" w:type="dxa"/>
            <w:shd w:val="clear" w:color="auto" w:fill="auto"/>
          </w:tcPr>
          <w:p w14:paraId="3D2A0549" w14:textId="56FE1BEE" w:rsidR="0096330E" w:rsidRPr="0096330E" w:rsidRDefault="0096330E" w:rsidP="0096330E">
            <w:pPr>
              <w:spacing w:after="0" w:line="240" w:lineRule="auto"/>
              <w:rPr>
                <w:sz w:val="20"/>
              </w:rPr>
            </w:pPr>
            <w:hyperlink r:id="rId16" w:history="1">
              <w:r w:rsidRPr="0096330E">
                <w:rPr>
                  <w:rStyle w:val="Hyperlink"/>
                  <w:sz w:val="20"/>
                </w:rPr>
                <w:t>Title 24-A § 2621</w:t>
              </w:r>
            </w:hyperlink>
          </w:p>
        </w:tc>
        <w:tc>
          <w:tcPr>
            <w:tcW w:w="9000" w:type="dxa"/>
            <w:shd w:val="clear" w:color="auto" w:fill="auto"/>
          </w:tcPr>
          <w:p w14:paraId="101983FC" w14:textId="435BC5B1" w:rsidR="0096330E" w:rsidRPr="0096330E" w:rsidRDefault="0096330E" w:rsidP="0096330E">
            <w:pPr>
              <w:spacing w:after="0" w:line="240" w:lineRule="auto"/>
              <w:rPr>
                <w:sz w:val="20"/>
              </w:rPr>
            </w:pPr>
            <w:r>
              <w:rPr>
                <w:sz w:val="20"/>
              </w:rPr>
              <w:t>Provision that if the insurance, or any portion of it, on covered person or dependent, ceases because of termination of employment, such person is entitled to have issued without E of I, an individual policy of life insurance without disability or other supplementary benefits, provided application for the individual policy is made and the first premium is paid within 31 days after such termination.</w:t>
            </w:r>
          </w:p>
        </w:tc>
        <w:tc>
          <w:tcPr>
            <w:tcW w:w="2000" w:type="dxa"/>
            <w:shd w:val="clear" w:color="auto" w:fill="auto"/>
          </w:tcPr>
          <w:p w14:paraId="3DE91272" w14:textId="77777777" w:rsidR="0096330E" w:rsidRPr="0096330E" w:rsidRDefault="0096330E" w:rsidP="0096330E">
            <w:pPr>
              <w:spacing w:after="0" w:line="240" w:lineRule="auto"/>
              <w:rPr>
                <w:sz w:val="20"/>
              </w:rPr>
            </w:pPr>
          </w:p>
        </w:tc>
      </w:tr>
      <w:tr w:rsidR="0096330E" w:rsidRPr="0096330E" w14:paraId="7026F9D5" w14:textId="77777777" w:rsidTr="0096330E">
        <w:tblPrEx>
          <w:tblCellMar>
            <w:top w:w="0" w:type="dxa"/>
            <w:bottom w:w="0" w:type="dxa"/>
          </w:tblCellMar>
        </w:tblPrEx>
        <w:trPr>
          <w:cantSplit/>
        </w:trPr>
        <w:tc>
          <w:tcPr>
            <w:tcW w:w="2000" w:type="dxa"/>
            <w:shd w:val="clear" w:color="auto" w:fill="auto"/>
          </w:tcPr>
          <w:p w14:paraId="7FDF6521" w14:textId="32BC020A" w:rsidR="0096330E" w:rsidRPr="0096330E" w:rsidRDefault="0096330E" w:rsidP="0096330E">
            <w:pPr>
              <w:spacing w:after="0" w:line="240" w:lineRule="auto"/>
              <w:rPr>
                <w:sz w:val="20"/>
              </w:rPr>
            </w:pPr>
            <w:r>
              <w:rPr>
                <w:sz w:val="20"/>
              </w:rPr>
              <w:t>Conversion on Termination of Policy</w:t>
            </w:r>
          </w:p>
        </w:tc>
        <w:tc>
          <w:tcPr>
            <w:tcW w:w="2000" w:type="dxa"/>
            <w:shd w:val="clear" w:color="auto" w:fill="auto"/>
          </w:tcPr>
          <w:p w14:paraId="3837ADAE" w14:textId="51FE4028" w:rsidR="0096330E" w:rsidRPr="0096330E" w:rsidRDefault="0096330E" w:rsidP="0096330E">
            <w:pPr>
              <w:spacing w:after="0" w:line="240" w:lineRule="auto"/>
              <w:rPr>
                <w:sz w:val="20"/>
              </w:rPr>
            </w:pPr>
            <w:hyperlink r:id="rId17" w:history="1">
              <w:r w:rsidRPr="0096330E">
                <w:rPr>
                  <w:rStyle w:val="Hyperlink"/>
                  <w:sz w:val="20"/>
                </w:rPr>
                <w:t>Title 24-A § 2622</w:t>
              </w:r>
            </w:hyperlink>
          </w:p>
        </w:tc>
        <w:tc>
          <w:tcPr>
            <w:tcW w:w="9000" w:type="dxa"/>
            <w:shd w:val="clear" w:color="auto" w:fill="auto"/>
          </w:tcPr>
          <w:p w14:paraId="4B0ECE71" w14:textId="58A066C5" w:rsidR="0096330E" w:rsidRPr="0096330E" w:rsidRDefault="0096330E" w:rsidP="0096330E">
            <w:pPr>
              <w:spacing w:after="0" w:line="240" w:lineRule="auto"/>
              <w:rPr>
                <w:sz w:val="20"/>
              </w:rPr>
            </w:pPr>
            <w:r>
              <w:rPr>
                <w:sz w:val="20"/>
              </w:rPr>
              <w:t>Provision that if the policy terminates or is amended so as to terminate the insurance of any class, every person insured at the date of termination (including dependents) and who has been insured for at least five (5) years, is entitled to have an individual policy subject to the same conditions and limitations as outlined in § 2621, except that the policy shall not exceed the smaller of 1. The amount of the person's life insurance protection ceasing because of the termination, less the amount of any life insurance for which he becomes eligible under a group policy issued or reinstated by the same or another insurer within 31 days after such termination; and 2. $10,000.</w:t>
            </w:r>
          </w:p>
        </w:tc>
        <w:tc>
          <w:tcPr>
            <w:tcW w:w="2000" w:type="dxa"/>
            <w:shd w:val="clear" w:color="auto" w:fill="auto"/>
          </w:tcPr>
          <w:p w14:paraId="1212A3EA" w14:textId="77777777" w:rsidR="0096330E" w:rsidRPr="0096330E" w:rsidRDefault="0096330E" w:rsidP="0096330E">
            <w:pPr>
              <w:spacing w:after="0" w:line="240" w:lineRule="auto"/>
              <w:rPr>
                <w:sz w:val="20"/>
              </w:rPr>
            </w:pPr>
          </w:p>
        </w:tc>
      </w:tr>
      <w:tr w:rsidR="0096330E" w:rsidRPr="0096330E" w14:paraId="03A016DD" w14:textId="77777777" w:rsidTr="0096330E">
        <w:tblPrEx>
          <w:tblCellMar>
            <w:top w:w="0" w:type="dxa"/>
            <w:bottom w:w="0" w:type="dxa"/>
          </w:tblCellMar>
        </w:tblPrEx>
        <w:trPr>
          <w:cantSplit/>
        </w:trPr>
        <w:tc>
          <w:tcPr>
            <w:tcW w:w="2000" w:type="dxa"/>
            <w:shd w:val="clear" w:color="auto" w:fill="auto"/>
          </w:tcPr>
          <w:p w14:paraId="224B5891" w14:textId="1C936850" w:rsidR="0096330E" w:rsidRPr="0096330E" w:rsidRDefault="0096330E" w:rsidP="0096330E">
            <w:pPr>
              <w:spacing w:after="0" w:line="240" w:lineRule="auto"/>
              <w:rPr>
                <w:sz w:val="20"/>
              </w:rPr>
            </w:pPr>
            <w:r>
              <w:rPr>
                <w:sz w:val="20"/>
              </w:rPr>
              <w:t>Credit Union Groups</w:t>
            </w:r>
          </w:p>
        </w:tc>
        <w:tc>
          <w:tcPr>
            <w:tcW w:w="2000" w:type="dxa"/>
            <w:shd w:val="clear" w:color="auto" w:fill="auto"/>
          </w:tcPr>
          <w:p w14:paraId="3F9173A4" w14:textId="03F4D594" w:rsidR="0096330E" w:rsidRPr="0096330E" w:rsidRDefault="0096330E" w:rsidP="0096330E">
            <w:pPr>
              <w:spacing w:after="0" w:line="240" w:lineRule="auto"/>
              <w:rPr>
                <w:sz w:val="20"/>
              </w:rPr>
            </w:pPr>
            <w:hyperlink r:id="rId18" w:history="1">
              <w:r w:rsidRPr="0096330E">
                <w:rPr>
                  <w:rStyle w:val="Hyperlink"/>
                  <w:sz w:val="20"/>
                </w:rPr>
                <w:t>Title 24-A § 2610-A</w:t>
              </w:r>
            </w:hyperlink>
          </w:p>
        </w:tc>
        <w:tc>
          <w:tcPr>
            <w:tcW w:w="9000" w:type="dxa"/>
            <w:shd w:val="clear" w:color="auto" w:fill="auto"/>
          </w:tcPr>
          <w:p w14:paraId="4A0E2090" w14:textId="7B3F1AF6" w:rsidR="0096330E" w:rsidRPr="0096330E" w:rsidRDefault="0096330E" w:rsidP="0096330E">
            <w:pPr>
              <w:spacing w:after="0" w:line="240" w:lineRule="auto"/>
              <w:rPr>
                <w:sz w:val="20"/>
              </w:rPr>
            </w:pPr>
            <w:r>
              <w:rPr>
                <w:sz w:val="20"/>
              </w:rPr>
              <w:t>The lives of a group of individuals may be insured under a policy issued to a credit union or to a trust, or agent designated by 2 or more credit unions. Copies of participation/joinder agreements for 2 or more credit unions must be submitted.</w:t>
            </w:r>
          </w:p>
        </w:tc>
        <w:tc>
          <w:tcPr>
            <w:tcW w:w="2000" w:type="dxa"/>
            <w:shd w:val="clear" w:color="auto" w:fill="auto"/>
          </w:tcPr>
          <w:p w14:paraId="1B0400D1" w14:textId="77777777" w:rsidR="0096330E" w:rsidRPr="0096330E" w:rsidRDefault="0096330E" w:rsidP="0096330E">
            <w:pPr>
              <w:spacing w:after="0" w:line="240" w:lineRule="auto"/>
              <w:rPr>
                <w:sz w:val="20"/>
              </w:rPr>
            </w:pPr>
          </w:p>
        </w:tc>
      </w:tr>
      <w:tr w:rsidR="0096330E" w:rsidRPr="0096330E" w14:paraId="748D7E8F" w14:textId="77777777" w:rsidTr="0096330E">
        <w:tblPrEx>
          <w:tblCellMar>
            <w:top w:w="0" w:type="dxa"/>
            <w:bottom w:w="0" w:type="dxa"/>
          </w:tblCellMar>
        </w:tblPrEx>
        <w:trPr>
          <w:cantSplit/>
        </w:trPr>
        <w:tc>
          <w:tcPr>
            <w:tcW w:w="2000" w:type="dxa"/>
            <w:shd w:val="clear" w:color="auto" w:fill="auto"/>
          </w:tcPr>
          <w:p w14:paraId="2F99D3F5" w14:textId="3EFA50D8" w:rsidR="0096330E" w:rsidRPr="0096330E" w:rsidRDefault="0096330E" w:rsidP="0096330E">
            <w:pPr>
              <w:spacing w:after="0" w:line="240" w:lineRule="auto"/>
              <w:rPr>
                <w:sz w:val="20"/>
              </w:rPr>
            </w:pPr>
            <w:r>
              <w:rPr>
                <w:sz w:val="20"/>
              </w:rPr>
              <w:t>Death Pending Conversion</w:t>
            </w:r>
          </w:p>
        </w:tc>
        <w:tc>
          <w:tcPr>
            <w:tcW w:w="2000" w:type="dxa"/>
            <w:shd w:val="clear" w:color="auto" w:fill="auto"/>
          </w:tcPr>
          <w:p w14:paraId="3B653645" w14:textId="2D9A6945" w:rsidR="0096330E" w:rsidRPr="0096330E" w:rsidRDefault="0096330E" w:rsidP="0096330E">
            <w:pPr>
              <w:spacing w:after="0" w:line="240" w:lineRule="auto"/>
              <w:rPr>
                <w:sz w:val="20"/>
              </w:rPr>
            </w:pPr>
            <w:hyperlink r:id="rId19" w:history="1">
              <w:r w:rsidRPr="0096330E">
                <w:rPr>
                  <w:rStyle w:val="Hyperlink"/>
                  <w:sz w:val="20"/>
                </w:rPr>
                <w:t>Title 24-A § 2623</w:t>
              </w:r>
            </w:hyperlink>
          </w:p>
        </w:tc>
        <w:tc>
          <w:tcPr>
            <w:tcW w:w="9000" w:type="dxa"/>
            <w:shd w:val="clear" w:color="auto" w:fill="auto"/>
          </w:tcPr>
          <w:p w14:paraId="34DFCDDC" w14:textId="44A22CE6" w:rsidR="0096330E" w:rsidRPr="0096330E" w:rsidRDefault="0096330E" w:rsidP="0096330E">
            <w:pPr>
              <w:spacing w:after="0" w:line="240" w:lineRule="auto"/>
              <w:rPr>
                <w:sz w:val="20"/>
              </w:rPr>
            </w:pPr>
            <w:r>
              <w:rPr>
                <w:sz w:val="20"/>
              </w:rPr>
              <w:t>Provision that if a person insured under the policy (or dependent), dies during the period within which he would have been entitled to an individual policy and before such policy becomes effective, the amount of life insurance which he would have been entitled to under the individual policy shall be payable as a claim under the group policy, whether or not the application or payment of the first premium has been made.</w:t>
            </w:r>
          </w:p>
        </w:tc>
        <w:tc>
          <w:tcPr>
            <w:tcW w:w="2000" w:type="dxa"/>
            <w:shd w:val="clear" w:color="auto" w:fill="auto"/>
          </w:tcPr>
          <w:p w14:paraId="08E92DC4" w14:textId="77777777" w:rsidR="0096330E" w:rsidRPr="0096330E" w:rsidRDefault="0096330E" w:rsidP="0096330E">
            <w:pPr>
              <w:spacing w:after="0" w:line="240" w:lineRule="auto"/>
              <w:rPr>
                <w:sz w:val="20"/>
              </w:rPr>
            </w:pPr>
          </w:p>
        </w:tc>
      </w:tr>
      <w:tr w:rsidR="0096330E" w:rsidRPr="0096330E" w14:paraId="372953D0" w14:textId="77777777" w:rsidTr="0096330E">
        <w:tblPrEx>
          <w:tblCellMar>
            <w:top w:w="0" w:type="dxa"/>
            <w:bottom w:w="0" w:type="dxa"/>
          </w:tblCellMar>
        </w:tblPrEx>
        <w:trPr>
          <w:cantSplit/>
        </w:trPr>
        <w:tc>
          <w:tcPr>
            <w:tcW w:w="2000" w:type="dxa"/>
            <w:shd w:val="clear" w:color="auto" w:fill="auto"/>
          </w:tcPr>
          <w:p w14:paraId="733D234A" w14:textId="1CA1502B" w:rsidR="0096330E" w:rsidRPr="0096330E" w:rsidRDefault="0096330E" w:rsidP="0096330E">
            <w:pPr>
              <w:spacing w:after="0" w:line="240" w:lineRule="auto"/>
              <w:rPr>
                <w:sz w:val="20"/>
              </w:rPr>
            </w:pPr>
            <w:r>
              <w:rPr>
                <w:sz w:val="20"/>
              </w:rPr>
              <w:lastRenderedPageBreak/>
              <w:t>Death with Dignity</w:t>
            </w:r>
          </w:p>
        </w:tc>
        <w:tc>
          <w:tcPr>
            <w:tcW w:w="2000" w:type="dxa"/>
            <w:shd w:val="clear" w:color="auto" w:fill="auto"/>
          </w:tcPr>
          <w:p w14:paraId="0B7FCB17" w14:textId="4F588612" w:rsidR="0096330E" w:rsidRPr="0096330E" w:rsidRDefault="0096330E" w:rsidP="0096330E">
            <w:pPr>
              <w:spacing w:after="0" w:line="240" w:lineRule="auto"/>
              <w:rPr>
                <w:sz w:val="20"/>
              </w:rPr>
            </w:pPr>
            <w:hyperlink r:id="rId20" w:history="1">
              <w:r w:rsidRPr="0096330E">
                <w:rPr>
                  <w:rStyle w:val="Hyperlink"/>
                  <w:sz w:val="20"/>
                </w:rPr>
                <w:t>Title 22 § 2140</w:t>
              </w:r>
            </w:hyperlink>
            <w:r>
              <w:rPr>
                <w:sz w:val="20"/>
              </w:rPr>
              <w:t>(19)</w:t>
            </w:r>
          </w:p>
        </w:tc>
        <w:tc>
          <w:tcPr>
            <w:tcW w:w="9000" w:type="dxa"/>
            <w:shd w:val="clear" w:color="auto" w:fill="auto"/>
          </w:tcPr>
          <w:p w14:paraId="409EF8EA" w14:textId="6A113E39" w:rsidR="0096330E" w:rsidRPr="0096330E" w:rsidRDefault="0096330E" w:rsidP="0096330E">
            <w:pPr>
              <w:spacing w:after="0" w:line="240" w:lineRule="auto"/>
              <w:rPr>
                <w:sz w:val="20"/>
              </w:rPr>
            </w:pPr>
            <w:r>
              <w:rPr>
                <w:sz w:val="20"/>
              </w:rPr>
              <w:t>The sale, procurement or issuance of any health or accident insurance or the rate charged for any health or accident policy may not be conditioned upon or affected by the making or rescinding of a request by a qualified patient for medication that the patient may self-administer to end the patient's life in accordance with the Maine Death With Dignity Act.</w:t>
            </w:r>
          </w:p>
        </w:tc>
        <w:tc>
          <w:tcPr>
            <w:tcW w:w="2000" w:type="dxa"/>
            <w:shd w:val="clear" w:color="auto" w:fill="auto"/>
          </w:tcPr>
          <w:p w14:paraId="2DBFEE65" w14:textId="77777777" w:rsidR="0096330E" w:rsidRPr="0096330E" w:rsidRDefault="0096330E" w:rsidP="0096330E">
            <w:pPr>
              <w:spacing w:after="0" w:line="240" w:lineRule="auto"/>
              <w:rPr>
                <w:sz w:val="20"/>
              </w:rPr>
            </w:pPr>
          </w:p>
        </w:tc>
      </w:tr>
      <w:tr w:rsidR="0096330E" w:rsidRPr="0096330E" w14:paraId="4B7FB545" w14:textId="77777777" w:rsidTr="0096330E">
        <w:tblPrEx>
          <w:tblCellMar>
            <w:top w:w="0" w:type="dxa"/>
            <w:bottom w:w="0" w:type="dxa"/>
          </w:tblCellMar>
        </w:tblPrEx>
        <w:trPr>
          <w:cantSplit/>
        </w:trPr>
        <w:tc>
          <w:tcPr>
            <w:tcW w:w="2000" w:type="dxa"/>
            <w:shd w:val="clear" w:color="auto" w:fill="auto"/>
          </w:tcPr>
          <w:p w14:paraId="4781121A" w14:textId="328D018D" w:rsidR="0096330E" w:rsidRPr="0096330E" w:rsidRDefault="0096330E" w:rsidP="0096330E">
            <w:pPr>
              <w:spacing w:after="0" w:line="240" w:lineRule="auto"/>
              <w:rPr>
                <w:sz w:val="20"/>
              </w:rPr>
            </w:pPr>
            <w:r>
              <w:rPr>
                <w:sz w:val="20"/>
              </w:rPr>
              <w:t>Debtor Groups</w:t>
            </w:r>
          </w:p>
        </w:tc>
        <w:tc>
          <w:tcPr>
            <w:tcW w:w="2000" w:type="dxa"/>
            <w:shd w:val="clear" w:color="auto" w:fill="auto"/>
          </w:tcPr>
          <w:p w14:paraId="3DA04A7C" w14:textId="66379B82" w:rsidR="0096330E" w:rsidRPr="0096330E" w:rsidRDefault="0096330E" w:rsidP="0096330E">
            <w:pPr>
              <w:spacing w:after="0" w:line="240" w:lineRule="auto"/>
              <w:rPr>
                <w:sz w:val="20"/>
              </w:rPr>
            </w:pPr>
            <w:hyperlink r:id="rId21" w:history="1">
              <w:r w:rsidRPr="0096330E">
                <w:rPr>
                  <w:rStyle w:val="Hyperlink"/>
                  <w:sz w:val="20"/>
                </w:rPr>
                <w:t>Title 24-A § 2604-A</w:t>
              </w:r>
            </w:hyperlink>
          </w:p>
        </w:tc>
        <w:tc>
          <w:tcPr>
            <w:tcW w:w="9000" w:type="dxa"/>
            <w:shd w:val="clear" w:color="auto" w:fill="auto"/>
          </w:tcPr>
          <w:p w14:paraId="4956451F" w14:textId="42206547" w:rsidR="0096330E" w:rsidRPr="0096330E" w:rsidRDefault="0096330E" w:rsidP="0096330E">
            <w:pPr>
              <w:spacing w:after="0" w:line="240" w:lineRule="auto"/>
              <w:rPr>
                <w:sz w:val="20"/>
              </w:rPr>
            </w:pPr>
            <w:r>
              <w:rPr>
                <w:sz w:val="20"/>
              </w:rPr>
              <w:t>the lives of a group of individuals may be insured under a policy issued to a creditor or its parent holding company, trust, or trustee, or agent by 2 or more creditors, holding companies, affiliates, trustees, or agent considered the policyholder to insure debtors of the creditor. The amount of credit life may not exceed the unpaid amount of the debt plus earned interest. Credit card holders are not an acceptable group. Copies of participation/joinder agreements of 2 or more participating debtors must be submitted.</w:t>
            </w:r>
          </w:p>
        </w:tc>
        <w:tc>
          <w:tcPr>
            <w:tcW w:w="2000" w:type="dxa"/>
            <w:shd w:val="clear" w:color="auto" w:fill="auto"/>
          </w:tcPr>
          <w:p w14:paraId="0DA69A72" w14:textId="77777777" w:rsidR="0096330E" w:rsidRPr="0096330E" w:rsidRDefault="0096330E" w:rsidP="0096330E">
            <w:pPr>
              <w:spacing w:after="0" w:line="240" w:lineRule="auto"/>
              <w:rPr>
                <w:sz w:val="20"/>
              </w:rPr>
            </w:pPr>
          </w:p>
        </w:tc>
      </w:tr>
      <w:tr w:rsidR="0096330E" w:rsidRPr="0096330E" w14:paraId="216D83C1" w14:textId="77777777" w:rsidTr="0096330E">
        <w:tblPrEx>
          <w:tblCellMar>
            <w:top w:w="0" w:type="dxa"/>
            <w:bottom w:w="0" w:type="dxa"/>
          </w:tblCellMar>
        </w:tblPrEx>
        <w:trPr>
          <w:cantSplit/>
        </w:trPr>
        <w:tc>
          <w:tcPr>
            <w:tcW w:w="2000" w:type="dxa"/>
            <w:shd w:val="clear" w:color="auto" w:fill="auto"/>
          </w:tcPr>
          <w:p w14:paraId="7D59F832" w14:textId="6FDA24E4" w:rsidR="0096330E" w:rsidRPr="0096330E" w:rsidRDefault="0096330E" w:rsidP="0096330E">
            <w:pPr>
              <w:spacing w:after="0" w:line="240" w:lineRule="auto"/>
              <w:rPr>
                <w:sz w:val="20"/>
              </w:rPr>
            </w:pPr>
            <w:r>
              <w:rPr>
                <w:sz w:val="20"/>
              </w:rPr>
              <w:t>Dependent Coverage</w:t>
            </w:r>
          </w:p>
        </w:tc>
        <w:tc>
          <w:tcPr>
            <w:tcW w:w="2000" w:type="dxa"/>
            <w:shd w:val="clear" w:color="auto" w:fill="auto"/>
          </w:tcPr>
          <w:p w14:paraId="7F939816" w14:textId="0EA24EAD" w:rsidR="0096330E" w:rsidRPr="0096330E" w:rsidRDefault="0096330E" w:rsidP="0096330E">
            <w:pPr>
              <w:spacing w:after="0" w:line="240" w:lineRule="auto"/>
              <w:rPr>
                <w:sz w:val="20"/>
              </w:rPr>
            </w:pPr>
            <w:hyperlink r:id="rId22" w:history="1">
              <w:r w:rsidRPr="0096330E">
                <w:rPr>
                  <w:rStyle w:val="Hyperlink"/>
                  <w:sz w:val="20"/>
                </w:rPr>
                <w:t>Title 24-A § 2611-A</w:t>
              </w:r>
            </w:hyperlink>
          </w:p>
        </w:tc>
        <w:tc>
          <w:tcPr>
            <w:tcW w:w="9000" w:type="dxa"/>
            <w:shd w:val="clear" w:color="auto" w:fill="auto"/>
          </w:tcPr>
          <w:p w14:paraId="5C3E82FF" w14:textId="31ACFE49" w:rsidR="0096330E" w:rsidRPr="0096330E" w:rsidRDefault="0096330E" w:rsidP="0096330E">
            <w:pPr>
              <w:spacing w:after="0" w:line="240" w:lineRule="auto"/>
              <w:rPr>
                <w:sz w:val="20"/>
              </w:rPr>
            </w:pPr>
            <w:r>
              <w:rPr>
                <w:sz w:val="20"/>
              </w:rPr>
              <w:t>Except for a policy issued under § 2604-A, a group life policy may insure the lives of spouses and dependents.</w:t>
            </w:r>
          </w:p>
        </w:tc>
        <w:tc>
          <w:tcPr>
            <w:tcW w:w="2000" w:type="dxa"/>
            <w:shd w:val="clear" w:color="auto" w:fill="auto"/>
          </w:tcPr>
          <w:p w14:paraId="653445FA" w14:textId="77777777" w:rsidR="0096330E" w:rsidRPr="0096330E" w:rsidRDefault="0096330E" w:rsidP="0096330E">
            <w:pPr>
              <w:spacing w:after="0" w:line="240" w:lineRule="auto"/>
              <w:rPr>
                <w:sz w:val="20"/>
              </w:rPr>
            </w:pPr>
          </w:p>
        </w:tc>
      </w:tr>
      <w:tr w:rsidR="0096330E" w:rsidRPr="0096330E" w14:paraId="1CB3F0D9" w14:textId="77777777" w:rsidTr="0096330E">
        <w:tblPrEx>
          <w:tblCellMar>
            <w:top w:w="0" w:type="dxa"/>
            <w:bottom w:w="0" w:type="dxa"/>
          </w:tblCellMar>
        </w:tblPrEx>
        <w:trPr>
          <w:cantSplit/>
        </w:trPr>
        <w:tc>
          <w:tcPr>
            <w:tcW w:w="2000" w:type="dxa"/>
            <w:shd w:val="clear" w:color="auto" w:fill="auto"/>
          </w:tcPr>
          <w:p w14:paraId="0164473A" w14:textId="54A3FA67" w:rsidR="0096330E" w:rsidRPr="0096330E" w:rsidRDefault="0096330E" w:rsidP="0096330E">
            <w:pPr>
              <w:spacing w:after="0" w:line="240" w:lineRule="auto"/>
              <w:rPr>
                <w:sz w:val="20"/>
              </w:rPr>
            </w:pPr>
            <w:r>
              <w:rPr>
                <w:sz w:val="20"/>
              </w:rPr>
              <w:t>Discrimination Against FDA Approved Opioid Overdose-reversing Medication</w:t>
            </w:r>
          </w:p>
        </w:tc>
        <w:tc>
          <w:tcPr>
            <w:tcW w:w="2000" w:type="dxa"/>
            <w:shd w:val="clear" w:color="auto" w:fill="auto"/>
          </w:tcPr>
          <w:p w14:paraId="7F0D33D0" w14:textId="49648B5F" w:rsidR="0096330E" w:rsidRPr="0096330E" w:rsidRDefault="0096330E" w:rsidP="0096330E">
            <w:pPr>
              <w:spacing w:after="0" w:line="240" w:lineRule="auto"/>
              <w:rPr>
                <w:sz w:val="20"/>
              </w:rPr>
            </w:pPr>
            <w:hyperlink r:id="rId23" w:history="1">
              <w:r w:rsidRPr="0096330E">
                <w:rPr>
                  <w:rStyle w:val="Hyperlink"/>
                  <w:sz w:val="20"/>
                </w:rPr>
                <w:t>Title 24-A § 2159</w:t>
              </w:r>
            </w:hyperlink>
            <w:r>
              <w:rPr>
                <w:sz w:val="20"/>
              </w:rPr>
              <w:t>-E</w:t>
            </w:r>
          </w:p>
        </w:tc>
        <w:tc>
          <w:tcPr>
            <w:tcW w:w="9000" w:type="dxa"/>
            <w:shd w:val="clear" w:color="auto" w:fill="auto"/>
          </w:tcPr>
          <w:p w14:paraId="3889B829" w14:textId="2FA5A1FD" w:rsidR="0096330E" w:rsidRPr="0096330E" w:rsidRDefault="0096330E" w:rsidP="0096330E">
            <w:pPr>
              <w:spacing w:after="0" w:line="240" w:lineRule="auto"/>
              <w:rPr>
                <w:sz w:val="20"/>
              </w:rPr>
            </w:pPr>
            <w:r>
              <w:rPr>
                <w:sz w:val="20"/>
              </w:rPr>
              <w:t xml:space="preserve">An insurer may not limit coverage or refuse to issue or renew coverage or consider due to the fact that the individual has been issued a prescription for FDA approved opioid overdose reversing medication. The insurer may also not consider the purchase or prescription of FDA approved opioid overdose reversing medication in determining rates without any additional actuarial information. The exception is when an individual has a demonstrated history of opioid use disorder.  </w:t>
            </w:r>
          </w:p>
        </w:tc>
        <w:tc>
          <w:tcPr>
            <w:tcW w:w="2000" w:type="dxa"/>
            <w:shd w:val="clear" w:color="auto" w:fill="auto"/>
          </w:tcPr>
          <w:p w14:paraId="166ADD2E" w14:textId="77777777" w:rsidR="0096330E" w:rsidRPr="0096330E" w:rsidRDefault="0096330E" w:rsidP="0096330E">
            <w:pPr>
              <w:spacing w:after="0" w:line="240" w:lineRule="auto"/>
              <w:rPr>
                <w:sz w:val="20"/>
              </w:rPr>
            </w:pPr>
          </w:p>
        </w:tc>
      </w:tr>
      <w:tr w:rsidR="0096330E" w:rsidRPr="0096330E" w14:paraId="635F4DE3" w14:textId="77777777" w:rsidTr="0096330E">
        <w:tblPrEx>
          <w:tblCellMar>
            <w:top w:w="0" w:type="dxa"/>
            <w:bottom w:w="0" w:type="dxa"/>
          </w:tblCellMar>
        </w:tblPrEx>
        <w:trPr>
          <w:cantSplit/>
        </w:trPr>
        <w:tc>
          <w:tcPr>
            <w:tcW w:w="2000" w:type="dxa"/>
            <w:shd w:val="clear" w:color="auto" w:fill="auto"/>
          </w:tcPr>
          <w:p w14:paraId="3E2B8515" w14:textId="00442EB2" w:rsidR="0096330E" w:rsidRPr="0096330E" w:rsidRDefault="0096330E" w:rsidP="0096330E">
            <w:pPr>
              <w:spacing w:after="0" w:line="240" w:lineRule="auto"/>
              <w:rPr>
                <w:sz w:val="20"/>
              </w:rPr>
            </w:pPr>
            <w:r>
              <w:rPr>
                <w:sz w:val="20"/>
              </w:rPr>
              <w:t>Employee Groups</w:t>
            </w:r>
          </w:p>
        </w:tc>
        <w:tc>
          <w:tcPr>
            <w:tcW w:w="2000" w:type="dxa"/>
            <w:shd w:val="clear" w:color="auto" w:fill="auto"/>
          </w:tcPr>
          <w:p w14:paraId="269D3EB6" w14:textId="52648BFB" w:rsidR="0096330E" w:rsidRPr="0096330E" w:rsidRDefault="0096330E" w:rsidP="0096330E">
            <w:pPr>
              <w:spacing w:after="0" w:line="240" w:lineRule="auto"/>
              <w:rPr>
                <w:sz w:val="20"/>
              </w:rPr>
            </w:pPr>
            <w:hyperlink r:id="rId24" w:history="1">
              <w:r w:rsidRPr="0096330E">
                <w:rPr>
                  <w:rStyle w:val="Hyperlink"/>
                  <w:sz w:val="20"/>
                </w:rPr>
                <w:t>Title 24-A § 2603</w:t>
              </w:r>
            </w:hyperlink>
          </w:p>
        </w:tc>
        <w:tc>
          <w:tcPr>
            <w:tcW w:w="9000" w:type="dxa"/>
            <w:shd w:val="clear" w:color="auto" w:fill="auto"/>
          </w:tcPr>
          <w:p w14:paraId="797B9BEA" w14:textId="2E2F73FA" w:rsidR="0096330E" w:rsidRPr="0096330E" w:rsidRDefault="0096330E" w:rsidP="0096330E">
            <w:pPr>
              <w:spacing w:after="0" w:line="240" w:lineRule="auto"/>
              <w:rPr>
                <w:sz w:val="20"/>
              </w:rPr>
            </w:pPr>
            <w:r>
              <w:rPr>
                <w:sz w:val="20"/>
              </w:rPr>
              <w:t>Requirements for Employee Groups.</w:t>
            </w:r>
          </w:p>
        </w:tc>
        <w:tc>
          <w:tcPr>
            <w:tcW w:w="2000" w:type="dxa"/>
            <w:shd w:val="clear" w:color="auto" w:fill="auto"/>
          </w:tcPr>
          <w:p w14:paraId="16194B02" w14:textId="77777777" w:rsidR="0096330E" w:rsidRPr="0096330E" w:rsidRDefault="0096330E" w:rsidP="0096330E">
            <w:pPr>
              <w:spacing w:after="0" w:line="240" w:lineRule="auto"/>
              <w:rPr>
                <w:sz w:val="20"/>
              </w:rPr>
            </w:pPr>
          </w:p>
        </w:tc>
      </w:tr>
      <w:tr w:rsidR="0096330E" w:rsidRPr="0096330E" w14:paraId="6696E1CE" w14:textId="77777777" w:rsidTr="0096330E">
        <w:tblPrEx>
          <w:tblCellMar>
            <w:top w:w="0" w:type="dxa"/>
            <w:bottom w:w="0" w:type="dxa"/>
          </w:tblCellMar>
        </w:tblPrEx>
        <w:trPr>
          <w:cantSplit/>
        </w:trPr>
        <w:tc>
          <w:tcPr>
            <w:tcW w:w="2000" w:type="dxa"/>
            <w:shd w:val="clear" w:color="auto" w:fill="auto"/>
          </w:tcPr>
          <w:p w14:paraId="5A3BE637" w14:textId="6D810CDE" w:rsidR="0096330E" w:rsidRPr="0096330E" w:rsidRDefault="0096330E" w:rsidP="0096330E">
            <w:pPr>
              <w:spacing w:after="0" w:line="240" w:lineRule="auto"/>
              <w:rPr>
                <w:sz w:val="20"/>
              </w:rPr>
            </w:pPr>
            <w:r>
              <w:rPr>
                <w:sz w:val="20"/>
              </w:rPr>
              <w:t>Genetic Information Protections</w:t>
            </w:r>
          </w:p>
        </w:tc>
        <w:tc>
          <w:tcPr>
            <w:tcW w:w="2000" w:type="dxa"/>
            <w:shd w:val="clear" w:color="auto" w:fill="auto"/>
          </w:tcPr>
          <w:p w14:paraId="0B235577" w14:textId="3A991873" w:rsidR="0096330E" w:rsidRDefault="0096330E" w:rsidP="0096330E">
            <w:pPr>
              <w:spacing w:after="0" w:line="240" w:lineRule="auto"/>
              <w:rPr>
                <w:sz w:val="20"/>
              </w:rPr>
            </w:pPr>
            <w:hyperlink r:id="rId25" w:history="1">
              <w:r w:rsidRPr="0096330E">
                <w:rPr>
                  <w:rStyle w:val="Hyperlink"/>
                  <w:sz w:val="20"/>
                </w:rPr>
                <w:t>Title 24-A § 2159</w:t>
              </w:r>
            </w:hyperlink>
            <w:r>
              <w:rPr>
                <w:sz w:val="20"/>
              </w:rPr>
              <w:t>-C(3)</w:t>
            </w:r>
          </w:p>
          <w:p w14:paraId="46FBA346" w14:textId="62CA3C04" w:rsidR="0096330E" w:rsidRPr="0096330E" w:rsidRDefault="0096330E" w:rsidP="0096330E">
            <w:pPr>
              <w:spacing w:after="0" w:line="240" w:lineRule="auto"/>
              <w:rPr>
                <w:sz w:val="20"/>
              </w:rPr>
            </w:pPr>
            <w:hyperlink r:id="rId26" w:history="1">
              <w:r w:rsidRPr="0096330E">
                <w:rPr>
                  <w:rStyle w:val="Hyperlink"/>
                  <w:sz w:val="20"/>
                </w:rPr>
                <w:t>Title 24-A § 2159</w:t>
              </w:r>
            </w:hyperlink>
            <w:r>
              <w:rPr>
                <w:sz w:val="20"/>
              </w:rPr>
              <w:t>-C(4)</w:t>
            </w:r>
          </w:p>
        </w:tc>
        <w:tc>
          <w:tcPr>
            <w:tcW w:w="9000" w:type="dxa"/>
            <w:shd w:val="clear" w:color="auto" w:fill="auto"/>
          </w:tcPr>
          <w:p w14:paraId="3EB37F5C" w14:textId="562FF657" w:rsidR="0096330E" w:rsidRPr="0096330E" w:rsidRDefault="0096330E" w:rsidP="0096330E">
            <w:pPr>
              <w:spacing w:after="0" w:line="240" w:lineRule="auto"/>
              <w:rPr>
                <w:sz w:val="20"/>
              </w:rPr>
            </w:pPr>
            <w:r>
              <w:rPr>
                <w:sz w:val="20"/>
              </w:rPr>
              <w:t>An insurer may not make or permit any unfair discrimination against an individual in the application of genetic information or the results of a genetic test in the issuance, withholding, extension or renewal of an insurance policy. An insurer may not request, require, purchase or use information obtained from an entity providing direct-to-consumer genetic testing without the informed written consent of the individual who has been tested.</w:t>
            </w:r>
          </w:p>
        </w:tc>
        <w:tc>
          <w:tcPr>
            <w:tcW w:w="2000" w:type="dxa"/>
            <w:shd w:val="clear" w:color="auto" w:fill="auto"/>
          </w:tcPr>
          <w:p w14:paraId="0729B87A" w14:textId="77777777" w:rsidR="0096330E" w:rsidRPr="0096330E" w:rsidRDefault="0096330E" w:rsidP="0096330E">
            <w:pPr>
              <w:spacing w:after="0" w:line="240" w:lineRule="auto"/>
              <w:rPr>
                <w:sz w:val="20"/>
              </w:rPr>
            </w:pPr>
          </w:p>
        </w:tc>
      </w:tr>
      <w:tr w:rsidR="0096330E" w:rsidRPr="0096330E" w14:paraId="3DE2B85E" w14:textId="77777777" w:rsidTr="0096330E">
        <w:tblPrEx>
          <w:tblCellMar>
            <w:top w:w="0" w:type="dxa"/>
            <w:bottom w:w="0" w:type="dxa"/>
          </w:tblCellMar>
        </w:tblPrEx>
        <w:trPr>
          <w:cantSplit/>
        </w:trPr>
        <w:tc>
          <w:tcPr>
            <w:tcW w:w="2000" w:type="dxa"/>
            <w:shd w:val="clear" w:color="auto" w:fill="auto"/>
          </w:tcPr>
          <w:p w14:paraId="45619299" w14:textId="090A4040" w:rsidR="0096330E" w:rsidRPr="0096330E" w:rsidRDefault="0096330E" w:rsidP="0096330E">
            <w:pPr>
              <w:spacing w:after="0" w:line="240" w:lineRule="auto"/>
              <w:rPr>
                <w:sz w:val="20"/>
              </w:rPr>
            </w:pPr>
            <w:r>
              <w:rPr>
                <w:sz w:val="20"/>
              </w:rPr>
              <w:t>Information as to Insurance</w:t>
            </w:r>
          </w:p>
        </w:tc>
        <w:tc>
          <w:tcPr>
            <w:tcW w:w="2000" w:type="dxa"/>
            <w:shd w:val="clear" w:color="auto" w:fill="auto"/>
          </w:tcPr>
          <w:p w14:paraId="4B41CD99" w14:textId="24F8B3B1" w:rsidR="0096330E" w:rsidRPr="0096330E" w:rsidRDefault="0096330E" w:rsidP="0096330E">
            <w:pPr>
              <w:spacing w:after="0" w:line="240" w:lineRule="auto"/>
              <w:rPr>
                <w:sz w:val="20"/>
              </w:rPr>
            </w:pPr>
            <w:hyperlink r:id="rId27" w:history="1">
              <w:r w:rsidRPr="0096330E">
                <w:rPr>
                  <w:rStyle w:val="Hyperlink"/>
                  <w:sz w:val="20"/>
                </w:rPr>
                <w:t>Title 24-A § 2620</w:t>
              </w:r>
            </w:hyperlink>
          </w:p>
        </w:tc>
        <w:tc>
          <w:tcPr>
            <w:tcW w:w="9000" w:type="dxa"/>
            <w:shd w:val="clear" w:color="auto" w:fill="auto"/>
          </w:tcPr>
          <w:p w14:paraId="36795481" w14:textId="2ADA7B22" w:rsidR="0096330E" w:rsidRPr="0096330E" w:rsidRDefault="0096330E" w:rsidP="0096330E">
            <w:pPr>
              <w:spacing w:after="0" w:line="240" w:lineRule="auto"/>
              <w:rPr>
                <w:sz w:val="20"/>
              </w:rPr>
            </w:pPr>
            <w:r>
              <w:rPr>
                <w:sz w:val="20"/>
              </w:rPr>
              <w:t>The group life policy shall contain a provision that the insurer will issue to the policyholder for delivery to each person insured printed information as to the insurance protection and benefits.</w:t>
            </w:r>
          </w:p>
        </w:tc>
        <w:tc>
          <w:tcPr>
            <w:tcW w:w="2000" w:type="dxa"/>
            <w:shd w:val="clear" w:color="auto" w:fill="auto"/>
          </w:tcPr>
          <w:p w14:paraId="67AB9E3F" w14:textId="77777777" w:rsidR="0096330E" w:rsidRPr="0096330E" w:rsidRDefault="0096330E" w:rsidP="0096330E">
            <w:pPr>
              <w:spacing w:after="0" w:line="240" w:lineRule="auto"/>
              <w:rPr>
                <w:sz w:val="20"/>
              </w:rPr>
            </w:pPr>
          </w:p>
        </w:tc>
      </w:tr>
      <w:tr w:rsidR="0096330E" w:rsidRPr="0096330E" w14:paraId="532CD1A8" w14:textId="77777777" w:rsidTr="0096330E">
        <w:tblPrEx>
          <w:tblCellMar>
            <w:top w:w="0" w:type="dxa"/>
            <w:bottom w:w="0" w:type="dxa"/>
          </w:tblCellMar>
        </w:tblPrEx>
        <w:trPr>
          <w:cantSplit/>
        </w:trPr>
        <w:tc>
          <w:tcPr>
            <w:tcW w:w="2000" w:type="dxa"/>
            <w:shd w:val="clear" w:color="auto" w:fill="auto"/>
          </w:tcPr>
          <w:p w14:paraId="3DC7D40D" w14:textId="1AB28F96" w:rsidR="0096330E" w:rsidRPr="0096330E" w:rsidRDefault="0096330E" w:rsidP="0096330E">
            <w:pPr>
              <w:spacing w:after="0" w:line="240" w:lineRule="auto"/>
              <w:rPr>
                <w:sz w:val="20"/>
              </w:rPr>
            </w:pPr>
            <w:r>
              <w:rPr>
                <w:sz w:val="20"/>
              </w:rPr>
              <w:t>Labor Union Groups</w:t>
            </w:r>
          </w:p>
        </w:tc>
        <w:tc>
          <w:tcPr>
            <w:tcW w:w="2000" w:type="dxa"/>
            <w:shd w:val="clear" w:color="auto" w:fill="auto"/>
          </w:tcPr>
          <w:p w14:paraId="361ED1C3" w14:textId="10F379B5" w:rsidR="0096330E" w:rsidRPr="0096330E" w:rsidRDefault="0096330E" w:rsidP="0096330E">
            <w:pPr>
              <w:spacing w:after="0" w:line="240" w:lineRule="auto"/>
              <w:rPr>
                <w:sz w:val="20"/>
              </w:rPr>
            </w:pPr>
            <w:hyperlink r:id="rId28" w:history="1">
              <w:r w:rsidRPr="0096330E">
                <w:rPr>
                  <w:rStyle w:val="Hyperlink"/>
                  <w:sz w:val="20"/>
                </w:rPr>
                <w:t>Title 24-A § 2605-A</w:t>
              </w:r>
            </w:hyperlink>
          </w:p>
        </w:tc>
        <w:tc>
          <w:tcPr>
            <w:tcW w:w="9000" w:type="dxa"/>
            <w:shd w:val="clear" w:color="auto" w:fill="auto"/>
          </w:tcPr>
          <w:p w14:paraId="5761F3EA" w14:textId="2B02150B" w:rsidR="0096330E" w:rsidRPr="0096330E" w:rsidRDefault="0096330E" w:rsidP="0096330E">
            <w:pPr>
              <w:spacing w:after="0" w:line="240" w:lineRule="auto"/>
              <w:rPr>
                <w:sz w:val="20"/>
              </w:rPr>
            </w:pPr>
            <w:r>
              <w:rPr>
                <w:sz w:val="20"/>
              </w:rPr>
              <w:t>Requirements for labor union groups are set forth in Section 2605-A.</w:t>
            </w:r>
          </w:p>
        </w:tc>
        <w:tc>
          <w:tcPr>
            <w:tcW w:w="2000" w:type="dxa"/>
            <w:shd w:val="clear" w:color="auto" w:fill="auto"/>
          </w:tcPr>
          <w:p w14:paraId="63D73C2F" w14:textId="77777777" w:rsidR="0096330E" w:rsidRPr="0096330E" w:rsidRDefault="0096330E" w:rsidP="0096330E">
            <w:pPr>
              <w:spacing w:after="0" w:line="240" w:lineRule="auto"/>
              <w:rPr>
                <w:sz w:val="20"/>
              </w:rPr>
            </w:pPr>
          </w:p>
        </w:tc>
      </w:tr>
      <w:tr w:rsidR="0096330E" w:rsidRPr="0096330E" w14:paraId="4BD37F67" w14:textId="77777777" w:rsidTr="0096330E">
        <w:tblPrEx>
          <w:tblCellMar>
            <w:top w:w="0" w:type="dxa"/>
            <w:bottom w:w="0" w:type="dxa"/>
          </w:tblCellMar>
        </w:tblPrEx>
        <w:trPr>
          <w:cantSplit/>
        </w:trPr>
        <w:tc>
          <w:tcPr>
            <w:tcW w:w="2000" w:type="dxa"/>
            <w:shd w:val="clear" w:color="auto" w:fill="auto"/>
          </w:tcPr>
          <w:p w14:paraId="7973FA29" w14:textId="09EE09E9" w:rsidR="0096330E" w:rsidRPr="0096330E" w:rsidRDefault="0096330E" w:rsidP="0096330E">
            <w:pPr>
              <w:spacing w:after="0" w:line="240" w:lineRule="auto"/>
              <w:rPr>
                <w:sz w:val="20"/>
              </w:rPr>
            </w:pPr>
            <w:r>
              <w:rPr>
                <w:sz w:val="20"/>
              </w:rPr>
              <w:t>Live Organ Donation Prohibition</w:t>
            </w:r>
          </w:p>
        </w:tc>
        <w:tc>
          <w:tcPr>
            <w:tcW w:w="2000" w:type="dxa"/>
            <w:shd w:val="clear" w:color="auto" w:fill="auto"/>
          </w:tcPr>
          <w:p w14:paraId="7150F8D1" w14:textId="087A3976" w:rsidR="0096330E" w:rsidRPr="0096330E" w:rsidRDefault="0096330E" w:rsidP="0096330E">
            <w:pPr>
              <w:spacing w:after="0" w:line="240" w:lineRule="auto"/>
              <w:rPr>
                <w:sz w:val="20"/>
              </w:rPr>
            </w:pPr>
            <w:hyperlink r:id="rId29" w:history="1">
              <w:r w:rsidRPr="0096330E">
                <w:rPr>
                  <w:rStyle w:val="Hyperlink"/>
                  <w:sz w:val="20"/>
                </w:rPr>
                <w:t>Title 24-A § 2159</w:t>
              </w:r>
            </w:hyperlink>
            <w:r>
              <w:rPr>
                <w:sz w:val="20"/>
              </w:rPr>
              <w:t>-D</w:t>
            </w:r>
          </w:p>
        </w:tc>
        <w:tc>
          <w:tcPr>
            <w:tcW w:w="9000" w:type="dxa"/>
            <w:shd w:val="clear" w:color="auto" w:fill="auto"/>
          </w:tcPr>
          <w:p w14:paraId="4A6668EE" w14:textId="17226DE2" w:rsidR="0096330E" w:rsidRPr="0096330E" w:rsidRDefault="0096330E" w:rsidP="0096330E">
            <w:pPr>
              <w:spacing w:after="0" w:line="240" w:lineRule="auto"/>
              <w:rPr>
                <w:sz w:val="20"/>
              </w:rPr>
            </w:pPr>
            <w:r>
              <w:rPr>
                <w:sz w:val="20"/>
              </w:rPr>
              <w:t>Notwithstanding any other provision of law, an insurer authorized to do business in this State may not: A.  Limit coverage or refuse to issue or renew coverage of an individual under any life insurance, disability insurance or long-term care insurance policy due to the status of that individual as a living organ donor; B.  Preclude an individual from donating all or part of an organ as a condition of receiving coverage under a life insurance, disability insurance or long-term care insurance policy; C.  Consider the status of an individual as a living organ donor in determining the premium rate for coverage of that individual under a life insurance, disability insurance or long-term care insurance policy; or D.  Otherwise discriminate in the offering, issuance, cancellation, amount of coverage, price or any other condition of a life insurance, disability insurance or long-term care insurance policy based solely and without any additional actuarial justification upon the status of an individual as a living organ donor.</w:t>
            </w:r>
          </w:p>
        </w:tc>
        <w:tc>
          <w:tcPr>
            <w:tcW w:w="2000" w:type="dxa"/>
            <w:shd w:val="clear" w:color="auto" w:fill="auto"/>
          </w:tcPr>
          <w:p w14:paraId="55D447CE" w14:textId="77777777" w:rsidR="0096330E" w:rsidRPr="0096330E" w:rsidRDefault="0096330E" w:rsidP="0096330E">
            <w:pPr>
              <w:spacing w:after="0" w:line="240" w:lineRule="auto"/>
              <w:rPr>
                <w:sz w:val="20"/>
              </w:rPr>
            </w:pPr>
          </w:p>
        </w:tc>
      </w:tr>
      <w:tr w:rsidR="0096330E" w:rsidRPr="0096330E" w14:paraId="32B102A6" w14:textId="77777777" w:rsidTr="0096330E">
        <w:tblPrEx>
          <w:tblCellMar>
            <w:top w:w="0" w:type="dxa"/>
            <w:bottom w:w="0" w:type="dxa"/>
          </w:tblCellMar>
        </w:tblPrEx>
        <w:trPr>
          <w:cantSplit/>
        </w:trPr>
        <w:tc>
          <w:tcPr>
            <w:tcW w:w="2000" w:type="dxa"/>
            <w:shd w:val="clear" w:color="auto" w:fill="auto"/>
          </w:tcPr>
          <w:p w14:paraId="0BCB7CE5" w14:textId="1EDE367E" w:rsidR="0096330E" w:rsidRPr="0096330E" w:rsidRDefault="0096330E" w:rsidP="0096330E">
            <w:pPr>
              <w:spacing w:after="0" w:line="240" w:lineRule="auto"/>
              <w:rPr>
                <w:sz w:val="20"/>
              </w:rPr>
            </w:pPr>
            <w:r>
              <w:rPr>
                <w:sz w:val="20"/>
              </w:rPr>
              <w:t>Nonforfeiture</w:t>
            </w:r>
          </w:p>
        </w:tc>
        <w:tc>
          <w:tcPr>
            <w:tcW w:w="2000" w:type="dxa"/>
            <w:shd w:val="clear" w:color="auto" w:fill="auto"/>
          </w:tcPr>
          <w:p w14:paraId="188314F1" w14:textId="50AE51B5" w:rsidR="0096330E" w:rsidRPr="0096330E" w:rsidRDefault="0096330E" w:rsidP="0096330E">
            <w:pPr>
              <w:spacing w:after="0" w:line="240" w:lineRule="auto"/>
              <w:rPr>
                <w:sz w:val="20"/>
              </w:rPr>
            </w:pPr>
            <w:hyperlink r:id="rId30" w:history="1">
              <w:r w:rsidRPr="0096330E">
                <w:rPr>
                  <w:rStyle w:val="Hyperlink"/>
                  <w:sz w:val="20"/>
                </w:rPr>
                <w:t>Title 24-A § 2613</w:t>
              </w:r>
            </w:hyperlink>
          </w:p>
        </w:tc>
        <w:tc>
          <w:tcPr>
            <w:tcW w:w="9000" w:type="dxa"/>
            <w:shd w:val="clear" w:color="auto" w:fill="auto"/>
          </w:tcPr>
          <w:p w14:paraId="77C71A6B" w14:textId="3DDB03B1" w:rsidR="0096330E" w:rsidRPr="0096330E" w:rsidRDefault="0096330E" w:rsidP="0096330E">
            <w:pPr>
              <w:spacing w:after="0" w:line="240" w:lineRule="auto"/>
              <w:rPr>
                <w:sz w:val="20"/>
              </w:rPr>
            </w:pPr>
            <w:r>
              <w:rPr>
                <w:sz w:val="20"/>
              </w:rPr>
              <w:t>SNFO required for individual life insurance policies do not apply to group life; however, a group life policy, other than term, must contain a nonforfeiture option that is equitable to the insured persons and to the policyholder.</w:t>
            </w:r>
          </w:p>
        </w:tc>
        <w:tc>
          <w:tcPr>
            <w:tcW w:w="2000" w:type="dxa"/>
            <w:shd w:val="clear" w:color="auto" w:fill="auto"/>
          </w:tcPr>
          <w:p w14:paraId="2C4D75E8" w14:textId="77777777" w:rsidR="0096330E" w:rsidRPr="0096330E" w:rsidRDefault="0096330E" w:rsidP="0096330E">
            <w:pPr>
              <w:spacing w:after="0" w:line="240" w:lineRule="auto"/>
              <w:rPr>
                <w:sz w:val="20"/>
              </w:rPr>
            </w:pPr>
          </w:p>
        </w:tc>
      </w:tr>
      <w:tr w:rsidR="0096330E" w:rsidRPr="0096330E" w14:paraId="6C773841" w14:textId="77777777" w:rsidTr="0096330E">
        <w:tblPrEx>
          <w:tblCellMar>
            <w:top w:w="0" w:type="dxa"/>
            <w:bottom w:w="0" w:type="dxa"/>
          </w:tblCellMar>
        </w:tblPrEx>
        <w:trPr>
          <w:cantSplit/>
        </w:trPr>
        <w:tc>
          <w:tcPr>
            <w:tcW w:w="2000" w:type="dxa"/>
            <w:shd w:val="clear" w:color="auto" w:fill="auto"/>
          </w:tcPr>
          <w:p w14:paraId="4BBF6B14" w14:textId="162980BC" w:rsidR="0096330E" w:rsidRPr="0096330E" w:rsidRDefault="0096330E" w:rsidP="0096330E">
            <w:pPr>
              <w:spacing w:after="0" w:line="240" w:lineRule="auto"/>
              <w:rPr>
                <w:sz w:val="20"/>
              </w:rPr>
            </w:pPr>
            <w:r>
              <w:rPr>
                <w:sz w:val="20"/>
              </w:rPr>
              <w:lastRenderedPageBreak/>
              <w:t>Notice of Conversion Right</w:t>
            </w:r>
          </w:p>
        </w:tc>
        <w:tc>
          <w:tcPr>
            <w:tcW w:w="2000" w:type="dxa"/>
            <w:shd w:val="clear" w:color="auto" w:fill="auto"/>
          </w:tcPr>
          <w:p w14:paraId="097BB0C4" w14:textId="1B1585AD" w:rsidR="0096330E" w:rsidRPr="0096330E" w:rsidRDefault="0096330E" w:rsidP="0096330E">
            <w:pPr>
              <w:spacing w:after="0" w:line="240" w:lineRule="auto"/>
              <w:rPr>
                <w:sz w:val="20"/>
              </w:rPr>
            </w:pPr>
            <w:hyperlink r:id="rId31" w:history="1">
              <w:r w:rsidRPr="0096330E">
                <w:rPr>
                  <w:rStyle w:val="Hyperlink"/>
                  <w:sz w:val="20"/>
                </w:rPr>
                <w:t>Title 24-A § 2625</w:t>
              </w:r>
            </w:hyperlink>
          </w:p>
        </w:tc>
        <w:tc>
          <w:tcPr>
            <w:tcW w:w="9000" w:type="dxa"/>
            <w:shd w:val="clear" w:color="auto" w:fill="auto"/>
          </w:tcPr>
          <w:p w14:paraId="69390227" w14:textId="32E4C942" w:rsidR="0096330E" w:rsidRPr="0096330E" w:rsidRDefault="0096330E" w:rsidP="0096330E">
            <w:pPr>
              <w:spacing w:after="0" w:line="240" w:lineRule="auto"/>
              <w:rPr>
                <w:sz w:val="20"/>
              </w:rPr>
            </w:pPr>
            <w:r>
              <w:rPr>
                <w:sz w:val="20"/>
              </w:rPr>
              <w:t>If any individual insured becomes entitled to have an individual policy issued without E of I, and is not given notice of rights at least 15 days prior to the expiration of the conversion period, then the individual will have an additional period to exercise this right. The additional period expires 15 days after the individual is given notice but in no event will extend beyond 60 days. Written notice mailed by the policyholder to the individual at the last known address shall constitute notice.</w:t>
            </w:r>
          </w:p>
        </w:tc>
        <w:tc>
          <w:tcPr>
            <w:tcW w:w="2000" w:type="dxa"/>
            <w:shd w:val="clear" w:color="auto" w:fill="auto"/>
          </w:tcPr>
          <w:p w14:paraId="4B147FCA" w14:textId="77777777" w:rsidR="0096330E" w:rsidRPr="0096330E" w:rsidRDefault="0096330E" w:rsidP="0096330E">
            <w:pPr>
              <w:spacing w:after="0" w:line="240" w:lineRule="auto"/>
              <w:rPr>
                <w:sz w:val="20"/>
              </w:rPr>
            </w:pPr>
          </w:p>
        </w:tc>
      </w:tr>
      <w:tr w:rsidR="0096330E" w:rsidRPr="0096330E" w14:paraId="3E4FAD6C" w14:textId="77777777" w:rsidTr="0096330E">
        <w:tblPrEx>
          <w:tblCellMar>
            <w:top w:w="0" w:type="dxa"/>
            <w:bottom w:w="0" w:type="dxa"/>
          </w:tblCellMar>
        </w:tblPrEx>
        <w:trPr>
          <w:cantSplit/>
        </w:trPr>
        <w:tc>
          <w:tcPr>
            <w:tcW w:w="2000" w:type="dxa"/>
            <w:shd w:val="clear" w:color="auto" w:fill="auto"/>
          </w:tcPr>
          <w:p w14:paraId="34B60795" w14:textId="0E09BE53" w:rsidR="0096330E" w:rsidRPr="0096330E" w:rsidRDefault="0096330E" w:rsidP="0096330E">
            <w:pPr>
              <w:spacing w:after="0" w:line="240" w:lineRule="auto"/>
              <w:rPr>
                <w:sz w:val="20"/>
              </w:rPr>
            </w:pPr>
            <w:r>
              <w:rPr>
                <w:sz w:val="20"/>
              </w:rPr>
              <w:t>Other</w:t>
            </w:r>
          </w:p>
        </w:tc>
        <w:tc>
          <w:tcPr>
            <w:tcW w:w="2000" w:type="dxa"/>
            <w:shd w:val="clear" w:color="auto" w:fill="auto"/>
          </w:tcPr>
          <w:p w14:paraId="26C0FE89" w14:textId="25058DA0" w:rsidR="0096330E" w:rsidRDefault="0096330E" w:rsidP="0096330E">
            <w:pPr>
              <w:spacing w:after="0" w:line="240" w:lineRule="auto"/>
              <w:rPr>
                <w:sz w:val="20"/>
              </w:rPr>
            </w:pPr>
            <w:hyperlink r:id="rId32" w:history="1">
              <w:r w:rsidRPr="0096330E">
                <w:rPr>
                  <w:rStyle w:val="Hyperlink"/>
                  <w:sz w:val="20"/>
                </w:rPr>
                <w:t>Title 24-A § 2619</w:t>
              </w:r>
            </w:hyperlink>
            <w:r>
              <w:rPr>
                <w:sz w:val="20"/>
              </w:rPr>
              <w:t xml:space="preserve"> </w:t>
            </w:r>
          </w:p>
          <w:p w14:paraId="509BF830" w14:textId="13989916" w:rsidR="0096330E" w:rsidRDefault="0096330E" w:rsidP="0096330E">
            <w:pPr>
              <w:spacing w:after="0" w:line="240" w:lineRule="auto"/>
              <w:rPr>
                <w:sz w:val="20"/>
              </w:rPr>
            </w:pPr>
            <w:hyperlink r:id="rId33" w:history="1">
              <w:r w:rsidRPr="0096330E">
                <w:rPr>
                  <w:rStyle w:val="Hyperlink"/>
                  <w:sz w:val="20"/>
                </w:rPr>
                <w:t>Title 24-A § 2620</w:t>
              </w:r>
            </w:hyperlink>
          </w:p>
          <w:p w14:paraId="62C8D563" w14:textId="422514D7" w:rsidR="0096330E" w:rsidRDefault="0096330E" w:rsidP="0096330E">
            <w:pPr>
              <w:spacing w:after="0" w:line="240" w:lineRule="auto"/>
              <w:rPr>
                <w:sz w:val="20"/>
              </w:rPr>
            </w:pPr>
            <w:hyperlink r:id="rId34" w:history="1">
              <w:r w:rsidRPr="0096330E">
                <w:rPr>
                  <w:rStyle w:val="Hyperlink"/>
                  <w:sz w:val="20"/>
                </w:rPr>
                <w:t>Title 24-A § 2621</w:t>
              </w:r>
            </w:hyperlink>
          </w:p>
          <w:p w14:paraId="5271C5FF" w14:textId="50FAF78A" w:rsidR="0096330E" w:rsidRDefault="0096330E" w:rsidP="0096330E">
            <w:pPr>
              <w:spacing w:after="0" w:line="240" w:lineRule="auto"/>
              <w:rPr>
                <w:sz w:val="20"/>
              </w:rPr>
            </w:pPr>
            <w:hyperlink r:id="rId35" w:history="1">
              <w:r w:rsidRPr="0096330E">
                <w:rPr>
                  <w:rStyle w:val="Hyperlink"/>
                  <w:sz w:val="20"/>
                </w:rPr>
                <w:t>Title 24-A § 2622</w:t>
              </w:r>
            </w:hyperlink>
          </w:p>
          <w:p w14:paraId="459FB931" w14:textId="76D9D151" w:rsidR="0096330E" w:rsidRDefault="0096330E" w:rsidP="0096330E">
            <w:pPr>
              <w:spacing w:after="0" w:line="240" w:lineRule="auto"/>
              <w:rPr>
                <w:sz w:val="20"/>
              </w:rPr>
            </w:pPr>
            <w:hyperlink r:id="rId36" w:history="1">
              <w:r w:rsidRPr="0096330E">
                <w:rPr>
                  <w:rStyle w:val="Hyperlink"/>
                  <w:sz w:val="20"/>
                </w:rPr>
                <w:t>Title 24-A § 2623</w:t>
              </w:r>
            </w:hyperlink>
          </w:p>
          <w:p w14:paraId="464D9D3F" w14:textId="04BB7199" w:rsidR="0096330E" w:rsidRPr="0096330E" w:rsidRDefault="0096330E" w:rsidP="0096330E">
            <w:pPr>
              <w:spacing w:after="0" w:line="240" w:lineRule="auto"/>
              <w:rPr>
                <w:sz w:val="20"/>
              </w:rPr>
            </w:pPr>
            <w:hyperlink r:id="rId37" w:history="1">
              <w:r w:rsidRPr="0096330E">
                <w:rPr>
                  <w:rStyle w:val="Hyperlink"/>
                  <w:sz w:val="20"/>
                </w:rPr>
                <w:t>Title 24-A § 2628</w:t>
              </w:r>
            </w:hyperlink>
          </w:p>
        </w:tc>
        <w:tc>
          <w:tcPr>
            <w:tcW w:w="9000" w:type="dxa"/>
            <w:shd w:val="clear" w:color="auto" w:fill="auto"/>
          </w:tcPr>
          <w:p w14:paraId="2A96439E" w14:textId="0CB03F69" w:rsidR="0096330E" w:rsidRPr="0096330E" w:rsidRDefault="0096330E" w:rsidP="0096330E">
            <w:pPr>
              <w:spacing w:after="0" w:line="240" w:lineRule="auto"/>
              <w:rPr>
                <w:sz w:val="20"/>
              </w:rPr>
            </w:pPr>
            <w:r>
              <w:rPr>
                <w:sz w:val="20"/>
              </w:rPr>
              <w:t>Note: Sections 2619 to 2623 and section 2628 do not apply to policies insuring the lives of debtors.</w:t>
            </w:r>
          </w:p>
        </w:tc>
        <w:tc>
          <w:tcPr>
            <w:tcW w:w="2000" w:type="dxa"/>
            <w:shd w:val="clear" w:color="auto" w:fill="auto"/>
          </w:tcPr>
          <w:p w14:paraId="61ACD40C" w14:textId="77777777" w:rsidR="0096330E" w:rsidRPr="0096330E" w:rsidRDefault="0096330E" w:rsidP="0096330E">
            <w:pPr>
              <w:spacing w:after="0" w:line="240" w:lineRule="auto"/>
              <w:rPr>
                <w:sz w:val="20"/>
              </w:rPr>
            </w:pPr>
          </w:p>
        </w:tc>
      </w:tr>
      <w:tr w:rsidR="0096330E" w:rsidRPr="0096330E" w14:paraId="58F13732" w14:textId="77777777" w:rsidTr="0096330E">
        <w:tblPrEx>
          <w:tblCellMar>
            <w:top w:w="0" w:type="dxa"/>
            <w:bottom w:w="0" w:type="dxa"/>
          </w:tblCellMar>
        </w:tblPrEx>
        <w:trPr>
          <w:cantSplit/>
        </w:trPr>
        <w:tc>
          <w:tcPr>
            <w:tcW w:w="2000" w:type="dxa"/>
            <w:shd w:val="clear" w:color="auto" w:fill="auto"/>
          </w:tcPr>
          <w:p w14:paraId="11BCD2A4" w14:textId="607D55EA" w:rsidR="0096330E" w:rsidRPr="0096330E" w:rsidRDefault="0096330E" w:rsidP="0096330E">
            <w:pPr>
              <w:spacing w:after="0" w:line="240" w:lineRule="auto"/>
              <w:rPr>
                <w:sz w:val="20"/>
              </w:rPr>
            </w:pPr>
            <w:r>
              <w:rPr>
                <w:sz w:val="20"/>
              </w:rPr>
              <w:t>Other Groups</w:t>
            </w:r>
          </w:p>
        </w:tc>
        <w:tc>
          <w:tcPr>
            <w:tcW w:w="2000" w:type="dxa"/>
            <w:shd w:val="clear" w:color="auto" w:fill="auto"/>
          </w:tcPr>
          <w:p w14:paraId="13E99F38" w14:textId="5822FED5" w:rsidR="0096330E" w:rsidRPr="0096330E" w:rsidRDefault="0096330E" w:rsidP="0096330E">
            <w:pPr>
              <w:spacing w:after="0" w:line="240" w:lineRule="auto"/>
              <w:rPr>
                <w:sz w:val="20"/>
              </w:rPr>
            </w:pPr>
            <w:hyperlink r:id="rId38" w:history="1">
              <w:r w:rsidRPr="0096330E">
                <w:rPr>
                  <w:rStyle w:val="Hyperlink"/>
                  <w:sz w:val="20"/>
                </w:rPr>
                <w:t>Title 24-A § 2612-A</w:t>
              </w:r>
            </w:hyperlink>
          </w:p>
        </w:tc>
        <w:tc>
          <w:tcPr>
            <w:tcW w:w="9000" w:type="dxa"/>
            <w:shd w:val="clear" w:color="auto" w:fill="auto"/>
          </w:tcPr>
          <w:p w14:paraId="048DDF52" w14:textId="01E7BFBF" w:rsidR="0096330E" w:rsidRPr="0096330E" w:rsidRDefault="0096330E" w:rsidP="0096330E">
            <w:pPr>
              <w:spacing w:after="0" w:line="240" w:lineRule="auto"/>
              <w:rPr>
                <w:sz w:val="20"/>
              </w:rPr>
            </w:pPr>
            <w:r>
              <w:rPr>
                <w:sz w:val="20"/>
              </w:rPr>
              <w:t>Other Groups - (other than those groups as described above) No group life insurance shall be delivered in this State unless: A. The policyholder is a bona fide group formed for purposes other than the procurement of insurance; B. The insurance of the group policy would be actuarially sound; C. The issuance of the group policy would result in economies of acquisition or administration; and D. The benefits are reasonable in relation to the premiums charged.Note: All four above-listed conditions must be met. Actuarial memorandums and rates are required for review.</w:t>
            </w:r>
          </w:p>
        </w:tc>
        <w:tc>
          <w:tcPr>
            <w:tcW w:w="2000" w:type="dxa"/>
            <w:shd w:val="clear" w:color="auto" w:fill="auto"/>
          </w:tcPr>
          <w:p w14:paraId="51BCF433" w14:textId="77777777" w:rsidR="0096330E" w:rsidRPr="0096330E" w:rsidRDefault="0096330E" w:rsidP="0096330E">
            <w:pPr>
              <w:spacing w:after="0" w:line="240" w:lineRule="auto"/>
              <w:rPr>
                <w:sz w:val="20"/>
              </w:rPr>
            </w:pPr>
          </w:p>
        </w:tc>
      </w:tr>
      <w:tr w:rsidR="0096330E" w:rsidRPr="0096330E" w14:paraId="22CC35C3" w14:textId="77777777" w:rsidTr="0096330E">
        <w:tblPrEx>
          <w:tblCellMar>
            <w:top w:w="0" w:type="dxa"/>
            <w:bottom w:w="0" w:type="dxa"/>
          </w:tblCellMar>
        </w:tblPrEx>
        <w:trPr>
          <w:cantSplit/>
        </w:trPr>
        <w:tc>
          <w:tcPr>
            <w:tcW w:w="2000" w:type="dxa"/>
            <w:shd w:val="clear" w:color="auto" w:fill="auto"/>
          </w:tcPr>
          <w:p w14:paraId="38DF5DDE" w14:textId="32B3B617" w:rsidR="0096330E" w:rsidRPr="0096330E" w:rsidRDefault="0096330E" w:rsidP="0096330E">
            <w:pPr>
              <w:spacing w:after="0" w:line="240" w:lineRule="auto"/>
              <w:rPr>
                <w:sz w:val="20"/>
              </w:rPr>
            </w:pPr>
            <w:r>
              <w:rPr>
                <w:sz w:val="20"/>
              </w:rPr>
              <w:t>Payment of Benefits</w:t>
            </w:r>
          </w:p>
        </w:tc>
        <w:tc>
          <w:tcPr>
            <w:tcW w:w="2000" w:type="dxa"/>
            <w:shd w:val="clear" w:color="auto" w:fill="auto"/>
          </w:tcPr>
          <w:p w14:paraId="6C20EC48" w14:textId="7B095418" w:rsidR="0096330E" w:rsidRPr="0096330E" w:rsidRDefault="0096330E" w:rsidP="0096330E">
            <w:pPr>
              <w:spacing w:after="0" w:line="240" w:lineRule="auto"/>
              <w:rPr>
                <w:sz w:val="20"/>
              </w:rPr>
            </w:pPr>
            <w:hyperlink r:id="rId39" w:history="1">
              <w:r w:rsidRPr="0096330E">
                <w:rPr>
                  <w:rStyle w:val="Hyperlink"/>
                  <w:sz w:val="20"/>
                </w:rPr>
                <w:t>Title 24-A § 2619</w:t>
              </w:r>
            </w:hyperlink>
          </w:p>
        </w:tc>
        <w:tc>
          <w:tcPr>
            <w:tcW w:w="9000" w:type="dxa"/>
            <w:shd w:val="clear" w:color="auto" w:fill="auto"/>
          </w:tcPr>
          <w:p w14:paraId="46156FCE" w14:textId="07AB35AB" w:rsidR="0096330E" w:rsidRPr="0096330E" w:rsidRDefault="0096330E" w:rsidP="0096330E">
            <w:pPr>
              <w:spacing w:after="0" w:line="240" w:lineRule="auto"/>
              <w:rPr>
                <w:sz w:val="20"/>
              </w:rPr>
            </w:pPr>
            <w:r>
              <w:rPr>
                <w:sz w:val="20"/>
              </w:rPr>
              <w:t>A provision is required that any sum becoming due by reason of the death of the insured shall be payable to the beneficiary, except that where the policy contains conditions pertaining to family status, the beneficiary may be the family member specified by the policy terms. In the event that there is no beneficiary, a sum not exceeding $2000 may be paid to any person appearing to the insurer to be equitably entitled there to by reason of having incurred funeral or other expenses incident to the last illness or death of the insured.</w:t>
            </w:r>
          </w:p>
        </w:tc>
        <w:tc>
          <w:tcPr>
            <w:tcW w:w="2000" w:type="dxa"/>
            <w:shd w:val="clear" w:color="auto" w:fill="auto"/>
          </w:tcPr>
          <w:p w14:paraId="3F6F102C" w14:textId="77777777" w:rsidR="0096330E" w:rsidRPr="0096330E" w:rsidRDefault="0096330E" w:rsidP="0096330E">
            <w:pPr>
              <w:spacing w:after="0" w:line="240" w:lineRule="auto"/>
              <w:rPr>
                <w:sz w:val="20"/>
              </w:rPr>
            </w:pPr>
          </w:p>
        </w:tc>
      </w:tr>
      <w:tr w:rsidR="0096330E" w:rsidRPr="0096330E" w14:paraId="5CE5C568" w14:textId="77777777" w:rsidTr="0096330E">
        <w:tblPrEx>
          <w:tblCellMar>
            <w:top w:w="0" w:type="dxa"/>
            <w:bottom w:w="0" w:type="dxa"/>
          </w:tblCellMar>
        </w:tblPrEx>
        <w:trPr>
          <w:cantSplit/>
        </w:trPr>
        <w:tc>
          <w:tcPr>
            <w:tcW w:w="2000" w:type="dxa"/>
            <w:shd w:val="clear" w:color="auto" w:fill="auto"/>
          </w:tcPr>
          <w:p w14:paraId="0F374226" w14:textId="4E369592" w:rsidR="0096330E" w:rsidRPr="0096330E" w:rsidRDefault="0096330E" w:rsidP="0096330E">
            <w:pPr>
              <w:spacing w:after="0" w:line="240" w:lineRule="auto"/>
              <w:rPr>
                <w:sz w:val="20"/>
              </w:rPr>
            </w:pPr>
            <w:r>
              <w:rPr>
                <w:sz w:val="20"/>
              </w:rPr>
              <w:t>Rebates</w:t>
            </w:r>
          </w:p>
        </w:tc>
        <w:tc>
          <w:tcPr>
            <w:tcW w:w="2000" w:type="dxa"/>
            <w:shd w:val="clear" w:color="auto" w:fill="auto"/>
          </w:tcPr>
          <w:p w14:paraId="7F1E8E94" w14:textId="26A813D7" w:rsidR="0096330E" w:rsidRDefault="0096330E" w:rsidP="0096330E">
            <w:pPr>
              <w:spacing w:after="0" w:line="240" w:lineRule="auto"/>
              <w:rPr>
                <w:sz w:val="20"/>
              </w:rPr>
            </w:pPr>
            <w:hyperlink r:id="rId40" w:history="1">
              <w:r w:rsidRPr="0096330E">
                <w:rPr>
                  <w:rStyle w:val="Hyperlink"/>
                  <w:sz w:val="20"/>
                </w:rPr>
                <w:t>Title 24-A § 2160</w:t>
              </w:r>
            </w:hyperlink>
          </w:p>
          <w:p w14:paraId="7E781E7A" w14:textId="442AC0B8" w:rsidR="0096330E" w:rsidRDefault="0096330E" w:rsidP="0096330E">
            <w:pPr>
              <w:spacing w:after="0" w:line="240" w:lineRule="auto"/>
              <w:rPr>
                <w:sz w:val="20"/>
              </w:rPr>
            </w:pPr>
            <w:hyperlink r:id="rId41" w:history="1">
              <w:r w:rsidRPr="0096330E">
                <w:rPr>
                  <w:rStyle w:val="Hyperlink"/>
                  <w:sz w:val="20"/>
                </w:rPr>
                <w:t>Title 24-A § 2163-A</w:t>
              </w:r>
            </w:hyperlink>
            <w:r>
              <w:rPr>
                <w:sz w:val="20"/>
              </w:rPr>
              <w:t xml:space="preserve"> </w:t>
            </w:r>
            <w:hyperlink r:id="rId42" w:history="1">
              <w:r w:rsidRPr="0096330E">
                <w:rPr>
                  <w:rStyle w:val="Hyperlink"/>
                  <w:sz w:val="20"/>
                </w:rPr>
                <w:t>Bulletin 426</w:t>
              </w:r>
            </w:hyperlink>
          </w:p>
          <w:p w14:paraId="55F16A25" w14:textId="140A66D2" w:rsidR="0096330E" w:rsidRPr="0096330E" w:rsidRDefault="0096330E" w:rsidP="0096330E">
            <w:pPr>
              <w:spacing w:after="0" w:line="240" w:lineRule="auto"/>
              <w:rPr>
                <w:sz w:val="20"/>
              </w:rPr>
            </w:pPr>
            <w:hyperlink r:id="rId43" w:history="1">
              <w:r w:rsidRPr="0096330E">
                <w:rPr>
                  <w:rStyle w:val="Hyperlink"/>
                  <w:sz w:val="20"/>
                </w:rPr>
                <w:t>Bulletin 382</w:t>
              </w:r>
            </w:hyperlink>
          </w:p>
        </w:tc>
        <w:tc>
          <w:tcPr>
            <w:tcW w:w="9000" w:type="dxa"/>
            <w:shd w:val="clear" w:color="auto" w:fill="auto"/>
          </w:tcPr>
          <w:p w14:paraId="2981EC14" w14:textId="75B50715" w:rsidR="0096330E" w:rsidRPr="0096330E" w:rsidRDefault="0096330E" w:rsidP="0096330E">
            <w:pPr>
              <w:spacing w:after="0" w:line="240" w:lineRule="auto"/>
              <w:rPr>
                <w:sz w:val="20"/>
              </w:rPr>
            </w:pPr>
            <w:r>
              <w:rPr>
                <w:sz w:val="20"/>
              </w:rPr>
              <w:t>Are there any provisions that give the insured a benefit not associated with indemnification or loss? Yes ___No ___</w:t>
            </w:r>
          </w:p>
        </w:tc>
        <w:tc>
          <w:tcPr>
            <w:tcW w:w="2000" w:type="dxa"/>
            <w:shd w:val="clear" w:color="auto" w:fill="auto"/>
          </w:tcPr>
          <w:p w14:paraId="784A7E8C" w14:textId="77777777" w:rsidR="0096330E" w:rsidRPr="0096330E" w:rsidRDefault="0096330E" w:rsidP="0096330E">
            <w:pPr>
              <w:spacing w:after="0" w:line="240" w:lineRule="auto"/>
              <w:rPr>
                <w:sz w:val="20"/>
              </w:rPr>
            </w:pPr>
          </w:p>
        </w:tc>
      </w:tr>
      <w:tr w:rsidR="0096330E" w:rsidRPr="0096330E" w14:paraId="4E8370C2" w14:textId="77777777" w:rsidTr="0096330E">
        <w:tblPrEx>
          <w:tblCellMar>
            <w:top w:w="0" w:type="dxa"/>
            <w:bottom w:w="0" w:type="dxa"/>
          </w:tblCellMar>
        </w:tblPrEx>
        <w:trPr>
          <w:cantSplit/>
        </w:trPr>
        <w:tc>
          <w:tcPr>
            <w:tcW w:w="2000" w:type="dxa"/>
            <w:shd w:val="clear" w:color="auto" w:fill="auto"/>
          </w:tcPr>
          <w:p w14:paraId="75D30D0E" w14:textId="3CDDAD29" w:rsidR="0096330E" w:rsidRPr="0096330E" w:rsidRDefault="0096330E" w:rsidP="0096330E">
            <w:pPr>
              <w:spacing w:after="0" w:line="240" w:lineRule="auto"/>
              <w:rPr>
                <w:sz w:val="20"/>
              </w:rPr>
            </w:pPr>
            <w:r>
              <w:rPr>
                <w:sz w:val="20"/>
              </w:rPr>
              <w:t>Representations</w:t>
            </w:r>
          </w:p>
        </w:tc>
        <w:tc>
          <w:tcPr>
            <w:tcW w:w="2000" w:type="dxa"/>
            <w:shd w:val="clear" w:color="auto" w:fill="auto"/>
          </w:tcPr>
          <w:p w14:paraId="3CA8CFF7" w14:textId="6C6D6A7E" w:rsidR="0096330E" w:rsidRPr="0096330E" w:rsidRDefault="0096330E" w:rsidP="0096330E">
            <w:pPr>
              <w:spacing w:after="0" w:line="240" w:lineRule="auto"/>
              <w:rPr>
                <w:sz w:val="20"/>
              </w:rPr>
            </w:pPr>
            <w:hyperlink r:id="rId44" w:history="1">
              <w:r w:rsidRPr="0096330E">
                <w:rPr>
                  <w:rStyle w:val="Hyperlink"/>
                  <w:sz w:val="20"/>
                </w:rPr>
                <w:t>Title 24-A § 2616</w:t>
              </w:r>
            </w:hyperlink>
          </w:p>
        </w:tc>
        <w:tc>
          <w:tcPr>
            <w:tcW w:w="9000" w:type="dxa"/>
            <w:shd w:val="clear" w:color="auto" w:fill="auto"/>
          </w:tcPr>
          <w:p w14:paraId="333F1691" w14:textId="47E82036" w:rsidR="0096330E" w:rsidRPr="0096330E" w:rsidRDefault="0096330E" w:rsidP="0096330E">
            <w:pPr>
              <w:spacing w:after="0" w:line="240" w:lineRule="auto"/>
              <w:rPr>
                <w:sz w:val="20"/>
              </w:rPr>
            </w:pPr>
            <w:r>
              <w:rPr>
                <w:sz w:val="20"/>
              </w:rPr>
              <w:t>All statements made by the policyholder shall be deemed representations and not warranties.</w:t>
            </w:r>
          </w:p>
        </w:tc>
        <w:tc>
          <w:tcPr>
            <w:tcW w:w="2000" w:type="dxa"/>
            <w:shd w:val="clear" w:color="auto" w:fill="auto"/>
          </w:tcPr>
          <w:p w14:paraId="1651785E" w14:textId="77777777" w:rsidR="0096330E" w:rsidRPr="0096330E" w:rsidRDefault="0096330E" w:rsidP="0096330E">
            <w:pPr>
              <w:spacing w:after="0" w:line="240" w:lineRule="auto"/>
              <w:rPr>
                <w:sz w:val="20"/>
              </w:rPr>
            </w:pPr>
          </w:p>
        </w:tc>
      </w:tr>
      <w:tr w:rsidR="0096330E" w:rsidRPr="0096330E" w14:paraId="242560F9" w14:textId="77777777" w:rsidTr="0096330E">
        <w:tblPrEx>
          <w:tblCellMar>
            <w:top w:w="0" w:type="dxa"/>
            <w:bottom w:w="0" w:type="dxa"/>
          </w:tblCellMar>
        </w:tblPrEx>
        <w:trPr>
          <w:cantSplit/>
        </w:trPr>
        <w:tc>
          <w:tcPr>
            <w:tcW w:w="2000" w:type="dxa"/>
            <w:shd w:val="clear" w:color="auto" w:fill="auto"/>
          </w:tcPr>
          <w:p w14:paraId="2389AEAD" w14:textId="2F28919B" w:rsidR="0096330E" w:rsidRPr="0096330E" w:rsidRDefault="0096330E" w:rsidP="0096330E">
            <w:pPr>
              <w:spacing w:after="0" w:line="240" w:lineRule="auto"/>
              <w:rPr>
                <w:sz w:val="20"/>
              </w:rPr>
            </w:pPr>
            <w:r>
              <w:rPr>
                <w:sz w:val="20"/>
              </w:rPr>
              <w:t>Stranger Originated Life Insurance</w:t>
            </w:r>
          </w:p>
        </w:tc>
        <w:tc>
          <w:tcPr>
            <w:tcW w:w="2000" w:type="dxa"/>
            <w:shd w:val="clear" w:color="auto" w:fill="auto"/>
          </w:tcPr>
          <w:p w14:paraId="7BE9F684" w14:textId="2F43C3D5" w:rsidR="0096330E" w:rsidRDefault="0096330E" w:rsidP="0096330E">
            <w:pPr>
              <w:spacing w:after="0" w:line="240" w:lineRule="auto"/>
              <w:rPr>
                <w:sz w:val="20"/>
              </w:rPr>
            </w:pPr>
            <w:hyperlink r:id="rId45" w:history="1">
              <w:r w:rsidRPr="0096330E">
                <w:rPr>
                  <w:rStyle w:val="Hyperlink"/>
                  <w:sz w:val="20"/>
                </w:rPr>
                <w:t>Title 24-A § 6802-A</w:t>
              </w:r>
            </w:hyperlink>
            <w:r>
              <w:rPr>
                <w:sz w:val="20"/>
              </w:rPr>
              <w:t xml:space="preserve">(6) </w:t>
            </w:r>
          </w:p>
          <w:p w14:paraId="73FEE169" w14:textId="74CC7697" w:rsidR="0096330E" w:rsidRPr="0096330E" w:rsidRDefault="0096330E" w:rsidP="0096330E">
            <w:pPr>
              <w:spacing w:after="0" w:line="240" w:lineRule="auto"/>
              <w:rPr>
                <w:sz w:val="20"/>
              </w:rPr>
            </w:pPr>
            <w:hyperlink r:id="rId46" w:history="1">
              <w:r w:rsidRPr="0096330E">
                <w:rPr>
                  <w:rStyle w:val="Hyperlink"/>
                  <w:sz w:val="20"/>
                </w:rPr>
                <w:t>Title 24-A § 6802-A</w:t>
              </w:r>
            </w:hyperlink>
            <w:r>
              <w:rPr>
                <w:sz w:val="20"/>
              </w:rPr>
              <w:t>(12-A)</w:t>
            </w:r>
          </w:p>
        </w:tc>
        <w:tc>
          <w:tcPr>
            <w:tcW w:w="9000" w:type="dxa"/>
            <w:shd w:val="clear" w:color="auto" w:fill="auto"/>
          </w:tcPr>
          <w:p w14:paraId="141A6CB0" w14:textId="4BF45136" w:rsidR="0096330E" w:rsidRPr="0096330E" w:rsidRDefault="0096330E" w:rsidP="0096330E">
            <w:pPr>
              <w:spacing w:after="0" w:line="240" w:lineRule="auto"/>
              <w:rPr>
                <w:sz w:val="20"/>
              </w:rPr>
            </w:pPr>
            <w:r>
              <w:rPr>
                <w:sz w:val="20"/>
              </w:rPr>
              <w:t>It is a fraudulent act for an insurance company or viatical settlement provider to commit, or permit its employees or its agents to engage in entering into stranger-originated life insurance."Stranger-originated life insurance" means an act or practice to initiate a life insurance policy for the benefit of a person who, at the time of the origination of the policy, has no insurable interest in the insured. "Stranger-originated life insurance" includes, but is not limited to, cases in which life insurance is purchased with resources or guarantees from or through a person who, at the time of the inception of the policy, could not lawfully initiate the policy and when, at the time of policy inception, there is an arrangement or agreement to directly or indirectly transfer the ownership of the policy or the policy benefits to another person. A trust that is created to give the appearance of insurable interest and is used to initiate policies for investors violates insurable interest laws and the prohibition against wagering on life.”</w:t>
            </w:r>
          </w:p>
        </w:tc>
        <w:tc>
          <w:tcPr>
            <w:tcW w:w="2000" w:type="dxa"/>
            <w:shd w:val="clear" w:color="auto" w:fill="auto"/>
          </w:tcPr>
          <w:p w14:paraId="54C85302" w14:textId="77777777" w:rsidR="0096330E" w:rsidRPr="0096330E" w:rsidRDefault="0096330E" w:rsidP="0096330E">
            <w:pPr>
              <w:spacing w:after="0" w:line="240" w:lineRule="auto"/>
              <w:rPr>
                <w:sz w:val="20"/>
              </w:rPr>
            </w:pPr>
          </w:p>
        </w:tc>
      </w:tr>
      <w:tr w:rsidR="0096330E" w:rsidRPr="0096330E" w14:paraId="01DEF104" w14:textId="77777777" w:rsidTr="0096330E">
        <w:tblPrEx>
          <w:tblCellMar>
            <w:top w:w="0" w:type="dxa"/>
            <w:bottom w:w="0" w:type="dxa"/>
          </w:tblCellMar>
        </w:tblPrEx>
        <w:trPr>
          <w:cantSplit/>
        </w:trPr>
        <w:tc>
          <w:tcPr>
            <w:tcW w:w="2000" w:type="dxa"/>
            <w:shd w:val="clear" w:color="auto" w:fill="auto"/>
          </w:tcPr>
          <w:p w14:paraId="490603DA" w14:textId="76DC5B75" w:rsidR="0096330E" w:rsidRPr="0096330E" w:rsidRDefault="0096330E" w:rsidP="0096330E">
            <w:pPr>
              <w:spacing w:after="0" w:line="240" w:lineRule="auto"/>
              <w:rPr>
                <w:sz w:val="20"/>
              </w:rPr>
            </w:pPr>
            <w:r>
              <w:rPr>
                <w:sz w:val="20"/>
              </w:rPr>
              <w:lastRenderedPageBreak/>
              <w:t>Total Disability</w:t>
            </w:r>
          </w:p>
        </w:tc>
        <w:tc>
          <w:tcPr>
            <w:tcW w:w="2000" w:type="dxa"/>
            <w:shd w:val="clear" w:color="auto" w:fill="auto"/>
          </w:tcPr>
          <w:p w14:paraId="06CEA268" w14:textId="716A047A" w:rsidR="0096330E" w:rsidRPr="0096330E" w:rsidRDefault="0096330E" w:rsidP="0096330E">
            <w:pPr>
              <w:spacing w:after="0" w:line="240" w:lineRule="auto"/>
              <w:rPr>
                <w:sz w:val="20"/>
              </w:rPr>
            </w:pPr>
            <w:hyperlink r:id="rId47" w:history="1">
              <w:r w:rsidRPr="0096330E">
                <w:rPr>
                  <w:rStyle w:val="Hyperlink"/>
                  <w:sz w:val="20"/>
                </w:rPr>
                <w:t>Title 24-A § 2628</w:t>
              </w:r>
            </w:hyperlink>
          </w:p>
        </w:tc>
        <w:tc>
          <w:tcPr>
            <w:tcW w:w="9000" w:type="dxa"/>
            <w:shd w:val="clear" w:color="auto" w:fill="auto"/>
          </w:tcPr>
          <w:p w14:paraId="40392BF3" w14:textId="28CC8C1C" w:rsidR="0096330E" w:rsidRPr="0096330E" w:rsidRDefault="0096330E" w:rsidP="0096330E">
            <w:pPr>
              <w:spacing w:after="0" w:line="240" w:lineRule="auto"/>
              <w:rPr>
                <w:sz w:val="20"/>
              </w:rPr>
            </w:pPr>
            <w:r>
              <w:rPr>
                <w:sz w:val="20"/>
              </w:rPr>
              <w:t>When active employment is a condition of insurance, the group life policy shall contain a provision that an insured may continue coverage during the insured's total disability by timely payment to the policyholder of that portion, if any, of the premium that would have been required from the insured had the total disability not occurred. The continuation shall be on a premium paying basis for a period of six (6) months from the date of disability, but not beyond the earlier of: 1. Approval of the insurer of continuation of coverage under any disability provision which the group policy may contain; or 2. The discontinuance of the group policy.</w:t>
            </w:r>
          </w:p>
        </w:tc>
        <w:tc>
          <w:tcPr>
            <w:tcW w:w="2000" w:type="dxa"/>
            <w:shd w:val="clear" w:color="auto" w:fill="auto"/>
          </w:tcPr>
          <w:p w14:paraId="6C57DDA5" w14:textId="77777777" w:rsidR="0096330E" w:rsidRPr="0096330E" w:rsidRDefault="0096330E" w:rsidP="0096330E">
            <w:pPr>
              <w:spacing w:after="0" w:line="240" w:lineRule="auto"/>
              <w:rPr>
                <w:sz w:val="20"/>
              </w:rPr>
            </w:pPr>
          </w:p>
        </w:tc>
      </w:tr>
      <w:tr w:rsidR="0096330E" w:rsidRPr="0096330E" w14:paraId="3BAD9EB4" w14:textId="77777777" w:rsidTr="0096330E">
        <w:tblPrEx>
          <w:tblCellMar>
            <w:top w:w="0" w:type="dxa"/>
            <w:bottom w:w="0" w:type="dxa"/>
          </w:tblCellMar>
        </w:tblPrEx>
        <w:trPr>
          <w:cantSplit/>
        </w:trPr>
        <w:tc>
          <w:tcPr>
            <w:tcW w:w="2000" w:type="dxa"/>
            <w:shd w:val="clear" w:color="auto" w:fill="auto"/>
          </w:tcPr>
          <w:p w14:paraId="60D0D37C" w14:textId="4A27E95C" w:rsidR="0096330E" w:rsidRPr="0096330E" w:rsidRDefault="0096330E" w:rsidP="0096330E">
            <w:pPr>
              <w:spacing w:after="0" w:line="240" w:lineRule="auto"/>
              <w:rPr>
                <w:sz w:val="20"/>
              </w:rPr>
            </w:pPr>
            <w:r>
              <w:rPr>
                <w:sz w:val="20"/>
              </w:rPr>
              <w:t>Trustee Groups</w:t>
            </w:r>
          </w:p>
        </w:tc>
        <w:tc>
          <w:tcPr>
            <w:tcW w:w="2000" w:type="dxa"/>
            <w:shd w:val="clear" w:color="auto" w:fill="auto"/>
          </w:tcPr>
          <w:p w14:paraId="464E1C42" w14:textId="09B06FA0" w:rsidR="0096330E" w:rsidRPr="0096330E" w:rsidRDefault="0096330E" w:rsidP="0096330E">
            <w:pPr>
              <w:spacing w:after="0" w:line="240" w:lineRule="auto"/>
              <w:rPr>
                <w:sz w:val="20"/>
              </w:rPr>
            </w:pPr>
            <w:hyperlink r:id="rId48" w:history="1">
              <w:r w:rsidRPr="0096330E">
                <w:rPr>
                  <w:rStyle w:val="Hyperlink"/>
                  <w:sz w:val="20"/>
                </w:rPr>
                <w:t>Title 24-A § 2806</w:t>
              </w:r>
            </w:hyperlink>
          </w:p>
        </w:tc>
        <w:tc>
          <w:tcPr>
            <w:tcW w:w="9000" w:type="dxa"/>
            <w:shd w:val="clear" w:color="auto" w:fill="auto"/>
          </w:tcPr>
          <w:p w14:paraId="3D9EE326" w14:textId="7A73F2BB" w:rsidR="0096330E" w:rsidRPr="0096330E" w:rsidRDefault="0096330E" w:rsidP="0096330E">
            <w:pPr>
              <w:spacing w:after="0" w:line="240" w:lineRule="auto"/>
              <w:rPr>
                <w:sz w:val="20"/>
              </w:rPr>
            </w:pPr>
            <w:r>
              <w:rPr>
                <w:sz w:val="20"/>
              </w:rPr>
              <w:t>A group may be insured under a policy issued to a trust or to the trustee or trustees of a fund established or adopted by 2 or more employers, or by one or more labor unions or similar employee organizations, or by one or more employers and one or more labor unions or similar employee organizations, which trust or trustees are considered the policyholder, to insure employees of the employers or members of the unions or organizations for the benefit of persons other than the employers or the unions or organizations, subject to certain requirements.</w:t>
            </w:r>
          </w:p>
        </w:tc>
        <w:tc>
          <w:tcPr>
            <w:tcW w:w="2000" w:type="dxa"/>
            <w:shd w:val="clear" w:color="auto" w:fill="auto"/>
          </w:tcPr>
          <w:p w14:paraId="137CF41C" w14:textId="77777777" w:rsidR="0096330E" w:rsidRPr="0096330E" w:rsidRDefault="0096330E" w:rsidP="0096330E">
            <w:pPr>
              <w:spacing w:after="0" w:line="240" w:lineRule="auto"/>
              <w:rPr>
                <w:sz w:val="20"/>
              </w:rPr>
            </w:pPr>
          </w:p>
        </w:tc>
      </w:tr>
      <w:tr w:rsidR="0096330E" w:rsidRPr="0096330E" w14:paraId="3B2DBC65" w14:textId="77777777" w:rsidTr="0096330E">
        <w:tblPrEx>
          <w:tblCellMar>
            <w:top w:w="0" w:type="dxa"/>
            <w:bottom w:w="0" w:type="dxa"/>
          </w:tblCellMar>
        </w:tblPrEx>
        <w:trPr>
          <w:cantSplit/>
        </w:trPr>
        <w:tc>
          <w:tcPr>
            <w:tcW w:w="2000" w:type="dxa"/>
            <w:shd w:val="clear" w:color="auto" w:fill="auto"/>
          </w:tcPr>
          <w:p w14:paraId="0EAE32A4" w14:textId="4D33F1DC" w:rsidR="0096330E" w:rsidRPr="0096330E" w:rsidRDefault="0096330E" w:rsidP="0096330E">
            <w:pPr>
              <w:spacing w:after="0" w:line="240" w:lineRule="auto"/>
              <w:rPr>
                <w:sz w:val="20"/>
              </w:rPr>
            </w:pPr>
            <w:r>
              <w:rPr>
                <w:sz w:val="20"/>
              </w:rPr>
              <w:t>Grace Period</w:t>
            </w:r>
          </w:p>
        </w:tc>
        <w:tc>
          <w:tcPr>
            <w:tcW w:w="2000" w:type="dxa"/>
            <w:shd w:val="clear" w:color="auto" w:fill="auto"/>
          </w:tcPr>
          <w:p w14:paraId="4BD9697C" w14:textId="11E6034F" w:rsidR="0096330E" w:rsidRPr="0096330E" w:rsidRDefault="0096330E" w:rsidP="0096330E">
            <w:pPr>
              <w:spacing w:after="0" w:line="240" w:lineRule="auto"/>
              <w:rPr>
                <w:sz w:val="20"/>
              </w:rPr>
            </w:pPr>
            <w:hyperlink r:id="rId49" w:history="1">
              <w:r w:rsidRPr="0096330E">
                <w:rPr>
                  <w:rStyle w:val="Hyperlink"/>
                  <w:sz w:val="20"/>
                </w:rPr>
                <w:t>Title 24-A § 2614</w:t>
              </w:r>
            </w:hyperlink>
          </w:p>
        </w:tc>
        <w:tc>
          <w:tcPr>
            <w:tcW w:w="9000" w:type="dxa"/>
            <w:shd w:val="clear" w:color="auto" w:fill="auto"/>
          </w:tcPr>
          <w:p w14:paraId="6EB0A4D1" w14:textId="0D5C3296" w:rsidR="0096330E" w:rsidRPr="0096330E" w:rsidRDefault="0096330E" w:rsidP="0096330E">
            <w:pPr>
              <w:spacing w:after="0" w:line="240" w:lineRule="auto"/>
              <w:rPr>
                <w:sz w:val="20"/>
              </w:rPr>
            </w:pPr>
            <w:r>
              <w:rPr>
                <w:sz w:val="20"/>
              </w:rPr>
              <w:t>The policyholder is entitled to a grace period of 31 days for the payment of any premium due.  Policy must remain inforce during the grace period.</w:t>
            </w:r>
          </w:p>
        </w:tc>
        <w:tc>
          <w:tcPr>
            <w:tcW w:w="2000" w:type="dxa"/>
            <w:shd w:val="clear" w:color="auto" w:fill="auto"/>
          </w:tcPr>
          <w:p w14:paraId="09AFDFEA" w14:textId="77777777" w:rsidR="0096330E" w:rsidRPr="0096330E" w:rsidRDefault="0096330E" w:rsidP="0096330E">
            <w:pPr>
              <w:spacing w:after="0" w:line="240" w:lineRule="auto"/>
              <w:rPr>
                <w:sz w:val="20"/>
              </w:rPr>
            </w:pPr>
          </w:p>
        </w:tc>
      </w:tr>
      <w:tr w:rsidR="0096330E" w:rsidRPr="0096330E" w14:paraId="7C6604A5" w14:textId="77777777" w:rsidTr="0096330E">
        <w:tblPrEx>
          <w:tblCellMar>
            <w:top w:w="0" w:type="dxa"/>
            <w:bottom w:w="0" w:type="dxa"/>
          </w:tblCellMar>
        </w:tblPrEx>
        <w:trPr>
          <w:cantSplit/>
        </w:trPr>
        <w:tc>
          <w:tcPr>
            <w:tcW w:w="2000" w:type="dxa"/>
            <w:shd w:val="clear" w:color="auto" w:fill="auto"/>
          </w:tcPr>
          <w:p w14:paraId="64A144DB" w14:textId="250D4CBB" w:rsidR="0096330E" w:rsidRPr="0096330E" w:rsidRDefault="0096330E" w:rsidP="0096330E">
            <w:pPr>
              <w:spacing w:after="0" w:line="240" w:lineRule="auto"/>
              <w:rPr>
                <w:sz w:val="20"/>
              </w:rPr>
            </w:pPr>
            <w:r>
              <w:rPr>
                <w:sz w:val="20"/>
              </w:rPr>
              <w:t>Incontestability</w:t>
            </w:r>
          </w:p>
        </w:tc>
        <w:tc>
          <w:tcPr>
            <w:tcW w:w="2000" w:type="dxa"/>
            <w:shd w:val="clear" w:color="auto" w:fill="auto"/>
          </w:tcPr>
          <w:p w14:paraId="19DB816B" w14:textId="2B82D950" w:rsidR="0096330E" w:rsidRPr="0096330E" w:rsidRDefault="0096330E" w:rsidP="0096330E">
            <w:pPr>
              <w:spacing w:after="0" w:line="240" w:lineRule="auto"/>
              <w:rPr>
                <w:sz w:val="20"/>
              </w:rPr>
            </w:pPr>
            <w:hyperlink r:id="rId50" w:history="1">
              <w:r w:rsidRPr="0096330E">
                <w:rPr>
                  <w:rStyle w:val="Hyperlink"/>
                  <w:sz w:val="20"/>
                </w:rPr>
                <w:t>Title 24-A § 2615</w:t>
              </w:r>
            </w:hyperlink>
          </w:p>
        </w:tc>
        <w:tc>
          <w:tcPr>
            <w:tcW w:w="9000" w:type="dxa"/>
            <w:shd w:val="clear" w:color="auto" w:fill="auto"/>
          </w:tcPr>
          <w:p w14:paraId="1500A304" w14:textId="2EDAB508" w:rsidR="0096330E" w:rsidRPr="0096330E" w:rsidRDefault="0096330E" w:rsidP="0096330E">
            <w:pPr>
              <w:spacing w:after="0" w:line="240" w:lineRule="auto"/>
              <w:rPr>
                <w:sz w:val="20"/>
              </w:rPr>
            </w:pPr>
            <w:r>
              <w:rPr>
                <w:sz w:val="20"/>
              </w:rPr>
              <w:t>The group life insurance policy shall contain a provision that the validity of the policy shall not be contested, except for non-payment of premium, after it has been inforce for two (2) years from its date of issue.Note fraud language is not permitted in Maine's incontestability provision.</w:t>
            </w:r>
          </w:p>
        </w:tc>
        <w:tc>
          <w:tcPr>
            <w:tcW w:w="2000" w:type="dxa"/>
            <w:shd w:val="clear" w:color="auto" w:fill="auto"/>
          </w:tcPr>
          <w:p w14:paraId="547A8C52" w14:textId="77777777" w:rsidR="0096330E" w:rsidRPr="0096330E" w:rsidRDefault="0096330E" w:rsidP="0096330E">
            <w:pPr>
              <w:spacing w:after="0" w:line="240" w:lineRule="auto"/>
              <w:rPr>
                <w:sz w:val="20"/>
              </w:rPr>
            </w:pPr>
          </w:p>
        </w:tc>
      </w:tr>
      <w:tr w:rsidR="0096330E" w:rsidRPr="0096330E" w14:paraId="744815E1" w14:textId="77777777" w:rsidTr="0096330E">
        <w:tblPrEx>
          <w:tblCellMar>
            <w:top w:w="0" w:type="dxa"/>
            <w:bottom w:w="0" w:type="dxa"/>
          </w:tblCellMar>
        </w:tblPrEx>
        <w:trPr>
          <w:cantSplit/>
        </w:trPr>
        <w:tc>
          <w:tcPr>
            <w:tcW w:w="2000" w:type="dxa"/>
            <w:shd w:val="clear" w:color="auto" w:fill="auto"/>
          </w:tcPr>
          <w:p w14:paraId="70CD2C7E" w14:textId="175FB6D2" w:rsidR="0096330E" w:rsidRPr="0096330E" w:rsidRDefault="0096330E" w:rsidP="0096330E">
            <w:pPr>
              <w:spacing w:after="0" w:line="240" w:lineRule="auto"/>
              <w:rPr>
                <w:sz w:val="20"/>
              </w:rPr>
            </w:pPr>
            <w:r>
              <w:rPr>
                <w:sz w:val="20"/>
              </w:rPr>
              <w:t>Information to Debtor</w:t>
            </w:r>
          </w:p>
        </w:tc>
        <w:tc>
          <w:tcPr>
            <w:tcW w:w="2000" w:type="dxa"/>
            <w:shd w:val="clear" w:color="auto" w:fill="auto"/>
          </w:tcPr>
          <w:p w14:paraId="0A30D609" w14:textId="03AEC484" w:rsidR="0096330E" w:rsidRPr="0096330E" w:rsidRDefault="0096330E" w:rsidP="0096330E">
            <w:pPr>
              <w:spacing w:after="0" w:line="240" w:lineRule="auto"/>
              <w:rPr>
                <w:sz w:val="20"/>
              </w:rPr>
            </w:pPr>
            <w:hyperlink r:id="rId51" w:history="1">
              <w:r w:rsidRPr="0096330E">
                <w:rPr>
                  <w:rStyle w:val="Hyperlink"/>
                  <w:sz w:val="20"/>
                </w:rPr>
                <w:t>Title 24-A § 2624</w:t>
              </w:r>
            </w:hyperlink>
          </w:p>
        </w:tc>
        <w:tc>
          <w:tcPr>
            <w:tcW w:w="9000" w:type="dxa"/>
            <w:shd w:val="clear" w:color="auto" w:fill="auto"/>
          </w:tcPr>
          <w:p w14:paraId="0E8FDF47" w14:textId="3AFE9A49" w:rsidR="0096330E" w:rsidRPr="0096330E" w:rsidRDefault="0096330E" w:rsidP="0096330E">
            <w:pPr>
              <w:spacing w:after="0" w:line="240" w:lineRule="auto"/>
              <w:rPr>
                <w:sz w:val="20"/>
              </w:rPr>
            </w:pPr>
            <w:r>
              <w:rPr>
                <w:sz w:val="20"/>
              </w:rPr>
              <w:t>A policy insuring the lives of debtors shall contain a provision that the insurer will furnish to the policyholder for delivery to each debtor, a certificate describing the coverage and specifying that the death benefit shall first be applied to reduce or extinguish the debt.</w:t>
            </w:r>
          </w:p>
        </w:tc>
        <w:tc>
          <w:tcPr>
            <w:tcW w:w="2000" w:type="dxa"/>
            <w:shd w:val="clear" w:color="auto" w:fill="auto"/>
          </w:tcPr>
          <w:p w14:paraId="40756FA0" w14:textId="77777777" w:rsidR="0096330E" w:rsidRPr="0096330E" w:rsidRDefault="0096330E" w:rsidP="0096330E">
            <w:pPr>
              <w:spacing w:after="0" w:line="240" w:lineRule="auto"/>
              <w:rPr>
                <w:sz w:val="20"/>
              </w:rPr>
            </w:pPr>
          </w:p>
        </w:tc>
      </w:tr>
      <w:tr w:rsidR="0096330E" w:rsidRPr="0096330E" w14:paraId="3F2C7569" w14:textId="77777777" w:rsidTr="0096330E">
        <w:tblPrEx>
          <w:tblCellMar>
            <w:top w:w="0" w:type="dxa"/>
            <w:bottom w:w="0" w:type="dxa"/>
          </w:tblCellMar>
        </w:tblPrEx>
        <w:trPr>
          <w:cantSplit/>
        </w:trPr>
        <w:tc>
          <w:tcPr>
            <w:tcW w:w="2000" w:type="dxa"/>
            <w:shd w:val="clear" w:color="auto" w:fill="auto"/>
          </w:tcPr>
          <w:p w14:paraId="0C7C40E4" w14:textId="5471B1B8" w:rsidR="0096330E" w:rsidRPr="0096330E" w:rsidRDefault="0096330E" w:rsidP="0096330E">
            <w:pPr>
              <w:spacing w:after="0" w:line="240" w:lineRule="auto"/>
              <w:rPr>
                <w:sz w:val="20"/>
              </w:rPr>
            </w:pPr>
            <w:r>
              <w:rPr>
                <w:sz w:val="20"/>
              </w:rPr>
              <w:t>Insurability</w:t>
            </w:r>
          </w:p>
        </w:tc>
        <w:tc>
          <w:tcPr>
            <w:tcW w:w="2000" w:type="dxa"/>
            <w:shd w:val="clear" w:color="auto" w:fill="auto"/>
          </w:tcPr>
          <w:p w14:paraId="15D230E4" w14:textId="240FBD76" w:rsidR="0096330E" w:rsidRPr="0096330E" w:rsidRDefault="0096330E" w:rsidP="0096330E">
            <w:pPr>
              <w:spacing w:after="0" w:line="240" w:lineRule="auto"/>
              <w:rPr>
                <w:sz w:val="20"/>
              </w:rPr>
            </w:pPr>
            <w:hyperlink r:id="rId52" w:history="1">
              <w:r w:rsidRPr="0096330E">
                <w:rPr>
                  <w:rStyle w:val="Hyperlink"/>
                  <w:sz w:val="20"/>
                </w:rPr>
                <w:t>Title 24-A § 2617</w:t>
              </w:r>
            </w:hyperlink>
          </w:p>
        </w:tc>
        <w:tc>
          <w:tcPr>
            <w:tcW w:w="9000" w:type="dxa"/>
            <w:shd w:val="clear" w:color="auto" w:fill="auto"/>
          </w:tcPr>
          <w:p w14:paraId="3BAA47F0" w14:textId="130D4C9B" w:rsidR="0096330E" w:rsidRPr="0096330E" w:rsidRDefault="0096330E" w:rsidP="0096330E">
            <w:pPr>
              <w:spacing w:after="0" w:line="240" w:lineRule="auto"/>
              <w:rPr>
                <w:sz w:val="20"/>
              </w:rPr>
            </w:pPr>
            <w:r>
              <w:rPr>
                <w:sz w:val="20"/>
              </w:rPr>
              <w:t>The group life insurance policy shall contain a provision setting forth the conditions, if any, under which the insurer reserves the right to require a person eligible for insurance to furnish evidence of individual insurability satisfactory to the insurer as a condition to part or all of his or her coverage.</w:t>
            </w:r>
          </w:p>
        </w:tc>
        <w:tc>
          <w:tcPr>
            <w:tcW w:w="2000" w:type="dxa"/>
            <w:shd w:val="clear" w:color="auto" w:fill="auto"/>
          </w:tcPr>
          <w:p w14:paraId="0E968301" w14:textId="77777777" w:rsidR="0096330E" w:rsidRPr="0096330E" w:rsidRDefault="0096330E" w:rsidP="0096330E">
            <w:pPr>
              <w:spacing w:after="0" w:line="240" w:lineRule="auto"/>
              <w:rPr>
                <w:sz w:val="20"/>
              </w:rPr>
            </w:pPr>
          </w:p>
        </w:tc>
      </w:tr>
      <w:tr w:rsidR="0096330E" w:rsidRPr="0096330E" w14:paraId="05DE4158" w14:textId="77777777" w:rsidTr="0096330E">
        <w:tblPrEx>
          <w:tblCellMar>
            <w:top w:w="0" w:type="dxa"/>
            <w:bottom w:w="0" w:type="dxa"/>
          </w:tblCellMar>
        </w:tblPrEx>
        <w:trPr>
          <w:cantSplit/>
        </w:trPr>
        <w:tc>
          <w:tcPr>
            <w:tcW w:w="2000" w:type="dxa"/>
            <w:shd w:val="clear" w:color="auto" w:fill="auto"/>
          </w:tcPr>
          <w:p w14:paraId="27A111E4" w14:textId="0040A36A" w:rsidR="0096330E" w:rsidRPr="0096330E" w:rsidRDefault="0096330E" w:rsidP="0096330E">
            <w:pPr>
              <w:spacing w:after="0" w:line="240" w:lineRule="auto"/>
              <w:rPr>
                <w:sz w:val="20"/>
              </w:rPr>
            </w:pPr>
            <w:r>
              <w:rPr>
                <w:sz w:val="20"/>
              </w:rPr>
              <w:t>Misstatement of Age</w:t>
            </w:r>
          </w:p>
        </w:tc>
        <w:tc>
          <w:tcPr>
            <w:tcW w:w="2000" w:type="dxa"/>
            <w:shd w:val="clear" w:color="auto" w:fill="auto"/>
          </w:tcPr>
          <w:p w14:paraId="69381C03" w14:textId="695D6948" w:rsidR="0096330E" w:rsidRPr="0096330E" w:rsidRDefault="0096330E" w:rsidP="0096330E">
            <w:pPr>
              <w:spacing w:after="0" w:line="240" w:lineRule="auto"/>
              <w:rPr>
                <w:sz w:val="20"/>
              </w:rPr>
            </w:pPr>
            <w:hyperlink r:id="rId53" w:history="1">
              <w:r w:rsidRPr="0096330E">
                <w:rPr>
                  <w:rStyle w:val="Hyperlink"/>
                  <w:sz w:val="20"/>
                </w:rPr>
                <w:t>Title 24-A § 2618</w:t>
              </w:r>
            </w:hyperlink>
          </w:p>
        </w:tc>
        <w:tc>
          <w:tcPr>
            <w:tcW w:w="9000" w:type="dxa"/>
            <w:shd w:val="clear" w:color="auto" w:fill="auto"/>
          </w:tcPr>
          <w:p w14:paraId="2897842B" w14:textId="3A42974D" w:rsidR="0096330E" w:rsidRPr="0096330E" w:rsidRDefault="0096330E" w:rsidP="0096330E">
            <w:pPr>
              <w:spacing w:after="0" w:line="240" w:lineRule="auto"/>
              <w:rPr>
                <w:sz w:val="20"/>
              </w:rPr>
            </w:pPr>
            <w:r>
              <w:rPr>
                <w:sz w:val="20"/>
              </w:rPr>
              <w:t>Policy shall contain a provision specifying an equitable adjustment of premiums or of benefits or both to be made in the event the age of a person has been misstated. A clear statement of the method of adjustment is required.</w:t>
            </w:r>
          </w:p>
        </w:tc>
        <w:tc>
          <w:tcPr>
            <w:tcW w:w="2000" w:type="dxa"/>
            <w:shd w:val="clear" w:color="auto" w:fill="auto"/>
          </w:tcPr>
          <w:p w14:paraId="57B640BC" w14:textId="77777777" w:rsidR="0096330E" w:rsidRPr="0096330E" w:rsidRDefault="0096330E" w:rsidP="0096330E">
            <w:pPr>
              <w:spacing w:after="0" w:line="240" w:lineRule="auto"/>
              <w:rPr>
                <w:sz w:val="20"/>
              </w:rPr>
            </w:pPr>
          </w:p>
        </w:tc>
      </w:tr>
      <w:tr w:rsidR="0096330E" w:rsidRPr="0096330E" w14:paraId="7CDDDD64" w14:textId="77777777" w:rsidTr="0096330E">
        <w:tblPrEx>
          <w:tblCellMar>
            <w:top w:w="0" w:type="dxa"/>
            <w:bottom w:w="0" w:type="dxa"/>
          </w:tblCellMar>
        </w:tblPrEx>
        <w:trPr>
          <w:cantSplit/>
        </w:trPr>
        <w:tc>
          <w:tcPr>
            <w:tcW w:w="2000" w:type="dxa"/>
            <w:shd w:val="clear" w:color="auto" w:fill="auto"/>
          </w:tcPr>
          <w:p w14:paraId="3A7D86AA" w14:textId="27B32843" w:rsidR="0096330E" w:rsidRPr="0096330E" w:rsidRDefault="0096330E" w:rsidP="0096330E">
            <w:pPr>
              <w:spacing w:after="0" w:line="240" w:lineRule="auto"/>
              <w:rPr>
                <w:sz w:val="20"/>
              </w:rPr>
            </w:pPr>
            <w:r>
              <w:rPr>
                <w:sz w:val="20"/>
              </w:rPr>
              <w:t>Suicide</w:t>
            </w:r>
          </w:p>
        </w:tc>
        <w:tc>
          <w:tcPr>
            <w:tcW w:w="2000" w:type="dxa"/>
            <w:shd w:val="clear" w:color="auto" w:fill="auto"/>
          </w:tcPr>
          <w:p w14:paraId="7CA3FC59" w14:textId="14D429C4" w:rsidR="0096330E" w:rsidRPr="0096330E" w:rsidRDefault="0096330E" w:rsidP="0096330E">
            <w:pPr>
              <w:spacing w:after="0" w:line="240" w:lineRule="auto"/>
              <w:rPr>
                <w:sz w:val="20"/>
              </w:rPr>
            </w:pPr>
            <w:hyperlink r:id="rId54" w:history="1">
              <w:r w:rsidRPr="0096330E">
                <w:rPr>
                  <w:rStyle w:val="Hyperlink"/>
                  <w:sz w:val="20"/>
                </w:rPr>
                <w:t>Title 24-A § 2630</w:t>
              </w:r>
            </w:hyperlink>
          </w:p>
        </w:tc>
        <w:tc>
          <w:tcPr>
            <w:tcW w:w="9000" w:type="dxa"/>
            <w:shd w:val="clear" w:color="auto" w:fill="auto"/>
          </w:tcPr>
          <w:p w14:paraId="3A14E54F" w14:textId="4A75A8A1" w:rsidR="0096330E" w:rsidRPr="0096330E" w:rsidRDefault="0096330E" w:rsidP="0096330E">
            <w:pPr>
              <w:spacing w:after="0" w:line="240" w:lineRule="auto"/>
              <w:rPr>
                <w:sz w:val="20"/>
              </w:rPr>
            </w:pPr>
            <w:r>
              <w:rPr>
                <w:sz w:val="20"/>
              </w:rPr>
              <w:t>A group life insurance policy delivered or issued for delivery in this State may not contain a more restrictive exclusion from liability for death resulting from suicide than death by suicide, while sane or insane, within 2 years from the date coverage commences or within 2 years of an increase in coverage.</w:t>
            </w:r>
          </w:p>
        </w:tc>
        <w:tc>
          <w:tcPr>
            <w:tcW w:w="2000" w:type="dxa"/>
            <w:shd w:val="clear" w:color="auto" w:fill="auto"/>
          </w:tcPr>
          <w:p w14:paraId="4EADCEA8" w14:textId="77777777" w:rsidR="0096330E" w:rsidRPr="0096330E" w:rsidRDefault="0096330E" w:rsidP="0096330E">
            <w:pPr>
              <w:spacing w:after="0" w:line="240" w:lineRule="auto"/>
              <w:rPr>
                <w:sz w:val="20"/>
              </w:rPr>
            </w:pPr>
          </w:p>
        </w:tc>
      </w:tr>
    </w:tbl>
    <w:p w14:paraId="3E4BBE62" w14:textId="77777777" w:rsidR="0096330E" w:rsidRDefault="0096330E"/>
    <w:sectPr w:rsidR="0096330E" w:rsidSect="0096330E">
      <w:footerReference w:type="default" r:id="rId55"/>
      <w:pgSz w:w="15840" w:h="12240" w:orient="landscape"/>
      <w:pgMar w:top="500" w:right="500" w:bottom="500" w:left="5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58439" w14:textId="77777777" w:rsidR="0096330E" w:rsidRDefault="0096330E" w:rsidP="0096330E">
      <w:pPr>
        <w:spacing w:after="0" w:line="240" w:lineRule="auto"/>
      </w:pPr>
      <w:r>
        <w:separator/>
      </w:r>
    </w:p>
  </w:endnote>
  <w:endnote w:type="continuationSeparator" w:id="0">
    <w:p w14:paraId="21167B9C" w14:textId="77777777" w:rsidR="0096330E" w:rsidRDefault="0096330E" w:rsidP="0096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1F000" w14:textId="1E46D219" w:rsidR="0096330E" w:rsidRDefault="0096330E">
    <w:pPr>
      <w:pStyle w:val="Footer"/>
    </w:pPr>
    <w:r>
      <w:t>group-life.docx   8</w:t>
    </w:r>
    <w:r>
      <w:tab/>
      <w:t xml:space="preserve"> Page </w:t>
    </w:r>
    <w:r>
      <w:fldChar w:fldCharType="begin"/>
    </w:r>
    <w:r>
      <w:instrText xml:space="preserve"> PAGE   \* MERGEFORMAT </w:instrText>
    </w:r>
    <w:r>
      <w:fldChar w:fldCharType="separate"/>
    </w:r>
    <w:r>
      <w:rPr>
        <w:noProof/>
      </w:rPr>
      <w:t>1</w:t>
    </w:r>
    <w:r>
      <w:fldChar w:fldCharType="end"/>
    </w:r>
    <w:r>
      <w:tab/>
      <w:t xml:space="preserve"> Generated </w:t>
    </w:r>
    <w:fldSimple w:instr=" DATE   \* MERGEFORMAT ">
      <w:r>
        <w:rPr>
          <w:noProof/>
        </w:rPr>
        <w:t>5/9/2025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A240" w14:textId="77777777" w:rsidR="0096330E" w:rsidRDefault="0096330E" w:rsidP="0096330E">
      <w:pPr>
        <w:spacing w:after="0" w:line="240" w:lineRule="auto"/>
      </w:pPr>
      <w:r>
        <w:separator/>
      </w:r>
    </w:p>
  </w:footnote>
  <w:footnote w:type="continuationSeparator" w:id="0">
    <w:p w14:paraId="4487829B" w14:textId="77777777" w:rsidR="0096330E" w:rsidRDefault="0096330E" w:rsidP="00963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0E"/>
    <w:rsid w:val="00005773"/>
    <w:rsid w:val="00631400"/>
    <w:rsid w:val="006E2761"/>
    <w:rsid w:val="00892241"/>
    <w:rsid w:val="0096330E"/>
    <w:rsid w:val="00B0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1913"/>
  <w15:chartTrackingRefBased/>
  <w15:docId w15:val="{59112769-7613-42AF-B9E0-3ED91B2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30E"/>
    <w:rPr>
      <w:rFonts w:eastAsiaTheme="majorEastAsia" w:cstheme="majorBidi"/>
      <w:color w:val="272727" w:themeColor="text1" w:themeTint="D8"/>
    </w:rPr>
  </w:style>
  <w:style w:type="paragraph" w:styleId="Title">
    <w:name w:val="Title"/>
    <w:basedOn w:val="Normal"/>
    <w:next w:val="Normal"/>
    <w:link w:val="TitleChar"/>
    <w:uiPriority w:val="10"/>
    <w:qFormat/>
    <w:rsid w:val="00963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30E"/>
    <w:pPr>
      <w:spacing w:before="160"/>
      <w:jc w:val="center"/>
    </w:pPr>
    <w:rPr>
      <w:i/>
      <w:iCs/>
      <w:color w:val="404040" w:themeColor="text1" w:themeTint="BF"/>
    </w:rPr>
  </w:style>
  <w:style w:type="character" w:customStyle="1" w:styleId="QuoteChar">
    <w:name w:val="Quote Char"/>
    <w:basedOn w:val="DefaultParagraphFont"/>
    <w:link w:val="Quote"/>
    <w:uiPriority w:val="29"/>
    <w:rsid w:val="0096330E"/>
    <w:rPr>
      <w:i/>
      <w:iCs/>
      <w:color w:val="404040" w:themeColor="text1" w:themeTint="BF"/>
    </w:rPr>
  </w:style>
  <w:style w:type="paragraph" w:styleId="ListParagraph">
    <w:name w:val="List Paragraph"/>
    <w:basedOn w:val="Normal"/>
    <w:uiPriority w:val="34"/>
    <w:qFormat/>
    <w:rsid w:val="0096330E"/>
    <w:pPr>
      <w:ind w:left="720"/>
      <w:contextualSpacing/>
    </w:pPr>
  </w:style>
  <w:style w:type="character" w:styleId="IntenseEmphasis">
    <w:name w:val="Intense Emphasis"/>
    <w:basedOn w:val="DefaultParagraphFont"/>
    <w:uiPriority w:val="21"/>
    <w:qFormat/>
    <w:rsid w:val="0096330E"/>
    <w:rPr>
      <w:i/>
      <w:iCs/>
      <w:color w:val="0F4761" w:themeColor="accent1" w:themeShade="BF"/>
    </w:rPr>
  </w:style>
  <w:style w:type="paragraph" w:styleId="IntenseQuote">
    <w:name w:val="Intense Quote"/>
    <w:basedOn w:val="Normal"/>
    <w:next w:val="Normal"/>
    <w:link w:val="IntenseQuoteChar"/>
    <w:uiPriority w:val="30"/>
    <w:qFormat/>
    <w:rsid w:val="00963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30E"/>
    <w:rPr>
      <w:i/>
      <w:iCs/>
      <w:color w:val="0F4761" w:themeColor="accent1" w:themeShade="BF"/>
    </w:rPr>
  </w:style>
  <w:style w:type="character" w:styleId="IntenseReference">
    <w:name w:val="Intense Reference"/>
    <w:basedOn w:val="DefaultParagraphFont"/>
    <w:uiPriority w:val="32"/>
    <w:qFormat/>
    <w:rsid w:val="0096330E"/>
    <w:rPr>
      <w:b/>
      <w:bCs/>
      <w:smallCaps/>
      <w:color w:val="0F4761" w:themeColor="accent1" w:themeShade="BF"/>
      <w:spacing w:val="5"/>
    </w:rPr>
  </w:style>
  <w:style w:type="paragraph" w:styleId="Header">
    <w:name w:val="header"/>
    <w:basedOn w:val="Normal"/>
    <w:link w:val="HeaderChar"/>
    <w:uiPriority w:val="99"/>
    <w:unhideWhenUsed/>
    <w:rsid w:val="0096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30E"/>
  </w:style>
  <w:style w:type="paragraph" w:styleId="Footer">
    <w:name w:val="footer"/>
    <w:basedOn w:val="Normal"/>
    <w:link w:val="FooterChar"/>
    <w:uiPriority w:val="99"/>
    <w:unhideWhenUsed/>
    <w:rsid w:val="0096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30E"/>
  </w:style>
  <w:style w:type="character" w:styleId="Hyperlink">
    <w:name w:val="Hyperlink"/>
    <w:basedOn w:val="DefaultParagraphFont"/>
    <w:uiPriority w:val="99"/>
    <w:unhideWhenUsed/>
    <w:rsid w:val="0096330E"/>
    <w:rPr>
      <w:color w:val="467886" w:themeColor="hyperlink"/>
      <w:u w:val="single"/>
    </w:rPr>
  </w:style>
  <w:style w:type="character" w:styleId="UnresolvedMention">
    <w:name w:val="Unresolved Mention"/>
    <w:basedOn w:val="DefaultParagraphFont"/>
    <w:uiPriority w:val="99"/>
    <w:semiHidden/>
    <w:unhideWhenUsed/>
    <w:rsid w:val="00963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ine.gov/sos/sites/maine.gov.sos/files/content/assets/031c490.doc" TargetMode="External"/><Relationship Id="rId18" Type="http://schemas.openxmlformats.org/officeDocument/2006/relationships/hyperlink" Target="https://legislature.maine.gov/statutes/24-A/title24-Asec2610-A.html" TargetMode="External"/><Relationship Id="rId26" Type="http://schemas.openxmlformats.org/officeDocument/2006/relationships/hyperlink" Target="https://legislature.maine.gov/statutes/24-A/title24-Asec2159.html" TargetMode="External"/><Relationship Id="rId39" Type="http://schemas.openxmlformats.org/officeDocument/2006/relationships/hyperlink" Target="https://legislature.maine.gov/statutes/24-A/title24-Asec2619.html" TargetMode="External"/><Relationship Id="rId21" Type="http://schemas.openxmlformats.org/officeDocument/2006/relationships/hyperlink" Target="https://legislature.maine.gov/statutes/24-A/title24-Asec2604-A.html" TargetMode="External"/><Relationship Id="rId34" Type="http://schemas.openxmlformats.org/officeDocument/2006/relationships/hyperlink" Target="https://legislature.maine.gov/statutes/24-A/title24-Asec2621.html" TargetMode="External"/><Relationship Id="rId42" Type="http://schemas.openxmlformats.org/officeDocument/2006/relationships/hyperlink" Target="https://www.maine.gov/pfr/insurance/sites/maine.gov.pfr.insurance/files/inline-files/426.pdf" TargetMode="External"/><Relationship Id="rId47" Type="http://schemas.openxmlformats.org/officeDocument/2006/relationships/hyperlink" Target="https://legislature.maine.gov/statutes/24-A/title24-Asec2628.html" TargetMode="External"/><Relationship Id="rId50" Type="http://schemas.openxmlformats.org/officeDocument/2006/relationships/hyperlink" Target="https://legislature.maine.gov/statutes/24-A/title24-Asec2615.html" TargetMode="External"/><Relationship Id="rId55" Type="http://schemas.openxmlformats.org/officeDocument/2006/relationships/footer" Target="footer1.xml"/><Relationship Id="rId7" Type="http://schemas.openxmlformats.org/officeDocument/2006/relationships/hyperlink" Target="https://www.maine.gov/pfr/insurance/sites/maine.gov.pfr.insurance/files/inline-files/360_0.pdf" TargetMode="External"/><Relationship Id="rId12" Type="http://schemas.openxmlformats.org/officeDocument/2006/relationships/hyperlink" Target="https://legislature.maine.gov/statutes/24-A/title24-Asec2413.html" TargetMode="External"/><Relationship Id="rId17" Type="http://schemas.openxmlformats.org/officeDocument/2006/relationships/hyperlink" Target="https://legislature.maine.gov/statutes/24-A/title24-Asec2622.html" TargetMode="External"/><Relationship Id="rId25" Type="http://schemas.openxmlformats.org/officeDocument/2006/relationships/hyperlink" Target="https://legislature.maine.gov/statutes/24-A/title24-Asec2159-C.html" TargetMode="External"/><Relationship Id="rId33" Type="http://schemas.openxmlformats.org/officeDocument/2006/relationships/hyperlink" Target="https://legislature.maine.gov/statutes/24-A/title24-Asec2620.html" TargetMode="External"/><Relationship Id="rId38" Type="http://schemas.openxmlformats.org/officeDocument/2006/relationships/hyperlink" Target="https://legislature.maine.gov/statutes/24-A/title24-Asec2612-A.html" TargetMode="External"/><Relationship Id="rId46" Type="http://schemas.openxmlformats.org/officeDocument/2006/relationships/hyperlink" Target="https://legislature.maine.gov/statutes/24-A/title24-Asec6802-A.html" TargetMode="External"/><Relationship Id="rId2" Type="http://schemas.openxmlformats.org/officeDocument/2006/relationships/settings" Target="settings.xml"/><Relationship Id="rId16" Type="http://schemas.openxmlformats.org/officeDocument/2006/relationships/hyperlink" Target="https://legislature.maine.gov/statutes/24-A/title24-Asec2621.html" TargetMode="External"/><Relationship Id="rId20" Type="http://schemas.openxmlformats.org/officeDocument/2006/relationships/hyperlink" Target="https://legislature.maine.gov/statutes/22/title22sec2140.html" TargetMode="External"/><Relationship Id="rId29" Type="http://schemas.openxmlformats.org/officeDocument/2006/relationships/hyperlink" Target="https://legislature.maine.gov/statutes/24-A/title24-Asec2159-D.html" TargetMode="External"/><Relationship Id="rId41" Type="http://schemas.openxmlformats.org/officeDocument/2006/relationships/hyperlink" Target="https://legislature.maine.gov/statutes/24-A/title24-Asec2163-A.html" TargetMode="External"/><Relationship Id="rId54" Type="http://schemas.openxmlformats.org/officeDocument/2006/relationships/hyperlink" Target="https://legislature.maine.gov/statutes/24-A/title24-Asec2630.html" TargetMode="External"/><Relationship Id="rId1" Type="http://schemas.openxmlformats.org/officeDocument/2006/relationships/styles" Target="styles.xml"/><Relationship Id="rId6" Type="http://schemas.openxmlformats.org/officeDocument/2006/relationships/hyperlink" Target="https://legislature.maine.gov/statutes/24-A/title24-Asec2412.html" TargetMode="External"/><Relationship Id="rId11" Type="http://schemas.openxmlformats.org/officeDocument/2006/relationships/hyperlink" Target="https://legislature.maine.gov/statutes/24-A/title24-Asec2412.html" TargetMode="External"/><Relationship Id="rId24" Type="http://schemas.openxmlformats.org/officeDocument/2006/relationships/hyperlink" Target="https://legislature.maine.gov/statutes/24-A/title24-Asec2603.html" TargetMode="External"/><Relationship Id="rId32" Type="http://schemas.openxmlformats.org/officeDocument/2006/relationships/hyperlink" Target="https://legislature.maine.gov/statutes/24-A/title24-Asec2619.html" TargetMode="External"/><Relationship Id="rId37" Type="http://schemas.openxmlformats.org/officeDocument/2006/relationships/hyperlink" Target="https://legislature.maine.gov/statutes/24-A/title24-Asec2628.html" TargetMode="External"/><Relationship Id="rId40" Type="http://schemas.openxmlformats.org/officeDocument/2006/relationships/hyperlink" Target="https://legislature.maine.gov/statutes/24-A/title24-Asec2160.html" TargetMode="External"/><Relationship Id="rId45" Type="http://schemas.openxmlformats.org/officeDocument/2006/relationships/hyperlink" Target="https://legislature.maine.gov/statutes/24-A/title24-Asec6802-A.html" TargetMode="External"/><Relationship Id="rId53" Type="http://schemas.openxmlformats.org/officeDocument/2006/relationships/hyperlink" Target="https://legislature.maine.gov/statutes/24-A/title24-Asec2618.html" TargetMode="External"/><Relationship Id="rId5" Type="http://schemas.openxmlformats.org/officeDocument/2006/relationships/endnotes" Target="endnotes.xml"/><Relationship Id="rId15" Type="http://schemas.openxmlformats.org/officeDocument/2006/relationships/hyperlink" Target="https://legislature.maine.gov/statutes/24-A/title24-Asec2607-A.html" TargetMode="External"/><Relationship Id="rId23" Type="http://schemas.openxmlformats.org/officeDocument/2006/relationships/hyperlink" Target="https://legislature.maine.gov/statutes/24-A/title24-Asec2159-E.html" TargetMode="External"/><Relationship Id="rId28" Type="http://schemas.openxmlformats.org/officeDocument/2006/relationships/hyperlink" Target="https://legislature.maine.gov/statutes/24-A/title24-Asec2605-A.html" TargetMode="External"/><Relationship Id="rId36" Type="http://schemas.openxmlformats.org/officeDocument/2006/relationships/hyperlink" Target="https://legislature.maine.gov/statutes/24-A/title24-Asec2623.html" TargetMode="External"/><Relationship Id="rId49" Type="http://schemas.openxmlformats.org/officeDocument/2006/relationships/hyperlink" Target="https://legislature.maine.gov/statutes/24-A/title24-Asec2614.html" TargetMode="External"/><Relationship Id="rId57" Type="http://schemas.openxmlformats.org/officeDocument/2006/relationships/theme" Target="theme/theme1.xml"/><Relationship Id="rId10" Type="http://schemas.openxmlformats.org/officeDocument/2006/relationships/hyperlink" Target="https://legislature.maine.gov/statutes/24-A/title24-Asec2441.html" TargetMode="External"/><Relationship Id="rId19" Type="http://schemas.openxmlformats.org/officeDocument/2006/relationships/hyperlink" Target="https://legislature.maine.gov/statutes/24-A/title24-Asec2623.html" TargetMode="External"/><Relationship Id="rId31" Type="http://schemas.openxmlformats.org/officeDocument/2006/relationships/hyperlink" Target="https://legislature.maine.gov/statutes/24-A/title24-Asec2625.html" TargetMode="External"/><Relationship Id="rId44" Type="http://schemas.openxmlformats.org/officeDocument/2006/relationships/hyperlink" Target="https://legislature.maine.gov/statutes/24-A/title24-Asec2616.html" TargetMode="External"/><Relationship Id="rId52" Type="http://schemas.openxmlformats.org/officeDocument/2006/relationships/hyperlink" Target="https://legislature.maine.gov/statutes/24-A/title24-Asec2617.html" TargetMode="External"/><Relationship Id="rId4" Type="http://schemas.openxmlformats.org/officeDocument/2006/relationships/footnotes" Target="footnotes.xml"/><Relationship Id="rId9" Type="http://schemas.openxmlformats.org/officeDocument/2006/relationships/hyperlink" Target="https://legislature.maine.gov/statutes/24-A/title24-Asec2413.html" TargetMode="External"/><Relationship Id="rId14" Type="http://schemas.openxmlformats.org/officeDocument/2006/relationships/hyperlink" Target="https://legislature.maine.gov/statutes/24-A/title24-Asec2629.html" TargetMode="External"/><Relationship Id="rId22" Type="http://schemas.openxmlformats.org/officeDocument/2006/relationships/hyperlink" Target="https://legislature.maine.gov/statutes/24-A/title24-Asec2611-A.html" TargetMode="External"/><Relationship Id="rId27" Type="http://schemas.openxmlformats.org/officeDocument/2006/relationships/hyperlink" Target="https://legislature.maine.gov/statutes/24-A/title24-Asec2620.html" TargetMode="External"/><Relationship Id="rId30" Type="http://schemas.openxmlformats.org/officeDocument/2006/relationships/hyperlink" Target="https://legislature.maine.gov/statutes/24-A/title24-Asec2613.html" TargetMode="External"/><Relationship Id="rId35" Type="http://schemas.openxmlformats.org/officeDocument/2006/relationships/hyperlink" Target="https://legislature.maine.gov/statutes/24-A/title24-Asec2622.html" TargetMode="External"/><Relationship Id="rId43" Type="http://schemas.openxmlformats.org/officeDocument/2006/relationships/hyperlink" Target="https://www.maine.gov/pfr/insurance/themes/insurance/pdf/382.pdf" TargetMode="External"/><Relationship Id="rId48" Type="http://schemas.openxmlformats.org/officeDocument/2006/relationships/hyperlink" Target="https://legislature.maine.gov/statutes/24-A/title24-Asec2806.html" TargetMode="External"/><Relationship Id="rId56" Type="http://schemas.openxmlformats.org/officeDocument/2006/relationships/fontTable" Target="fontTable.xml"/><Relationship Id="rId8" Type="http://schemas.openxmlformats.org/officeDocument/2006/relationships/hyperlink" Target="https://legislature.maine.gov/statutes/24-A/title24-Asec601.html" TargetMode="External"/><Relationship Id="rId51" Type="http://schemas.openxmlformats.org/officeDocument/2006/relationships/hyperlink" Target="https://legislature.maine.gov/statutes/24-A/title24-Asec2624.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3086</Words>
  <Characters>17593</Characters>
  <Application>Microsoft Office Word</Application>
  <DocSecurity>0</DocSecurity>
  <Lines>146</Lines>
  <Paragraphs>41</Paragraphs>
  <ScaleCrop>false</ScaleCrop>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group-life.docx</dc:title>
  <dc:subject/>
  <dc:creator>Maine Bureau of Insurance</dc:creator>
  <cp:keywords/>
  <dc:description/>
  <cp:lastModifiedBy>Fougere, Keith A</cp:lastModifiedBy>
  <cp:revision>1</cp:revision>
  <dcterms:created xsi:type="dcterms:W3CDTF">2025-05-09T19:53:00Z</dcterms:created>
  <dcterms:modified xsi:type="dcterms:W3CDTF">2025-05-09T19:54:00Z</dcterms:modified>
</cp:coreProperties>
</file>