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400"/>
      </w:pPr>
    </w:p>
    <w:p>
      <w:pPr>
        <w:pBdr>
          <w:bottom w:val="single" w:color="B07B2E" w:sz="12"/>
        </w:pBdr>
        <w:jc w:val="right"/>
      </w:pPr>
    </w:p>
    <w:p>
      <w:pPr>
        <w:spacing w:after="160" w:before="200"/>
        <w:jc w:val="right"/>
      </w:pPr>
      <w:r>
        <w:rPr>
          <w:rFonts w:ascii="Calibri" w:cs="Calibri" w:eastAsia="Calibri" w:hAnsi="Calibri"/>
          <w:b/>
          <w:bCs/>
          <w:color w:val="1F3864"/>
          <w:sz w:val="48"/>
          <w:szCs w:val="48"/>
        </w:rPr>
        <w:t xml:space="preserve">Documento de Arquitetura</w:t>
      </w:r>
    </w:p>
    <w:p>
      <w:pPr>
        <w:spacing w:after="200"/>
        <w:jc w:val="right"/>
      </w:pPr>
      <w:r>
        <w:rPr>
          <w:rFonts w:ascii="Calibri" w:cs="Calibri" w:eastAsia="Calibri" w:hAnsi="Calibri"/>
          <w:b/>
          <w:bCs/>
          <w:color w:val="1F3864"/>
          <w:sz w:val="48"/>
          <w:szCs w:val="48"/>
        </w:rPr>
        <w:t xml:space="preserve">de Software</w:t>
      </w:r>
    </w:p>
    <w:p>
      <w:pPr>
        <w:spacing w:after="900"/>
        <w:jc w:val="right"/>
      </w:pPr>
      <w:r>
        <w:rPr>
          <w:rFonts w:ascii="Calibri" w:cs="Calibri" w:eastAsia="Calibri" w:hAnsi="Calibri"/>
          <w:color w:val="2B2725"/>
          <w:sz w:val="26"/>
          <w:szCs w:val="26"/>
        </w:rPr>
        <w:t xml:space="preserve">Produção VF — evolução para produto multiempresa</w:t>
      </w:r>
    </w:p>
    <w:p>
      <w:pPr>
        <w:spacing w:after="100"/>
        <w:jc w:val="right"/>
      </w:pPr>
      <w:r>
        <w:rPr>
          <w:rFonts w:ascii="Calibri" w:cs="Calibri" w:eastAsia="Calibri" w:hAnsi="Calibri"/>
          <w:b/>
          <w:bCs/>
          <w:color w:val="2B2725"/>
          <w:sz w:val="24"/>
          <w:szCs w:val="24"/>
        </w:rPr>
        <w:t xml:space="preserve">Equipe: Maicon Steffen</w:t>
      </w:r>
    </w:p>
    <w:p>
      <w:pPr>
        <w:spacing w:after="100"/>
        <w:jc w:val="right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Análise e Desenvolvimento de Sistemas · MVP II</w:t>
      </w:r>
    </w:p>
    <w:p>
      <w:pPr>
        <w:jc w:val="right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Professor Edson Inácio Wobeto</w:t>
      </w:r>
    </w:p>
    <w:p>
      <w:pPr>
        <w:pageBreakBefore/>
        <w:spacing w:after="200"/>
        <w:jc w:val="center"/>
      </w:pPr>
      <w:r>
        <w:rPr>
          <w:rFonts w:ascii="Cambria" w:cs="Cambria" w:eastAsia="Cambria" w:hAnsi="Cambria"/>
          <w:b/>
          <w:bCs/>
          <w:i/>
          <w:iCs/>
          <w:color w:val="1F3864"/>
          <w:sz w:val="26"/>
          <w:szCs w:val="26"/>
        </w:rPr>
        <w:t xml:space="preserve">Histórico do Documento</w:t>
      </w:r>
    </w:p>
    <w:tbl>
      <w:tblPr>
        <w:tblW w:type="dxa" w:w="9072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2200"/>
        <w:gridCol w:w="1800"/>
        <w:gridCol w:w="2900"/>
        <w:gridCol w:w="2738"/>
      </w:tblGrid>
      <w:tr>
        <w:trPr>
          <w:tblHeader/>
        </w:trPr>
        <w:tc>
          <w:tcPr>
            <w:tcW w:type="dxa" w:w="2200"/>
            <w:shd w:fill="2E549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Data</w:t>
            </w:r>
          </w:p>
        </w:tc>
        <w:tc>
          <w:tcPr>
            <w:tcW w:type="dxa" w:w="1800"/>
            <w:shd w:fill="2E549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Versão</w:t>
            </w:r>
          </w:p>
        </w:tc>
        <w:tc>
          <w:tcPr>
            <w:tcW w:type="dxa" w:w="2900"/>
            <w:shd w:fill="2E549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Autor</w:t>
            </w:r>
          </w:p>
        </w:tc>
        <w:tc>
          <w:tcPr>
            <w:tcW w:type="dxa" w:w="2738"/>
            <w:shd w:fill="2E549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Revisor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01/09/2026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V1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Maicon Steffen</w:t>
            </w:r>
          </w:p>
        </w:tc>
        <w:tc>
          <w:tcPr>
            <w:tcW w:type="dxa" w:w="27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/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/>
            </w:r>
          </w:p>
        </w:tc>
        <w:tc>
          <w:tcPr>
            <w:tcW w:type="dxa" w:w="27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/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/>
            </w:r>
          </w:p>
        </w:tc>
        <w:tc>
          <w:tcPr>
            <w:tcW w:type="dxa" w:w="27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/>
            </w:r>
          </w:p>
        </w:tc>
      </w:tr>
    </w:tbl>
    <w:p>
      <w:pPr>
        <w:pageBreakBefore/>
        <w:shd w:fill="F2F2F2" w:color="auto" w:val="clear"/>
        <w:spacing w:after="240"/>
      </w:pPr>
      <w:r>
        <w:rPr>
          <w:rFonts w:ascii="Cambria" w:cs="Cambria" w:eastAsia="Cambria" w:hAnsi="Cambria"/>
          <w:b/>
          <w:bCs/>
          <w:color w:val="1F3864"/>
          <w:sz w:val="32"/>
          <w:szCs w:val="32"/>
        </w:rPr>
        <w:t xml:space="preserve">Sumário</w:t>
      </w:r>
    </w:p>
    <w:p>
      <w:pPr>
        <w:tabs>
          <w:tab w:val="right" w:pos="9072" w:leader="dot"/>
        </w:tabs>
        <w:spacing w:after="80" w:line="280"/>
        <w:ind w:left="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1. INTRODUÇÃO</w:t>
        <w:tab/>
        <w:t xml:space="preserve">4</w:t>
      </w:r>
    </w:p>
    <w:p>
      <w:pPr>
        <w:tabs>
          <w:tab w:val="right" w:pos="9072" w:leader="dot"/>
        </w:tabs>
        <w:spacing w:after="40" w:line="280"/>
        <w:ind w:left="340"/>
      </w:pPr>
      <w:r>
        <w:rPr>
          <w:rFonts w:ascii="Calibri" w:cs="Calibri" w:eastAsia="Calibri" w:hAnsi="Calibri"/>
          <w:b w:val="false"/>
          <w:bCs w:val="false"/>
          <w:color w:val="2B2725"/>
          <w:sz w:val="20"/>
          <w:szCs w:val="20"/>
        </w:rPr>
        <w:t xml:space="preserve">1.1 Propósito</w:t>
        <w:tab/>
        <w:t xml:space="preserve">4</w:t>
      </w:r>
    </w:p>
    <w:p>
      <w:pPr>
        <w:tabs>
          <w:tab w:val="right" w:pos="9072" w:leader="dot"/>
        </w:tabs>
        <w:spacing w:after="40" w:line="280"/>
        <w:ind w:left="340"/>
      </w:pPr>
      <w:r>
        <w:rPr>
          <w:rFonts w:ascii="Calibri" w:cs="Calibri" w:eastAsia="Calibri" w:hAnsi="Calibri"/>
          <w:b w:val="false"/>
          <w:bCs w:val="false"/>
          <w:color w:val="2B2725"/>
          <w:sz w:val="20"/>
          <w:szCs w:val="20"/>
        </w:rPr>
        <w:t xml:space="preserve">1.2 Escopo</w:t>
        <w:tab/>
        <w:t xml:space="preserve">4</w:t>
      </w:r>
    </w:p>
    <w:p>
      <w:pPr>
        <w:tabs>
          <w:tab w:val="right" w:pos="9072" w:leader="dot"/>
        </w:tabs>
        <w:spacing w:after="40" w:line="280"/>
        <w:ind w:left="340"/>
      </w:pPr>
      <w:r>
        <w:rPr>
          <w:rFonts w:ascii="Calibri" w:cs="Calibri" w:eastAsia="Calibri" w:hAnsi="Calibri"/>
          <w:b w:val="false"/>
          <w:bCs w:val="false"/>
          <w:color w:val="2B2725"/>
          <w:sz w:val="20"/>
          <w:szCs w:val="20"/>
        </w:rPr>
        <w:t xml:space="preserve">1.3 Definições e siglas</w:t>
        <w:tab/>
        <w:t xml:space="preserve">4</w:t>
      </w:r>
    </w:p>
    <w:p>
      <w:pPr>
        <w:tabs>
          <w:tab w:val="right" w:pos="9072" w:leader="dot"/>
        </w:tabs>
        <w:spacing w:after="40" w:line="280"/>
        <w:ind w:left="340"/>
      </w:pPr>
      <w:r>
        <w:rPr>
          <w:rFonts w:ascii="Calibri" w:cs="Calibri" w:eastAsia="Calibri" w:hAnsi="Calibri"/>
          <w:b w:val="false"/>
          <w:bCs w:val="false"/>
          <w:color w:val="2B2725"/>
          <w:sz w:val="20"/>
          <w:szCs w:val="20"/>
        </w:rPr>
        <w:t xml:space="preserve">1.4 Referências</w:t>
        <w:tab/>
        <w:t xml:space="preserve">4</w:t>
      </w:r>
    </w:p>
    <w:p>
      <w:pPr>
        <w:tabs>
          <w:tab w:val="right" w:pos="9072" w:leader="dot"/>
        </w:tabs>
        <w:spacing w:after="80" w:line="280"/>
        <w:ind w:left="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2. MOTIVAÇÃO DA EVOLUÇÃO ARQUITETURAL</w:t>
        <w:tab/>
        <w:t xml:space="preserve">6</w:t>
      </w:r>
    </w:p>
    <w:p>
      <w:pPr>
        <w:tabs>
          <w:tab w:val="right" w:pos="9072" w:leader="dot"/>
        </w:tabs>
        <w:spacing w:after="80" w:line="280"/>
        <w:ind w:left="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3. INTERESSADOS E PREOCUPAÇÕES</w:t>
        <w:tab/>
        <w:t xml:space="preserve">7</w:t>
      </w:r>
    </w:p>
    <w:p>
      <w:pPr>
        <w:tabs>
          <w:tab w:val="right" w:pos="9072" w:leader="dot"/>
        </w:tabs>
        <w:spacing w:after="80" w:line="280"/>
        <w:ind w:left="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4. REQUISITOS ARQUITETURALMENTE SIGNIFICATIVOS</w:t>
        <w:tab/>
        <w:t xml:space="preserve">8</w:t>
      </w:r>
    </w:p>
    <w:p>
      <w:pPr>
        <w:tabs>
          <w:tab w:val="right" w:pos="9072" w:leader="dot"/>
        </w:tabs>
        <w:spacing w:after="80" w:line="280"/>
        <w:ind w:left="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5. ATRIBUTOS DE QUALIDADE</w:t>
        <w:tab/>
        <w:t xml:space="preserve">9</w:t>
      </w:r>
    </w:p>
    <w:p>
      <w:pPr>
        <w:tabs>
          <w:tab w:val="right" w:pos="9072" w:leader="dot"/>
        </w:tabs>
        <w:spacing w:after="80" w:line="280"/>
        <w:ind w:left="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6. VISÃO DE CONTEXTO</w:t>
        <w:tab/>
        <w:t xml:space="preserve">12</w:t>
      </w:r>
    </w:p>
    <w:p>
      <w:pPr>
        <w:tabs>
          <w:tab w:val="right" w:pos="9072" w:leader="dot"/>
        </w:tabs>
        <w:spacing w:after="80" w:line="280"/>
        <w:ind w:left="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7. VISÃO DE CONTÊINERES</w:t>
        <w:tab/>
        <w:t xml:space="preserve">13</w:t>
      </w:r>
    </w:p>
    <w:p>
      <w:pPr>
        <w:tabs>
          <w:tab w:val="right" w:pos="9072" w:leader="dot"/>
        </w:tabs>
        <w:spacing w:after="80" w:line="280"/>
        <w:ind w:left="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8. VISÃO DE PROCESSO</w:t>
        <w:tab/>
        <w:t xml:space="preserve">14</w:t>
      </w:r>
    </w:p>
    <w:p>
      <w:pPr>
        <w:tabs>
          <w:tab w:val="right" w:pos="9072" w:leader="dot"/>
        </w:tabs>
        <w:spacing w:after="80" w:line="280"/>
        <w:ind w:left="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9. VISÃO DE IMPLANTAÇÃO</w:t>
        <w:tab/>
        <w:t xml:space="preserve">15</w:t>
      </w:r>
    </w:p>
    <w:p>
      <w:pPr>
        <w:tabs>
          <w:tab w:val="right" w:pos="9072" w:leader="dot"/>
        </w:tabs>
        <w:spacing w:after="80" w:line="280"/>
        <w:ind w:left="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10. ARQUITETURA MULTIEMPRESA</w:t>
        <w:tab/>
        <w:t xml:space="preserve">16</w:t>
      </w:r>
    </w:p>
    <w:p>
      <w:pPr>
        <w:tabs>
          <w:tab w:val="right" w:pos="9072" w:leader="dot"/>
        </w:tabs>
        <w:spacing w:after="40" w:line="280"/>
        <w:ind w:left="340"/>
      </w:pPr>
      <w:r>
        <w:rPr>
          <w:rFonts w:ascii="Calibri" w:cs="Calibri" w:eastAsia="Calibri" w:hAnsi="Calibri"/>
          <w:b w:val="false"/>
          <w:bCs w:val="false"/>
          <w:color w:val="2B2725"/>
          <w:sz w:val="20"/>
          <w:szCs w:val="20"/>
        </w:rPr>
        <w:t xml:space="preserve">10.1 Estratégia adotada</w:t>
        <w:tab/>
        <w:t xml:space="preserve">16</w:t>
      </w:r>
    </w:p>
    <w:p>
      <w:pPr>
        <w:tabs>
          <w:tab w:val="right" w:pos="9072" w:leader="dot"/>
        </w:tabs>
        <w:spacing w:after="40" w:line="280"/>
        <w:ind w:left="340"/>
      </w:pPr>
      <w:r>
        <w:rPr>
          <w:rFonts w:ascii="Calibri" w:cs="Calibri" w:eastAsia="Calibri" w:hAnsi="Calibri"/>
          <w:b w:val="false"/>
          <w:bCs w:val="false"/>
          <w:color w:val="2B2725"/>
          <w:sz w:val="20"/>
          <w:szCs w:val="20"/>
        </w:rPr>
        <w:t xml:space="preserve">10.2 O que muda no modelo de dados</w:t>
        <w:tab/>
        <w:t xml:space="preserve">16</w:t>
      </w:r>
    </w:p>
    <w:p>
      <w:pPr>
        <w:tabs>
          <w:tab w:val="right" w:pos="9072" w:leader="dot"/>
        </w:tabs>
        <w:spacing w:after="40" w:line="280"/>
        <w:ind w:left="340"/>
      </w:pPr>
      <w:r>
        <w:rPr>
          <w:rFonts w:ascii="Calibri" w:cs="Calibri" w:eastAsia="Calibri" w:hAnsi="Calibri"/>
          <w:b w:val="false"/>
          <w:bCs w:val="false"/>
          <w:color w:val="2B2725"/>
          <w:sz w:val="20"/>
          <w:szCs w:val="20"/>
        </w:rPr>
        <w:t xml:space="preserve">10.3 Como o isolamento é verificado</w:t>
        <w:tab/>
        <w:t xml:space="preserve">17</w:t>
      </w:r>
    </w:p>
    <w:p>
      <w:pPr>
        <w:tabs>
          <w:tab w:val="right" w:pos="9072" w:leader="dot"/>
        </w:tabs>
        <w:spacing w:after="80" w:line="280"/>
        <w:ind w:left="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11. INTEGRAÇÃO COM CANAIS DE VENDA</w:t>
        <w:tab/>
        <w:t xml:space="preserve">18</w:t>
      </w:r>
    </w:p>
    <w:p>
      <w:pPr>
        <w:tabs>
          <w:tab w:val="right" w:pos="9072" w:leader="dot"/>
        </w:tabs>
        <w:spacing w:after="40" w:line="280"/>
        <w:ind w:left="340"/>
      </w:pPr>
      <w:r>
        <w:rPr>
          <w:rFonts w:ascii="Calibri" w:cs="Calibri" w:eastAsia="Calibri" w:hAnsi="Calibri"/>
          <w:b w:val="false"/>
          <w:bCs w:val="false"/>
          <w:color w:val="2B2725"/>
          <w:sz w:val="20"/>
          <w:szCs w:val="20"/>
        </w:rPr>
        <w:t xml:space="preserve">11.1 O problema da diferença entre canais</w:t>
        <w:tab/>
        <w:t xml:space="preserve">18</w:t>
      </w:r>
    </w:p>
    <w:p>
      <w:pPr>
        <w:tabs>
          <w:tab w:val="right" w:pos="9072" w:leader="dot"/>
        </w:tabs>
        <w:spacing w:after="40" w:line="280"/>
        <w:ind w:left="340"/>
      </w:pPr>
      <w:r>
        <w:rPr>
          <w:rFonts w:ascii="Calibri" w:cs="Calibri" w:eastAsia="Calibri" w:hAnsi="Calibri"/>
          <w:b w:val="false"/>
          <w:bCs w:val="false"/>
          <w:color w:val="2B2725"/>
          <w:sz w:val="20"/>
          <w:szCs w:val="20"/>
        </w:rPr>
        <w:t xml:space="preserve">11.2 Porta e adaptadores</w:t>
        <w:tab/>
        <w:t xml:space="preserve">18</w:t>
      </w:r>
    </w:p>
    <w:p>
      <w:pPr>
        <w:tabs>
          <w:tab w:val="right" w:pos="9072" w:leader="dot"/>
        </w:tabs>
        <w:spacing w:after="40" w:line="280"/>
        <w:ind w:left="340"/>
      </w:pPr>
      <w:r>
        <w:rPr>
          <w:rFonts w:ascii="Calibri" w:cs="Calibri" w:eastAsia="Calibri" w:hAnsi="Calibri"/>
          <w:b w:val="false"/>
          <w:bCs w:val="false"/>
          <w:color w:val="2B2725"/>
          <w:sz w:val="20"/>
          <w:szCs w:val="20"/>
        </w:rPr>
        <w:t xml:space="preserve">11.3 Confiabilidade da recepção</w:t>
        <w:tab/>
        <w:t xml:space="preserve">18</w:t>
      </w:r>
    </w:p>
    <w:p>
      <w:pPr>
        <w:tabs>
          <w:tab w:val="right" w:pos="9072" w:leader="dot"/>
        </w:tabs>
        <w:spacing w:after="80" w:line="280"/>
        <w:ind w:left="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12. PLANEJAMENTO DE NECESSIDADES</w:t>
        <w:tab/>
        <w:t xml:space="preserve">19</w:t>
      </w:r>
    </w:p>
    <w:p>
      <w:pPr>
        <w:tabs>
          <w:tab w:val="right" w:pos="9072" w:leader="dot"/>
        </w:tabs>
        <w:spacing w:after="40" w:line="280"/>
        <w:ind w:left="340"/>
      </w:pPr>
      <w:r>
        <w:rPr>
          <w:rFonts w:ascii="Calibri" w:cs="Calibri" w:eastAsia="Calibri" w:hAnsi="Calibri"/>
          <w:b w:val="false"/>
          <w:bCs w:val="false"/>
          <w:color w:val="2B2725"/>
          <w:sz w:val="20"/>
          <w:szCs w:val="20"/>
        </w:rPr>
        <w:t xml:space="preserve">12.1 Modelo formal</w:t>
        <w:tab/>
        <w:t xml:space="preserve">19</w:t>
      </w:r>
    </w:p>
    <w:p>
      <w:pPr>
        <w:tabs>
          <w:tab w:val="right" w:pos="9072" w:leader="dot"/>
        </w:tabs>
        <w:spacing w:after="40" w:line="280"/>
        <w:ind w:left="340"/>
      </w:pPr>
      <w:r>
        <w:rPr>
          <w:rFonts w:ascii="Calibri" w:cs="Calibri" w:eastAsia="Calibri" w:hAnsi="Calibri"/>
          <w:b w:val="false"/>
          <w:bCs w:val="false"/>
          <w:color w:val="2B2725"/>
          <w:sz w:val="20"/>
          <w:szCs w:val="20"/>
        </w:rPr>
        <w:t xml:space="preserve">12.2 Por que dividir pelo aproveitamento, e não somar a perda</w:t>
        <w:tab/>
        <w:t xml:space="preserve">20</w:t>
      </w:r>
    </w:p>
    <w:p>
      <w:pPr>
        <w:tabs>
          <w:tab w:val="right" w:pos="9072" w:leader="dot"/>
        </w:tabs>
        <w:spacing w:after="40" w:line="280"/>
        <w:ind w:left="340"/>
      </w:pPr>
      <w:r>
        <w:rPr>
          <w:rFonts w:ascii="Calibri" w:cs="Calibri" w:eastAsia="Calibri" w:hAnsi="Calibri"/>
          <w:b w:val="false"/>
          <w:bCs w:val="false"/>
          <w:color w:val="2B2725"/>
          <w:sz w:val="20"/>
          <w:szCs w:val="20"/>
        </w:rPr>
        <w:t xml:space="preserve">12.3 Exemplo numérico completo</w:t>
        <w:tab/>
        <w:t xml:space="preserve">20</w:t>
      </w:r>
    </w:p>
    <w:p>
      <w:pPr>
        <w:tabs>
          <w:tab w:val="right" w:pos="9072" w:leader="dot"/>
        </w:tabs>
        <w:spacing w:after="80" w:line="280"/>
        <w:ind w:left="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13. TÁTICAS ARQUITETURAIS</w:t>
        <w:tab/>
        <w:t xml:space="preserve">22</w:t>
      </w:r>
    </w:p>
    <w:p>
      <w:pPr>
        <w:tabs>
          <w:tab w:val="right" w:pos="9072" w:leader="dot"/>
        </w:tabs>
        <w:spacing w:after="80" w:line="280"/>
        <w:ind w:left="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14. DECISÕES DE ARQUITETURA</w:t>
        <w:tab/>
        <w:t xml:space="preserve">23</w:t>
      </w:r>
    </w:p>
    <w:p>
      <w:pPr>
        <w:tabs>
          <w:tab w:val="right" w:pos="9072" w:leader="dot"/>
        </w:tabs>
        <w:spacing w:after="40" w:line="280"/>
        <w:ind w:left="340"/>
      </w:pPr>
      <w:r>
        <w:rPr>
          <w:rFonts w:ascii="Calibri" w:cs="Calibri" w:eastAsia="Calibri" w:hAnsi="Calibri"/>
          <w:b w:val="false"/>
          <w:bCs w:val="false"/>
          <w:color w:val="2B2725"/>
          <w:sz w:val="20"/>
          <w:szCs w:val="20"/>
        </w:rPr>
        <w:t xml:space="preserve">ADR-01 — Isolamento multiempresa por discriminador em base única</w:t>
        <w:tab/>
        <w:t xml:space="preserve">23</w:t>
      </w:r>
    </w:p>
    <w:p>
      <w:pPr>
        <w:tabs>
          <w:tab w:val="right" w:pos="9072" w:leader="dot"/>
        </w:tabs>
        <w:spacing w:after="40" w:line="280"/>
        <w:ind w:left="340"/>
      </w:pPr>
      <w:r>
        <w:rPr>
          <w:rFonts w:ascii="Calibri" w:cs="Calibri" w:eastAsia="Calibri" w:hAnsi="Calibri"/>
          <w:b w:val="false"/>
          <w:bCs w:val="false"/>
          <w:color w:val="2B2725"/>
          <w:sz w:val="20"/>
          <w:szCs w:val="20"/>
        </w:rPr>
        <w:t xml:space="preserve">ADR-02 — Camada anticorrupção por marketplace</w:t>
        <w:tab/>
        <w:t xml:space="preserve">23</w:t>
      </w:r>
    </w:p>
    <w:p>
      <w:pPr>
        <w:tabs>
          <w:tab w:val="right" w:pos="9072" w:leader="dot"/>
        </w:tabs>
        <w:spacing w:after="40" w:line="280"/>
        <w:ind w:left="340"/>
      </w:pPr>
      <w:r>
        <w:rPr>
          <w:rFonts w:ascii="Calibri" w:cs="Calibri" w:eastAsia="Calibri" w:hAnsi="Calibri"/>
          <w:b w:val="false"/>
          <w:bCs w:val="false"/>
          <w:color w:val="2B2725"/>
          <w:sz w:val="20"/>
          <w:szCs w:val="20"/>
        </w:rPr>
        <w:t xml:space="preserve">ADR-03 — Registro de produção somente por inclusão</w:t>
        <w:tab/>
        <w:t xml:space="preserve">23</w:t>
      </w:r>
    </w:p>
    <w:p>
      <w:pPr>
        <w:tabs>
          <w:tab w:val="right" w:pos="9072" w:leader="dot"/>
        </w:tabs>
        <w:spacing w:after="40" w:line="280"/>
        <w:ind w:left="340"/>
      </w:pPr>
      <w:r>
        <w:rPr>
          <w:rFonts w:ascii="Calibri" w:cs="Calibri" w:eastAsia="Calibri" w:hAnsi="Calibri"/>
          <w:b w:val="false"/>
          <w:bCs w:val="false"/>
          <w:color w:val="2B2725"/>
          <w:sz w:val="20"/>
          <w:szCs w:val="20"/>
        </w:rPr>
        <w:t xml:space="preserve">ADR-04 — Idempotência com chave gerada no cliente</w:t>
        <w:tab/>
        <w:t xml:space="preserve">24</w:t>
      </w:r>
    </w:p>
    <w:p>
      <w:pPr>
        <w:tabs>
          <w:tab w:val="right" w:pos="9072" w:leader="dot"/>
        </w:tabs>
        <w:spacing w:after="40" w:line="280"/>
        <w:ind w:left="340"/>
      </w:pPr>
      <w:r>
        <w:rPr>
          <w:rFonts w:ascii="Calibri" w:cs="Calibri" w:eastAsia="Calibri" w:hAnsi="Calibri"/>
          <w:b w:val="false"/>
          <w:bCs w:val="false"/>
          <w:color w:val="2B2725"/>
          <w:sz w:val="20"/>
          <w:szCs w:val="20"/>
        </w:rPr>
        <w:t xml:space="preserve">ADR-05 — Motor de cálculo como regra pura, sem dependência de infraestrutura</w:t>
        <w:tab/>
        <w:t xml:space="preserve">24</w:t>
      </w:r>
    </w:p>
    <w:p>
      <w:pPr>
        <w:tabs>
          <w:tab w:val="right" w:pos="9072" w:leader="dot"/>
        </w:tabs>
        <w:spacing w:after="40" w:line="280"/>
        <w:ind w:left="340"/>
      </w:pPr>
      <w:r>
        <w:rPr>
          <w:rFonts w:ascii="Calibri" w:cs="Calibri" w:eastAsia="Calibri" w:hAnsi="Calibri"/>
          <w:b w:val="false"/>
          <w:bCs w:val="false"/>
          <w:color w:val="2B2725"/>
          <w:sz w:val="20"/>
          <w:szCs w:val="20"/>
        </w:rPr>
        <w:t xml:space="preserve">ADR-06 — Processamento assíncrono dos eventos de marketplace</w:t>
        <w:tab/>
        <w:t xml:space="preserve">24</w:t>
      </w:r>
    </w:p>
    <w:p>
      <w:pPr>
        <w:tabs>
          <w:tab w:val="right" w:pos="9072" w:leader="dot"/>
        </w:tabs>
        <w:spacing w:after="40" w:line="280"/>
        <w:ind w:left="340"/>
      </w:pPr>
      <w:r>
        <w:rPr>
          <w:rFonts w:ascii="Calibri" w:cs="Calibri" w:eastAsia="Calibri" w:hAnsi="Calibri"/>
          <w:b w:val="false"/>
          <w:bCs w:val="false"/>
          <w:color w:val="2B2725"/>
          <w:sz w:val="20"/>
          <w:szCs w:val="20"/>
        </w:rPr>
        <w:t xml:space="preserve">ADR-07 — Manter monólito modular em vez de serviços independentes</w:t>
        <w:tab/>
        <w:t xml:space="preserve">25</w:t>
      </w:r>
    </w:p>
    <w:p>
      <w:pPr>
        <w:tabs>
          <w:tab w:val="right" w:pos="9072" w:leader="dot"/>
        </w:tabs>
        <w:spacing w:after="40" w:line="280"/>
        <w:ind w:left="340"/>
      </w:pPr>
      <w:r>
        <w:rPr>
          <w:rFonts w:ascii="Calibri" w:cs="Calibri" w:eastAsia="Calibri" w:hAnsi="Calibri"/>
          <w:b w:val="false"/>
          <w:bCs w:val="false"/>
          <w:color w:val="2B2725"/>
          <w:sz w:val="20"/>
          <w:szCs w:val="20"/>
        </w:rPr>
        <w:t xml:space="preserve">ADR-08 — Catálogo de peças por empresa, sem biblioteca compartilhada</w:t>
        <w:tab/>
        <w:t xml:space="preserve">25</w:t>
      </w:r>
    </w:p>
    <w:p>
      <w:pPr>
        <w:tabs>
          <w:tab w:val="right" w:pos="9072" w:leader="dot"/>
        </w:tabs>
        <w:spacing w:after="80" w:line="280"/>
        <w:ind w:left="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15. RISCOS TÉCNICOS</w:t>
        <w:tab/>
        <w:t xml:space="preserve">26</w:t>
      </w:r>
    </w:p>
    <w:p>
      <w:pPr>
        <w:tabs>
          <w:tab w:val="right" w:pos="9072" w:leader="dot"/>
        </w:tabs>
        <w:spacing w:after="80" w:line="280"/>
        <w:ind w:left="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16. ROTEIRO DE EVOLUÇÃO</w:t>
        <w:tab/>
        <w:t xml:space="preserve">27</w:t>
      </w:r>
    </w:p>
    <w:p>
      <w:pPr>
        <w:tabs>
          <w:tab w:val="right" w:pos="9072" w:leader="dot"/>
        </w:tabs>
        <w:spacing w:after="80" w:line="280"/>
        <w:ind w:left="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17. MATRIZ DE RASTREABILIDADE</w:t>
        <w:tab/>
        <w:t xml:space="preserve">28</w:t>
      </w:r>
    </w:p>
    <w:p>
      <w:pPr>
        <w:pStyle w:val="Heading1"/>
        <w:pageBreakBefore/>
        <w:spacing w:after="20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1. INTRODUÇÃO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2B2725"/>
          <w:sz w:val="23"/>
          <w:szCs w:val="23"/>
        </w:rPr>
        <w:t xml:space="preserve">1.1 Propósito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Este documento descreve a arquitetura do Produção VF e, principalmente, a arquitetura da sua evolução: a passagem de um sistema construído para um ateliê específico para um produto capaz de atender várias empresas, com recebimento automático de pedidos dos marketplaces e cálculo automático de necessidade de materiais e de capacidade.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Ele não repete o documento de projeto do sistema, que trata dos requisitos e do modelo de dados em vigor. Aqui o objeto é a estrutura: quais decisões sustentam os atributos de qualidade exigidos, por que foram tomadas, o que se perde com cada uma e como verificar se estão sendo cumpridas.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2B2725"/>
          <w:sz w:val="23"/>
          <w:szCs w:val="23"/>
        </w:rPr>
        <w:t xml:space="preserve">1.2 Escopo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Cobre o sistema Produção VF por inteiro, com ênfase em três frentes: isolamento entre empresas clientes, integração com canais de venda externos e o motor de planejamento de necessidades. Não cobre a operação comercial do produto, precificação da assinatura, nem infraestrutura de cobrança.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2B2725"/>
          <w:sz w:val="23"/>
          <w:szCs w:val="23"/>
        </w:rPr>
        <w:t xml:space="preserve">1.3 Definições e siglas</w:t>
      </w:r>
    </w:p>
    <w:tbl>
      <w:tblPr>
        <w:tblW w:type="dxa" w:w="9072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Termo</w:t>
            </w:r>
          </w:p>
        </w:tc>
        <w:tc>
          <w:tcPr>
            <w:tcW w:type="dxa" w:w="7038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Definição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MRP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Planejamento de necessidade de materiais. Deriva, a partir da demanda, quanto de cada insumo é preciso e quando.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CRP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Planejamento de necessidade de capacidade. Verifica se o trabalho cabe no tempo e nos recursos disponíveis.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Lista técnica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Relação de insumos e quantidades que uma peça consome por unidade produzida. Também chamada de estrutura do produto.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Necessidade bruta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Quantidade total de um insumo exigida pela demanda, antes de descontar estoque.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Necessidade líquida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Necessidade bruta menos o estoque disponível e o que já está em ordem de compra aberta.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Empresa (tenant)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Cada organização cliente do produto. Todos os dados operacionais pertencem a exatamente uma empresa.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Camada anticorrupção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Camada que traduz o modelo de um sistema externo para o modelo interno, impedindo que conceitos externos contaminem o domínio.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ADR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Registro de decisão de arquitetura: contexto, decisão, alternativas e consequências.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Registro somente-inclusão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Tabela que só aceita novas linhas. Correção se faz por lançamento contrário, nunca por alteração ou exclusão.</w:t>
            </w:r>
          </w:p>
        </w:tc>
      </w:tr>
    </w:tbl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2B2725"/>
          <w:sz w:val="23"/>
          <w:szCs w:val="23"/>
        </w:rPr>
        <w:t xml:space="preserve">1.4 Referências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ISO/IEC/IEEE 42010 — Descrição de arquitetura de sistemas e software.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ISO/IEC 25010 — Modelo de qualidade de produto de software.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KRUCHTEN, P. Architectural Blueprints: the 4+1 View Model of Software Architecture.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BASS, L.; CLEMENTS, P.; KAZMAN, R. Software Architecture in Practice — cenários de qualidade e táticas.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EVANS, E. Domain-Driven Design — camada anticorrupção e linguagem ubíqua.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BROWN, S. The C4 Model for Visualising Software Architecture.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Documentação para desenvolvedores do Mercado Livre e da Shopee Open Platform.</w:t>
      </w:r>
    </w:p>
    <w:p>
      <w:pPr>
        <w:pStyle w:val="Heading1"/>
        <w:pageBreakBefore/>
        <w:spacing w:after="20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2. MOTIVAÇÃO DA EVOLUÇÃO ARQUITETURAL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A primeira versão do sistema foi construída para um ateliê específico e está em uso diário desde julho de 2026. Essa origem produziu uma vantagem e uma limitação. A vantagem é que cada regra nasceu de um problema observado, e não de suposição. A limitação é estrutural: o sistema pressupõe uma única organização, um único catálogo e uma única fonte de vendas alimentada por importação manual de planilha.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A evolução pedida tem três eixos, e apenas o primeiro é de negócio. </w:t>
      </w:r>
      <w:r>
        <w:rPr>
          <w:rFonts w:ascii="Calibri" w:cs="Calibri" w:eastAsia="Calibri" w:hAnsi="Calibri"/>
          <w:b/>
          <w:bCs/>
          <w:color w:val="2B2725"/>
          <w:sz w:val="22"/>
          <w:szCs w:val="22"/>
        </w:rPr>
        <w:t xml:space="preserve">Primeiro</w:t>
      </w:r>
      <w:r>
        <w:rPr>
          <w:rFonts w:ascii="Calibri" w:cs="Calibri" w:eastAsia="Calibri" w:hAnsi="Calibri"/>
          <w:color w:val="2B2725"/>
          <w:sz w:val="22"/>
          <w:szCs w:val="22"/>
        </w:rPr>
        <w:t xml:space="preserve">, tornar o sistema um produto: uma instalação atendendo várias empresas, com isolamento entre elas e provisionamento sem projeto. </w:t>
      </w:r>
      <w:r>
        <w:rPr>
          <w:rFonts w:ascii="Calibri" w:cs="Calibri" w:eastAsia="Calibri" w:hAnsi="Calibri"/>
          <w:b/>
          <w:bCs/>
          <w:color w:val="2B2725"/>
          <w:sz w:val="22"/>
          <w:szCs w:val="22"/>
        </w:rPr>
        <w:t xml:space="preserve">Segundo</w:t>
      </w:r>
      <w:r>
        <w:rPr>
          <w:rFonts w:ascii="Calibri" w:cs="Calibri" w:eastAsia="Calibri" w:hAnsi="Calibri"/>
          <w:color w:val="2B2725"/>
          <w:sz w:val="22"/>
          <w:szCs w:val="22"/>
        </w:rPr>
        <w:t xml:space="preserve">, substituir a entrada manual de vendas por integração com os canais onde o pedido de fato nasce. </w:t>
      </w:r>
      <w:r>
        <w:rPr>
          <w:rFonts w:ascii="Calibri" w:cs="Calibri" w:eastAsia="Calibri" w:hAnsi="Calibri"/>
          <w:b/>
          <w:bCs/>
          <w:color w:val="2B2725"/>
          <w:sz w:val="22"/>
          <w:szCs w:val="22"/>
        </w:rPr>
        <w:t xml:space="preserve">Terceiro</w:t>
      </w:r>
      <w:r>
        <w:rPr>
          <w:rFonts w:ascii="Calibri" w:cs="Calibri" w:eastAsia="Calibri" w:hAnsi="Calibri"/>
          <w:color w:val="2B2725"/>
          <w:sz w:val="22"/>
          <w:szCs w:val="22"/>
        </w:rPr>
        <w:t xml:space="preserve">, fechar o ciclo entre pedido e produção: dado um pedido com prazo, derivar automaticamente quanto produzir, quanto de insumo isso consome, o que falta comprar e se o prazo é viável.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Os três eixos são interdependentes. A integração só tem valor se o pedido recebido disparar o cálculo; o cálculo só é vendável como produto se os dados de cada empresa estiverem isolados; e o isolamento precisa existir antes de qualquer credencial de marketplace ser guardada, porque credencial de um cliente jamais pode ser alcançável por outro.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i/>
          <w:iCs/>
          <w:color w:val="2B2725"/>
          <w:sz w:val="22"/>
          <w:szCs w:val="22"/>
        </w:rPr>
        <w:t xml:space="preserve">Essa interdependência define a ordem do roteiro apresentado na seção 12: a fundação multiempresa vem primeiro, não por preferência técnica, mas porque as demais decisões dependem dela.</w:t>
      </w:r>
    </w:p>
    <w:p>
      <w:pPr>
        <w:pStyle w:val="Heading1"/>
        <w:pageBreakBefore/>
        <w:spacing w:after="20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3. INTERESSADOS E PREOCUPAÇÕES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A norma ISO/IEC/IEEE 42010 orienta descrever a arquitetura a partir de quem tem interesse nela e do que cada um precisa que ela garanta. As visões apresentadas nas seções seguintes existem para responder às preocupações listadas aqui.</w:t>
      </w:r>
    </w:p>
    <w:tbl>
      <w:tblPr>
        <w:tblW w:type="dxa" w:w="9072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2500"/>
        <w:gridCol w:w="2000"/>
        <w:gridCol w:w="5138"/>
      </w:tblGrid>
      <w:tr>
        <w:trPr>
          <w:tblHeader/>
        </w:trPr>
        <w:tc>
          <w:tcPr>
            <w:tcW w:type="dxa" w:w="25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Interessado</w:t>
            </w:r>
          </w:p>
        </w:tc>
        <w:tc>
          <w:tcPr>
            <w:tcW w:type="dxa" w:w="20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Papel</w:t>
            </w:r>
          </w:p>
        </w:tc>
        <w:tc>
          <w:tcPr>
            <w:tcW w:type="dxa" w:w="5138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Principal preocupação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Proprietária do ateliê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Usuária final e decisora</w:t>
            </w:r>
          </w:p>
        </w:tc>
        <w:tc>
          <w:tcPr>
            <w:tcW w:type="dxa" w:w="5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Saber o que produzir e não acumular estoque; confiar no número apresentado.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Equipe de produção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Usuária final</w:t>
            </w:r>
          </w:p>
        </w:tc>
        <w:tc>
          <w:tcPr>
            <w:tcW w:type="dxa" w:w="5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Registrar o trabalho com rapidez, no celular, mesmo sem rede.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Administrativo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Usuário final</w:t>
            </w:r>
          </w:p>
        </w:tc>
        <w:tc>
          <w:tcPr>
            <w:tcW w:type="dxa" w:w="5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Manter cadastros e enxergar estoque sem contar prateleira.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Cliente do produto (outro ateliê)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Comprador do SaaS</w:t>
            </w:r>
          </w:p>
        </w:tc>
        <w:tc>
          <w:tcPr>
            <w:tcW w:type="dxa" w:w="5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Ter os próprios dados isolados dos demais clientes e conseguir começar a usar sem projeto de implantação.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Operador do produto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Sustentação</w:t>
            </w:r>
          </w:p>
        </w:tc>
        <w:tc>
          <w:tcPr>
            <w:tcW w:type="dxa" w:w="5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Publicar correção sem interromper o uso; provisionar e remover empresas.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Desenvolvedor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Construção e evolução</w:t>
            </w:r>
          </w:p>
        </w:tc>
        <w:tc>
          <w:tcPr>
            <w:tcW w:type="dxa" w:w="5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Alterar uma regra sem quebrar as outras; testar sem infraestrutura.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Marketplaces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Sistemas externos</w:t>
            </w:r>
          </w:p>
        </w:tc>
        <w:tc>
          <w:tcPr>
            <w:tcW w:type="dxa" w:w="5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Receber respostas dentro do prazo esperado e não sofrer excesso de chamadas.</w:t>
            </w:r>
          </w:p>
        </w:tc>
      </w:tr>
    </w:tbl>
    <w:p>
      <w:pPr>
        <w:pStyle w:val="Heading1"/>
        <w:pageBreakBefore/>
        <w:spacing w:after="20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4. REQUISITOS ARQUITETURALMENTE SIGNIFICATIVOS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Nem todo requisito influencia a estrutura. Os listados abaixo influenciam: cada um restringe decisões, elimina alternativas ou obriga a existência de um componente. São eles que a arquitetura precisa sustentar, e é contra eles que ela deve ser avaliada.</w:t>
      </w:r>
    </w:p>
    <w:tbl>
      <w:tblPr>
        <w:tblW w:type="dxa" w:w="9072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1100"/>
        <w:gridCol w:w="1700"/>
        <w:gridCol w:w="3600"/>
        <w:gridCol w:w="3238"/>
      </w:tblGrid>
      <w:tr>
        <w:trPr>
          <w:tblHeader/>
        </w:trPr>
        <w:tc>
          <w:tcPr>
            <w:tcW w:type="dxa" w:w="11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Natureza</w:t>
            </w:r>
          </w:p>
        </w:tc>
        <w:tc>
          <w:tcPr>
            <w:tcW w:type="dxa" w:w="36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Requisito</w:t>
            </w:r>
          </w:p>
        </w:tc>
        <w:tc>
          <w:tcPr>
            <w:tcW w:type="dxa" w:w="3238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Impacto na arquitetura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RAS-01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Multiempresa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Uma única instância deve atender N empresas clientes, com isolamento completo dos dados entre elas.</w:t>
            </w:r>
          </w:p>
        </w:tc>
        <w:tc>
          <w:tcPr>
            <w:tcW w:type="dxa" w:w="32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Define o modelo de dados, o controle de acesso e todo o caminho de consulta.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RAS-02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Integração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Pedidos devem ser recebidos automaticamente de mais de um marketplace, com modelos de autenticação e formatos distintos.</w:t>
            </w:r>
          </w:p>
        </w:tc>
        <w:tc>
          <w:tcPr>
            <w:tcW w:type="dxa" w:w="32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Exige tradução na borda e impede que o formato externo entre no núcleo.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RAS-03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Planejamento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 necessidade de material e de capacidade deve ser derivada do pedido, sem digitação intermediária.</w:t>
            </w:r>
          </w:p>
        </w:tc>
        <w:tc>
          <w:tcPr>
            <w:tcW w:type="dxa" w:w="32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Define a existência de um motor de cálculo isolado e determinístico.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RAS-04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Operação sem rede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O registro de produção deve funcionar com conectividade intermitente.</w:t>
            </w:r>
          </w:p>
        </w:tc>
        <w:tc>
          <w:tcPr>
            <w:tcW w:type="dxa" w:w="32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Exige idempotência de escrita e fila no cliente.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RAS-05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Integridade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O saldo de produção não pode divergir do histórico em nenhuma circunstância.</w:t>
            </w:r>
          </w:p>
        </w:tc>
        <w:tc>
          <w:tcPr>
            <w:tcW w:type="dxa" w:w="32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Define o registro somente-inclusão como padrão do domínio.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RAS-06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Evolução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Regras de negócio mudam com frequência a partir do uso real.</w:t>
            </w:r>
          </w:p>
        </w:tc>
        <w:tc>
          <w:tcPr>
            <w:tcW w:type="dxa" w:w="32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Exige regra pura separada de infraestrutura e bateria de testes rápida.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RAS-07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Custo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O produto precisa ser viável para microempresas.</w:t>
            </w:r>
          </w:p>
        </w:tc>
        <w:tc>
          <w:tcPr>
            <w:tcW w:type="dxa" w:w="32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Restringe a arquitetura a serviços gerenciados de baixo custo e a uma implantação simples.</w:t>
            </w:r>
          </w:p>
        </w:tc>
      </w:tr>
    </w:tbl>
    <w:p>
      <w:pPr>
        <w:pStyle w:val="Heading1"/>
        <w:pageBreakBefore/>
        <w:spacing w:after="20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5. ATRIBUTOS DE QUALIDADE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Atributo de qualidade declarado como adjetivo não é verificável: dizer que o sistema deve ser seguro ou rápido não permite decidir se a arquitetura atende. Os cenários abaixo seguem o formato de seis partes, com medida de resposta explícita, o que os torna critério de aceitação da arquitetura.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CQ-01 — Segurança — isolamento entre empresas</w:t>
      </w:r>
    </w:p>
    <w:tbl>
      <w:tblPr>
        <w:tblW w:type="dxa" w:w="9072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Fonte do estímulo</w:t>
            </w:r>
          </w:p>
        </w:tc>
        <w:tc>
          <w:tcPr>
            <w:tcW w:type="dxa" w:w="74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Usuário autenticado da empresa A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Estímulo</w:t>
            </w:r>
          </w:p>
        </w:tc>
        <w:tc>
          <w:tcPr>
            <w:tcW w:type="dxa" w:w="74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Requisita um recurso informando o identificador de um registro da empresa B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Ambiente</w:t>
            </w:r>
          </w:p>
        </w:tc>
        <w:tc>
          <w:tcPr>
            <w:tcW w:type="dxa" w:w="74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Operação normal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Artefato</w:t>
            </w:r>
          </w:p>
        </w:tc>
        <w:tc>
          <w:tcPr>
            <w:tcW w:type="dxa" w:w="74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Camada de acesso a dados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Resposta</w:t>
            </w:r>
          </w:p>
        </w:tc>
        <w:tc>
          <w:tcPr>
            <w:tcW w:type="dxa" w:w="74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 requisição é recusada como recurso não encontrado, sem revelar a existência do registro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Medida da resposta</w:t>
            </w:r>
          </w:p>
        </w:tc>
        <w:tc>
          <w:tcPr>
            <w:tcW w:type="dxa" w:w="74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100% das consultas filtradas por empresa; teste automatizado de tentativa de vazamento em toda entidade com dado de cliente</w:t>
            </w:r>
          </w:p>
        </w:tc>
      </w:tr>
    </w:tbl>
    <w:p>
      <w:pPr>
        <w:spacing w:after="10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CQ-02 — Disponibilidade — operação sem rede</w:t>
      </w:r>
    </w:p>
    <w:tbl>
      <w:tblPr>
        <w:tblW w:type="dxa" w:w="9072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Fonte do estímulo</w:t>
            </w:r>
          </w:p>
        </w:tc>
        <w:tc>
          <w:tcPr>
            <w:tcW w:type="dxa" w:w="74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Equipe de produção no ateliê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Estímulo</w:t>
            </w:r>
          </w:p>
        </w:tc>
        <w:tc>
          <w:tcPr>
            <w:tcW w:type="dxa" w:w="74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Registra movimentação com a conexão indisponível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Ambiente</w:t>
            </w:r>
          </w:p>
        </w:tc>
        <w:tc>
          <w:tcPr>
            <w:tcW w:type="dxa" w:w="74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Degradado, sem rede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Artefato</w:t>
            </w:r>
          </w:p>
        </w:tc>
        <w:tc>
          <w:tcPr>
            <w:tcW w:type="dxa" w:w="74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Aplicação web e fila local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Resposta</w:t>
            </w:r>
          </w:p>
        </w:tc>
        <w:tc>
          <w:tcPr>
            <w:tcW w:type="dxa" w:w="74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 operação é aceita localmente e reenviada quando a rede retorna, sem duplicar o lançamento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Medida da resposta</w:t>
            </w:r>
          </w:p>
        </w:tc>
        <w:tc>
          <w:tcPr>
            <w:tcW w:type="dxa" w:w="74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Zero perda de registro; zero duplicidade em reenvio, garantida por chave de idempotência gerada no cliente</w:t>
            </w:r>
          </w:p>
        </w:tc>
      </w:tr>
    </w:tbl>
    <w:p>
      <w:pPr>
        <w:spacing w:after="10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CQ-03 — Desempenho — recálculo de necessidades</w:t>
      </w:r>
    </w:p>
    <w:tbl>
      <w:tblPr>
        <w:tblW w:type="dxa" w:w="9072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Fonte do estímulo</w:t>
            </w:r>
          </w:p>
        </w:tc>
        <w:tc>
          <w:tcPr>
            <w:tcW w:type="dxa" w:w="74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Evento de pedido novo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Estímulo</w:t>
            </w:r>
          </w:p>
        </w:tc>
        <w:tc>
          <w:tcPr>
            <w:tcW w:type="dxa" w:w="74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Chegada de pedido que dispara a explosão de necessidades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Ambiente</w:t>
            </w:r>
          </w:p>
        </w:tc>
        <w:tc>
          <w:tcPr>
            <w:tcW w:type="dxa" w:w="74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Operação normal, catálogo de até 500 peças e 50 insumos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Artefato</w:t>
            </w:r>
          </w:p>
        </w:tc>
        <w:tc>
          <w:tcPr>
            <w:tcW w:type="dxa" w:w="74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Motor de MRP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Resposta</w:t>
            </w:r>
          </w:p>
        </w:tc>
        <w:tc>
          <w:tcPr>
            <w:tcW w:type="dxa" w:w="74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Necessidades bruta e líquida calculadas e persistidas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Medida da resposta</w:t>
            </w:r>
          </w:p>
        </w:tc>
        <w:tc>
          <w:tcPr>
            <w:tcW w:type="dxa" w:w="74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Percentil 95 abaixo de 3 segundos, medido do consumo do evento à gravação</w:t>
            </w:r>
          </w:p>
        </w:tc>
      </w:tr>
    </w:tbl>
    <w:p>
      <w:pPr>
        <w:spacing w:after="10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CQ-04 — Interoperabilidade — recebimento de pedido</w:t>
      </w:r>
    </w:p>
    <w:tbl>
      <w:tblPr>
        <w:tblW w:type="dxa" w:w="9072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Fonte do estímulo</w:t>
            </w:r>
          </w:p>
        </w:tc>
        <w:tc>
          <w:tcPr>
            <w:tcW w:type="dxa" w:w="74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Marketplace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Estímulo</w:t>
            </w:r>
          </w:p>
        </w:tc>
        <w:tc>
          <w:tcPr>
            <w:tcW w:type="dxa" w:w="74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Envia notificação de pedido novo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Ambiente</w:t>
            </w:r>
          </w:p>
        </w:tc>
        <w:tc>
          <w:tcPr>
            <w:tcW w:type="dxa" w:w="74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Operação normal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Artefato</w:t>
            </w:r>
          </w:p>
        </w:tc>
        <w:tc>
          <w:tcPr>
            <w:tcW w:type="dxa" w:w="74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Receptor de eventos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Resposta</w:t>
            </w:r>
          </w:p>
        </w:tc>
        <w:tc>
          <w:tcPr>
            <w:tcW w:type="dxa" w:w="74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Assinatura validada, evento aceito e enfileirado; resposta devolvida antes do tempo limite do provedor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Medida da resposta</w:t>
            </w:r>
          </w:p>
        </w:tc>
        <w:tc>
          <w:tcPr>
            <w:tcW w:type="dxa" w:w="74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Resposta em até 500 ms; processamento assíncrono; reentrega tratada sem efeito duplicado</w:t>
            </w:r>
          </w:p>
        </w:tc>
      </w:tr>
    </w:tbl>
    <w:p>
      <w:pPr>
        <w:spacing w:after="10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CQ-05 — Modificabilidade — novo canal de venda</w:t>
      </w:r>
    </w:p>
    <w:tbl>
      <w:tblPr>
        <w:tblW w:type="dxa" w:w="9072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Fonte do estímulo</w:t>
            </w:r>
          </w:p>
        </w:tc>
        <w:tc>
          <w:tcPr>
            <w:tcW w:type="dxa" w:w="74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Equipe de desenvolvimento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Estímulo</w:t>
            </w:r>
          </w:p>
        </w:tc>
        <w:tc>
          <w:tcPr>
            <w:tcW w:type="dxa" w:w="74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Necessidade de integrar um terceiro marketplace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Ambiente</w:t>
            </w:r>
          </w:p>
        </w:tc>
        <w:tc>
          <w:tcPr>
            <w:tcW w:type="dxa" w:w="74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Desenvolvimento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Artefato</w:t>
            </w:r>
          </w:p>
        </w:tc>
        <w:tc>
          <w:tcPr>
            <w:tcW w:type="dxa" w:w="74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Adaptadores de canal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Resposta</w:t>
            </w:r>
          </w:p>
        </w:tc>
        <w:tc>
          <w:tcPr>
            <w:tcW w:type="dxa" w:w="74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Novo adaptador implementa a porta existente sem alterar o núcleo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Medida da resposta</w:t>
            </w:r>
          </w:p>
        </w:tc>
        <w:tc>
          <w:tcPr>
            <w:tcW w:type="dxa" w:w="74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Nenhuma alteração em serviços de domínio ou no motor de cálculo; esforço estimado em até 24 horas</w:t>
            </w:r>
          </w:p>
        </w:tc>
      </w:tr>
    </w:tbl>
    <w:p>
      <w:pPr>
        <w:spacing w:after="10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CQ-06 — Testabilidade — regra de negócio</w:t>
      </w:r>
    </w:p>
    <w:tbl>
      <w:tblPr>
        <w:tblW w:type="dxa" w:w="9072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Fonte do estímulo</w:t>
            </w:r>
          </w:p>
        </w:tc>
        <w:tc>
          <w:tcPr>
            <w:tcW w:type="dxa" w:w="74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Desenvolvedor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Estímulo</w:t>
            </w:r>
          </w:p>
        </w:tc>
        <w:tc>
          <w:tcPr>
            <w:tcW w:type="dxa" w:w="74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Altera uma regra de cálculo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Ambiente</w:t>
            </w:r>
          </w:p>
        </w:tc>
        <w:tc>
          <w:tcPr>
            <w:tcW w:type="dxa" w:w="74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Desenvolvimento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Artefato</w:t>
            </w:r>
          </w:p>
        </w:tc>
        <w:tc>
          <w:tcPr>
            <w:tcW w:type="dxa" w:w="74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Camada de regra pura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Resposta</w:t>
            </w:r>
          </w:p>
        </w:tc>
        <w:tc>
          <w:tcPr>
            <w:tcW w:type="dxa" w:w="74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 bateria de regra pura executa sem banco de dados nem rede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Medida da resposta</w:t>
            </w:r>
          </w:p>
        </w:tc>
        <w:tc>
          <w:tcPr>
            <w:tcW w:type="dxa" w:w="74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Bateria completa em menos de 5 segundos; hoje mais de 440 casos em 24 arquivos, em cerca de 2 segundos</w:t>
            </w:r>
          </w:p>
        </w:tc>
      </w:tr>
    </w:tbl>
    <w:p>
      <w:pPr>
        <w:spacing w:after="10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CQ-07 — Usabilidade — uso em campo</w:t>
      </w:r>
    </w:p>
    <w:tbl>
      <w:tblPr>
        <w:tblW w:type="dxa" w:w="9072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Fonte do estímulo</w:t>
            </w:r>
          </w:p>
        </w:tc>
        <w:tc>
          <w:tcPr>
            <w:tcW w:type="dxa" w:w="74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Pessoa da produção com as mãos sujas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Estímulo</w:t>
            </w:r>
          </w:p>
        </w:tc>
        <w:tc>
          <w:tcPr>
            <w:tcW w:type="dxa" w:w="74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Registra avanço de lote no celular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Ambiente</w:t>
            </w:r>
          </w:p>
        </w:tc>
        <w:tc>
          <w:tcPr>
            <w:tcW w:type="dxa" w:w="74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Ateliê, tela pequena, uso em pé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Artefato</w:t>
            </w:r>
          </w:p>
        </w:tc>
        <w:tc>
          <w:tcPr>
            <w:tcW w:type="dxa" w:w="74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Interface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Resposta</w:t>
            </w:r>
          </w:p>
        </w:tc>
        <w:tc>
          <w:tcPr>
            <w:tcW w:type="dxa" w:w="74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 operação é concluída sem rolagem lateral e sem ampliação acidental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Medida da resposta</w:t>
            </w:r>
          </w:p>
        </w:tc>
        <w:tc>
          <w:tcPr>
            <w:tcW w:type="dxa" w:w="74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Funciona a partir de 375 pixels; alvos de toque com no mínimo 44 pixels; fonte de campo não inferior a 16 pixels</w:t>
            </w:r>
          </w:p>
        </w:tc>
      </w:tr>
    </w:tbl>
    <w:p>
      <w:pPr>
        <w:spacing w:after="10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CQ-08 — Escalabilidade — crescimento de clientes</w:t>
      </w:r>
    </w:p>
    <w:tbl>
      <w:tblPr>
        <w:tblW w:type="dxa" w:w="9072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Fonte do estímulo</w:t>
            </w:r>
          </w:p>
        </w:tc>
        <w:tc>
          <w:tcPr>
            <w:tcW w:type="dxa" w:w="74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Comercial do produto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Estímulo</w:t>
            </w:r>
          </w:p>
        </w:tc>
        <w:tc>
          <w:tcPr>
            <w:tcW w:type="dxa" w:w="74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Provisiona uma empresa nova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Ambiente</w:t>
            </w:r>
          </w:p>
        </w:tc>
        <w:tc>
          <w:tcPr>
            <w:tcW w:type="dxa" w:w="74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Operação normal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Artefato</w:t>
            </w:r>
          </w:p>
        </w:tc>
        <w:tc>
          <w:tcPr>
            <w:tcW w:type="dxa" w:w="74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Módulo de administração do produto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Resposta</w:t>
            </w:r>
          </w:p>
        </w:tc>
        <w:tc>
          <w:tcPr>
            <w:tcW w:type="dxa" w:w="74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Empresa criada com catálogo inicial e primeiro usuário, pronta para uso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Medida da resposta</w:t>
            </w:r>
          </w:p>
        </w:tc>
        <w:tc>
          <w:tcPr>
            <w:tcW w:type="dxa" w:w="74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Menos de 5 minutos, sem alteração de estrutura de banco e sem nova implantação</w:t>
            </w:r>
          </w:p>
        </w:tc>
      </w:tr>
    </w:tbl>
    <w:p>
      <w:pPr>
        <w:spacing w:after="10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/>
      </w:r>
    </w:p>
    <w:p>
      <w:pPr>
        <w:pStyle w:val="Heading1"/>
        <w:pageBreakBefore/>
        <w:spacing w:after="20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6. VISÃO DE CONTEXTO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O primeiro nível do modelo C4 posiciona o sistema entre seus atores e sistemas externos. A diferença central em relação à versão atual está no tracejado à esquerda: os usuários pertencem a uma empresa cliente, e o mesmo sistema atende várias delas.</w:t>
      </w:r>
    </w:p>
    <w:p>
      <w:pPr>
        <w:spacing w:after="80" w:before="120"/>
        <w:jc w:val="center"/>
      </w:pPr>
      <w:r>
        <w:drawing>
          <wp:inline distT="0" distB="0" distL="0" distR="0">
            <wp:extent cx="5940742" cy="361104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742" cy="361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A5654"/>
          <w:sz w:val="18"/>
          <w:szCs w:val="18"/>
        </w:rPr>
        <w:t xml:space="preserve">Figura 1 — Contexto do sistema como produto multiempresa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Os dois marketplaces aparecem com seus mecanismos de autenticação porque eles são incompatíveis entre si, e essa incompatibilidade é a justificativa técnica da decisão registrada na ADR-02.</w:t>
      </w:r>
    </w:p>
    <w:p>
      <w:pPr>
        <w:pStyle w:val="Heading1"/>
        <w:pageBreakBefore/>
        <w:spacing w:after="20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7. VISÃO DE CONTÊINERES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O segundo nível mostra as unidades executáveis e de armazenamento. Três pontos merecem atenção.</w:t>
      </w:r>
    </w:p>
    <w:p>
      <w:pPr>
        <w:spacing w:after="80" w:before="120"/>
        <w:jc w:val="center"/>
      </w:pPr>
      <w:r>
        <w:drawing>
          <wp:inline distT="0" distB="0" distL="0" distR="0">
            <wp:extent cx="5940742" cy="384401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742" cy="384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A5654"/>
          <w:sz w:val="18"/>
          <w:szCs w:val="18"/>
        </w:rPr>
        <w:t xml:space="preserve">Figura 2 — Contêineres e responsabilidades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O receptor de eventos é separado da interface de programação principal: ele é o único componente exposto a chamadas não autenticadas por sessão, e sua responsabilidade é validar assinatura, persistir e responder rápido.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O motor de MRP e CRP não conhece banco nem canal externo. Recebe dados e devolve resultado, o que o torna exercitável sem infraestrutura e é a base do cenário CQ-06.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Os adaptadores de marketplace concentram todo conhecimento sobre formatos externos. Nenhum outro componente sabe que Mercado Livre ou Shopee existem.</w:t>
      </w:r>
    </w:p>
    <w:p>
      <w:pPr>
        <w:pStyle w:val="Heading1"/>
        <w:pageBreakBefore/>
        <w:spacing w:after="20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8. VISÃO DE PROCESSO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A sequência abaixo mostra o caminho completo de um pedido, do recebimento à sugestão de compra, e evidencia as duas fronteiras de confiabilidade: a resposta rápida ao provedor e a gravação idempotente.</w:t>
      </w:r>
    </w:p>
    <w:p>
      <w:pPr>
        <w:spacing w:after="80" w:before="120"/>
        <w:jc w:val="center"/>
      </w:pPr>
      <w:r>
        <w:drawing>
          <wp:inline distT="0" distB="0" distL="0" distR="0">
            <wp:extent cx="5940742" cy="365584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742" cy="3655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A5654"/>
          <w:sz w:val="18"/>
          <w:szCs w:val="18"/>
        </w:rPr>
        <w:t xml:space="preserve">Figura 3 — Do pedido no marketplace à sugestão de compra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O receptor responde ao provedor antes de qualquer processamento pesado. Essa ordem não é detalhe de implementação: os dois marketplaces reenviam a notificação quando não recebem confirmação no prazo, e processar de forma síncrona transformaria uma lentidão momentânea em uma cascata de reenvios. A decisão está registrada na ADR-06.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A gravação do pedido usa como chave a combinação de canal e identificador externo. Reentrega, portanto, não duplica: encontra o registro existente e encerra sem efeito.</w:t>
      </w:r>
    </w:p>
    <w:p>
      <w:pPr>
        <w:pStyle w:val="Heading1"/>
        <w:pageBreakBefore/>
        <w:spacing w:after="20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9. VISÃO DE IMPLANTAÇÃO</w:t>
      </w:r>
    </w:p>
    <w:p>
      <w:pPr>
        <w:spacing w:after="80" w:before="120"/>
        <w:jc w:val="center"/>
      </w:pPr>
      <w:r>
        <w:drawing>
          <wp:inline distT="0" distB="0" distL="0" distR="0">
            <wp:extent cx="5940742" cy="302861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742" cy="3028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A5654"/>
          <w:sz w:val="18"/>
          <w:szCs w:val="18"/>
        </w:rPr>
        <w:t xml:space="preserve">Figura 4 — Nós de implantação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A implantação usa serviços gerenciados de baixo custo, restrição imposta pelo RAS-07. O banco fica na mesma região do servidor de aplicação para reduzir latência de consulta, e a publicação é automática a cada envio aprovado pela verificação obrigatória.</w:t>
      </w:r>
    </w:p>
    <w:p>
      <w:pPr>
        <w:pStyle w:val="Heading1"/>
        <w:pageBreakBefore/>
        <w:spacing w:after="20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10. ARQUITETURA MULTIEMPRESA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A decisão de isolamento é a mais consequente deste documento, porque contamina todas as camadas: modelo de dados, autenticação, consultas, migrações e testes.</w:t>
      </w:r>
    </w:p>
    <w:p>
      <w:pPr>
        <w:spacing w:after="80" w:before="120"/>
        <w:jc w:val="center"/>
      </w:pPr>
      <w:r>
        <w:drawing>
          <wp:inline distT="0" distB="0" distL="0" distR="0">
            <wp:extent cx="5940742" cy="326158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742" cy="3261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A5654"/>
          <w:sz w:val="18"/>
          <w:szCs w:val="18"/>
        </w:rPr>
        <w:t xml:space="preserve">Figura 5 — Isolamento por discriminador em base única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2B2725"/>
          <w:sz w:val="23"/>
          <w:szCs w:val="23"/>
        </w:rPr>
        <w:t xml:space="preserve">10.1 Estratégia adotada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Base única com coluna discriminadora em toda entidade que carrega dado de cliente. A empresa é resolvida a partir do token de sessão, colocada no contexto da requisição, e aplicada como filtro pela extensão do cliente de acesso a dados — não pela consulta escrita à mão em cada serviço.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b/>
          <w:bCs/>
          <w:color w:val="2B2725"/>
          <w:sz w:val="22"/>
          <w:szCs w:val="22"/>
        </w:rPr>
        <w:t xml:space="preserve">A distinção importa. </w:t>
      </w:r>
      <w:r>
        <w:rPr>
          <w:rFonts w:ascii="Calibri" w:cs="Calibri" w:eastAsia="Calibri" w:hAnsi="Calibri"/>
          <w:color w:val="2B2725"/>
          <w:sz w:val="22"/>
          <w:szCs w:val="22"/>
        </w:rPr>
        <w:t xml:space="preserve">Se o filtro depender de quem escreve a consulta, o isolamento passa a depender de disciplina humana repetida centenas de vezes, e basta uma omissão para vazar dado entre clientes. Aplicando na camada de acesso, o comportamento seguro passa a ser o padrão, e escapar dele exige ação deliberada e visível em revisão.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2B2725"/>
          <w:sz w:val="23"/>
          <w:szCs w:val="23"/>
        </w:rPr>
        <w:t xml:space="preserve">10.2 O que muda no modelo de dados</w:t>
      </w:r>
    </w:p>
    <w:tbl>
      <w:tblPr>
        <w:tblW w:type="dxa" w:w="9072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2600"/>
        <w:gridCol w:w="1400"/>
        <w:gridCol w:w="5638"/>
      </w:tblGrid>
      <w:tr>
        <w:trPr>
          <w:tblHeader/>
        </w:trPr>
        <w:tc>
          <w:tcPr>
            <w:tcW w:type="dxa" w:w="26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Tabela</w:t>
            </w:r>
          </w:p>
        </w:tc>
        <w:tc>
          <w:tcPr>
            <w:tcW w:type="dxa" w:w="14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Situação</w:t>
            </w:r>
          </w:p>
        </w:tc>
        <w:tc>
          <w:tcPr>
            <w:tcW w:type="dxa" w:w="5638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empresas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Nova</w:t>
            </w:r>
          </w:p>
        </w:tc>
        <w:tc>
          <w:tcPr>
            <w:tcW w:type="dxa" w:w="56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Identifica cada ateliê cliente: razão social, situação do contrato, data de provisionamento.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Todas as tabelas de dado de cliente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Alterada</w:t>
            </w:r>
          </w:p>
        </w:tc>
        <w:tc>
          <w:tcPr>
            <w:tcW w:type="dxa" w:w="56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Recebem a coluna de empresa, com índice composto iniciando por ela; a chave de unicidade de nome passa a ser por empresa, e não global.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canais_venda_integrados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Nova</w:t>
            </w:r>
          </w:p>
        </w:tc>
        <w:tc>
          <w:tcPr>
            <w:tcW w:type="dxa" w:w="56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Credenciais e situação da conexão por empresa e por marketplace, com token e data de expiração.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pedidos_externos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Nova</w:t>
            </w:r>
          </w:p>
        </w:tc>
        <w:tc>
          <w:tcPr>
            <w:tcW w:type="dxa" w:w="56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Pedido recebido do canal, com identificador externo, data prometida, situação e vínculo com a venda.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itens_pedido_externo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Nova</w:t>
            </w:r>
          </w:p>
        </w:tc>
        <w:tc>
          <w:tcPr>
            <w:tcW w:type="dxa" w:w="56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Peça, cor, quantidade e valor de cada linha do pedido.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eventos_canal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Nova</w:t>
            </w:r>
          </w:p>
        </w:tc>
        <w:tc>
          <w:tcPr>
            <w:tcW w:type="dxa" w:w="56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Evento bruto recebido, com assinatura, situação de processamento e número de tentativas.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necessidades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Nova</w:t>
            </w:r>
          </w:p>
        </w:tc>
        <w:tc>
          <w:tcPr>
            <w:tcW w:type="dxa" w:w="56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Resultado da explosão: insumo, necessidade bruta, líquida, data de necessidade e origem do cálculo.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ordens_compra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Nova</w:t>
            </w:r>
          </w:p>
        </w:tc>
        <w:tc>
          <w:tcPr>
            <w:tcW w:type="dxa" w:w="56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Sugestão ou pedido de compra emitido, com fornecedor, quantidade, data de emissão e de chegada prevista.</w:t>
            </w:r>
          </w:p>
        </w:tc>
      </w:tr>
    </w:tbl>
    <w:p>
      <w:pPr>
        <w:spacing w:after="12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/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Uma consequência sutil merece registro: as restrições de unicidade deixam de ser globais e passam a ser por empresa. Hoje o nome da peça é único no sistema inteiro; no produto, dois ateliês podem ter cada um a sua "Xícara Reta", e a chave passa a ser a combinação de empresa e nome.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2B2725"/>
          <w:sz w:val="23"/>
          <w:szCs w:val="23"/>
        </w:rPr>
        <w:t xml:space="preserve">10.3 Como o isolamento é verificado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Isolamento afirmado em documento não vale nada; o que vale é o teste que tenta violá-lo. A bateria prevista percorre todas as entidades com dado de cliente e, para cada uma, cria registros em duas empresas e tenta alcançar o registro alheio por identificador direto, por filtro e por relacionamento. A ausência desse teste é o principal risco técnico do projeto, registrado como RT-01.</w:t>
      </w:r>
    </w:p>
    <w:p>
      <w:pPr>
        <w:pStyle w:val="Heading1"/>
        <w:pageBreakBefore/>
        <w:spacing w:after="20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11. INTEGRAÇÃO COM CANAIS DE VENDA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2B2725"/>
          <w:sz w:val="23"/>
          <w:szCs w:val="23"/>
        </w:rPr>
        <w:t xml:space="preserve">11.1 O problema da diferença entre canais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Os dois marketplaces alvo resolvem os mesmos problemas de formas incompatíveis. O Mercado Livre usa autorização OAuth 2.0, notifica por tópico — orders_v2 para vendas confirmadas — enviando um aviso para uma URL pública configurada na aplicação, e espera que o sistema consulte o recurso completo em seguida. A Shopee usa identificador e chave de parceiro, exige assinatura HMAC-SHA256 calculada sobre uma cadeia que inclui caminho, tempo, token e identificador da loja, e opera com token por loja autorizada.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Trazer essas diferenças para dentro do domínio significaria que a regra de produção passaria a conhecer conceitos de marketplace. Cada canal novo, ou cada mudança de contrato de um deles, tocaria código compartilhado.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2B2725"/>
          <w:sz w:val="23"/>
          <w:szCs w:val="23"/>
        </w:rPr>
        <w:t xml:space="preserve">11.2 Porta e adaptadores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O núcleo define uma porta de canal de venda, com as operações que ele precisa: autorizar uma loja, receber um evento, obter um pedido e informar o envio. Cada marketplace implementa essa porta em um adaptador próprio, responsável por autenticação, tradução de formato e normalização de estados.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O adaptador é uma camada anticorrupção no sentido de Evans: além de traduzir estruturas, ele traduz vocabulário. O que um canal chama de pack e o outro de order collection chega ao domínio como um único conceito de pedido, com itens, quantidade e prazo.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2B2725"/>
          <w:sz w:val="23"/>
          <w:szCs w:val="23"/>
        </w:rPr>
        <w:t xml:space="preserve">11.3 Confiabilidade da recepção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Validação de assinatura antes de qualquer processamento, recusando o que não vier do provedor.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Persistência do evento bruto, o que permite reprocessar sem pedir reenvio ao marketplace.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Resposta ao provedor em até 500 ms, com processamento delegado à fila (CQ-04).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Gravação idempotente por canal e identificador externo, porque reentrega é comportamento normal e não exceção (RT-03).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Controle de vazão e recuo exponencial nas chamadas de saída, para não exceder o limite de requisições do provedor (RT-06).</w:t>
      </w:r>
    </w:p>
    <w:p>
      <w:pPr>
        <w:pStyle w:val="Heading1"/>
        <w:pageBreakBefore/>
        <w:spacing w:after="20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12. PLANEJAMENTO DE NECESSIDADES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O cálculo pedido é, em termos formais, um MRP de nível único com verificação de capacidade. A peça é o item de demanda independente; os insumos da lista técnica são itens de demanda dependente, derivados dela.</w:t>
      </w:r>
    </w:p>
    <w:p>
      <w:pPr>
        <w:spacing w:after="80" w:before="120"/>
        <w:jc w:val="center"/>
      </w:pPr>
      <w:r>
        <w:drawing>
          <wp:inline distT="0" distB="0" distL="0" distR="0">
            <wp:extent cx="5940742" cy="384401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742" cy="384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A5654"/>
          <w:sz w:val="18"/>
          <w:szCs w:val="18"/>
        </w:rPr>
        <w:t xml:space="preserve">Figura 6 — Explosão de necessidades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2B2725"/>
          <w:sz w:val="23"/>
          <w:szCs w:val="23"/>
        </w:rPr>
        <w:t xml:space="preserve">12.1 Modelo formal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2B2725"/>
          <w:sz w:val="21"/>
          <w:szCs w:val="21"/>
        </w:rPr>
        <w:t xml:space="preserve">Quantidade a produzir</w:t>
      </w:r>
    </w:p>
    <w:p>
      <w:pPr>
        <w:spacing w:after="60" w:before="60"/>
        <w:jc w:val="center"/>
      </w:pPr>
      <w:r>
        <w:rPr>
          <w:rFonts w:ascii="Consolas" w:cs="Consolas" w:eastAsia="Consolas" w:hAnsi="Consolas"/>
          <w:color w:val="1F3864"/>
          <w:sz w:val="21"/>
          <w:szCs w:val="21"/>
        </w:rPr>
        <w:t xml:space="preserve">Qp = ⌈ Qd ÷ (1 − p) ⌉</w:t>
      </w:r>
    </w:p>
    <w:p>
      <w:pPr>
        <w:spacing w:after="60" w:line="300"/>
        <w:jc w:val="both"/>
      </w:pPr>
      <w:r>
        <w:rPr>
          <w:rFonts w:ascii="Calibri" w:cs="Calibri" w:eastAsia="Calibri" w:hAnsi="Calibri"/>
          <w:color w:val="2B2725"/>
          <w:sz w:val="20"/>
          <w:szCs w:val="20"/>
        </w:rPr>
        <w:t xml:space="preserve">Qd é a quantidade demandada e p a taxa de perda da peça. Divide-se pelo aproveitamento em vez de somar a perda: somar subestima, porque a peça reposta também pode se perder.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2B2725"/>
          <w:sz w:val="21"/>
          <w:szCs w:val="21"/>
        </w:rPr>
        <w:t xml:space="preserve">Taxa de perda aplicada</w:t>
      </w:r>
    </w:p>
    <w:p>
      <w:pPr>
        <w:spacing w:after="60" w:before="60"/>
        <w:jc w:val="center"/>
      </w:pPr>
      <w:r>
        <w:rPr>
          <w:rFonts w:ascii="Consolas" w:cs="Consolas" w:eastAsia="Consolas" w:hAnsi="Consolas"/>
          <w:color w:val="1F3864"/>
          <w:sz w:val="21"/>
          <w:szCs w:val="21"/>
        </w:rPr>
        <w:t xml:space="preserve">p = perda medida, se n ≥ 30; senão perda estimada</w:t>
      </w:r>
    </w:p>
    <w:p>
      <w:pPr>
        <w:spacing w:after="60" w:line="300"/>
        <w:jc w:val="both"/>
      </w:pPr>
      <w:r>
        <w:rPr>
          <w:rFonts w:ascii="Calibri" w:cs="Calibri" w:eastAsia="Calibri" w:hAnsi="Calibri"/>
          <w:color w:val="2B2725"/>
          <w:sz w:val="20"/>
          <w:szCs w:val="20"/>
        </w:rPr>
        <w:t xml:space="preserve">n é o número de peças no histórico. Abaixo da amostra mínima, um lote azarado distorceria o cálculo.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2B2725"/>
          <w:sz w:val="21"/>
          <w:szCs w:val="21"/>
        </w:rPr>
        <w:t xml:space="preserve">Necessidade bruta</w:t>
      </w:r>
    </w:p>
    <w:p>
      <w:pPr>
        <w:spacing w:after="60" w:before="60"/>
        <w:jc w:val="center"/>
      </w:pPr>
      <w:r>
        <w:rPr>
          <w:rFonts w:ascii="Consolas" w:cs="Consolas" w:eastAsia="Consolas" w:hAnsi="Consolas"/>
          <w:color w:val="1F3864"/>
          <w:sz w:val="21"/>
          <w:szCs w:val="21"/>
        </w:rPr>
        <w:t xml:space="preserve">NB(i) = Σ ( Qp(j) × c(i,j) )</w:t>
      </w:r>
    </w:p>
    <w:p>
      <w:pPr>
        <w:spacing w:after="60" w:line="300"/>
        <w:jc w:val="both"/>
      </w:pPr>
      <w:r>
        <w:rPr>
          <w:rFonts w:ascii="Calibri" w:cs="Calibri" w:eastAsia="Calibri" w:hAnsi="Calibri"/>
          <w:color w:val="2B2725"/>
          <w:sz w:val="20"/>
          <w:szCs w:val="20"/>
        </w:rPr>
        <w:t xml:space="preserve">Para o insumo i, somando todas as peças j do horizonte. c(i,j) é o consumo unitário na lista técnica.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2B2725"/>
          <w:sz w:val="21"/>
          <w:szCs w:val="21"/>
        </w:rPr>
        <w:t xml:space="preserve">Necessidade líquida</w:t>
      </w:r>
    </w:p>
    <w:p>
      <w:pPr>
        <w:spacing w:after="60" w:before="60"/>
        <w:jc w:val="center"/>
      </w:pPr>
      <w:r>
        <w:rPr>
          <w:rFonts w:ascii="Consolas" w:cs="Consolas" w:eastAsia="Consolas" w:hAnsi="Consolas"/>
          <w:color w:val="1F3864"/>
          <w:sz w:val="21"/>
          <w:szCs w:val="21"/>
        </w:rPr>
        <w:t xml:space="preserve">NL(i) = máx( 0, NB(i) − D(i) − E(i) )</w:t>
      </w:r>
    </w:p>
    <w:p>
      <w:pPr>
        <w:spacing w:after="60" w:line="300"/>
        <w:jc w:val="both"/>
      </w:pPr>
      <w:r>
        <w:rPr>
          <w:rFonts w:ascii="Calibri" w:cs="Calibri" w:eastAsia="Calibri" w:hAnsi="Calibri"/>
          <w:color w:val="2B2725"/>
          <w:sz w:val="20"/>
          <w:szCs w:val="20"/>
        </w:rPr>
        <w:t xml:space="preserve">D(i) é o estoque disponível e E(i) o que já está em ordem de compra em aberto. Nunca negativa: sobra não vira compra.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2B2725"/>
          <w:sz w:val="21"/>
          <w:szCs w:val="21"/>
        </w:rPr>
        <w:t xml:space="preserve">Quantidade a comprar</w:t>
      </w:r>
    </w:p>
    <w:p>
      <w:pPr>
        <w:spacing w:after="60" w:before="60"/>
        <w:jc w:val="center"/>
      </w:pPr>
      <w:r>
        <w:rPr>
          <w:rFonts w:ascii="Consolas" w:cs="Consolas" w:eastAsia="Consolas" w:hAnsi="Consolas"/>
          <w:color w:val="1F3864"/>
          <w:sz w:val="21"/>
          <w:szCs w:val="21"/>
        </w:rPr>
        <w:t xml:space="preserve">QC(i) = NL(i) + Emin(i), se NL(i) &gt; 0</w:t>
      </w:r>
    </w:p>
    <w:p>
      <w:pPr>
        <w:spacing w:after="60" w:line="300"/>
        <w:jc w:val="both"/>
      </w:pPr>
      <w:r>
        <w:rPr>
          <w:rFonts w:ascii="Calibri" w:cs="Calibri" w:eastAsia="Calibri" w:hAnsi="Calibri"/>
          <w:color w:val="2B2725"/>
          <w:sz w:val="20"/>
          <w:szCs w:val="20"/>
        </w:rPr>
        <w:t xml:space="preserve">Emin(i) é o estoque mínimo de segurança, para a compra não deixar o insumo exatamente em zero.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2B2725"/>
          <w:sz w:val="21"/>
          <w:szCs w:val="21"/>
        </w:rPr>
        <w:t xml:space="preserve">Data de emissão da compra</w:t>
      </w:r>
    </w:p>
    <w:p>
      <w:pPr>
        <w:spacing w:after="60" w:before="60"/>
        <w:jc w:val="center"/>
      </w:pPr>
      <w:r>
        <w:rPr>
          <w:rFonts w:ascii="Consolas" w:cs="Consolas" w:eastAsia="Consolas" w:hAnsi="Consolas"/>
          <w:color w:val="1F3864"/>
          <w:sz w:val="21"/>
          <w:szCs w:val="21"/>
        </w:rPr>
        <w:t xml:space="preserve">Demissão = Dnecessidade − L(i)</w:t>
      </w:r>
    </w:p>
    <w:p>
      <w:pPr>
        <w:spacing w:after="60" w:line="300"/>
        <w:jc w:val="both"/>
      </w:pPr>
      <w:r>
        <w:rPr>
          <w:rFonts w:ascii="Calibri" w:cs="Calibri" w:eastAsia="Calibri" w:hAnsi="Calibri"/>
          <w:color w:val="2B2725"/>
          <w:sz w:val="20"/>
          <w:szCs w:val="20"/>
        </w:rPr>
        <w:t xml:space="preserve">L(i) é o prazo de entrega do fornecedor. Emitir depois dessa data implica atraso conhecido no ato.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2B2725"/>
          <w:sz w:val="21"/>
          <w:szCs w:val="21"/>
        </w:rPr>
        <w:t xml:space="preserve">Carga de trabalho</w:t>
      </w:r>
    </w:p>
    <w:p>
      <w:pPr>
        <w:spacing w:after="60" w:before="60"/>
        <w:jc w:val="center"/>
      </w:pPr>
      <w:r>
        <w:rPr>
          <w:rFonts w:ascii="Consolas" w:cs="Consolas" w:eastAsia="Consolas" w:hAnsi="Consolas"/>
          <w:color w:val="1F3864"/>
          <w:sz w:val="21"/>
          <w:szCs w:val="21"/>
        </w:rPr>
        <w:t xml:space="preserve">CT = Σ ( Qp(j) × t(j) )</w:t>
      </w:r>
    </w:p>
    <w:p>
      <w:pPr>
        <w:spacing w:after="60" w:line="300"/>
        <w:jc w:val="both"/>
      </w:pPr>
      <w:r>
        <w:rPr>
          <w:rFonts w:ascii="Calibri" w:cs="Calibri" w:eastAsia="Calibri" w:hAnsi="Calibri"/>
          <w:color w:val="2B2725"/>
          <w:sz w:val="20"/>
          <w:szCs w:val="20"/>
        </w:rPr>
        <w:t xml:space="preserve">t(j) é o tempo unitário de produção da peça j, somando as etapas do roteiro.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2B2725"/>
          <w:sz w:val="21"/>
          <w:szCs w:val="21"/>
        </w:rPr>
        <w:t xml:space="preserve">Capacidade disponível</w:t>
      </w:r>
    </w:p>
    <w:p>
      <w:pPr>
        <w:spacing w:after="60" w:before="60"/>
        <w:jc w:val="center"/>
      </w:pPr>
      <w:r>
        <w:rPr>
          <w:rFonts w:ascii="Consolas" w:cs="Consolas" w:eastAsia="Consolas" w:hAnsi="Consolas"/>
          <w:color w:val="1F3864"/>
          <w:sz w:val="21"/>
          <w:szCs w:val="21"/>
        </w:rPr>
        <w:t xml:space="preserve">CD = Σ ( capacidade diária do recurso × dias úteis até o prazo )</w:t>
      </w:r>
    </w:p>
    <w:p>
      <w:pPr>
        <w:spacing w:after="60" w:line="300"/>
        <w:jc w:val="both"/>
      </w:pPr>
      <w:r>
        <w:rPr>
          <w:rFonts w:ascii="Calibri" w:cs="Calibri" w:eastAsia="Calibri" w:hAnsi="Calibri"/>
          <w:color w:val="2B2725"/>
          <w:sz w:val="20"/>
          <w:szCs w:val="20"/>
        </w:rPr>
        <w:t xml:space="preserve">Considera as folgas registradas.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2B2725"/>
          <w:sz w:val="21"/>
          <w:szCs w:val="21"/>
        </w:rPr>
        <w:t xml:space="preserve">Viabilidade do prazo</w:t>
      </w:r>
    </w:p>
    <w:p>
      <w:pPr>
        <w:spacing w:after="60" w:before="60"/>
        <w:jc w:val="center"/>
      </w:pPr>
      <w:r>
        <w:rPr>
          <w:rFonts w:ascii="Consolas" w:cs="Consolas" w:eastAsia="Consolas" w:hAnsi="Consolas"/>
          <w:color w:val="1F3864"/>
          <w:sz w:val="21"/>
          <w:szCs w:val="21"/>
        </w:rPr>
        <w:t xml:space="preserve">Viável ⟺ CT ≤ CD e Demissão ≥ hoje</w:t>
      </w:r>
    </w:p>
    <w:p>
      <w:pPr>
        <w:spacing w:after="60" w:line="300"/>
        <w:jc w:val="both"/>
      </w:pPr>
      <w:r>
        <w:rPr>
          <w:rFonts w:ascii="Calibri" w:cs="Calibri" w:eastAsia="Calibri" w:hAnsi="Calibri"/>
          <w:color w:val="2B2725"/>
          <w:sz w:val="20"/>
          <w:szCs w:val="20"/>
        </w:rPr>
        <w:t xml:space="preserve">As duas condições precisam valer: material a tempo e capacidade suficiente.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2B2725"/>
          <w:sz w:val="23"/>
          <w:szCs w:val="23"/>
        </w:rPr>
        <w:t xml:space="preserve">12.2 Por que dividir pelo aproveitamento, e não somar a perda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Somar a perda à quantidade demandada subestima sistematicamente a necessidade, porque as peças produzidas para repor a perda também estão sujeitas a ela. Com 40 peças e 12% de perda, somar produziria 45 peças e entregaria cerca de 40 apenas por arredondamento favorável; dividir por 0,88 produz 46 e mantém a margem. A diferença cresce com a taxa de perda e é o tipo de erro que só aparece na entrega incompleta.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2B2725"/>
          <w:sz w:val="23"/>
          <w:szCs w:val="23"/>
        </w:rPr>
        <w:t xml:space="preserve">12.3 Exemplo numérico completo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O exemplo abaixo usa dados reais de uma peça do ateliê. Todas as contas foram verificadas por rotina automatizada.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Premissas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Pedido recebido: 40 unidades de Xícara Reta, prazo de entrega em 25 dias.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Taxa de perda medida da peça: 12% (amostra de 180 peças, acima do mínimo de 30).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Lista técnica por unidade: 340 g de argila de alta temperatura e 45 g de esmalte Pistache.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Estoque: 9,00 kg de argila e 1,20 kg de esmalte. Nada em ordem de compra aberta.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Estoque mínimo: 5,00 kg de argila e 0,50 kg de esmalte. Prazo de entrega: 7 dias para argila e 15 para esmalte.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Tempo unitário de produção somando o roteiro: 0,35 hora por peça. Capacidade: 6 horas úteis por dia, 18 dias úteis no período.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Desenvolvimento</w:t>
      </w:r>
    </w:p>
    <w:tbl>
      <w:tblPr>
        <w:tblW w:type="dxa" w:w="9072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2900"/>
        <w:gridCol w:w="3300"/>
        <w:gridCol w:w="3438"/>
      </w:tblGrid>
      <w:tr>
        <w:trPr>
          <w:tblHeader/>
        </w:trPr>
        <w:tc>
          <w:tcPr>
            <w:tcW w:type="dxa" w:w="29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Passo</w:t>
            </w:r>
          </w:p>
        </w:tc>
        <w:tc>
          <w:tcPr>
            <w:tcW w:type="dxa" w:w="33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Cálculo</w:t>
            </w:r>
          </w:p>
        </w:tc>
        <w:tc>
          <w:tcPr>
            <w:tcW w:type="dxa" w:w="3438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Observação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Quantidade a produzir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Qp = ⌈ 40 ÷ (1 − 0,12) ⌉ = ⌈ 45,45 ⌉ = 46 peças</w:t>
            </w:r>
          </w:p>
        </w:tc>
        <w:tc>
          <w:tcPr>
            <w:tcW w:type="dxa" w:w="34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Produzir 40 entregaria cerca de 35 peças boas, e o pedido ficaria incompleto.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Necessidade bruta de argila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NB = 46 × 0,340 kg = 15,64 kg</w:t>
            </w:r>
          </w:p>
        </w:tc>
        <w:tc>
          <w:tcPr>
            <w:tcW w:type="dxa" w:w="34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Necessidade líquida de argila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NL = máx(0; 15,64 − 9,00 − 0) = 6,64 kg</w:t>
            </w:r>
          </w:p>
        </w:tc>
        <w:tc>
          <w:tcPr>
            <w:tcW w:type="dxa" w:w="34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Compra sugerida de argila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QC = 6,64 + 5,00 = 11,64 kg</w:t>
            </w:r>
          </w:p>
        </w:tc>
        <w:tc>
          <w:tcPr>
            <w:tcW w:type="dxa" w:w="34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Somando o mínimo de segurança, para não zerar o estoque.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Emissão da compra de argila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Demissão = hoje + 25 − 7 = até o 18º dia</w:t>
            </w:r>
          </w:p>
        </w:tc>
        <w:tc>
          <w:tcPr>
            <w:tcW w:type="dxa" w:w="34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Há folga: o pedido de compra pode esperar, mas não além disso.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Necessidade bruta de esmalte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NB = 46 × 0,045 kg = 2,07 kg</w:t>
            </w:r>
          </w:p>
        </w:tc>
        <w:tc>
          <w:tcPr>
            <w:tcW w:type="dxa" w:w="34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Necessidade líquida de esmalte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NL = máx(0; 2,07 − 1,20 − 0) = 0,87 kg</w:t>
            </w:r>
          </w:p>
        </w:tc>
        <w:tc>
          <w:tcPr>
            <w:tcW w:type="dxa" w:w="34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Compra sugerida de esmalte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QC = 0,87 + 0,50 = 1,37 kg</w:t>
            </w:r>
          </w:p>
        </w:tc>
        <w:tc>
          <w:tcPr>
            <w:tcW w:type="dxa" w:w="34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Emissão da compra de esmalte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Demissão = hoje + 25 − 15 = até o 10º dia</w:t>
            </w:r>
          </w:p>
        </w:tc>
        <w:tc>
          <w:tcPr>
            <w:tcW w:type="dxa" w:w="34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Prazo mais apertado: o esmalte é o item crítico deste pedido.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Carga de trabalho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CT = 46 × 0,35 = 16,10 horas</w:t>
            </w:r>
          </w:p>
        </w:tc>
        <w:tc>
          <w:tcPr>
            <w:tcW w:type="dxa" w:w="34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Capacidade disponível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CD = 6 × 18 = 108 horas</w:t>
            </w:r>
          </w:p>
        </w:tc>
        <w:tc>
          <w:tcPr>
            <w:tcW w:type="dxa" w:w="34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Veredito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CT ≤ CD e as duas compras cabem no prazo: pedido viável</w:t>
            </w:r>
          </w:p>
        </w:tc>
        <w:tc>
          <w:tcPr>
            <w:tcW w:type="dxa" w:w="34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O gargalo do pedido é o prazo de entrega do esmalte, não a capacidade de produção.</w:t>
            </w:r>
          </w:p>
        </w:tc>
      </w:tr>
    </w:tbl>
    <w:p>
      <w:pPr>
        <w:spacing w:after="12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/>
      </w:r>
    </w:p>
    <w:p>
      <w:pPr>
        <w:spacing w:after="140" w:line="300"/>
        <w:jc w:val="both"/>
      </w:pPr>
      <w:r>
        <w:rPr>
          <w:rFonts w:ascii="Calibri" w:cs="Calibri" w:eastAsia="Calibri" w:hAnsi="Calibri"/>
          <w:i/>
          <w:iCs/>
          <w:color w:val="2B2725"/>
          <w:sz w:val="22"/>
          <w:szCs w:val="22"/>
        </w:rPr>
        <w:t xml:space="preserve">O resultado tem uma leitura de negócio que o ateliê não obtinha antes: o gargalo deste pedido não é a capacidade de produção, e sim o prazo de entrega do esmalte. A ordem de compra do esmalte precisa sair até o décimo dia, enquanto a da argila pode esperar até o décimo oitavo.</w:t>
      </w:r>
    </w:p>
    <w:p>
      <w:pPr>
        <w:pStyle w:val="Heading1"/>
        <w:pageBreakBefore/>
        <w:spacing w:after="20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13. TÁTICAS ARQUITETURAIS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Cada atributo de qualidade é sustentado por táticas concretas. A tabela liga o atributo às táticas gerais e à sua realização neste sistema, o que permite verificar se a intenção declarada tem correspondente no código.</w:t>
      </w:r>
    </w:p>
    <w:tbl>
      <w:tblPr>
        <w:tblW w:type="dxa" w:w="9072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1800"/>
        <w:gridCol w:w="3400"/>
        <w:gridCol w:w="4438"/>
      </w:tblGrid>
      <w:tr>
        <w:trPr>
          <w:tblHeader/>
        </w:trPr>
        <w:tc>
          <w:tcPr>
            <w:tcW w:type="dxa" w:w="18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Atributo</w:t>
            </w:r>
          </w:p>
        </w:tc>
        <w:tc>
          <w:tcPr>
            <w:tcW w:type="dxa" w:w="34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Táticas</w:t>
            </w:r>
          </w:p>
        </w:tc>
        <w:tc>
          <w:tcPr>
            <w:tcW w:type="dxa" w:w="4438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Realização no sistema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Segurança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Autenticar atores; autorizar por papel e módulo; limitar exposição</w:t>
            </w:r>
          </w:p>
        </w:tc>
        <w:tc>
          <w:tcPr>
            <w:tcW w:type="dxa" w:w="44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Sessão assinada com expiração; guarda de módulo verificada no servidor; filtro de empresa aplicado por extensão do cliente de dados; senha apenas como hash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Disponibilidade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Tolerar falha de rede; detectar e recuperar</w:t>
            </w:r>
          </w:p>
        </w:tc>
        <w:tc>
          <w:tcPr>
            <w:tcW w:type="dxa" w:w="44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Fila local no cliente com reenvio; idempotência por chave; verificação de saúde no servidor de aplicação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Desempenho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Reduzir demanda por recurso; gerenciar múltiplos recursos</w:t>
            </w:r>
          </w:p>
        </w:tc>
        <w:tc>
          <w:tcPr>
            <w:tcW w:type="dxa" w:w="44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Agregação de saldo no banco em vez de carregar histórico; índices por empresa e por lote; processamento assíncrono do evento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Modificabilidade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Reduzir acoplamento; aumentar coesão</w:t>
            </w:r>
          </w:p>
        </w:tc>
        <w:tc>
          <w:tcPr>
            <w:tcW w:type="dxa" w:w="44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Porta de canal de venda com adaptador por marketplace; regra pura isolada; módulos com fronteira explícita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Testabilidade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Controlar e observar o estado</w:t>
            </w:r>
          </w:p>
        </w:tc>
        <w:tc>
          <w:tcPr>
            <w:tcW w:type="dxa" w:w="44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Cálculo determinístico sem dependência externa; banco descartável na integração; registro de auditoria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Usabilidade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Apoiar a iniciativa do usuário; antecipar a necessidade</w:t>
            </w:r>
          </w:p>
        </w:tc>
        <w:tc>
          <w:tcPr>
            <w:tcW w:type="dxa" w:w="44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Confirmação antes de gravar movimento; formulários pré-preenchidos com o saldo; desfazer por lançamento de estorno</w:t>
            </w:r>
          </w:p>
        </w:tc>
      </w:tr>
    </w:tbl>
    <w:p>
      <w:pPr>
        <w:pStyle w:val="Heading1"/>
        <w:pageBreakBefore/>
        <w:spacing w:after="20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14. DECISÕES DE ARQUITETURA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As decisões abaixo estão registradas com contexto, alternativas descartadas e consequências, inclusive as negativas. Decisão sem consequência negativa declarada costuma ser decisão não examinada.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2B2725"/>
          <w:sz w:val="23"/>
          <w:szCs w:val="23"/>
        </w:rPr>
        <w:t xml:space="preserve">ADR-01 — Isolamento multiempresa por discriminador em base única</w:t>
      </w:r>
    </w:p>
    <w:tbl>
      <w:tblPr>
        <w:tblW w:type="dxa" w:w="9072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Situação</w:t>
            </w:r>
          </w:p>
        </w:tc>
        <w:tc>
          <w:tcPr>
            <w:tcW w:type="dxa" w:w="74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Aceita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Contexto</w:t>
            </w:r>
          </w:p>
        </w:tc>
        <w:tc>
          <w:tcPr>
            <w:tcW w:type="dxa" w:w="74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O produto precisa atender várias empresas com um único ambiente, mantendo custo compatível com microempresas. As alternativas usuais são base por cliente, esquema por cliente ou base única com coluna discriminadora.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Decisão</w:t>
            </w:r>
          </w:p>
        </w:tc>
        <w:tc>
          <w:tcPr>
            <w:tcW w:type="dxa" w:w="74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Adotar base única com coluna de empresa em todas as tabelas de dado de cliente, com o filtro aplicado por extensão do cliente de acesso a dados, e não pela consulta escrita à mão.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Alternativas descartadas</w:t>
            </w:r>
          </w:p>
        </w:tc>
        <w:tc>
          <w:tcPr>
            <w:tcW w:type="dxa" w:w="74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Base por cliente foi descartada pelo custo de operação e de migração multiplicado por cliente. Esquema por cliente foi descartado por replicar toda alteração de estrutura, o que atrasa a evolução em um produto que ainda muda com frequência.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Consequências</w:t>
            </w:r>
          </w:p>
        </w:tc>
        <w:tc>
          <w:tcPr>
            <w:tcW w:type="dxa" w:w="74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Positivas: custo baixo, migração única, consultas agregadas simples. Negativas: o isolamento passa a depender de disciplina de implementação, e uma consulta sem filtro vaza dado entre clientes. Mitigação obrigatória: filtro por extensão do cliente de dados, revisão específica e teste automatizado que tenta o vazamento em cada entidade.</w:t>
            </w:r>
          </w:p>
        </w:tc>
      </w:tr>
    </w:tbl>
    <w:p>
      <w:pPr>
        <w:spacing w:after="12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/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2B2725"/>
          <w:sz w:val="23"/>
          <w:szCs w:val="23"/>
        </w:rPr>
        <w:t xml:space="preserve">ADR-02 — Camada anticorrupção por marketplace</w:t>
      </w:r>
    </w:p>
    <w:tbl>
      <w:tblPr>
        <w:tblW w:type="dxa" w:w="9072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Situação</w:t>
            </w:r>
          </w:p>
        </w:tc>
        <w:tc>
          <w:tcPr>
            <w:tcW w:type="dxa" w:w="74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Aceita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Contexto</w:t>
            </w:r>
          </w:p>
        </w:tc>
        <w:tc>
          <w:tcPr>
            <w:tcW w:type="dxa" w:w="74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Mercado Livre e Shopee expõem modelos de autenticação e formatos de pedido diferentes: o primeiro usa OAuth 2.0 com notificação por tópico e consulta posterior do recurso; o segundo usa identificador e chave de parceiro com assinatura HMAC-SHA256 e token por loja.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Decisão</w:t>
            </w:r>
          </w:p>
        </w:tc>
        <w:tc>
          <w:tcPr>
            <w:tcW w:type="dxa" w:w="74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Definir uma porta de canal de venda no núcleo e um adaptador por marketplace, responsável por autenticação, tradução de formato e normalização de estados do pedido.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Alternativas descartadas</w:t>
            </w:r>
          </w:p>
        </w:tc>
        <w:tc>
          <w:tcPr>
            <w:tcW w:type="dxa" w:w="74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Um serviço único com condicionais por canal foi descartado porque cada regra nova de um canal passaria a tocar código usado pelo outro.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Consequências</w:t>
            </w:r>
          </w:p>
        </w:tc>
        <w:tc>
          <w:tcPr>
            <w:tcW w:type="dxa" w:w="74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Positivas: o núcleo desconhece os canais; um terceiro canal entra sem alterar o domínio; o adaptador pode ser testado com respostas gravadas. Negativas: mais uma camada de tradução para manter, e o mapeamento de estados precisa ser revisto quando o marketplace muda a API.</w:t>
            </w:r>
          </w:p>
        </w:tc>
      </w:tr>
    </w:tbl>
    <w:p>
      <w:pPr>
        <w:spacing w:after="12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/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2B2725"/>
          <w:sz w:val="23"/>
          <w:szCs w:val="23"/>
        </w:rPr>
        <w:t xml:space="preserve">ADR-03 — Registro de produção somente por inclusão</w:t>
      </w:r>
    </w:p>
    <w:tbl>
      <w:tblPr>
        <w:tblW w:type="dxa" w:w="9072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Situação</w:t>
            </w:r>
          </w:p>
        </w:tc>
        <w:tc>
          <w:tcPr>
            <w:tcW w:type="dxa" w:w="74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Aceita — em vigor desde a primeira versão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Contexto</w:t>
            </w:r>
          </w:p>
        </w:tc>
        <w:tc>
          <w:tcPr>
            <w:tcW w:type="dxa" w:w="74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O saldo por etapa precisa ser confiável, e a operação real exige movimentação parcial, perda, segunda qualidade e divisão de lote.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Decisão</w:t>
            </w:r>
          </w:p>
        </w:tc>
        <w:tc>
          <w:tcPr>
            <w:tcW w:type="dxa" w:w="74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Modelar o movimento como lançamento imutável e derivar todo saldo por agregação, sem campo de quantidade atual em nenhuma tabela.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Alternativas descartadas</w:t>
            </w:r>
          </w:p>
        </w:tc>
        <w:tc>
          <w:tcPr>
            <w:tcW w:type="dxa" w:w="74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Campo de saldo atualizado por gatilho foi descartado: qualquer falha parcial produz divergência silenciosa entre o saldo e o histórico.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Consequências</w:t>
            </w:r>
          </w:p>
        </w:tc>
        <w:tc>
          <w:tcPr>
            <w:tcW w:type="dxa" w:w="74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Positivas: o número nunca discorda do histórico; auditoria natural; operações complexas saem sem estrutura adicional. Negativas: consultas de saldo exigem agregação, o que impõe índices adequados e, no futuro, possível visão materializada.</w:t>
            </w:r>
          </w:p>
        </w:tc>
      </w:tr>
    </w:tbl>
    <w:p>
      <w:pPr>
        <w:spacing w:after="12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/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2B2725"/>
          <w:sz w:val="23"/>
          <w:szCs w:val="23"/>
        </w:rPr>
        <w:t xml:space="preserve">ADR-04 — Idempotência com chave gerada no cliente</w:t>
      </w:r>
    </w:p>
    <w:tbl>
      <w:tblPr>
        <w:tblW w:type="dxa" w:w="9072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Situação</w:t>
            </w:r>
          </w:p>
        </w:tc>
        <w:tc>
          <w:tcPr>
            <w:tcW w:type="dxa" w:w="74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Aceita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Contexto</w:t>
            </w:r>
          </w:p>
        </w:tc>
        <w:tc>
          <w:tcPr>
            <w:tcW w:type="dxa" w:w="74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O ateliê tem conectividade instável e o registro é somente-inclusão, o que torna a duplicidade especialmente cara: ela não se apaga, corrige-se por estorno.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Decisão</w:t>
            </w:r>
          </w:p>
        </w:tc>
        <w:tc>
          <w:tcPr>
            <w:tcW w:type="dxa" w:w="74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 chave de idempotência é gerada no navegador antes do envio e persistida com o lançamento; o servidor reconhece a chave e devolve o resultado anterior.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Alternativas descartadas</w:t>
            </w:r>
          </w:p>
        </w:tc>
        <w:tc>
          <w:tcPr>
            <w:tcW w:type="dxa" w:w="74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Deduplicação por janela de tempo e conteúdo foi descartada por produzir falso positivo em operações legítimas repetidas.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Consequências</w:t>
            </w:r>
          </w:p>
        </w:tc>
        <w:tc>
          <w:tcPr>
            <w:tcW w:type="dxa" w:w="74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Positivas: reenvio seguro por fila local e por nova tentativa do usuário. Negativas: a chave precisa sobreviver ao fechamento do aplicativo, o que exige persistência local.</w:t>
            </w:r>
          </w:p>
        </w:tc>
      </w:tr>
    </w:tbl>
    <w:p>
      <w:pPr>
        <w:spacing w:after="12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/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2B2725"/>
          <w:sz w:val="23"/>
          <w:szCs w:val="23"/>
        </w:rPr>
        <w:t xml:space="preserve">ADR-05 — Motor de cálculo como regra pura, sem dependência de infraestrutura</w:t>
      </w:r>
    </w:p>
    <w:tbl>
      <w:tblPr>
        <w:tblW w:type="dxa" w:w="9072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Situação</w:t>
            </w:r>
          </w:p>
        </w:tc>
        <w:tc>
          <w:tcPr>
            <w:tcW w:type="dxa" w:w="74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Aceita — em vigor desde a primeira versão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Contexto</w:t>
            </w:r>
          </w:p>
        </w:tc>
        <w:tc>
          <w:tcPr>
            <w:tcW w:type="dxa" w:w="74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As regras de planejamento, custo e capacidade mudam a partir do uso real e concentram o risco de defeito com impacto financeiro.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Decisão</w:t>
            </w:r>
          </w:p>
        </w:tc>
        <w:tc>
          <w:tcPr>
            <w:tcW w:type="dxa" w:w="74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Manter todo cálculo em módulos que não importam acesso a dados, recebendo dados de entrada e devolvendo resultado; a orquestração fica nos serviços.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Alternativas descartadas</w:t>
            </w:r>
          </w:p>
        </w:tc>
        <w:tc>
          <w:tcPr>
            <w:tcW w:type="dxa" w:w="74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Cálculo dentro dos serviços foi descartado porque exigiria banco para exercitar qualquer regra, tornando a bateria lenta e o teste raro.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Consequências</w:t>
            </w:r>
          </w:p>
        </w:tc>
        <w:tc>
          <w:tcPr>
            <w:tcW w:type="dxa" w:w="74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Positivas: bateria completa em segundos, o que sustenta alteração frequente. Negativas: exige disciplina para não deixar consulta vazar para dentro do módulo puro.</w:t>
            </w:r>
          </w:p>
        </w:tc>
      </w:tr>
    </w:tbl>
    <w:p>
      <w:pPr>
        <w:spacing w:after="12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/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2B2725"/>
          <w:sz w:val="23"/>
          <w:szCs w:val="23"/>
        </w:rPr>
        <w:t xml:space="preserve">ADR-06 — Processamento assíncrono dos eventos de marketplace</w:t>
      </w:r>
    </w:p>
    <w:tbl>
      <w:tblPr>
        <w:tblW w:type="dxa" w:w="9072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Situação</w:t>
            </w:r>
          </w:p>
        </w:tc>
        <w:tc>
          <w:tcPr>
            <w:tcW w:type="dxa" w:w="74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Aceita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Contexto</w:t>
            </w:r>
          </w:p>
        </w:tc>
        <w:tc>
          <w:tcPr>
            <w:tcW w:type="dxa" w:w="74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Os provedores exigem resposta rápida à notificação e reenviam quando não a recebem. A explosão de necessidades pode demandar leitura de catálogo e estoque.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Decisão</w:t>
            </w:r>
          </w:p>
        </w:tc>
        <w:tc>
          <w:tcPr>
            <w:tcW w:type="dxa" w:w="74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O receptor valida a assinatura, persiste o evento bruto, responde imediatamente e delega o processamento a um trabalhador de fila.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Alternativas descartadas</w:t>
            </w:r>
          </w:p>
        </w:tc>
        <w:tc>
          <w:tcPr>
            <w:tcW w:type="dxa" w:w="74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Processar de forma síncrona na própria notificação foi descartado: um pico de pedidos ou uma consulta lenta provocaria reenvio em cascata do provedor.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Consequências</w:t>
            </w:r>
          </w:p>
        </w:tc>
        <w:tc>
          <w:tcPr>
            <w:tcW w:type="dxa" w:w="74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Positivas: resposta previsível ao provedor e absorção de picos; reprocessamento possível a partir do evento bruto guardado. Negativas: introduz um componente a operar e exige monitorar fila parada.</w:t>
            </w:r>
          </w:p>
        </w:tc>
      </w:tr>
    </w:tbl>
    <w:p>
      <w:pPr>
        <w:spacing w:after="12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/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2B2725"/>
          <w:sz w:val="23"/>
          <w:szCs w:val="23"/>
        </w:rPr>
        <w:t xml:space="preserve">ADR-07 — Manter monólito modular em vez de serviços independentes</w:t>
      </w:r>
    </w:p>
    <w:tbl>
      <w:tblPr>
        <w:tblW w:type="dxa" w:w="9072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Situação</w:t>
            </w:r>
          </w:p>
        </w:tc>
        <w:tc>
          <w:tcPr>
            <w:tcW w:type="dxa" w:w="74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Aceita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Contexto</w:t>
            </w:r>
          </w:p>
        </w:tc>
        <w:tc>
          <w:tcPr>
            <w:tcW w:type="dxa" w:w="74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 escala prevista é de dezenas de empresas pequenas, e a equipe é de uma pessoa.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Decisão</w:t>
            </w:r>
          </w:p>
        </w:tc>
        <w:tc>
          <w:tcPr>
            <w:tcW w:type="dxa" w:w="74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Manter uma aplicação única com fronteiras internas explícitas por módulo, extraindo serviço apenas quando um componente exigir escala ou ciclo de vida próprio.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Alternativas descartadas</w:t>
            </w:r>
          </w:p>
        </w:tc>
        <w:tc>
          <w:tcPr>
            <w:tcW w:type="dxa" w:w="74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Microsserviços foram descartados: multiplicariam custo de operação e latência sem resolver nenhum problema atual.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Consequências</w:t>
            </w:r>
          </w:p>
        </w:tc>
        <w:tc>
          <w:tcPr>
            <w:tcW w:type="dxa" w:w="74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Positivas: implantação simples, transação local, custo baixo. Negativas: limite de escala vertical; a disciplina de fronteiras precisa ser mantida por revisão, já que nada impede um módulo de chamar o outro diretamente.</w:t>
            </w:r>
          </w:p>
        </w:tc>
      </w:tr>
    </w:tbl>
    <w:p>
      <w:pPr>
        <w:spacing w:after="12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/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2B2725"/>
          <w:sz w:val="23"/>
          <w:szCs w:val="23"/>
        </w:rPr>
        <w:t xml:space="preserve">ADR-08 — Catálogo de peças por empresa, sem biblioteca compartilhada</w:t>
      </w:r>
    </w:p>
    <w:tbl>
      <w:tblPr>
        <w:tblW w:type="dxa" w:w="9072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Situação</w:t>
            </w:r>
          </w:p>
        </w:tc>
        <w:tc>
          <w:tcPr>
            <w:tcW w:type="dxa" w:w="74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Aceita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Contexto</w:t>
            </w:r>
          </w:p>
        </w:tc>
        <w:tc>
          <w:tcPr>
            <w:tcW w:type="dxa" w:w="74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Ateliês diferentes têm peças, roteiros e etapas próprios; a tentação é oferecer um catálogo padrão compartilhado.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Decisão</w:t>
            </w:r>
          </w:p>
        </w:tc>
        <w:tc>
          <w:tcPr>
            <w:tcW w:type="dxa" w:w="74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Todo catálogo pertence à empresa. O provisionamento pode copiar um modelo inicial, mas a cópia passa a ser dado da empresa.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Alternativas descartadas</w:t>
            </w:r>
          </w:p>
        </w:tc>
        <w:tc>
          <w:tcPr>
            <w:tcW w:type="dxa" w:w="74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Catálogo global com sobreposição por empresa foi descartado: criaria dependência entre clientes e tornaria qualquer alteração central um risco para todos.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Consequências</w:t>
            </w:r>
          </w:p>
        </w:tc>
        <w:tc>
          <w:tcPr>
            <w:tcW w:type="dxa" w:w="74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Positivas: isolamento real e evolução independente por cliente. Negativas: duplicação de dados semelhantes entre clientes, aceitável no volume previsto.</w:t>
            </w:r>
          </w:p>
        </w:tc>
      </w:tr>
    </w:tbl>
    <w:p>
      <w:pPr>
        <w:spacing w:after="12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/>
      </w:r>
    </w:p>
    <w:p>
      <w:pPr>
        <w:pStyle w:val="Heading1"/>
        <w:pageBreakBefore/>
        <w:spacing w:after="20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15. RISCOS TÉCNICOS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Os riscos abaixo decorrem das decisões tomadas. Cada decisão de arquitetura fecha alternativas e, ao fazê-lo, cria exposições próprias — registrá-las é parte de tê-las decidido conscientemente.</w:t>
      </w:r>
    </w:p>
    <w:tbl>
      <w:tblPr>
        <w:tblW w:type="dxa" w:w="9072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800"/>
        <w:gridCol w:w="2600"/>
        <w:gridCol w:w="900"/>
        <w:gridCol w:w="1000"/>
        <w:gridCol w:w="4338"/>
      </w:tblGrid>
      <w:tr>
        <w:trPr>
          <w:tblHeader/>
        </w:trPr>
        <w:tc>
          <w:tcPr>
            <w:tcW w:type="dxa" w:w="8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ID</w:t>
            </w:r>
          </w:p>
        </w:tc>
        <w:tc>
          <w:tcPr>
            <w:tcW w:type="dxa" w:w="26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Risco</w:t>
            </w:r>
          </w:p>
        </w:tc>
        <w:tc>
          <w:tcPr>
            <w:tcW w:type="dxa" w:w="9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Prob.</w:t>
            </w:r>
          </w:p>
        </w:tc>
        <w:tc>
          <w:tcPr>
            <w:tcW w:type="dxa" w:w="10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Impacto</w:t>
            </w:r>
          </w:p>
        </w:tc>
        <w:tc>
          <w:tcPr>
            <w:tcW w:type="dxa" w:w="4338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Mitigação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RT-01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Vazamento de dado entre empresas por consulta sem filtro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Média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Crítico</w:t>
            </w:r>
          </w:p>
        </w:tc>
        <w:tc>
          <w:tcPr>
            <w:tcW w:type="dxa" w:w="4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Filtro aplicado por extensão do cliente de dados, não pela consulta; teste automatizado de tentativa de acesso cruzado por entidade; revisão obrigatória em qualquer consulta escrita à mão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RT-02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Mudança de contrato na API do marketplace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Alta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Médio</w:t>
            </w:r>
          </w:p>
        </w:tc>
        <w:tc>
          <w:tcPr>
            <w:tcW w:type="dxa" w:w="4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Adaptador isolado por canal; evento bruto persistido permite reprocessar; teste de contrato com respostas gravadas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RT-03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Reentrega de notificação gerando pedido duplicado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Alta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Alto</w:t>
            </w:r>
          </w:p>
        </w:tc>
        <w:tc>
          <w:tcPr>
            <w:tcW w:type="dxa" w:w="4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Chave externa única por canal e identificador do pedido; gravação idempotente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RT-04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Lista técnica incompleta tornando o MRP inerte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Alta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Alto</w:t>
            </w:r>
          </w:p>
        </w:tc>
        <w:tc>
          <w:tcPr>
            <w:tcW w:type="dxa" w:w="4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Indicador de cobertura da lista técnica por peça; aviso na tela quando a peça não tem insumo cadastrado; bloqueio da promessa de prazo nesse caso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RT-05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Agregação de saldo degradar com o crescimento do histórico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Média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Médio</w:t>
            </w:r>
          </w:p>
        </w:tc>
        <w:tc>
          <w:tcPr>
            <w:tcW w:type="dxa" w:w="4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Índices por empresa, lote e etapa; medição contínua do percentil 95; visão materializada prevista como evolução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RT-06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Limite de chamadas do marketplace excedido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Média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Médio</w:t>
            </w:r>
          </w:p>
        </w:tc>
        <w:tc>
          <w:tcPr>
            <w:tcW w:type="dxa" w:w="4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Fila com controle de vazão por canal; recuo exponencial em caso de recusa; agrupamento de consultas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RT-07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Custo de infraestrutura crescer acima da receita por cliente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Baixa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Alto</w:t>
            </w:r>
          </w:p>
        </w:tc>
        <w:tc>
          <w:tcPr>
            <w:tcW w:type="dxa" w:w="4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Monitoramento de custo por empresa; base única mantém o custo marginal baixo; revisão do plano quando a fila exigir processo dedicado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RT-08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Dependência de pessoa única no desenvolvimento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Alta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Alto</w:t>
            </w:r>
          </w:p>
        </w:tc>
        <w:tc>
          <w:tcPr>
            <w:tcW w:type="dxa" w:w="4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Documentação de arquitetura e decisões registradas; regra de negócio isolada e testada; publicação automatizada</w:t>
            </w:r>
          </w:p>
        </w:tc>
      </w:tr>
    </w:tbl>
    <w:p>
      <w:pPr>
        <w:pStyle w:val="Heading1"/>
        <w:pageBreakBefore/>
        <w:spacing w:after="20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16. ROTEIRO DE EVOLUÇÃO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A ordem das fases decorre da dependência entre elas, e não de preferência. A fundação multiempresa precede tudo porque credenciais de marketplace e resultados de cálculo são dados de cliente: guardá-los antes de haver isolamento criaria uma migração de risco depois.</w:t>
      </w:r>
    </w:p>
    <w:tbl>
      <w:tblPr>
        <w:tblW w:type="dxa" w:w="9072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1100"/>
        <w:gridCol w:w="2400"/>
        <w:gridCol w:w="4400"/>
        <w:gridCol w:w="1738"/>
      </w:tblGrid>
      <w:tr>
        <w:trPr>
          <w:tblHeader/>
        </w:trPr>
        <w:tc>
          <w:tcPr>
            <w:tcW w:type="dxa" w:w="11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Fase</w:t>
            </w:r>
          </w:p>
        </w:tc>
        <w:tc>
          <w:tcPr>
            <w:tcW w:type="dxa" w:w="24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Objetivo</w:t>
            </w:r>
          </w:p>
        </w:tc>
        <w:tc>
          <w:tcPr>
            <w:tcW w:type="dxa" w:w="44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Conteúdo</w:t>
            </w:r>
          </w:p>
        </w:tc>
        <w:tc>
          <w:tcPr>
            <w:tcW w:type="dxa" w:w="1738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Atende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Fase 1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Fundação multiempresa</w:t>
            </w:r>
          </w:p>
        </w:tc>
        <w:tc>
          <w:tcPr>
            <w:tcW w:type="dxa" w:w="4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Tabela de empresas, coluna discriminadora em todas as entidades, contexto de requisição, extensão de filtro no acesso a dados e bateria de testes de isolamento.</w:t>
            </w:r>
          </w:p>
        </w:tc>
        <w:tc>
          <w:tcPr>
            <w:tcW w:type="dxa" w:w="17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RAS-01, CQ-01, CQ-08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Fase 2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Porta de canal e primeiro adaptador</w:t>
            </w:r>
          </w:p>
        </w:tc>
        <w:tc>
          <w:tcPr>
            <w:tcW w:type="dxa" w:w="4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Definição da porta de canal de venda, adaptador do Mercado Livre, receptor de eventos, persistência de evento bruto e fila.</w:t>
            </w:r>
          </w:p>
        </w:tc>
        <w:tc>
          <w:tcPr>
            <w:tcW w:type="dxa" w:w="17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RAS-02, CQ-04, ADR-02, ADR-06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Fase 3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Motor de MRP e CRP</w:t>
            </w:r>
          </w:p>
        </w:tc>
        <w:tc>
          <w:tcPr>
            <w:tcW w:type="dxa" w:w="4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Explosão a partir do pedido, necessidade bruta e líquida, sugestão de compra com prazo de entrega e verificação de capacidade.</w:t>
            </w:r>
          </w:p>
        </w:tc>
        <w:tc>
          <w:tcPr>
            <w:tcW w:type="dxa" w:w="17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RAS-03, CQ-03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Fase 4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Segundo adaptador e paridade</w:t>
            </w:r>
          </w:p>
        </w:tc>
        <w:tc>
          <w:tcPr>
            <w:tcW w:type="dxa" w:w="4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Adaptador da Shopee sobre a mesma porta, provando a modificabilidade prevista.</w:t>
            </w:r>
          </w:p>
        </w:tc>
        <w:tc>
          <w:tcPr>
            <w:tcW w:type="dxa" w:w="17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CQ-05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Fase 5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Autoatendimento do cliente</w:t>
            </w:r>
          </w:p>
        </w:tc>
        <w:tc>
          <w:tcPr>
            <w:tcW w:type="dxa" w:w="4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Provisionamento de empresa, catálogo inicial, cobrança e painel do operador do produto.</w:t>
            </w:r>
          </w:p>
        </w:tc>
        <w:tc>
          <w:tcPr>
            <w:tcW w:type="dxa" w:w="17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RAS-07, CQ-08</w:t>
            </w:r>
          </w:p>
        </w:tc>
      </w:tr>
    </w:tbl>
    <w:p>
      <w:pPr>
        <w:pStyle w:val="Heading1"/>
        <w:pageBreakBefore/>
        <w:spacing w:after="20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17. MATRIZ DE RASTREABILIDADE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A matriz liga cada requisito arquiteturalmente significativo aos cenários que o tornam verificável, às decisões que o sustentam e à fase do roteiro que o entrega. Requisito sem cenário não é verificável; cenário sem decisão não tem quem o sustente.</w:t>
      </w:r>
    </w:p>
    <w:tbl>
      <w:tblPr>
        <w:tblW w:type="dxa" w:w="9072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900"/>
        <w:gridCol w:w="4200"/>
        <w:gridCol w:w="1500"/>
        <w:gridCol w:w="1700"/>
        <w:gridCol w:w="1338"/>
      </w:tblGrid>
      <w:tr>
        <w:trPr>
          <w:tblHeader/>
        </w:trPr>
        <w:tc>
          <w:tcPr>
            <w:tcW w:type="dxa" w:w="9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RAS</w:t>
            </w:r>
          </w:p>
        </w:tc>
        <w:tc>
          <w:tcPr>
            <w:tcW w:type="dxa" w:w="42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Requisito</w:t>
            </w:r>
          </w:p>
        </w:tc>
        <w:tc>
          <w:tcPr>
            <w:tcW w:type="dxa" w:w="15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Cenários</w:t>
            </w:r>
          </w:p>
        </w:tc>
        <w:tc>
          <w:tcPr>
            <w:tcW w:type="dxa" w:w="17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Decisões</w:t>
            </w:r>
          </w:p>
        </w:tc>
        <w:tc>
          <w:tcPr>
            <w:tcW w:type="dxa" w:w="1338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Fase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RAS-01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Uma única instância deve atender N empresas clientes, com isolamento completo dos dados entre elas.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CQ-01, CQ-08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ADR-01, ADR-08</w:t>
            </w: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Fase 1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RAS-02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Pedidos devem ser recebidos automaticamente de mais de um marketplace, com modelos de autenticação e formatos distintos.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CQ-04, CQ-05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ADR-02, ADR-06</w:t>
            </w: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Fase 2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RAS-03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 necessidade de material e de capacidade deve ser derivada do pedido, sem digitação intermediária.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CQ-03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ADR-05</w:t>
            </w: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Fase 3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RAS-04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O registro de produção deve funcionar com conectividade intermitente.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CQ-02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ADR-04</w:t>
            </w: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Em vigor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RAS-05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O saldo de produção não pode divergir do histórico em nenhuma circunstância.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CQ-02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ADR-03</w:t>
            </w: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Em vigor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RAS-06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Regras de negócio mudam com frequência a partir do uso real.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CQ-06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ADR-05, ADR-07</w:t>
            </w: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Em vigor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RAS-07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O produto precisa ser viável para microempresas.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CQ-07, CQ-08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ADR-07</w:t>
            </w: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Fase 5</w:t>
            </w:r>
          </w:p>
        </w:tc>
      </w:tr>
    </w:tbl>
    <w:p>
      <w:pPr>
        <w:spacing w:after="16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/>
      </w:r>
    </w:p>
    <w:p>
      <w:pPr>
        <w:spacing w:after="140" w:line="300"/>
        <w:jc w:val="both"/>
      </w:pPr>
      <w:r>
        <w:rPr>
          <w:rFonts w:ascii="Calibri" w:cs="Calibri" w:eastAsia="Calibri" w:hAnsi="Calibri"/>
          <w:i/>
          <w:iCs/>
          <w:color w:val="2B2725"/>
          <w:sz w:val="22"/>
          <w:szCs w:val="22"/>
        </w:rPr>
        <w:t xml:space="preserve">Nenhum requisito arquiteturalmente significativo ficou sem cenário e sem decisão que o sustente. Os três marcados como "em vigor" já estão atendidos pela versão em produção e por isso não aparecem no roteiro: são estrutura a preservar, não trabalho a fazer.</w:t>
      </w:r>
    </w:p>
    <w:sectPr>
      <w:headerReference w:type="default" r:id="rId7"/>
      <w:footerReference w:type="default" r:id="rId8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A5654"/>
        <w:sz w:val="18"/>
        <w:szCs w:val="18"/>
      </w:rPr>
      <w:t xml:space="preserve"/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/>
    </w:pPr>
    <w:r>
      <w:drawing>
        <wp:inline distT="0" distB="0" distL="0" distR="0">
          <wp:extent cx="4095750" cy="3048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95750" cy="304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72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5dca419b414e9a8245ef68b1495e3b1f84c0ccb.png"/><Relationship Id="rId10" Type="http://schemas.openxmlformats.org/officeDocument/2006/relationships/image" Target="media/0a9380d4957336c7c9aad7bc22706f58e83aaa43.png"/><Relationship Id="rId11" Type="http://schemas.openxmlformats.org/officeDocument/2006/relationships/image" Target="media/42fc1a2df5726ea55f94b5d1fcc89986f59e8c0e.png"/><Relationship Id="rId12" Type="http://schemas.openxmlformats.org/officeDocument/2006/relationships/image" Target="media/e9dfa0105b7d26e9bf833edd4c1f1cc4671d2ff8.png"/><Relationship Id="rId13" Type="http://schemas.openxmlformats.org/officeDocument/2006/relationships/image" Target="media/d984a1caa8b43e9cbd543caca4b22f6f4b040755.png"/><Relationship Id="rId14" Type="http://schemas.openxmlformats.org/officeDocument/2006/relationships/image" Target="media/66f75dbfd3240365c9aceb12e52ec4eee67f83e3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fc672b48c5176addd53d85d117ee17587702c1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Produção VF — Documento de Arquitetura de Software</dc:title>
  <dc:creator>Maicon Steffen</dc:creator>
  <cp:lastModifiedBy>Un-named</cp:lastModifiedBy>
  <cp:revision>1</cp:revision>
  <dcterms:created xsi:type="dcterms:W3CDTF">2026-09-01T17:30:13.490Z</dcterms:created>
  <dcterms:modified xsi:type="dcterms:W3CDTF">2026-09-01T17:30:13.490Z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