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A7E08" w:rsidRDefault="00E70EEF">
      <w:pPr>
        <w:pStyle w:val="berschrift1"/>
        <w:keepNext w:val="0"/>
        <w:keepLines w:val="0"/>
        <w:pageBreakBefore w:val="0"/>
        <w:jc w:val="left"/>
      </w:pPr>
      <w:bookmarkStart w:id="2" w:name="_Toc229075322"/>
      <w:r>
        <w:rPr>
          <w:rFonts w:ascii="Arial" w:hAnsi="Arial"/>
        </w:rPr>
        <w:lastRenderedPageBreak/>
        <w:t>1 Einleitung</w:t>
      </w:r>
      <w:bookmarkEnd w:id="2"/>
    </w:p>
    <w:p w:rsidR="007A7E08" w:rsidRDefault="00000000">
      <w:pPr>
        <w:spacing w:line="240" w:lineRule="auto" w:before="0" w:after="60"/>
        <w:jc w:val="left"/>
      </w:pPr>
      <w:r>
        <w:rPr>
          <w:rFonts w:ascii="Arial" w:hAnsi="Arial"/>
          <w:sz w:val="24"/>
        </w:rPr>
        <w:t>Der Markt für Gebrauchtwagen zählt zu den größten und zugleich intransparentesten Konsumgütermärkten in modernen Volkswirtschaften. In Deutschland wurden im Jahr 2023 laut Kraftfahrtbundesamt rund 6,8 Millionen Gebrauchtwagen zwischen Privatpersonen und Händlern gehandelt. Trotz dieser enormen Marktgröße fehlt es Privatpersonen häufig an einer belastbaren Datengrundlage, um den fairen Marktwert eines konkreten Fahrzeugs objektiv einzuschätzen. Während erfahrene Händler über jahrelange Marktkenntnisse und Restwertlisten verfügen, sind Privatverkäufer und -käufer bei ihrer Preisfindung meist auf subjektive Vergleiche innerhalb von Inseratsplattformen angewiesen.</w:t>
      </w:r>
    </w:p>
    <w:p w:rsidR="007A7E08" w:rsidRDefault="00000000">
      <w:pPr>
        <w:spacing w:line="240" w:lineRule="auto" w:before="0" w:after="60"/>
        <w:jc w:val="left"/>
      </w:pPr>
      <w:r>
        <w:rPr>
          <w:rFonts w:ascii="Arial" w:hAnsi="Arial"/>
          <w:sz w:val="24"/>
        </w:rPr>
        <w:t>Diese Informationsasymmetrie hat weitreichende wirtschaftliche Konsequenzen: Verkäufer setzen Preise häufig zu niedrig an, weil ihnen Vergleichsdaten fehlen, während Käufer überhöhte Preise akzeptieren, weil sie die relevanten Preistreiber eines Fahrzeugs nicht kennen. Gleichzeitig stellen Plattformen wie mobile.de oder auto.dev umfangreiche, öffentlich zugängliche Datensätze bereit, die tausende Fahrzeuginserate mit strukturierten Attributen und Freitextbeschreibungen enthalten. Diese Datensätze bieten eine hervorragende Grundlage für Machine-Learning-basierte Preismodelle.</w:t>
      </w:r>
    </w:p>
    <w:p w:rsidR="007A7E08" w:rsidRDefault="00000000">
      <w:pPr>
        <w:spacing w:line="240" w:lineRule="auto" w:before="0" w:after="60"/>
        <w:jc w:val="left"/>
      </w:pPr>
      <w:r>
        <w:rPr>
          <w:rFonts w:ascii="Arial" w:hAnsi="Arial"/>
          <w:sz w:val="24"/>
        </w:rPr>
        <w:t>Vor diesem Hintergrund verfolgt die vorliegende Projektarbeit das Ziel, ein vollständiges, datengetriebenes System zur automatisierten Preisvorhersage für Gebrauchtfahrzeuge zu entwickeln und produktiv bereitzustellen. Das System deckt dabei zwei wirtschaftlich bedeutende und strukturell unterschiedliche Märkte ab: den deutschen Markt, repräsentiert durch Mercedes-Benz-Fahrzeuge auf mobile.de, sowie den US-amerikanischen Markt mit Ford-F-Series- und Lexus-NX-Inseraten der Plattform auto.dev. Die Entscheidung, zwei geographisch verschiedene Märkte zu vergleichen, erlaubt es, sowohl marktübergreifende als auch marktspezifische Preistreiber zu identifizieren.</w:t>
      </w:r>
    </w:p>
    <w:p w:rsidR="007A7E08" w:rsidRDefault="00000000">
      <w:pPr>
        <w:spacing w:line="240" w:lineRule="auto" w:before="0" w:after="60"/>
        <w:jc w:val="left"/>
      </w:pPr>
      <w:r>
        <w:rPr>
          <w:rFonts w:ascii="Arial" w:hAnsi="Arial"/>
          <w:sz w:val="24"/>
        </w:rPr>
        <w:t>Das System deckt den vollständigen Data-Science-Lebenszyklus ab: beginnend mit der automatisierten Datenerhebung durch Web Scraping und API-Integration, über die Datenhaltung in einer relationalen Cloud-Datenbank, das Feature Engineering mittels eines Large Language Models zur Extraktion strukturierter Aus</w:t>
      </w:r>
      <w:r>
        <w:rPr>
          <w:rFonts w:ascii="Arial" w:hAnsi="Arial"/>
          <w:sz w:val="24"/>
        </w:rPr>
        <w:lastRenderedPageBreak/>
        <w:t>stattungsmerkmale aus Freitexten, das Training von XGBoost-Regressionsmodellen mit systematischer Hyperparameter-Optimierung, bis hin zur Auslieferung der Modelle in einem interaktiven Streamlit-Dashboard, das öffentlich über die Streamlit Community Cloud erreichbar ist.</w:t>
      </w:r>
    </w:p>
    <w:p w:rsidR="007A7E08" w:rsidRDefault="00000000">
      <w:pPr>
        <w:spacing w:line="240" w:lineRule="auto" w:before="0" w:after="60"/>
        <w:jc w:val="left"/>
      </w:pPr>
      <w:r>
        <w:rPr>
          <w:rFonts w:ascii="Arial" w:hAnsi="Arial"/>
          <w:sz w:val="24"/>
        </w:rPr>
        <w:t>Ein zentrales Designziel war dabei die Erklärbarkeit der Modellvorhersagen: Mithilfe von SHAP-Werten wird dem Nutzer nicht nur ein berechneter Preis präsentiert, sondern auch eine transparente Aufschlüsselung der wertbestimmenden Faktoren. Dieser Ansatz der Explainable AI schlägt die Brücke zwischen der Leistungsfähigkeit komplexer ML-Modelle und der Verständlichkeit für nicht-technische Endnutzer.</w:t>
      </w:r>
    </w:p>
    <w:p w:rsidR="00E70EEF" w:rsidRDefault="00000000">
      <w:pPr>
        <w:spacing w:line="240" w:lineRule="auto" w:before="0" w:after="60"/>
        <w:jc w:val="left"/>
      </w:pPr>
      <w:r>
        <w:rPr>
          <w:rFonts w:ascii="Arial" w:hAnsi="Arial"/>
          <w:sz w:val="24"/>
        </w:rPr>
        <w:t>Die Arbeit ist wie folgt strukturiert: Kapitel 2 legt die theoretischen Grundlagen dar, auf denen das System aufbaut. Kapitel 3 beschreibt die Gesamtarchitektur und das Systemdesign. Kapitel 4 erläutert die Datenerhebung aus beiden Märkten einschließlich einer ausführlichen rechtlichen Reflexion. Kapitel 5 behandelt die Datenverarbeitung und das LLM-basierte Feature Engineering. Kapitel 6 stellt das maschinelle Lernverfahren vor. Kapitel 7 beschreibt das Frontend und den integrierten Chatbot. Kapitel 8 diskutiert Software-Qualität und Entwicklungsprozess. Kapitel 9 schließt mit einer kritischen Reflexion und einem Ausblick auf mögliche Weiterentwicklungen.</w:t>
      </w:r>
    </w:p>
    <w:p w:rsidR="007A7E08" w:rsidRPr="00E97BAD" w:rsidRDefault="00E70EEF" w:rsidP="00E97BAD">
      <w:pPr>
        <w:pStyle w:val="berschrift1"/>
        <w:keepNext w:val="0"/>
        <w:keepLines w:val="0"/>
        <w:pageBreakBefore w:val="0"/>
        <w:jc w:val="left"/>
      </w:pPr>
      <w:r w:rsidRPr="00E97BAD">
        <w:rPr>
          <w:rFonts w:ascii="Arial" w:hAnsi="Arial"/>
        </w:rPr>
        <w:t>2 Theoretische Grundlagen</w:t>
      </w:r>
      <w:bookmarkEnd w:id="3"/>
    </w:p>
    <w:p w:rsidR="007A7E08" w:rsidRDefault="00E70EEF">
      <w:pPr>
        <w:pStyle w:val="berschrift2"/>
        <w:keepNext w:val="0"/>
        <w:keepLines w:val="0"/>
        <w:pageBreakBefore w:val="0"/>
        <w:jc w:val="left"/>
      </w:pPr>
      <w:bookmarkStart w:id="4" w:name="_Toc229075324"/>
      <w:r>
        <w:rPr>
          <w:rFonts w:ascii="Arial" w:hAnsi="Arial"/>
        </w:rPr>
        <w:t>2.1 Gebrauchtwagenmärkte und Preisbildung</w:t>
      </w:r>
      <w:bookmarkEnd w:id="4"/>
    </w:p>
    <w:p w:rsidR="007A7E08" w:rsidRDefault="00000000">
      <w:pPr>
        <w:spacing w:line="240" w:lineRule="auto" w:before="0" w:after="60"/>
        <w:jc w:val="left"/>
      </w:pPr>
      <w:r>
        <w:rPr>
          <w:rFonts w:ascii="Arial" w:hAnsi="Arial"/>
          <w:sz w:val="24"/>
        </w:rPr>
        <w:t>Der Gebrauchtwagenmarkt weist klassische Merkmale eines Marktes mit asymmetrischer Information auf. George Akerlof beschrieb dieses Phänomen in seinem wegweisenden Aufsatz "The Market for Lemons" (1970): Wenn Verkäufer über bessere Informationen zum Zustand eines Gutes verfügen als Käufer, droht Adverse Selection – der Markt füllt sich mit unterdurchschnittlichen Produkten, weil Käufer nicht zwischen guten und schlechten Angeboten unterscheiden können und daher nur einen Durchschnittspreis zu zahlen bereit sind. Im Gebrauch</w:t>
      </w:r>
      <w:r w:rsidR="00E97BAD">
        <w:rPr>
          <w:rFonts w:ascii="Arial" w:hAnsi="Arial"/>
          <w:sz w:val="24"/>
        </w:rPr>
        <w:t>t</w:t>
      </w:r>
      <w:r>
        <w:rPr>
          <w:rFonts w:ascii="Arial" w:hAnsi="Arial"/>
          <w:sz w:val="24"/>
        </w:rPr>
        <w:lastRenderedPageBreak/>
        <w:t>wagenmarkt manifestiert sich dies in Form von Misstrauen gegenüber Fahrzeugzustand und Kilometerstandsangaben sowie in der Preisbildungsunsicherheit auf Käuferseite.</w:t>
      </w:r>
    </w:p>
    <w:p w:rsidR="007A7E08" w:rsidRDefault="00000000">
      <w:pPr>
        <w:spacing w:line="240" w:lineRule="auto" w:before="0" w:after="60"/>
        <w:jc w:val="left"/>
      </w:pPr>
      <w:r>
        <w:rPr>
          <w:rFonts w:ascii="Arial" w:hAnsi="Arial"/>
          <w:sz w:val="24"/>
        </w:rPr>
        <w:t>Digitale Marktplätze wie mobile.de und auto.dev mildern dieses Problem teilweise, indem sie standardisierte Attributfelder, Fahrzeughistorie-Berichte und Nutzerbewertungen bereitstellen. Gleichzeitig erzeugen sie umfangreiche, maschinenlesbare Datensätze, die für datengetriebene Preismodelle genutzt werden können. Die Forschungsliteratur belegt, dass ML-basierte Modelle die Preisprognosegenauigkeit gegenüber traditionellen Regressionsansätzen erheblich verbessern können, insbesondere wenn nicht-lineare Wechselwirkungen zwischen Features berücksichtigt werden.</w:t>
      </w:r>
    </w:p>
    <w:p w:rsidR="007A7E08" w:rsidRDefault="00000000">
      <w:pPr>
        <w:spacing w:line="240" w:lineRule="auto" w:before="0" w:after="60"/>
        <w:jc w:val="left"/>
      </w:pPr>
      <w:r>
        <w:rPr>
          <w:rFonts w:ascii="Arial" w:hAnsi="Arial"/>
          <w:sz w:val="24"/>
        </w:rPr>
        <w:t>Die preisbestimmenden Faktoren bei Gebrauchtwagen lassen sich in vier Kategorien unterteilen. Erstens Fahrzeugeigenschaften wie Marke, Modell, Motorisierung, Baujahr und Karosserieform, die den Basiswert des Fahrzeugs determinieren. Zweitens die Nutzungshistorie, insbesondere Kilometerstand und Anzahl der Vorbesitzer, die den Verschleiß widerspiegeln. Drittens Ausstattungsmerkmale wie Sonderausstattungen, Assistenzsysteme und Komfortfeatures, die einen messbaren Aufpreis erzielen. Viertens externe Faktoren wie regionale Nachfrageunterschiede, saisonale Schwankungen und makroökonomische Einflüsse auf die Kaufkraft.</w:t>
      </w:r>
    </w:p>
    <w:p w:rsidR="007A7E08" w:rsidRDefault="00E70EEF">
      <w:pPr>
        <w:pStyle w:val="berschrift2"/>
        <w:keepNext w:val="0"/>
        <w:keepLines w:val="0"/>
        <w:pageBreakBefore w:val="0"/>
        <w:jc w:val="left"/>
      </w:pPr>
      <w:bookmarkStart w:id="5" w:name="_Toc229075325"/>
      <w:r>
        <w:rPr>
          <w:rFonts w:ascii="Arial" w:hAnsi="Arial"/>
        </w:rPr>
        <w:t>2.2 Gradient Boosting und XGBoost</w:t>
      </w:r>
      <w:bookmarkEnd w:id="5"/>
    </w:p>
    <w:p w:rsidR="007A7E08" w:rsidRDefault="00000000">
      <w:pPr>
        <w:spacing w:line="240" w:lineRule="auto" w:before="0" w:after="60"/>
        <w:jc w:val="left"/>
      </w:pPr>
      <w:r>
        <w:rPr>
          <w:rFonts w:ascii="Arial" w:hAnsi="Arial"/>
          <w:sz w:val="24"/>
        </w:rPr>
        <w:t>Ensemble-Lernverfahren kombinieren mehrere schwache Lernmodelle zu einem leistungsstarken Gesamtmodell. Boosting-Verfahren konstruieren dieses Ensemble dabei sequenziell: Jedes neue Modell wird gezielt darauf trainiert, die Fehler seiner Vorgänger zu korrigieren. Das Gradient-Boosting-Verfahren, ursprünglich von Jerome Friedman (2001) formalisiert, optimiert dabei iterativ eine differenzierbare Verlustfunktion im Funktionenraum. Jeder neue Baum approximiert den negativen Gradienten der Verlustfunktion bezüglich der aktuellen Modellvorhersage.</w:t>
      </w:r>
    </w:p>
    <w:p w:rsidR="007A7E08" w:rsidRDefault="00000000">
      <w:pPr>
        <w:spacing w:line="240" w:lineRule="auto" w:before="0" w:after="60"/>
        <w:jc w:val="left"/>
      </w:pPr>
      <w:r>
        <w:rPr>
          <w:rFonts w:ascii="Arial" w:hAnsi="Arial"/>
          <w:sz w:val="24"/>
        </w:rPr>
        <w:t>eXtreme Gradient Boosting (XGBoost), vorgestellt von Tianqi Chen und Carlos Guestrin auf der KDD-Konferenz 2016, erweitert das klassische Gradient-</w:t>
      </w:r>
      <w:r>
        <w:rPr>
          <w:rFonts w:ascii="Arial" w:hAnsi="Arial"/>
          <w:sz w:val="24"/>
        </w:rPr>
        <w:lastRenderedPageBreak/>
        <w:t>Boosting-Framework in mehrfacher Hinsicht. Die Zielfunktion wird um einen expliziten Regularisierungsterm ergänzt: L(φ) = Σᵢ l(yᵢ, ŷᵢ) + Σₖ Ω(fₖ), wobei Ω(f) = γT + ½λ||w||² die Modellkomplexität anhand der Blattanzahl T und der Blattgewichte w bestraft. Dieser Term verhindert Overfitting, das bei kleinen Datensätzen besonders relevant ist. Zusätzlich nutzt XGBoost einen Second-Order-Gradientenansatz (Newton-Boosting), der sowohl den ersten als auch den zweiten Gradienten der Verlustfunktion in die Baumkonstruktion einbezieht und damit eine präzisere Optimierung erlaubt als reine First-Order-Methoden.</w:t>
      </w:r>
    </w:p>
    <w:p w:rsidR="007A7E08" w:rsidRDefault="00000000">
      <w:pPr>
        <w:spacing w:line="240" w:lineRule="auto" w:before="0" w:after="60"/>
        <w:jc w:val="left"/>
      </w:pPr>
      <w:r>
        <w:rPr>
          <w:rFonts w:ascii="Arial" w:hAnsi="Arial"/>
          <w:sz w:val="24"/>
        </w:rPr>
        <w:t>Auf Implementierungsseite zeichnet sich XGBoost durch eine spaltenbasierte Datenspeicherung im CSC-Format, paralleles Baumwachstum über Thread-Level-Parallelismus, approximative Split-Algorithmen für große Datensätze sowie Cache-Awareness bei der Berechnung aus. Diese Eigenschaften machen XGBoost besonders leistungsfähig für heterogene, tabellarische Datensätze – wie sie im vorliegenden Projekt durch die Kombination aus numerischen Fahrzeugdaten und binären Ausstattungsfeatures entstehen. XGBoost hat sich in zahlreichen Kaggle-Wettbewerben als dominierende Methode für strukturierte Daten etabliert und wird in der Industrie breit eingesetzt.</w:t>
      </w:r>
    </w:p>
    <w:p w:rsidR="007A7E08" w:rsidRDefault="00E70EEF">
      <w:pPr>
        <w:pStyle w:val="berschrift2"/>
        <w:keepNext w:val="0"/>
        <w:keepLines w:val="0"/>
        <w:pageBreakBefore w:val="0"/>
        <w:jc w:val="left"/>
      </w:pPr>
      <w:bookmarkStart w:id="6" w:name="_Toc229075326"/>
      <w:r>
        <w:rPr>
          <w:rFonts w:ascii="Arial" w:hAnsi="Arial"/>
        </w:rPr>
        <w:t>2.3 Explainable AI und SHAP-Werte</w:t>
      </w:r>
      <w:bookmarkEnd w:id="6"/>
    </w:p>
    <w:p w:rsidR="007A7E08" w:rsidRDefault="00000000">
      <w:pPr>
        <w:spacing w:line="240" w:lineRule="auto" w:before="0" w:after="60"/>
        <w:jc w:val="left"/>
      </w:pPr>
      <w:r>
        <w:rPr>
          <w:rFonts w:ascii="Arial" w:hAnsi="Arial"/>
          <w:sz w:val="24"/>
        </w:rPr>
        <w:t>Mit zunehmender Modellkomplexität wächst das Bedürfnis nach Interpretierbarkeit von ML-Vorhersagen – insbesondere in Anwendungskontexten, in denen Entscheidungen für Endnutzer nachvollziehbar sein müssen. Lundberg und Lee (2017) schlugen mit SHAP (SHapley Additive exPlanations) ein theoretisch fundiertes Framework vor, das auf dem spieltheoretischen Konzept der Shapley-Werte aus der kooperativen Spieltheorie basiert. Der Shapley-Wert eines Spielers – hier eines Features – ist definiert als sein gewichteter durchschnittlicher marginaler Beitrag über alle möglichen Koalitionen, also Teilmengen der Features. Formal gilt: φᵢ = Σ_{S ⊆ F\{i}} [|S|!(n-|S|-1)!/n!] · [f(S∪{i}) − f(S)], wobei F die Menge aller Features, n = |F|, und f(S) die Modellvorhersage unter Berücksichtigung nur der Features in S bezeichnet.</w:t>
      </w:r>
    </w:p>
    <w:p w:rsidR="007A7E08" w:rsidRDefault="00000000">
      <w:pPr>
        <w:spacing w:line="240" w:lineRule="auto" w:before="0" w:after="60"/>
        <w:jc w:val="left"/>
      </w:pPr>
      <w:r>
        <w:rPr>
          <w:rFonts w:ascii="Arial" w:hAnsi="Arial"/>
          <w:sz w:val="24"/>
        </w:rPr>
        <w:t xml:space="preserve">SHAP erfüllt eine Reihe wünschenswerter theoretischer Eigenschaften: Effizienz (die Summe aller SHAP-Werte ergibt die Abweichung der Vorhersage vom Erwartungswert), Symmetrie (identisch beitragende Features erhalten gleiche </w:t>
      </w:r>
      <w:r>
        <w:rPr>
          <w:rFonts w:ascii="Arial" w:hAnsi="Arial"/>
          <w:sz w:val="24"/>
        </w:rPr>
        <w:lastRenderedPageBreak/>
        <w:t>Werte), Dummy-Eigenschaft (Features ohne Einfluss erhalten den SHAP-Wert 0) und Additivität (SHAP-Werte über mehrere Modelle sind additiv zusammensetzbar). Für Baummodelle wie XGBoost haben Lundberg et al. (2018) mit TreeSHAP einen effizienten Algorithmus entwickelt, der SHAP-Werte in polynomieller statt exponentieller Zeit berechnet.</w:t>
      </w:r>
    </w:p>
    <w:p w:rsidR="007A7E08" w:rsidRDefault="00000000">
      <w:pPr>
        <w:spacing w:line="240" w:lineRule="auto" w:before="0" w:after="60"/>
        <w:jc w:val="left"/>
      </w:pPr>
      <w:r>
        <w:rPr>
          <w:rFonts w:ascii="Arial" w:hAnsi="Arial"/>
          <w:sz w:val="24"/>
        </w:rPr>
        <w:t>Im Kontext der Gebrauchtwagenpreisvorhersage ermöglicht SHAP, für jedes einzelne Inserat zu quantifizieren, in welchem Maße Fahrzeugalter, Kilometerstand, Motorleistung oder eine bestimmte Sonderausstattung den vorhergesagten Preis beeinflusst. Dies verwandelt das Vorhersagesystem von einem opaken Preis-Orakel in ein transparentes Bewertungswerkzeug, das dem Nutzer datenbasierte Erklärungen für Preisunterschiede zwischen Fahrzeugen liefert.</w:t>
      </w:r>
    </w:p>
    <w:p w:rsidR="007A7E08" w:rsidRPr="002B02E6" w:rsidRDefault="00E70EEF">
      <w:pPr>
        <w:pStyle w:val="berschrift2"/>
        <w:keepNext w:val="0"/>
        <w:keepLines w:val="0"/>
        <w:pageBreakBefore w:val="0"/>
        <w:jc w:val="left"/>
        <w:rPr>
          <w:lang w:val="en-GB"/>
        </w:rPr>
      </w:pPr>
      <w:bookmarkStart w:id="7" w:name="_Toc229075327"/>
      <w:r>
        <w:rPr>
          <w:rFonts w:ascii="Arial" w:hAnsi="Arial"/>
          <w:lang w:val="en-GB"/>
        </w:rPr>
        <w:t>2.4 LLM-basierte Feature-Extraktion und Natural Language Processing</w:t>
      </w:r>
      <w:bookmarkEnd w:id="7"/>
    </w:p>
    <w:p w:rsidR="007A7E08" w:rsidRDefault="00000000">
      <w:pPr>
        <w:spacing w:line="240" w:lineRule="auto" w:before="0" w:after="60"/>
        <w:jc w:val="left"/>
      </w:pPr>
      <w:r>
        <w:rPr>
          <w:rFonts w:ascii="Arial" w:hAnsi="Arial"/>
          <w:sz w:val="24"/>
        </w:rPr>
        <w:t>Fahrzeuginserate enthalten neben strukturierten Datenfeldern (Baujahr, Kilometerstand, PS) häufig umfangreiche Freitextbeschreibungen, die wertvollen Informationen über Sonderausstattungen, Fahrzeugzustand und besondere Merkmale enthalten. Diese unstrukturierten Texte direkt in ML-Modelle einzuspeisen ist problematisch, da klassische Vektorisierungsverfahren wie Bag-of-Words oder TF-IDF bei kurzen, domänenspezifischen Texten unzuverlässig sind und die entstehenden hochdimensionalen Featurevektoren das Modelltraining erschweren.</w:t>
      </w:r>
    </w:p>
    <w:p w:rsidR="007A7E08" w:rsidRDefault="00000000">
      <w:pPr>
        <w:spacing w:line="240" w:lineRule="auto" w:before="0" w:after="60"/>
        <w:jc w:val="left"/>
      </w:pPr>
      <w:r>
        <w:rPr>
          <w:rFonts w:ascii="Arial" w:hAnsi="Arial"/>
          <w:sz w:val="24"/>
        </w:rPr>
        <w:t>Large Language Models (LLMs) wie Mistral, Llama oder GPT-4 bieten einen wirkungsvolleren Ansatz: Sie können, entsprechend instruiert, aus natürlichsprachlichen Beschreibungen strukturierte Daten extrahieren, ohne dass für jede neue Extraktionsaufgabe ein separates Modell trainiert werden muss. Dieser Ansatz des "LLM-as-Feature-Extractor" nutzt das in LLMs enkodierte Weltwissen sowie ihre Fähigkeit zum Reasoning über domänenspezifische Begriffe. Das Modell versteht beispielsweise, dass "Burmester Surround" und "Burmester 3D" auf dasselbe Ausstattungsmerkmal hinweisen, ohne dass diese Varianten explizit in einer Regeldatenbank erfasst sein müssen.</w:t>
      </w:r>
    </w:p>
    <w:p w:rsidR="007A7E08" w:rsidRDefault="00000000">
      <w:pPr>
        <w:spacing w:line="240" w:lineRule="auto" w:before="0" w:after="60"/>
        <w:jc w:val="left"/>
      </w:pPr>
      <w:r>
        <w:rPr>
          <w:rFonts w:ascii="Arial" w:hAnsi="Arial"/>
          <w:sz w:val="24"/>
        </w:rPr>
        <w:t xml:space="preserve">Die Qualität der Extraktion hängt dabei maßgeblich vom Prompt-Design ab. Durch Output-Constraining – die explizite Anweisung, ausschließlich ein valides JSON-Objekt mit vordefinierten Schlüsseln zurückzugeben – kann die Ausgabe </w:t>
      </w:r>
      <w:r>
        <w:rPr>
          <w:rFonts w:ascii="Arial" w:hAnsi="Arial"/>
          <w:sz w:val="24"/>
        </w:rPr>
        <w:lastRenderedPageBreak/>
        <w:t>des LLMs direkt maschinell verarbeitet werden. Im vorliegenden Projekt wurde Mistral-7B-Instruct über die Groq-API eingesetzt, die dank Hardware-Beschleunigung durch Custom-Chips besonders niedrige Inferenzlatenzen bietet.</w:t>
      </w:r>
    </w:p>
    <w:p w:rsidR="007A7E08" w:rsidRDefault="00E70EEF">
      <w:pPr>
        <w:pStyle w:val="berschrift2"/>
        <w:keepNext w:val="0"/>
        <w:keepLines w:val="0"/>
        <w:pageBreakBefore w:val="0"/>
        <w:jc w:val="left"/>
      </w:pPr>
      <w:bookmarkStart w:id="8" w:name="_Toc229075328"/>
      <w:r>
        <w:rPr>
          <w:rFonts w:ascii="Arial" w:hAnsi="Arial"/>
        </w:rPr>
        <w:t>2.5 Web Scraping: Technische Umsetzung und Rechtslage</w:t>
      </w:r>
      <w:bookmarkEnd w:id="8"/>
    </w:p>
    <w:p w:rsidR="007A7E08" w:rsidRDefault="00000000">
      <w:pPr>
        <w:spacing w:line="240" w:lineRule="auto" w:before="0" w:after="60"/>
        <w:jc w:val="left"/>
      </w:pPr>
      <w:r>
        <w:rPr>
          <w:rFonts w:ascii="Arial" w:hAnsi="Arial"/>
          <w:sz w:val="24"/>
        </w:rPr>
        <w:t>Web Scraping bezeichnet den automatisierten Abruf und die strukturierte Extraktion von Informationen aus Webseiten. Technisch unterscheidet man zwischen einfachem HTTP-Scraping (direkte Anfragen an den Webserver) und Browser-basiertem Scraping (Simulation eines vollständigen Browsers inklusive JavaScript-Ausführung). Moderne Webanwendungen wie mobile.de rendern Inhalte dynamisch via JavaScript und sind daher für einfaches HTTP-Scraping nicht zugänglich.</w:t>
      </w:r>
    </w:p>
    <w:p w:rsidR="007A7E08" w:rsidRDefault="00000000">
      <w:pPr>
        <w:spacing w:line="240" w:lineRule="auto" w:before="0" w:after="60"/>
        <w:jc w:val="left"/>
      </w:pPr>
      <w:r>
        <w:rPr>
          <w:rFonts w:ascii="Arial" w:hAnsi="Arial"/>
          <w:sz w:val="24"/>
        </w:rPr>
        <w:t>Plattformen setzen zunehmend ausgefeilte Anti-Bot-Systeme ein. TLS-Fingerprinting analysiert die Charakteristika des TLS-Handshakes und erkennt untypische Client-Profile. JavaScript-Challenge-Systeme wie Cloudflare Bot Management testen die JavaScript-Ausführungsfähigkeit und das Browser-Verhalten des Clients. Browser-Verhaltensanalyse prüft Mausbewegungen, Scrollverhalten und Timing-Muster. Honeypot-Links sind für reguläre Nutzer unsichtbar, werden aber von Scrapers verfolgt. Diese Maßnahmen machen einfache Automatisierungslösungen schnell unwirksam.</w:t>
      </w:r>
    </w:p>
    <w:p w:rsidR="007A7E08" w:rsidRDefault="00000000">
      <w:pPr>
        <w:spacing w:line="240" w:lineRule="auto" w:before="0" w:after="60"/>
        <w:jc w:val="left"/>
      </w:pPr>
      <w:r>
        <w:rPr>
          <w:rFonts w:ascii="Arial" w:hAnsi="Arial"/>
          <w:sz w:val="24"/>
        </w:rPr>
        <w:t>Rechtlich bewegt sich Web Scraping in einem komplexen Spannungsfeld. Plattformbetreiber schützen ihre Daten durch Allgemeine Geschäftsbedingungen sowie – je nach Einzigartigkeit und wirtschaftlichem Aufwand der Datensammlung – durch das Datenbankherstellerrecht gemäß §§ 87a ff. UrhG. Gleichzeitig privilegiert § 60d UrhG das Text- und Data Mining für nicht-kommerzielle wissenschaftliche Forschungszwecke. Der Europäische Gerichtshof hat in mehreren Urteilen klargestellt, dass das bloße Abrufen öffentlich zugänglicher Inhalte nicht per se einen Rechtsverstoß darstellt, solange technische Schutzmaßnahmen nicht aktiv umgangen werden. Die rechtliche Einordnung bleibt jedoch einzelfallabhängig und ist Gegenstand laufender juristischer Diskussion.</w:t>
      </w:r>
    </w:p>
    <w:p w:rsidR="007A7E08" w:rsidRDefault="00E70EEF">
      <w:pPr>
        <w:pStyle w:val="berschrift1"/>
        <w:keepNext w:val="0"/>
        <w:keepLines w:val="0"/>
        <w:pageBreakBefore w:val="0"/>
        <w:jc w:val="left"/>
      </w:pPr>
      <w:bookmarkStart w:id="9" w:name="_Toc229075329"/>
      <w:r>
        <w:rPr>
          <w:rFonts w:ascii="Arial" w:hAnsi="Arial"/>
        </w:rPr>
        <w:lastRenderedPageBreak/>
        <w:t>3 Systemarchitektur</w:t>
      </w:r>
      <w:bookmarkEnd w:id="9"/>
    </w:p>
    <w:p w:rsidR="007A7E08" w:rsidRDefault="00E70EEF">
      <w:pPr>
        <w:pStyle w:val="berschrift2"/>
        <w:keepNext w:val="0"/>
        <w:keepLines w:val="0"/>
        <w:pageBreakBefore w:val="0"/>
        <w:jc w:val="left"/>
      </w:pPr>
      <w:bookmarkStart w:id="10" w:name="_Toc229075330"/>
      <w:r>
        <w:rPr>
          <w:rFonts w:ascii="Arial" w:hAnsi="Arial"/>
        </w:rPr>
        <w:t>3.1 Überblick und Designprinzipien</w:t>
      </w:r>
      <w:bookmarkEnd w:id="10"/>
    </w:p>
    <w:p w:rsidR="007A7E08" w:rsidRDefault="00000000">
      <w:pPr>
        <w:spacing w:line="240" w:lineRule="auto" w:before="0" w:after="60"/>
        <w:jc w:val="left"/>
      </w:pPr>
      <w:r>
        <w:rPr>
          <w:rFonts w:ascii="Arial" w:hAnsi="Arial"/>
          <w:sz w:val="24"/>
        </w:rPr>
        <w:t>Das System ist nach dem Separation-of-Concerns-Prinzip entworfen, einem fundamentalen Software-Engineering-Grundsatz, der die Aufteilung eines Systems in klar voneinander abgegrenzte Module fordert, die jeweils eine einzige klar definierte Verantwortlichkeit tragen. Dieses Prinzip verbessert die Wartbarkeit, Testbarkeit und Erweiterbarkeit des Gesamtsystems erheblich, da Änderungen an einem Modul keine Kaskadenwirkung auf andere Module entfalten.</w:t>
      </w:r>
    </w:p>
    <w:p w:rsidR="007A7E08" w:rsidRDefault="00000000">
      <w:pPr>
        <w:spacing w:line="240" w:lineRule="auto" w:before="0" w:after="60"/>
        <w:jc w:val="left"/>
      </w:pPr>
      <w:r>
        <w:rPr>
          <w:rFonts w:ascii="Arial" w:hAnsi="Arial"/>
          <w:sz w:val="24"/>
        </w:rPr>
        <w:t>Die Architektur des Systems lässt sich in fünf logische Schichten unterteilen. Die Datenerhebungsschicht kapselt sämtliche Interaktionen mit externen Datenquellen, also den Web Scraper und die API-Clients. Die Datenhaltungsschicht abstrahiert den Zugriff auf die Cloud-Datenbank. Die Verarbeitungsschicht übernimmt Bereinigung, Transformation und Feature Engineering. Die Modellschicht enthält Trainings- und Inferenzlogik der ML-Modelle. Die Präsentationsschicht stellt schließlich das Frontend und den Chatbot bereit.</w:t>
      </w:r>
    </w:p>
    <w:p w:rsidR="00E97BAD" w:rsidRDefault="00000000" w:rsidP="00E97BAD">
      <w:pPr>
        <w:spacing w:line="240" w:lineRule="auto" w:before="0" w:after="60"/>
        <w:jc w:val="left"/>
      </w:pPr>
      <w:r>
        <w:rPr>
          <w:rFonts w:ascii="Arial" w:hAnsi="Arial"/>
          <w:sz w:val="24"/>
        </w:rPr>
        <w:t>Diese Entkopplung ermöglicht es, einzelne Schichten unabhängig zu ersetzen oder weiterzuentwickeln. Der Web Scraper könnte beispielsweise durch eine offizielle API ersetzt werden, ohne dass die Verarbeitungs- oder Modellschicht angepasst werden müsste. Ebenso könnte das XGBoost-Modell durch ein neuronales Netz ausgetauscht werden, ohne das Frontend zu beeinflussen, solange die Schnittstelle erhalten bleibt.</w:t>
      </w:r>
      <w:bookmarkStart w:id="11" w:name="_Toc229075331"/>
    </w:p>
    <w:p w:rsidR="007A7E08" w:rsidRPr="00E97BAD" w:rsidRDefault="00E70EEF" w:rsidP="00E97BAD">
      <w:pPr>
        <w:pStyle w:val="berschrift2"/>
        <w:keepNext w:val="0"/>
        <w:keepLines w:val="0"/>
        <w:pageBreakBefore w:val="0"/>
        <w:jc w:val="left"/>
        <w:rPr>
          <w:color w:val="2E4057"/>
        </w:rPr>
      </w:pPr>
      <w:r w:rsidRPr="00E97BAD">
        <w:rPr>
          <w:rFonts w:ascii="Arial" w:hAnsi="Arial"/>
        </w:rPr>
        <w:t>3.2 Verzeichnisstruktur und Modulverantwortlichkeiten</w:t>
      </w:r>
      <w:bookmarkEnd w:id="11"/>
    </w:p>
    <w:p w:rsidR="007A7E08" w:rsidRDefault="00000000">
      <w:pPr>
        <w:spacing w:line="240" w:lineRule="auto" w:before="0" w:after="60"/>
        <w:jc w:val="left"/>
      </w:pPr>
      <w:r>
        <w:rPr>
          <w:rFonts w:ascii="Arial" w:hAnsi="Arial"/>
          <w:sz w:val="24"/>
        </w:rPr>
        <w:t xml:space="preserve">Die Projektstruktur bildet die logische Architektur direkt in der Verzeichnishierarchie ab. Jedes Unterverzeichnis entspricht einer klar definierten Verantwortlichkeit und enthält ausschließlich die dafür relevanten Module. Das Verzeichnis src/data_collection/ enthält den Web-Scraper für mobile.de sowie den API-Client für auto.dev. Das Verzeichnis src/data_processing/ bündelt die marktspezifischen Reinigungs- und Transformationspipelines. In src/feature_engineering/ liegt die LLM-Anbindung an Groq und Mistral sowie die JSON-Schema-Verarbeitung. Das Verzeichnis src/models/ umfasst XGBoost-Training, GridSearchCV-Optimierung, SHAP-Berechnung und Serialisierung. Das Hauptskript der Streamlit-Applikation, app/app.py, enthält die UI-Logik, Modell-Inferenz und </w:t>
      </w:r>
      <w:r>
        <w:rPr>
          <w:rFonts w:ascii="Arial" w:hAnsi="Arial"/>
          <w:sz w:val="24"/>
        </w:rPr>
        <w:lastRenderedPageBreak/>
        <w:t>SHAP-Visualisierung. Eine Hilfsdatei app/helpers.py kapselt Formatierungsfunktionen, Grammatik-Mappings und Preprocessing-Logik. Automatisierte Tests liegen im Verzeichnis tests/. Die Datei requirements.txt deklariert alle Abhängigkeiten mit Versionspinning für reproduzierbare Deployment-Umgebungen. Eine README.md dokumentiert Installationsanleitung, Architekturübersicht und Nutzungsdokumentation.</w:t>
      </w:r>
    </w:p>
    <w:p w:rsidR="007A7E08" w:rsidRDefault="00E70EEF">
      <w:pPr>
        <w:pStyle w:val="berschrift2"/>
        <w:keepNext w:val="0"/>
        <w:keepLines w:val="0"/>
        <w:pageBreakBefore w:val="0"/>
        <w:jc w:val="left"/>
      </w:pPr>
      <w:bookmarkStart w:id="12" w:name="_Toc229075332"/>
      <w:r>
        <w:rPr>
          <w:rFonts w:ascii="Arial" w:hAnsi="Arial"/>
        </w:rPr>
        <w:t>3.3 Datenhaltung mit Supabase und PostgreSQL</w:t>
      </w:r>
      <w:bookmarkEnd w:id="12"/>
    </w:p>
    <w:p w:rsidR="007A7E08" w:rsidRDefault="00000000">
      <w:pPr>
        <w:spacing w:line="240" w:lineRule="auto" w:before="0" w:after="60"/>
        <w:jc w:val="left"/>
      </w:pPr>
      <w:r>
        <w:rPr>
          <w:rFonts w:ascii="Arial" w:hAnsi="Arial"/>
          <w:sz w:val="24"/>
        </w:rPr>
        <w:t>Alle bereinigten Inserate werden in einer cloud-basierten PostgreSQL-Datenbank persistiert, die über Supabase bereitgestellt wird. Supabase ist eine Open-Source-Alternative zu Firebase, die auf PostgreSQL als Datenbank-Backend aufsetzt und ein vollständiges Backend-as-a-Service-Angebot inklusive automatisch generierter REST- und GraphQL-APIs, Echtzeit-Subscriptions, Authentifizierung und Storage bietet. Für das vorliegende Projekt werden ausschließlich die Datenbankfunktionalitäten genutzt; die Anbindung erfolgt über den offiziellen Python-Client supabase-py.</w:t>
      </w:r>
    </w:p>
    <w:p w:rsidR="007A7E08" w:rsidRDefault="00000000">
      <w:pPr>
        <w:spacing w:line="240" w:lineRule="auto" w:before="0" w:after="60"/>
        <w:jc w:val="left"/>
      </w:pPr>
      <w:r>
        <w:rPr>
          <w:rFonts w:ascii="Arial" w:hAnsi="Arial"/>
          <w:sz w:val="24"/>
        </w:rPr>
        <w:t>Das relationale Datenbankschema ist auf Normalisierung und Erweiterbarkeit ausgelegt. Die zentrale Tabelle listings enthält die marktunabhängigen Basisdaten: Fahrzeugpreis, Kilometerstand, Marke, Modell, Baujahr und Kraftstofftyp. Über einen Fremdschlüssel (listing_id) sind die marktspezifischen Erweiterungstabellen listing_de und listing_us angebunden, die jeweils die plattformspezifischen Felder enthalten. Für Deutschland sind das etwa Anzahl der Vorbesitzer, TÜV-Ablaufdatum und Getriebeart; für die USA VIN-Daten, Antriebsart und Karosserievariante. Die Tabelle listing_features speichert die 15 LLM-extrahierten binären Ausstattungsmerkmale als INT2-Flags (0 oder 1) und ist ebenfalls über die listing_id mit der Haupttabelle verknüpft. Diese Struktur ermöglicht effiziente Abfragen sowohl über den gemeinsamen Grundbestand als auch über marktspezifische Attribute. Für das Modelltraining werden die Tabellen per JOIN zusammengeführt und als pandas DataFrame in die Verarbeitungspipeline übergeben.</w:t>
      </w:r>
    </w:p>
    <w:p w:rsidR="007A7E08" w:rsidRDefault="00E70EEF">
      <w:pPr>
        <w:pStyle w:val="berschrift1"/>
        <w:keepNext w:val="0"/>
        <w:keepLines w:val="0"/>
        <w:pageBreakBefore w:val="0"/>
        <w:jc w:val="left"/>
      </w:pPr>
      <w:bookmarkStart w:id="13" w:name="_Toc229075333"/>
      <w:r>
        <w:rPr>
          <w:rFonts w:ascii="Arial" w:hAnsi="Arial"/>
        </w:rPr>
        <w:lastRenderedPageBreak/>
        <w:t>4 Datenerhebung</w:t>
      </w:r>
      <w:bookmarkEnd w:id="13"/>
    </w:p>
    <w:p w:rsidR="007A7E08" w:rsidRDefault="00E70EEF">
      <w:pPr>
        <w:pStyle w:val="berschrift2"/>
        <w:keepNext w:val="0"/>
        <w:keepLines w:val="0"/>
        <w:pageBreakBefore w:val="0"/>
        <w:jc w:val="left"/>
      </w:pPr>
      <w:bookmarkStart w:id="14" w:name="_Toc229075334"/>
      <w:r>
        <w:rPr>
          <w:rFonts w:ascii="Arial" w:hAnsi="Arial"/>
        </w:rPr>
        <w:t>4.1 Deutscher Markt: Web Scraping auf mobile.de</w:t>
      </w:r>
      <w:bookmarkEnd w:id="14"/>
    </w:p>
    <w:p w:rsidR="007A7E08" w:rsidRDefault="00E70EEF">
      <w:pPr>
        <w:pStyle w:val="berschrift3"/>
        <w:keepNext w:val="0"/>
        <w:keepLines w:val="0"/>
        <w:pageBreakBefore w:val="0"/>
        <w:jc w:val="left"/>
      </w:pPr>
      <w:bookmarkStart w:id="15" w:name="_Toc229075335"/>
      <w:r>
        <w:rPr>
          <w:rFonts w:ascii="Arial" w:hAnsi="Arial"/>
        </w:rPr>
        <w:t>4.1.1 Wahl der Datenquelle und Zielsegment</w:t>
      </w:r>
      <w:bookmarkEnd w:id="15"/>
    </w:p>
    <w:p w:rsidR="007A7E08" w:rsidRDefault="00000000">
      <w:pPr>
        <w:spacing w:line="240" w:lineRule="auto" w:before="0" w:after="60"/>
        <w:jc w:val="left"/>
      </w:pPr>
      <w:r>
        <w:rPr>
          <w:rFonts w:ascii="Arial" w:hAnsi="Arial"/>
          <w:sz w:val="24"/>
        </w:rPr>
        <w:t>Mobile.de wurde als Datenquelle für den deutschen Markt gewählt, da die Plattform mit über 1,4 Millionen Inseraten den größten deutschen Gebrauchtwagenmarktplatz darstellt und damit eine hohe Datendichte für das gewählte Zielsegment bietet. Als Fahrzeugsegment wurde Mercedes-Benz ausgewählt, da die Marke ein breites Preisspektrum von ca. 8.000 Euro für ältere Kompaktwagen bis über 150.000 Euro für aktuelle Luxusklasse abdeckt und damit besonders aussagekräftige Preismodelle erlaubt. Die sieben untersuchten Modellreihen – A-Klasse, C-Klasse, E-Klasse, S-Klasse, G-Klasse, GLE und GLS – repräsentieren unterschiedliche Fahrzeugsegmente (Kompakt, Mittelklasse, Oberklasse, Kompakt-SUV, Groß-SUV) und ermöglichen es dem Modell, segmentübergreifende Preisunterschiede zu erlernen.</w:t>
      </w:r>
    </w:p>
    <w:p w:rsidR="007A7E08" w:rsidRDefault="00E70EEF">
      <w:pPr>
        <w:pStyle w:val="berschrift3"/>
        <w:keepNext w:val="0"/>
        <w:keepLines w:val="0"/>
        <w:pageBreakBefore w:val="0"/>
        <w:jc w:val="left"/>
      </w:pPr>
      <w:bookmarkStart w:id="16" w:name="_Toc229075336"/>
      <w:r>
        <w:rPr>
          <w:rFonts w:ascii="Arial" w:hAnsi="Arial"/>
        </w:rPr>
        <w:t>4.1.2 Anti-Bot-Mechanismen und technische Herausforderungen</w:t>
      </w:r>
      <w:bookmarkEnd w:id="16"/>
    </w:p>
    <w:p w:rsidR="007A7E08" w:rsidRDefault="00000000">
      <w:pPr>
        <w:spacing w:line="240" w:lineRule="auto" w:before="0" w:after="60"/>
        <w:jc w:val="left"/>
      </w:pPr>
      <w:r>
        <w:rPr>
          <w:rFonts w:ascii="Arial" w:hAnsi="Arial"/>
          <w:sz w:val="24"/>
        </w:rPr>
        <w:t>Mobile.de setzt ein vielschichtiges Anti-Bot-System ein, das sich in der Praxis als erhebliche technische Herausforderung erwiesen hat. Erste Scraping-Versuche mit der Python-Bibliothek requests scheiterten sofort: Die Plattform lieferte HTTP 403-Fehler oder leitete auf eine Cloudflare-Challenge-Seite um, die JavaScript-Ausführung erfordert. Auch einfache Selenium-Implementierungen mit einem Standard-ChromeDriver wurden innerhalb weniger Anfragen erkannt und blockiert, da der Standard-ChromeDriver in der navigator.webdriver-Property des Browsers einen detektierbaren Boolean-Wert setzt.</w:t>
      </w:r>
    </w:p>
    <w:p w:rsidR="007A7E08" w:rsidRDefault="00000000">
      <w:pPr>
        <w:spacing w:line="240" w:lineRule="auto" w:before="0" w:after="60"/>
        <w:jc w:val="left"/>
      </w:pPr>
      <w:r>
        <w:rPr>
          <w:rFonts w:ascii="Arial" w:hAnsi="Arial"/>
          <w:sz w:val="24"/>
        </w:rPr>
        <w:t xml:space="preserve">Als Lösung wurde SeleniumBase im UC-Mode (Undetected-ChromeDriver-Mode) eingesetzt. SeleniumBase ist ein Python-Framework, das Selenium um zahlreiche Komfortfunktionen und Stabilitätsverbesserungen erweitert. Der UC-Mode geht dabei über einfaches Setzen von navigator.webdriver=false hinaus: Er patcht den Chromium-Browser-Binary auf Quellcode-Ebene, entfernt ChromeDriver-spezifische Strings und Signaturen aus dem JavaScript-Laufzeitkontext, modifiziert den TLS-Fingerprint des Browsers und simuliert plattformspezifische Browser-Eigenschaften wie Plugins, MIME-Types und Canvas-Fingerprint. Zusätzlich wurden zwischen den einzelnen Seitenaufrufen zufällige Wartezeiten im </w:t>
      </w:r>
      <w:r>
        <w:rPr>
          <w:rFonts w:ascii="Arial" w:hAnsi="Arial"/>
          <w:sz w:val="24"/>
        </w:rPr>
        <w:lastRenderedPageBreak/>
        <w:t>Bereich von zwei bis fünf Sekunden eingefügt, um menschliches Browsverhalten zu imitieren und eine übermäßige Belastung der Server-Infrastruktur von mobile.de zu vermeiden.</w:t>
      </w:r>
    </w:p>
    <w:p w:rsidR="007A7E08" w:rsidRDefault="00000000">
      <w:pPr>
        <w:spacing w:line="240" w:lineRule="auto" w:before="0" w:after="60"/>
        <w:jc w:val="left"/>
      </w:pPr>
      <w:r>
        <w:rPr>
          <w:rFonts w:ascii="Arial" w:hAnsi="Arial"/>
          <w:sz w:val="24"/>
        </w:rPr>
        <w:t>Trotz dieser Maßnahmen blieb das Scraping instabil: Gelegentlich wurden neue Cloudflare-Challenges ausgelöst, die manuelles Eingreifen erforderten. Die Gesamtdauer für die Erhebung der 817 Inserate betrug daher mehrere Stunden, verteilt auf mehrere Scraping-Sitzungen. Pro Inserat wurden folgende Felder extrahiert: Listenpreis, Fahrzeugmodell, Baujahr, Kilometerstand, Motorleistung in PS und kW, Kraftstofftyp, Getriebeart, Anzahl der Vorbesitzer, TÜV-Ablaufdatum, Fahrzeugfarbe sowie die vollständige Freitextbeschreibung des Inserats.</w:t>
      </w:r>
    </w:p>
    <w:p w:rsidR="007A7E08" w:rsidRDefault="00E70EEF">
      <w:pPr>
        <w:pStyle w:val="berschrift3"/>
        <w:keepNext w:val="0"/>
        <w:keepLines w:val="0"/>
        <w:pageBreakBefore w:val="0"/>
        <w:jc w:val="left"/>
      </w:pPr>
      <w:bookmarkStart w:id="17" w:name="_Toc229075337"/>
      <w:r>
        <w:rPr>
          <w:rFonts w:ascii="Arial" w:hAnsi="Arial"/>
        </w:rPr>
        <w:t>4.1.3 Rechtliche Reflexion und Begründung</w:t>
      </w:r>
      <w:bookmarkEnd w:id="17"/>
    </w:p>
    <w:p w:rsidR="007A7E08" w:rsidRDefault="00000000">
      <w:pPr>
        <w:spacing w:line="240" w:lineRule="auto" w:before="0" w:after="60"/>
        <w:jc w:val="left"/>
      </w:pPr>
      <w:r>
        <w:rPr>
          <w:rFonts w:ascii="Arial" w:hAnsi="Arial"/>
          <w:sz w:val="24"/>
        </w:rPr>
        <w:t>§ 11 Abs. 1 der Allgemeinen Geschäftsbedingungen von mobile.de untersagt ausdrücklich den Einsatz von Scraping-Werkzeugen und stellt die zivilrechtliche Verfolgung sowie strafrechtliche Konsequenzen nach §§ 108 ff. UrhG in Aussicht. Diese Bestimmung war dem Projektteam bekannt und wurde im Vorfeld ernsthaft diskutiert. Das Scraping wurde dennoch durchgeführt und wird im Folgenden begründet und kritisch reflektiert.</w:t>
      </w:r>
    </w:p>
    <w:p w:rsidR="007A7E08" w:rsidRDefault="00000000">
      <w:pPr>
        <w:spacing w:line="240" w:lineRule="auto" w:before="0" w:after="60"/>
        <w:jc w:val="left"/>
      </w:pPr>
      <w:r>
        <w:rPr>
          <w:rFonts w:ascii="Arial" w:hAnsi="Arial"/>
          <w:sz w:val="24"/>
        </w:rPr>
        <w:t>Für die Durchführung des Scrapings sprechen folgende Argumente: Das Projekt ist ein nicht-kommerzielles Lehrprojekt im Rahmen des Studiums an der DHBW Karlsruhe. Die erhobenen Daten wurden ausschließlich für Forschungs- und Lernzwecke verwendet; eine kommerzielle Nutzung, Weiterveräußerung oder öffentliche Veröffentlichung der Rohdaten erfolgte nicht. In diesem Kontext greift § 60d UrhG, der Text- und Data Mining für nicht-kommerzielle wissenschaftliche Forschungszwecke auch dann erlaubt, wenn die Nutzungsbedingungen der Quelle dies grundsätzlich untersagen. Zudem war die abgerufene Datenmenge mit 817 Inseraten im Vergleich zum Gesamtbestand von über einer Million Inseraten vernachlässigbar gering, und durch eingebaute Wartezeiten wurde eine übermäßige Serverbelastung vermieden.</w:t>
      </w:r>
    </w:p>
    <w:p w:rsidR="007A7E08" w:rsidRDefault="00000000">
      <w:pPr>
        <w:spacing w:line="240" w:lineRule="auto" w:before="0" w:after="60"/>
        <w:jc w:val="left"/>
      </w:pPr>
      <w:r>
        <w:rPr>
          <w:rFonts w:ascii="Arial" w:hAnsi="Arial"/>
          <w:sz w:val="24"/>
        </w:rPr>
        <w:t>Gegen das Scraping spricht, dass die Umgehung von Anti-Bot-Maßnahmen – insbesondere das Patchen des Browser-Binaries – über das bloße Abrufen öffentlich zugänglicher Inhalte hinausgeht und als aktive Umgehung technischer Schutzmaßnahmen gewertet werden könnte. Eine rechtlich einwandfreie Alter</w:t>
      </w:r>
      <w:r>
        <w:rPr>
          <w:rFonts w:ascii="Arial" w:hAnsi="Arial"/>
          <w:sz w:val="24"/>
        </w:rPr>
        <w:lastRenderedPageBreak/>
        <w:t>native wäre die Nutzung der offiziellen mobile.de Händler-API, die jedoch ausschließlich gewerblichen Partnern zugänglich ist und für ein studentisches Lehrprojekt ohne Budgetmittel nicht in Frage kam. Das Projektteam reflektiert dieses Vorgehen kritisch und empfiehlt für zukünftige, insbesondere kommerzielle Projekte die Klärung mit dem Plattformbetreiber oder die Nutzung lizenzierter Datenzugänge.</w:t>
      </w:r>
    </w:p>
    <w:p w:rsidR="007A7E08" w:rsidRDefault="00E70EEF">
      <w:pPr>
        <w:pStyle w:val="berschrift2"/>
        <w:keepNext w:val="0"/>
        <w:keepLines w:val="0"/>
        <w:pageBreakBefore w:val="0"/>
        <w:jc w:val="left"/>
      </w:pPr>
      <w:bookmarkStart w:id="18" w:name="_Toc229075338"/>
      <w:r>
        <w:rPr>
          <w:rFonts w:ascii="Arial" w:hAnsi="Arial"/>
        </w:rPr>
        <w:t>4.2 Entscheidung für mobile.de: Vermeidung von Datenduplikaten</w:t>
      </w:r>
      <w:bookmarkEnd w:id="18"/>
    </w:p>
    <w:p w:rsidR="007A7E08" w:rsidRDefault="00000000">
      <w:pPr>
        <w:spacing w:line="240" w:lineRule="auto" w:before="0" w:after="60"/>
        <w:jc w:val="left"/>
      </w:pPr>
      <w:r>
        <w:rPr>
          <w:rFonts w:ascii="Arial" w:hAnsi="Arial"/>
          <w:sz w:val="24"/>
        </w:rPr>
        <w:t>Im Rahmen der Konzeptionsphase wurde die Möglichkeit diskutiert, Daten von mehreren europäischen Plattformen – konkret mobile.de und AutoScout24 – zu kombinieren, um eine breitere Datenbasis zu erzielen. Diese Idee wurde nach Analyse der Marktstruktur verworfen. Händler und Privatverkäufer veröffentlichen dasselbe Fahrzeuginserat typischerweise simultan auf mehreren Plattformen, um die Reichweite zu maximieren. Eine Zusammenführung der Daten ohne aufwändige, fahrzeugspezifische Deduplizierungslogik hätte zu einer erheblichen Verzerrung des Datensatzes geführt: Mehrfach vorhandene Inserate würden im Training übergewichtet, was die Modellleistung auf real neuen Daten reduziert.</w:t>
      </w:r>
    </w:p>
    <w:p w:rsidR="007A7E08" w:rsidRDefault="00000000">
      <w:pPr>
        <w:spacing w:line="240" w:lineRule="auto" w:before="0" w:after="60"/>
        <w:jc w:val="left"/>
      </w:pPr>
      <w:r>
        <w:rPr>
          <w:rFonts w:ascii="Arial" w:hAnsi="Arial"/>
          <w:sz w:val="24"/>
        </w:rPr>
        <w:t>Eine zuverlässige fahrzeugspezifische Deduplizierung ist komplex, da weder auf mobile.de noch auf AutoScout24 eine einheitliche Fahrzeug-ID verfügbar ist. Deduplizierung über Attributkombinationen wie Marke, Modell, Baujahr, Kilometerstand und Preis ist fehleranfällig, da Preise und Kilometerstände zwischen den Plattformen gering voneinander abweichen können. Mobile.de wurde gegenüber AutoScout24 bevorzugt, da die Plattform im Premiummarken-Segment erfahrungsgemäß ausführlichere Fahrzeugbeschreibungen enthält, was für die LLM-basierte Feature-Extraktion besonders vorteilhaft ist.</w:t>
      </w:r>
    </w:p>
    <w:p w:rsidR="007A7E08" w:rsidRDefault="00E70EEF">
      <w:pPr>
        <w:pStyle w:val="berschrift2"/>
        <w:keepNext w:val="0"/>
        <w:keepLines w:val="0"/>
        <w:pageBreakBefore w:val="0"/>
        <w:jc w:val="left"/>
      </w:pPr>
      <w:bookmarkStart w:id="19" w:name="_Toc229075339"/>
      <w:r>
        <w:rPr>
          <w:rFonts w:ascii="Arial" w:hAnsi="Arial"/>
        </w:rPr>
        <w:t>4.3 US-amerikanischer Markt: auto.dev Listing API</w:t>
      </w:r>
      <w:bookmarkEnd w:id="19"/>
    </w:p>
    <w:p w:rsidR="007A7E08" w:rsidRDefault="00E70EEF">
      <w:pPr>
        <w:pStyle w:val="berschrift3"/>
        <w:keepNext w:val="0"/>
        <w:keepLines w:val="0"/>
        <w:pageBreakBefore w:val="0"/>
        <w:jc w:val="left"/>
      </w:pPr>
      <w:bookmarkStart w:id="20" w:name="_Toc229075340"/>
      <w:r>
        <w:rPr>
          <w:rFonts w:ascii="Arial" w:hAnsi="Arial"/>
        </w:rPr>
        <w:t>4.3.1 API-Auswahl und Herausforderungen</w:t>
      </w:r>
      <w:bookmarkEnd w:id="20"/>
    </w:p>
    <w:p w:rsidR="007A7E08" w:rsidRDefault="00000000">
      <w:pPr>
        <w:spacing w:line="240" w:lineRule="auto" w:before="0" w:after="60"/>
        <w:jc w:val="left"/>
      </w:pPr>
      <w:r>
        <w:rPr>
          <w:rFonts w:ascii="Arial" w:hAnsi="Arial"/>
          <w:sz w:val="24"/>
        </w:rPr>
        <w:t xml:space="preserve">Für den US-amerikanischen Markt wurde von Beginn an eine API-basierte Datenerhebung angestrebt, um die rechtlichen und technischen Herausforderungen des Web Scrapings zu umgehen. Eine umfangreiche Marktrecherche ergab, dass die meisten etablierten Fahrzeugdaten-APIs für den US-Markt mit erheblichen monatlichen Lizenzkosten verbunden sind: MarketCheck berechnet je nach </w:t>
      </w:r>
      <w:r>
        <w:rPr>
          <w:rFonts w:ascii="Arial" w:hAnsi="Arial"/>
          <w:sz w:val="24"/>
        </w:rPr>
        <w:lastRenderedPageBreak/>
        <w:t>Nutzungsvolumen mehrere hundert US-Dollar monatlich, CARFAX-Datenzugänge sind ausschließlich für gewerbliche Nutzer verfügbar, und VinAudit sowie iPacket setzen eine Unternehmensregistrierung voraus. Für ein studentisches Lehrprojekt ohne Budgetmittel waren diese Optionen nicht realisierbar.</w:t>
      </w:r>
    </w:p>
    <w:p w:rsidR="007A7E08" w:rsidRDefault="00000000">
      <w:pPr>
        <w:spacing w:line="240" w:lineRule="auto" w:before="0" w:after="60"/>
        <w:jc w:val="left"/>
      </w:pPr>
      <w:r>
        <w:rPr>
          <w:rFonts w:ascii="Arial" w:hAnsi="Arial"/>
          <w:sz w:val="24"/>
        </w:rPr>
        <w:t>Als geeignete Alternative wurde die auto.dev Listing API identifiziert, die ein begrenztes Kontingent kostenfreier API-Credits für nicht-kommerzielle Nutzung bereitstellt. Die REST-API gibt Fahrzeuginserate in strukturiertem JSON-Format zurück, das Felder wie Fahrzeugmodell, Baujahr, Kilometerstand, Listenpreis, Antriebsart, Karosserietyp und Ausstattungsdetails enthält. Die API erlaubt die Filterung nach Marke, Modell und geographischer Region, was eine gezielte Erhebung für definierte Fahrzeugsegmente ermöglicht.</w:t>
      </w:r>
    </w:p>
    <w:p w:rsidR="00E97BAD" w:rsidRDefault="00000000" w:rsidP="00E97BAD">
      <w:pPr>
        <w:spacing w:line="240" w:lineRule="auto" w:before="0" w:after="60"/>
        <w:jc w:val="left"/>
      </w:pPr>
      <w:r>
        <w:rPr>
          <w:rFonts w:ascii="Arial" w:hAnsi="Arial"/>
          <w:sz w:val="24"/>
        </w:rPr>
        <w:t>Über die API wurden Inserate für drei Fahrzeugsegmente abgerufen: Ford F-Series mit ca. 1.600 Inseraten, Lexus NX mit 717 Inseraten und Mercedes-Benz S-Klasse mit ca. 50 Inseraten. Der Mercedes-S-Klasse-Datensatz erwies sich mit lediglich 50 Datenpunkten als zu klein für ein statistisch robustes Modelltraining. In der Machine-Learning-Literatur wird für Gradient-Boosting-Modelle üblicherweise eine Mindestdatenmenge von mehreren hundert Datenpunkten empfohlen, um Überanpassung zu vermeiden. Die Mercedes-S-Klasse-US-Daten wurden daher aus dem Modelltraining und der finalen Applikation ausgeschlossen.</w:t>
      </w:r>
      <w:bookmarkStart w:id="21" w:name="_Toc229075341"/>
    </w:p>
    <w:p w:rsidR="007A7E08" w:rsidRPr="00E97BAD" w:rsidRDefault="00E70EEF" w:rsidP="00E97BAD">
      <w:pPr>
        <w:pStyle w:val="berschrift3"/>
        <w:keepNext w:val="0"/>
        <w:keepLines w:val="0"/>
        <w:pageBreakBefore w:val="0"/>
        <w:jc w:val="left"/>
        <w:rPr>
          <w:color w:val="2E4057"/>
        </w:rPr>
      </w:pPr>
      <w:r>
        <w:rPr>
          <w:rFonts w:ascii="Arial" w:hAnsi="Arial"/>
        </w:rPr>
        <w:t>4.3.2 Vergleich der Märkte und Datenqualität</w:t>
      </w:r>
      <w:bookmarkEnd w:id="21"/>
    </w:p>
    <w:p w:rsidR="007A7E08" w:rsidRDefault="00000000">
      <w:pPr>
        <w:spacing w:line="240" w:lineRule="auto" w:before="0" w:after="60"/>
        <w:jc w:val="left"/>
      </w:pPr>
      <w:r>
        <w:rPr>
          <w:rFonts w:ascii="Arial" w:hAnsi="Arial"/>
          <w:sz w:val="24"/>
        </w:rPr>
        <w:t>Der Vergleich der Datensätze beider Märkte offenbart strukturelle Unterschiede, die das Modelltraining beeinflussen. Der deutsche Datensatz stammt aus Web Scraping auf mobile.de und umfasst 817 Inserate von Mercedes-Benz in sieben Modellreihen. Er deckt einen Preisbereich von ca. 8.000 bis 180.000 EUR ab. Ein wesentlicher Vorteil ist die Verfügbarkeit von Freitextbeschreibungen der Inserate, aus denen 15 Ausstattungsfeatures per LLM extrahiert werden. Der US-Datensatz stammt aus der auto.dev Listing API und umfasst ca. 2.317 Inserate für Ford F-Series und Lexus NX, mit einem Preisbereich von ca. 15.000 bis 90.000 USD. Freitextbeschreibungen sind nur eingeschränkt vorhanden, weshalb keine LLM-Extraktion möglich war. Durch die zwei sehr unterschiedlichen Fahrzeugsegmente ist der US-Datensatz strukturell heterogener als der deutsche.</w:t>
      </w:r>
    </w:p>
    <w:p w:rsidR="007A7E08" w:rsidRDefault="00E70EEF">
      <w:pPr>
        <w:pStyle w:val="berschrift1"/>
        <w:keepNext w:val="0"/>
        <w:keepLines w:val="0"/>
        <w:pageBreakBefore w:val="0"/>
        <w:jc w:val="left"/>
      </w:pPr>
      <w:bookmarkStart w:id="22" w:name="_Toc229075342"/>
      <w:r>
        <w:rPr>
          <w:rFonts w:ascii="Arial" w:hAnsi="Arial"/>
        </w:rPr>
        <w:lastRenderedPageBreak/>
        <w:t>5 Datenverarbeitung und Feature Engineering</w:t>
      </w:r>
      <w:bookmarkEnd w:id="22"/>
    </w:p>
    <w:p w:rsidR="007A7E08" w:rsidRDefault="00E70EEF">
      <w:pPr>
        <w:pStyle w:val="berschrift2"/>
        <w:keepNext w:val="0"/>
        <w:keepLines w:val="0"/>
        <w:pageBreakBefore w:val="0"/>
        <w:jc w:val="left"/>
      </w:pPr>
      <w:bookmarkStart w:id="23" w:name="_Toc229075343"/>
      <w:r>
        <w:rPr>
          <w:rFonts w:ascii="Arial" w:hAnsi="Arial"/>
        </w:rPr>
        <w:t>5.1 Datenbereinigungs-Pipeline</w:t>
      </w:r>
      <w:bookmarkEnd w:id="23"/>
    </w:p>
    <w:p w:rsidR="007A7E08" w:rsidRDefault="00E70EEF">
      <w:pPr>
        <w:pStyle w:val="berschrift3"/>
        <w:keepNext w:val="0"/>
        <w:keepLines w:val="0"/>
        <w:pageBreakBefore w:val="0"/>
        <w:jc w:val="left"/>
      </w:pPr>
      <w:bookmarkStart w:id="24" w:name="_Toc229075344"/>
      <w:r>
        <w:rPr>
          <w:rFonts w:ascii="Arial" w:hAnsi="Arial"/>
        </w:rPr>
        <w:t>5.1.1 Rohdatenqualität und typische Probleme</w:t>
      </w:r>
      <w:bookmarkEnd w:id="24"/>
    </w:p>
    <w:p w:rsidR="007A7E08" w:rsidRDefault="00000000">
      <w:pPr>
        <w:spacing w:line="240" w:lineRule="auto" w:before="0" w:after="60"/>
        <w:jc w:val="left"/>
      </w:pPr>
      <w:r>
        <w:rPr>
          <w:rFonts w:ascii="Arial" w:hAnsi="Arial"/>
          <w:sz w:val="24"/>
        </w:rPr>
        <w:t>Rohdaten aus Web-Scraping- und API-Quellen weisen systembedingt zahlreiche Inkonsistenzen auf, die vor dem Modelltraining behoben werden müssen. Beim Web Scraping von mobile.de traten folgende Probleme auf: Preisangaben enthielten Währungszeichen und Tausendertrennzeichen, etwa in der Form "45.900 €". Kilometerstandsangaben wurden mit der Einheit "km" geliefert, z. B. "87.500 km". PS-Angaben enthielten sowohl PS- als auch kW-Werte in kombinierter Form wie "150 PS (110 kW)". Einige Felder waren nur teilweise befüllt oder fehlten gänzlich, etwa wenn Verkäufer optionale Angaben wie das TÜV-Datum oder die Anzahl der Vorbesitzer nicht eingetragen hatten.</w:t>
      </w:r>
    </w:p>
    <w:p w:rsidR="007A7E08" w:rsidRDefault="00000000">
      <w:pPr>
        <w:spacing w:line="240" w:lineRule="auto" w:before="0" w:after="60"/>
        <w:jc w:val="left"/>
      </w:pPr>
      <w:r>
        <w:rPr>
          <w:rFonts w:ascii="Arial" w:hAnsi="Arial"/>
          <w:sz w:val="24"/>
        </w:rPr>
        <w:t>Bei den US-Daten aus der auto.dev API traten andere Probleme auf: Kilometerstände wurden in Meilen angegeben und mussten in Kilometer konvertiert werden. Einige Fahrzeuge hatten keine vollständige Ausstattungsliste. Die Preisangaben bezogen sich auf unterschiedliche Listenzustände, nämlich teils auf den MSRP (Herstellerempfohlener Verkaufspreis) und teils auf den aktuellen Marktpreis.</w:t>
      </w:r>
    </w:p>
    <w:p w:rsidR="007A7E08" w:rsidRDefault="00E70EEF">
      <w:pPr>
        <w:pStyle w:val="berschrift3"/>
        <w:keepNext w:val="0"/>
        <w:keepLines w:val="0"/>
        <w:pageBreakBefore w:val="0"/>
        <w:jc w:val="left"/>
      </w:pPr>
      <w:bookmarkStart w:id="25" w:name="_Toc229075345"/>
      <w:r>
        <w:rPr>
          <w:rFonts w:ascii="Arial" w:hAnsi="Arial"/>
        </w:rPr>
        <w:t>5.1.2 Bereinigungsschritte</w:t>
      </w:r>
      <w:bookmarkEnd w:id="25"/>
    </w:p>
    <w:p w:rsidR="007A7E08" w:rsidRDefault="00000000">
      <w:pPr>
        <w:spacing w:line="240" w:lineRule="auto" w:before="0" w:after="60"/>
        <w:jc w:val="left"/>
      </w:pPr>
      <w:r>
        <w:rPr>
          <w:rFonts w:ascii="Arial" w:hAnsi="Arial"/>
          <w:sz w:val="24"/>
        </w:rPr>
        <w:t>Die Bereinigungspipeline ist marktspezifisch implementiert, mit separaten Modulen für DE und US, und folgt einem dreistufigen Schema. Im ersten Schritt erfolgen String-Bereinigungen: Alle nicht-numerischen Zeichen werden aus numerischen Feldern entfernt, wobei reguläre Ausdrücke für konsistente Ergebnisse sorgen. Im zweiten Schritt wird die Behandlung fehlender Werte vorgenommen. Für numerische Features wird eine Median Imputation angewandt, da der Median robuster gegenüber Ausreißern ist als der Mittelwert – ein wichtiger Aspekt bei Gebrauchtwagendaten, die Fahrzeuge sehr unterschiedlicher Preisklassen umfassen. Fehlende kategorische Werte werden durch einen standardisierten Platzhalter-String, nämlich "unknown", aufgefangen, der in der späteren Kodierung eine eigene Kategorie bildet. Im dritten Schritt erfolgt die Typenkonvertierung: Bereinigte Strings werden in die entsprechenden Python-Datentypen int, float und datetime überführt.</w:t>
      </w:r>
    </w:p>
    <w:p w:rsidR="00E70EEF" w:rsidRDefault="00000000">
      <w:pPr>
        <w:spacing w:line="240" w:lineRule="auto" w:before="0" w:after="60"/>
        <w:jc w:val="left"/>
      </w:pPr>
      <w:r>
        <w:rPr>
          <w:rFonts w:ascii="Arial" w:hAnsi="Arial"/>
          <w:sz w:val="24"/>
        </w:rPr>
        <w:lastRenderedPageBreak/>
        <w:t>Nach der Bereinigung werden kategorische Variablen für das Modelltraining aufbereitet. Ordinale Variablen wie das Fahrzeugalter werden als numerische Werte belassen. Nominale Variablen wie Kraftstofftyp, Getriebetyp und Karosserieform werden über One-Hot-Encoding in binäre Indikatorvariablen umgewandelt. Das Fahrzeugmodell wird als kategorische Variable mit Label Encoding behandelt, da XGBoost intern effizient mit integer-kodierten Kategorien umgehen kann.</w:t>
      </w:r>
    </w:p>
    <w:p w:rsidR="007A7E08" w:rsidRDefault="00E70EEF" w:rsidP="00E70EEF">
      <w:pPr>
        <w:pStyle w:val="berschrift2"/>
        <w:keepNext w:val="0"/>
        <w:keepLines w:val="0"/>
        <w:pageBreakBefore w:val="0"/>
        <w:jc w:val="left"/>
      </w:pPr>
      <w:bookmarkStart w:id="26" w:name="_Toc229075346"/>
      <w:r>
        <w:rPr>
          <w:rFonts w:ascii="Arial" w:hAnsi="Arial"/>
        </w:rPr>
        <w:t>5.2 LLM-basierte Feature-Extraktion mit Mistral</w:t>
      </w:r>
      <w:bookmarkEnd w:id="26"/>
    </w:p>
    <w:p w:rsidR="007A7E08" w:rsidRDefault="00E70EEF">
      <w:pPr>
        <w:pStyle w:val="berschrift3"/>
        <w:keepNext w:val="0"/>
        <w:keepLines w:val="0"/>
        <w:pageBreakBefore w:val="0"/>
        <w:jc w:val="left"/>
      </w:pPr>
      <w:bookmarkStart w:id="27" w:name="_Toc229075347"/>
      <w:r>
        <w:rPr>
          <w:rFonts w:ascii="Arial" w:hAnsi="Arial"/>
        </w:rPr>
        <w:t>5.2.1 Problemstellung und Voruntersuchungen</w:t>
      </w:r>
      <w:bookmarkEnd w:id="27"/>
    </w:p>
    <w:p w:rsidR="007A7E08" w:rsidRDefault="00000000">
      <w:pPr>
        <w:spacing w:line="240" w:lineRule="auto" w:before="0" w:after="60"/>
        <w:jc w:val="left"/>
      </w:pPr>
      <w:r>
        <w:rPr>
          <w:rFonts w:ascii="Arial" w:hAnsi="Arial"/>
          <w:sz w:val="24"/>
        </w:rPr>
        <w:t>Ein wesentlicher Mehrwert des deutschen Datensatzes liegt in den Freitextbeschreibungen der Inserate. Diese Texte enthalten häufig Informationen über hochpreisige Sonderausstattungen – Burmester-Soundsysteme, AMG-Ausstattungspakete, Multibeam-LED-Scheinwerfer –, die einen messbaren Einfluss auf den Fahrzeugwert haben, aber nicht in den Standardfeldern der Plattform erfasst werden. Die strukturierte Extraktion dieser Informationen ist daher für die Modellqualität zentral.</w:t>
      </w:r>
    </w:p>
    <w:p w:rsidR="007A7E08" w:rsidRDefault="00000000">
      <w:pPr>
        <w:spacing w:line="240" w:lineRule="auto" w:before="0" w:after="60"/>
        <w:jc w:val="left"/>
      </w:pPr>
      <w:r>
        <w:rPr>
          <w:rFonts w:ascii="Arial" w:hAnsi="Arial"/>
          <w:sz w:val="24"/>
        </w:rPr>
        <w:t>Im Rahmen der Voruntersuchungen wurde zunächst ein regelbasierter Ansatz mittels regulärer Ausdrücke evaluiert. Dieser erwies sich jedoch schnell als unzureichend: Die Schreibweise identischer Ausstattungsmerkmale variiert zwischen Inserenten erheblich. "Burmester 3D Surround", "Burmester® High-End 3D-Surround-Soundsystem", "Burmester Anlage" und "3D Burmester" bezeichnen alle dasselbe Feature, würden aber von einem regelbasierten System ohne umfangreiche manuelle Pflege nicht einheitlich erkannt werden. Auch Rechtschreibvariationen, Abkürzungen und Fremdwörter erschwerten den regelbasierten Ansatz.</w:t>
      </w:r>
    </w:p>
    <w:p w:rsidR="007A7E08" w:rsidRDefault="00000000">
      <w:pPr>
        <w:spacing w:line="240" w:lineRule="auto" w:before="0" w:after="60"/>
        <w:jc w:val="left"/>
      </w:pPr>
      <w:r>
        <w:rPr>
          <w:rFonts w:ascii="Arial" w:hAnsi="Arial"/>
          <w:sz w:val="24"/>
        </w:rPr>
        <w:t>Als Alternative wurden verschiedene Open-Source-LLMs evaluiert. Erste Tests mit kleineren Modellen unter sieben Milliarden Parametern über die Ollama-Plattform zeigten, dass diese Modelle mit der Aufgabe überfordert waren: Die Ausgaben waren inkonsistent, enthielten häufig erläuternden Fließtext statt des geforderten JSON-Objekts, und die Fehlerhäufigkeit bei der korrekten Klassifikation einzelner Features war zu hoch für den Produktionseinsatz. Mistral-7B-Instruct, bereitgestellt über die Groq-Inferenz-API, lieferte nach Optimierung des Prompts deutlich konsistentere und zuverlässigere Ergebnisse.</w:t>
      </w:r>
    </w:p>
    <w:p w:rsidR="007A7E08" w:rsidRDefault="00E70EEF">
      <w:pPr>
        <w:pStyle w:val="berschrift3"/>
        <w:keepNext w:val="0"/>
        <w:keepLines w:val="0"/>
        <w:pageBreakBefore w:val="0"/>
        <w:jc w:val="left"/>
      </w:pPr>
      <w:bookmarkStart w:id="28" w:name="_Toc229075348"/>
      <w:r>
        <w:rPr>
          <w:rFonts w:ascii="Arial" w:hAnsi="Arial"/>
        </w:rPr>
        <w:lastRenderedPageBreak/>
        <w:t>5.2.2 Extrahierte Features</w:t>
      </w:r>
      <w:bookmarkEnd w:id="28"/>
    </w:p>
    <w:p w:rsidR="007A7E08" w:rsidRDefault="00000000">
      <w:pPr>
        <w:spacing w:line="240" w:lineRule="auto" w:before="0" w:after="60"/>
        <w:jc w:val="left"/>
      </w:pPr>
      <w:r>
        <w:rPr>
          <w:rFonts w:ascii="Arial" w:hAnsi="Arial"/>
          <w:sz w:val="24"/>
        </w:rPr>
        <w:t>Die 15 extrahierten Features wurden gezielt auf das Zielsegment Mercedes-Benz ausgerichtet und umfassen sowohl zustandsbezogene als auch ausstattungsbezogene Merkmale. Zu den zustandsbezogenen Features zählen: tuv_neu (TÜV bzw. Hauptuntersuchung aktuell gültig, beeinflusst die Sofortnutzbarkeit), scheckheft_gepflegt (lückenloses Serviceheft vorhanden, dient als Qualitätssignal), bereifung_8_fach (acht Reifen vorhanden, also Sommer- und Winterreifen, mit einem Mehrwert von ca. 800 bis 2.000 EUR), bereifung_allwetter (Allwetterreifen als Alternative zu Zweifach-Bereifung), garantie_monate (verbleibende Garantielaufzeit, reduziert das Käuferrisiko), unfallfrei (kein dokumentierter Unfallschaden, starkes Vertrauenssignal) sowie mangel_vorhanden (bekannter Mangel explizit angegeben, führt zu einem Preisabschlag).</w:t>
      </w:r>
    </w:p>
    <w:p w:rsidR="007A7E08" w:rsidRDefault="00000000">
      <w:pPr>
        <w:spacing w:line="240" w:lineRule="auto" w:before="0" w:after="60"/>
        <w:jc w:val="left"/>
      </w:pPr>
      <w:r>
        <w:rPr>
          <w:rFonts w:ascii="Arial" w:hAnsi="Arial"/>
          <w:sz w:val="24"/>
        </w:rPr>
        <w:t>Die ausstattungsbezogenen Features umfassen: ausstattung_distronic (Mercedes Distronic Plus, also adaptiver Abstandstempomat), ausstattung_multibeam (Multibeam LED-Scheinwerfer als Premium-Lichtpaket), ausstattung_klima_4_zonen (4-Zonen-Klimaautomatik, typisches Oberklasse-Merkmal), ausstattung_klima_2_zonen (2-Zonen-Klimaautomatik als Standard der Mittelklasse), ausstattung_burmester_3d (Burmester 3D-Surround-Soundsystem als hochpreisige Sonderausstattung), ausstattung_burmester_st (Burmester Stereosoundanlage in der Einstiegsversion), ausstattung_amg_line (AMG Line bzw. AMG-Paket als optisches und technisches Sportpaket) sowie ausstattung_pano (Panoramadach oder Schiebedach als begehrtes Komfortmerkmal).</w:t>
      </w:r>
    </w:p>
    <w:p w:rsidR="007A7E08" w:rsidRDefault="00E70EEF">
      <w:pPr>
        <w:pStyle w:val="berschrift3"/>
        <w:keepNext w:val="0"/>
        <w:keepLines w:val="0"/>
        <w:pageBreakBefore w:val="0"/>
        <w:jc w:val="left"/>
      </w:pPr>
      <w:bookmarkStart w:id="29" w:name="_Toc229075349"/>
      <w:r>
        <w:rPr>
          <w:rFonts w:ascii="Arial" w:hAnsi="Arial"/>
        </w:rPr>
        <w:t>5.2.3 Prompt Engineering und Verarbeitungsablauf</w:t>
      </w:r>
      <w:bookmarkEnd w:id="29"/>
    </w:p>
    <w:p w:rsidR="007A7E08" w:rsidRDefault="00000000">
      <w:pPr>
        <w:spacing w:line="240" w:lineRule="auto" w:before="0" w:after="60"/>
        <w:jc w:val="left"/>
      </w:pPr>
      <w:r>
        <w:rPr>
          <w:rFonts w:ascii="Arial" w:hAnsi="Arial"/>
          <w:sz w:val="24"/>
        </w:rPr>
        <w:t>Das Prompt-Design ist entscheidend für die Ausgabequalität des LLMs. Der Prompt instruiert Mistral, eine gegebene Fahrzeugbeschreibung zu analysieren und ausschließlich ein valides JSON-Objekt mit den 15 vordefinierten Schlüsseln zurückzugeben, ohne erläuternden Fließtext oder Erklärungen. Diese Technik des Output-Constraining reduziert die Varianz der LLM-Ausgaben erheblich und ermöglicht zuverlässiges maschinelles Parsen.</w:t>
      </w:r>
    </w:p>
    <w:p w:rsidR="007A7E08" w:rsidRDefault="00000000">
      <w:pPr>
        <w:spacing w:line="240" w:lineRule="auto" w:before="0" w:after="60"/>
        <w:jc w:val="left"/>
      </w:pPr>
      <w:r>
        <w:rPr>
          <w:rFonts w:ascii="Arial" w:hAnsi="Arial"/>
          <w:sz w:val="24"/>
        </w:rPr>
        <w:t xml:space="preserve">Der Verarbeitungsablauf erfolgt in drei Schritten. Im ersten Schritt wird die Fahrzeugbeschreibung eines Inserats aus der Datenbank ausgelesen und zusammen mit dem strukturierten Systemprompt an die Groq-API übermittelt. Die Groq-API </w:t>
      </w:r>
      <w:r>
        <w:rPr>
          <w:rFonts w:ascii="Arial" w:hAnsi="Arial"/>
          <w:sz w:val="24"/>
        </w:rPr>
        <w:lastRenderedPageBreak/>
        <w:t>zeichnet sich durch besonders niedrige Inferenzlatenzen aus, da sie spezialisierte Hardware in Form von Language Processing Units einsetzt, die für LLM-Inferenz optimiert sind. Im zweiten Schritt wird die JSON-Antwort des Modells geparst und auf Vollständigkeit sowie Typkonformität geprüft. Fehlende oder fehlerhafte Schlüssel werden mit Standardwerten aufgefüllt. Im dritten Schritt werden die extrahierten Boolean-Werte, kodiert als Integer 0 oder 1, in die Tabelle listing_features der Supabase-Datenbank geschrieben.</w:t>
      </w:r>
    </w:p>
    <w:p w:rsidR="007A7E08" w:rsidRDefault="00E70EEF">
      <w:pPr>
        <w:pStyle w:val="berschrift1"/>
        <w:keepNext w:val="0"/>
        <w:keepLines w:val="0"/>
        <w:pageBreakBefore w:val="0"/>
        <w:jc w:val="left"/>
      </w:pPr>
      <w:bookmarkStart w:id="30" w:name="_Toc229075350"/>
      <w:r>
        <w:rPr>
          <w:rFonts w:ascii="Arial" w:hAnsi="Arial"/>
        </w:rPr>
        <w:t>6 Machine Learning und Explainable AI</w:t>
      </w:r>
      <w:bookmarkEnd w:id="30"/>
    </w:p>
    <w:p w:rsidR="007A7E08" w:rsidRDefault="00E70EEF">
      <w:pPr>
        <w:pStyle w:val="berschrift2"/>
        <w:keepNext w:val="0"/>
        <w:keepLines w:val="0"/>
        <w:pageBreakBefore w:val="0"/>
        <w:jc w:val="left"/>
      </w:pPr>
      <w:bookmarkStart w:id="31" w:name="_Toc229075351"/>
      <w:r>
        <w:rPr>
          <w:rFonts w:ascii="Arial" w:hAnsi="Arial"/>
        </w:rPr>
        <w:t>6.1 Modellauswahl und Begründung</w:t>
      </w:r>
      <w:bookmarkEnd w:id="31"/>
    </w:p>
    <w:p w:rsidR="007A7E08" w:rsidRDefault="00000000">
      <w:pPr>
        <w:spacing w:line="240" w:lineRule="auto" w:before="0" w:after="60"/>
        <w:jc w:val="left"/>
      </w:pPr>
      <w:r>
        <w:rPr>
          <w:rFonts w:ascii="Arial" w:hAnsi="Arial"/>
          <w:sz w:val="24"/>
        </w:rPr>
        <w:t>Die Wahl des Algorithmus für die Preisvorhersage fiel auf XGBoost, nachdem mehrere Alternativen systematisch evaluiert wurden. Lineare Regressionsmodelle wie OLS, Ridge und Lasso wurden verworfen, da Gebrauchtwagenpreise ausgeprägte nicht-lineare Abhängigkeiten von den Eingangsgrößen aufweisen: Der Wertverlust eines Fahrzeugs ist in den ersten Jahren überproportional hoch und flacht mit zunehmendem Alter ab. Auch Interaktionseffekte – etwa der kombinierte Einfluss von Modell und Kilometerstand – sind für lineare Modelle ohne explizites Feature Engineering schwer abzubilden.</w:t>
      </w:r>
    </w:p>
    <w:p w:rsidR="007A7E08" w:rsidRDefault="00000000">
      <w:pPr>
        <w:spacing w:line="240" w:lineRule="auto" w:before="0" w:after="60"/>
        <w:jc w:val="left"/>
      </w:pPr>
      <w:r>
        <w:rPr>
          <w:rFonts w:ascii="Arial" w:hAnsi="Arial"/>
          <w:sz w:val="24"/>
        </w:rPr>
        <w:t>Random Forest als alternative Ensemble-Methode liefert vergleichbare Ergebnisse zu XGBoost, ist aber in der Regel langsamer im Training und bietet keine native Integration mit SHAP in vergleichbarer Effizienz. Gradient Boosted Trees im Allgemeinen sind für ihre überlegene Leistung bei tabellarischen Daten bekannt. XGBoost wurde gegenüber anderen Gradient-Boosting-Implementierungen wie LightGBM und CatBoost bevorzugt, da es die reifste Bibliotheksunterstützung, die umfangreichste Dokumentation und die beste SHAP-Integration bietet.</w:t>
      </w:r>
    </w:p>
    <w:p w:rsidR="007A7E08" w:rsidRDefault="00E70EEF">
      <w:pPr>
        <w:pStyle w:val="berschrift2"/>
        <w:keepNext w:val="0"/>
        <w:keepLines w:val="0"/>
        <w:pageBreakBefore w:val="0"/>
        <w:jc w:val="left"/>
      </w:pPr>
      <w:bookmarkStart w:id="32" w:name="_Toc229075352"/>
      <w:r>
        <w:rPr>
          <w:rFonts w:ascii="Arial" w:hAnsi="Arial"/>
        </w:rPr>
        <w:t>6.2 Feature Set und Vorverarbeitung</w:t>
      </w:r>
      <w:bookmarkEnd w:id="32"/>
    </w:p>
    <w:p w:rsidR="007A7E08" w:rsidRDefault="00000000">
      <w:pPr>
        <w:spacing w:line="240" w:lineRule="auto" w:before="0" w:after="60"/>
        <w:jc w:val="left"/>
      </w:pPr>
      <w:r>
        <w:rPr>
          <w:rFonts w:ascii="Arial" w:hAnsi="Arial"/>
          <w:sz w:val="24"/>
        </w:rPr>
        <w:t xml:space="preserve">Das finale Feature Set für das deutsche Modell setzt sich aus drei Kategorien zusammen. Numerische Features umfassen: Fahrzeugalter (berechnet als aktuelles Jahr minus Baujahr), Kilometerstand, Motorleistung in PS sowie Anzahl der Vorbesitzer. Diese Merkmale werden ohne Normalisierung direkt an XGBoost übergeben, da Baummodelle skalierungsinvariant sind. Kategorische Features </w:t>
      </w:r>
      <w:r>
        <w:rPr>
          <w:rFonts w:ascii="Arial" w:hAnsi="Arial"/>
          <w:sz w:val="24"/>
        </w:rPr>
        <w:lastRenderedPageBreak/>
        <w:t>umfassen: Fahrzeugmodell mit sieben Klassen, Kraftstofftyp, Getriebetyp und Fahrzeugfarbe, die per One-Hot-Encoding in binäre Indikatorvariablen transformiert werden. Die 15 LLM-extrahierten binären Ausstattungsfeatures bilden die dritte Featurekategorie und stellen den methodischen Mehrwert gegenüber klassischen Fahrzeugbewertungsmodellen dar.</w:t>
      </w:r>
    </w:p>
    <w:p w:rsidR="007A7E08" w:rsidRDefault="00000000">
      <w:pPr>
        <w:spacing w:line="240" w:lineRule="auto" w:before="0" w:after="60"/>
        <w:jc w:val="left"/>
      </w:pPr>
      <w:r>
        <w:rPr>
          <w:rFonts w:ascii="Arial" w:hAnsi="Arial"/>
          <w:sz w:val="24"/>
        </w:rPr>
        <w:t>Für den US-Markt entfallen die deutschen marktspezifischen Features wie Vorbesitzeranzahl, TÜV-Status und LLM-Ausstattungsfeatures, und werden durch US-spezifische Merkmale ersetzt: Antriebsart (2WD/4WD/AWD), Karosserievariante (Crew Cab, Extended Cab usw.) und Trimmlevel. Der kombinierte Feature-Vektor hat für das deutsche Modell je nach One-Hot-Encoding-Kardinalität typischerweise 40 bis 50 Dimensionen, für das US-Modell ca. 25 bis 35 Dimensionen.</w:t>
      </w:r>
    </w:p>
    <w:p w:rsidR="007A7E08" w:rsidRPr="00E97BAD" w:rsidRDefault="00E70EEF" w:rsidP="00E97BAD">
      <w:pPr>
        <w:pStyle w:val="berschrift2"/>
        <w:keepNext w:val="0"/>
        <w:keepLines w:val="0"/>
        <w:pageBreakBefore w:val="0"/>
        <w:jc w:val="left"/>
        <w:rPr>
          <w:color w:val="2E4057"/>
        </w:rPr>
      </w:pPr>
      <w:bookmarkStart w:id="33" w:name="_Toc229075353"/>
      <w:r>
        <w:rPr>
          <w:rFonts w:ascii="Arial" w:hAnsi="Arial"/>
        </w:rPr>
        <w:t>6.3 Hyperparameter-Optimierung mit GridSearchCV</w:t>
      </w:r>
      <w:bookmarkEnd w:id="33"/>
    </w:p>
    <w:p w:rsidR="007A7E08" w:rsidRDefault="00000000">
      <w:pPr>
        <w:spacing w:line="240" w:lineRule="auto" w:before="0" w:after="60"/>
        <w:jc w:val="left"/>
      </w:pPr>
      <w:r>
        <w:rPr>
          <w:rFonts w:ascii="Arial" w:hAnsi="Arial"/>
          <w:sz w:val="24"/>
        </w:rPr>
        <w:t>Die systematische Hyperparameter-Optimierung erfolgt mittels GridSearchCV aus dem scikit-learn-Framework. GridSearchCV evaluiert alle Kombinationen eines vordefinierten Parameterrasters in einer k-fachen Kreuzvalidierung. Im vorliegenden Projekt wurde k=5 gewählt: Der Trainingsdatensatz wird in fünf gleichgroße Partitionen aufgeteilt, wobei jede Partition einmal als Validierungsset dient, während die übrigen vier Partitionen für das Training genutzt werden. Die Modellgüte wird als Mittelwert des R²-Scores über alle fünf Falten berichtet, was eine zuverlässigere Schätzung der Generalisierungsfähigkeit liefert als eine einfache Trainings-Test-Aufteilung.</w:t>
      </w:r>
    </w:p>
    <w:p w:rsidR="007A7E08" w:rsidRDefault="00000000">
      <w:pPr>
        <w:spacing w:line="240" w:lineRule="auto" w:before="0" w:after="60"/>
        <w:jc w:val="left"/>
      </w:pPr>
      <w:r>
        <w:rPr>
          <w:rFonts w:ascii="Arial" w:hAnsi="Arial"/>
          <w:sz w:val="24"/>
        </w:rPr>
        <w:t>Das durchsuchte Parameterraster umfasste die Baumtiefe (max_depth), die Lernrate (learning_rate), die Anzahl der Boosting-Runden (n_estimators), den Anteil der für jeden Baum zufällig ausgewählten Features (colsample_bytree) sowie den Regularisierungsparameter lambda. Die vollständige Gridsuche dauerte für das deutsche Modell je nach Rastergröße mehrere Minuten. Das beste Modell wurde anschließend auf dem gesamten Trainingsdatensatz neu trainiert und als pickle-Datei serialisiert, um eine schnelle Inferenz im Frontend zu ermöglichen.</w:t>
      </w:r>
    </w:p>
    <w:p w:rsidR="007A7E08" w:rsidRDefault="00E70EEF">
      <w:pPr>
        <w:pStyle w:val="berschrift2"/>
        <w:keepNext w:val="0"/>
        <w:keepLines w:val="0"/>
        <w:pageBreakBefore w:val="0"/>
        <w:jc w:val="left"/>
      </w:pPr>
      <w:bookmarkStart w:id="34" w:name="_Toc229075354"/>
      <w:r>
        <w:rPr>
          <w:rFonts w:ascii="Arial" w:hAnsi="Arial"/>
        </w:rPr>
        <w:t>6.4 Modellmetriken und Ergebnisse</w:t>
      </w:r>
      <w:bookmarkEnd w:id="34"/>
    </w:p>
    <w:p w:rsidR="007A7E08" w:rsidRDefault="00000000">
      <w:pPr>
        <w:spacing w:line="240" w:lineRule="auto" w:before="0" w:after="60"/>
        <w:jc w:val="left"/>
      </w:pPr>
      <w:r>
        <w:rPr>
          <w:rFonts w:ascii="Arial" w:hAnsi="Arial"/>
          <w:sz w:val="24"/>
        </w:rPr>
        <w:t xml:space="preserve">Die finale Modellbewertung wurde auf einem separaten Testset durchgeführt, das 20 % des Gesamtdatensatzes umfasst und durch einen stratifizierten </w:t>
      </w:r>
      <w:r>
        <w:rPr>
          <w:rFonts w:ascii="Arial" w:hAnsi="Arial"/>
          <w:sz w:val="24"/>
        </w:rPr>
        <w:lastRenderedPageBreak/>
        <w:t>train_test_split vor der GridSearch abgetrennt wurde, um Data Leakage zu vermeiden. Das deutsche Modell wurde auf ca. 654 Inseraten (80 % des Datensatzes von mobile.de) trainiert und auf ca. 163 Inseraten getestet. Das US-Modell wurde auf ca. 1.854 Inseraten (80 % des auto.dev-Datensatzes) trainiert und auf ca. 463 Inseraten getestet.</w:t>
      </w:r>
    </w:p>
    <w:p w:rsidR="007A7E08" w:rsidRDefault="00000000">
      <w:pPr>
        <w:spacing w:line="240" w:lineRule="auto" w:before="0" w:after="60"/>
        <w:jc w:val="left"/>
      </w:pPr>
      <w:r>
        <w:rPr>
          <w:rFonts w:ascii="Arial" w:hAnsi="Arial"/>
          <w:sz w:val="24"/>
        </w:rPr>
        <w:t>Das deutsche Modell erreicht mit einem Bestimmtheitsmaß R² von 0,92 eine sehr hohe Erklärungsgüte: 92 % der Preisvarianz im Testset werden durch das Modell korrekt erklärt. Ein R²-Wert in diesem Bereich gilt für Gebrauchtwagenpreismodelle als ausgezeichnet und deutet darauf hin, dass die LLM-extrahierten Ausstattungsfeatures einen wesentlichen Beitrag zur Erklärungskraft leisten. Der Mean Absolute Error (MAE) beträgt 3.973,16 EUR und ist in Relation zum Preisspektrum von 8.000 bis 180.000 EUR als moderat zu bewerten. Für Fahrzeuge im mittleren Preissegment von 30.000 bis 60.000 EUR entspricht dies einer Abweichung von ca. 7 bis 13 %; für Fahrzeuge im Hochpreissegment ist die relative Abweichung deutlich geringer.</w:t>
      </w:r>
    </w:p>
    <w:p w:rsidR="007A7E08" w:rsidRDefault="00000000">
      <w:pPr>
        <w:spacing w:line="240" w:lineRule="auto" w:before="0" w:after="60"/>
        <w:jc w:val="left"/>
      </w:pPr>
      <w:r>
        <w:rPr>
          <w:rFonts w:ascii="Arial" w:hAnsi="Arial"/>
          <w:sz w:val="24"/>
        </w:rPr>
        <w:t>Das US-Modell erreicht mit R² = 0,85 und einem MAE von 3.702,49 USD ebenfalls eine gute Erklärungsgüte, bleibt aber hinter dem deutschen Modell zurück. Dieser Unterschied lässt sich auf zwei strukturelle Ursachen zurückführen. Erstens umfasst der US-Datensatz zwei sehr heterogene Fahrzeugsegmente, nämlich schwere Pick-ups und Kompakt-SUVs, was die Modellierungsaufgabe erschwert. Zweitens fehlen dem US-Modell die 15 LLM-extrahierten Ausstattungsfeatures, die im deutschen Modell einen erheblichen Teil der Erklärungsgüte beisteuern. Ein direkter Vergleich der Modellqualität ist daher nur eingeschränkt möglich.</w:t>
      </w:r>
    </w:p>
    <w:p w:rsidR="007A7E08" w:rsidRDefault="00E70EEF">
      <w:pPr>
        <w:pStyle w:val="berschrift2"/>
        <w:keepNext w:val="0"/>
        <w:keepLines w:val="0"/>
        <w:pageBreakBefore w:val="0"/>
        <w:jc w:val="left"/>
      </w:pPr>
      <w:bookmarkStart w:id="35" w:name="_Toc229075355"/>
      <w:r>
        <w:rPr>
          <w:rFonts w:ascii="Arial" w:hAnsi="Arial"/>
        </w:rPr>
        <w:t>6.5 Explainable AI mit SHAP</w:t>
      </w:r>
      <w:bookmarkEnd w:id="35"/>
    </w:p>
    <w:p w:rsidR="007A7E08" w:rsidRDefault="00000000">
      <w:pPr>
        <w:spacing w:line="240" w:lineRule="auto" w:before="0" w:after="60"/>
        <w:jc w:val="left"/>
      </w:pPr>
      <w:r>
        <w:rPr>
          <w:rFonts w:ascii="Arial" w:hAnsi="Arial"/>
          <w:sz w:val="24"/>
        </w:rPr>
        <w:t>Gradient-Boosting-Modelle gelten als Black Boxes: Sie liefern präzise Vorhersagen, ohne die interne Entscheidungslogik für den Nutzer transparent zu machen. Im Kontext einer Kaufentscheidungshilfe ist diese Intransparenz problematisch – ein Nutzer wird einem Preisvorschlag nur dann vertrauen, wenn er seine Entstehung nachvollziehen kann. Um diese Lücke zu schließen, wurde SHAP in die Modell-Pipeline integriert.</w:t>
      </w:r>
    </w:p>
    <w:p w:rsidR="007A7E08" w:rsidRDefault="00000000">
      <w:pPr>
        <w:spacing w:line="240" w:lineRule="auto" w:before="0" w:after="60"/>
        <w:jc w:val="left"/>
      </w:pPr>
      <w:r>
        <w:rPr>
          <w:rFonts w:ascii="Arial" w:hAnsi="Arial"/>
          <w:sz w:val="24"/>
        </w:rPr>
        <w:lastRenderedPageBreak/>
        <w:t>Für jede Modellvorhersage berechnet der TreeSHAP-Algorithmus den individuellen Beitrag jedes Features zum vorhergesagten Preis. Diese Beiträge werden in der Streamlit-App als horizontale Balkenliste visualisiert, geordnet nach absolutem Einfluss. Positive SHAP-Werte, grün hinterlegt, erhöhen den Preis gegenüber dem Basiswert (dem Durchschnittspreis des Datensatzes), negative Werte, rot hinterlegt, senken ihn. In einem Beispieldurchlauf zeigte das Modell folgende Ergebnisse: Ein Fahrzeugalter von drei Jahren erhöht den Preis um +26.595 EUR gegenüber dem Durchschnitt. Eine Motorleistung von 150 PS senkt ihn um −13.929 EUR. Ein Kilometerstand von 50.000 km erhöht ihn um +5.523 EUR. Das Fehlen eines aktuellen TÜVs erhöht ihn paradoxerweise um +3.306 EUR, da neue Fahrzeuge keinen frischen TÜV benötigen. Das Vorhandensein eines Dieselmotors erhöht ihn um +2.645 EUR. Diese Ergebnisse sind plausibel und intuitiv nachvollziehbar. Die SHAP-Integration verwandelt das System von einem opaken Preis-Orakel in ein transparentes Bewertungswerkzeug, das dem Nutzer nicht nur eine Zahl, sondern auch datenbasierte Argumente für seine Kaufentscheidung liefert.</w:t>
      </w:r>
    </w:p>
    <w:p w:rsidR="007A7E08" w:rsidRDefault="00E70EEF">
      <w:pPr>
        <w:pStyle w:val="berschrift1"/>
        <w:keepNext w:val="0"/>
        <w:keepLines w:val="0"/>
        <w:pageBreakBefore w:val="0"/>
        <w:jc w:val="left"/>
      </w:pPr>
      <w:bookmarkStart w:id="36" w:name="_Toc229075356"/>
      <w:r>
        <w:rPr>
          <w:rFonts w:ascii="Arial" w:hAnsi="Arial"/>
        </w:rPr>
        <w:t>7 Frontend und Benutzeroberfläche</w:t>
      </w:r>
      <w:bookmarkEnd w:id="36"/>
    </w:p>
    <w:p w:rsidR="007A7E08" w:rsidRDefault="00E70EEF">
      <w:pPr>
        <w:pStyle w:val="berschrift2"/>
        <w:keepNext w:val="0"/>
        <w:keepLines w:val="0"/>
        <w:pageBreakBefore w:val="0"/>
        <w:jc w:val="left"/>
      </w:pPr>
      <w:bookmarkStart w:id="37" w:name="_Toc229075357"/>
      <w:r>
        <w:rPr>
          <w:rFonts w:ascii="Arial" w:hAnsi="Arial"/>
        </w:rPr>
        <w:t>7.1 Streamlit-Dashboard</w:t>
      </w:r>
      <w:bookmarkEnd w:id="37"/>
    </w:p>
    <w:p w:rsidR="007A7E08" w:rsidRDefault="00000000">
      <w:pPr>
        <w:spacing w:line="240" w:lineRule="auto" w:before="0" w:after="60"/>
        <w:jc w:val="left"/>
      </w:pPr>
      <w:r>
        <w:rPr>
          <w:rFonts w:ascii="Arial" w:hAnsi="Arial"/>
          <w:sz w:val="24"/>
        </w:rPr>
        <w:t>Das Frontend der Anwendung wurde mit Streamlit entwickelt, einem Open-Source-Python-Framework, das die schnelle Erstellung interaktiver Datenanwendungen ohne dedizierte Web-Entwicklungserfahrung ermöglicht. Streamlit kompiliert Python-Skripte zu reaktiven Web-Applikationen: Jede Interaktion des Nutzers – eine Slider-Bewegung oder Dropdown-Auswahl – löst eine Neuausführung des Python-Skripts aus, das daraufhin alle Ausgaben aktualisiert. Dieses reaktive Programmiermodell ist für Prototypen und Datenanwendungen besonders effizient, da keine separate Frontend-Backend-Architektur notwendig ist.</w:t>
      </w:r>
    </w:p>
    <w:p w:rsidR="007A7E08" w:rsidRDefault="00000000">
      <w:pPr>
        <w:spacing w:line="240" w:lineRule="auto" w:before="0" w:after="60"/>
        <w:jc w:val="left"/>
      </w:pPr>
      <w:r>
        <w:rPr>
          <w:rFonts w:ascii="Arial" w:hAnsi="Arial"/>
          <w:sz w:val="24"/>
        </w:rPr>
        <w:t>Die Applikation ist öffentlich über die Streamlit Community Cloud erreichbar. Das Deployment erfolgt direkt aus dem GitHub-Repository, wobei jeder Push auf den main-Branch automatisch ein Re-Deployment auslöst. API-Keys und Datenbankverbindungsstrings werden sicher über das integrierte Secrets-Management der Streamlit Community Cloud verwaltet und sind nicht im Repository hinterlegt.</w:t>
      </w:r>
    </w:p>
    <w:p w:rsidR="007A7E08" w:rsidRDefault="00000000">
      <w:pPr>
        <w:spacing w:line="240" w:lineRule="auto" w:before="0" w:after="60"/>
        <w:jc w:val="left"/>
      </w:pPr>
      <w:r>
        <w:rPr>
          <w:rFonts w:ascii="Arial" w:hAnsi="Arial"/>
          <w:sz w:val="24"/>
        </w:rPr>
        <w:lastRenderedPageBreak/>
        <w:t>Die Kernfunktionalität der App gliedert sich in drei Bereiche. Im ersten Bereich wählt der Nutzer über einen Markt-Selektor zwischen dem deutschen Mercedes-Modell und dem US-amerikanischen Modell für Ford F-Series oder Lexus NX. Im zweiten Bereich gibt er die Fahrzeugspezifikationen ein: kategorische Features wie Modellvariante, Kraftstofftyp und Getriebeart über Dropdowns, numerische Features wie Baujahr, Kilometerstand und Motorleistung über Slider mit sinnvoll gesetzten Minimal- und Maximalwerten. Für das deutsche Modell werden zusätzlich die 15 LLM-extrahierten Ausstattungsfeatures als Checkboxen angeboten. Im dritten Bereich werden nach Betätigung des Berechnungsbuttons der vorhergesagte Preis sowie die SHAP-Einflussfaktoren angezeigt – die vollständige Verarbeitung dauert typischerweise unter einer Sekunde.</w:t>
      </w:r>
    </w:p>
    <w:p w:rsidR="007A7E08" w:rsidRDefault="00000000">
      <w:pPr>
        <w:spacing w:line="240" w:lineRule="auto" w:before="0" w:after="60"/>
        <w:jc w:val="left"/>
      </w:pPr>
      <w:r>
        <w:rPr>
          <w:rFonts w:ascii="Arial" w:hAnsi="Arial"/>
          <w:sz w:val="24"/>
        </w:rPr>
        <w:t>Die Trennung zwischen dem Hauptskript app.py und der Hilfsdatei helpers.py folgt dem Single-Responsibility-Prinzip: app.py enthält ausschließlich die UI-Logik und den Steuerfluss der Applikation, während helpers.py Hilfsfunktionen wie Einheitenformatierungen, Grammatik-Mappings für deutsche Sprachausgaben und die Vorverarbeitungslogik für die Modelleingabe kapselt. Diese Struktur verbessert die Lesbarkeit und Wartbarkeit des Codes erheblich.</w:t>
      </w:r>
    </w:p>
    <w:p w:rsidR="007A7E08" w:rsidRDefault="00E70EEF">
      <w:pPr>
        <w:pStyle w:val="berschrift2"/>
        <w:keepNext w:val="0"/>
        <w:keepLines w:val="0"/>
        <w:pageBreakBefore w:val="0"/>
        <w:jc w:val="left"/>
      </w:pPr>
      <w:bookmarkStart w:id="38" w:name="_Toc229075358"/>
      <w:r>
        <w:rPr>
          <w:rFonts w:ascii="Arial" w:hAnsi="Arial"/>
        </w:rPr>
        <w:t>7.2 Integrierter Chatbot</w:t>
      </w:r>
      <w:bookmarkEnd w:id="38"/>
    </w:p>
    <w:p w:rsidR="007A7E08" w:rsidRDefault="00E70EEF">
      <w:pPr>
        <w:pStyle w:val="berschrift3"/>
        <w:keepNext w:val="0"/>
        <w:keepLines w:val="0"/>
        <w:pageBreakBefore w:val="0"/>
        <w:jc w:val="left"/>
      </w:pPr>
      <w:bookmarkStart w:id="39" w:name="_Toc229075359"/>
      <w:r>
        <w:rPr>
          <w:rFonts w:ascii="Arial" w:hAnsi="Arial"/>
        </w:rPr>
        <w:t>7.2.1 Konzept und Implementierungsherausforderungen</w:t>
      </w:r>
      <w:bookmarkEnd w:id="39"/>
    </w:p>
    <w:p w:rsidR="007A7E08" w:rsidRDefault="00000000">
      <w:pPr>
        <w:spacing w:line="240" w:lineRule="auto" w:before="0" w:after="60"/>
        <w:jc w:val="left"/>
      </w:pPr>
      <w:r>
        <w:rPr>
          <w:rFonts w:ascii="Arial" w:hAnsi="Arial"/>
          <w:sz w:val="24"/>
        </w:rPr>
        <w:t>Ergänzend zum Preisrechner wurde ein KI-gestützter Chatbot in die Applikation integriert, der Nutzern bei der Fahrzeugeingabe assistieren und Fragen rund um die Preisbewertung beantworten soll. Als Grundlage wurde Llama 3.3 mit 70 Milliarden Parametern von Meta gewählt, bereitgestellt über die Groq-API, da das Modell in Benchmarks starke Reasoning-Fähigkeiten bei gleichzeitig niedrigen Inferenzlatenzen demonstriert.</w:t>
      </w:r>
    </w:p>
    <w:p w:rsidR="007A7E08" w:rsidRDefault="00000000">
      <w:pPr>
        <w:spacing w:line="240" w:lineRule="auto" w:before="0" w:after="60"/>
        <w:jc w:val="left"/>
      </w:pPr>
      <w:r>
        <w:rPr>
          <w:rFonts w:ascii="Arial" w:hAnsi="Arial"/>
          <w:sz w:val="24"/>
        </w:rPr>
        <w:t xml:space="preserve">Die Implementierung des Chatbots stellte das Projektteam vor erhebliche Herausforderungen. Bei offenen, uneingeschränkten Anfragen zur Fahrzeugbewertung produzierte Llama 3.3 häufig halluzinierte Preisangaben und erfundene Marktaussagen. Das Modell zeigte eine Tendenz, spezifische Preiseinschätzungen mit scheinbarer Sicherheit zu formulieren, auch wenn diese außerhalb seines Trainingswissens lagen. Da das Modell keinen Zugriff auf die Echtzeit-Marktdaten der Applikation hat, waren solche Aussagen zwangsläufig unzuverlässig. </w:t>
      </w:r>
      <w:r>
        <w:rPr>
          <w:rFonts w:ascii="Arial" w:hAnsi="Arial"/>
          <w:sz w:val="24"/>
        </w:rPr>
        <w:lastRenderedPageBreak/>
        <w:t>Auch die Einbindung des Konversationsverlaufs führte bei längeren Gesprächen zu Inkonsistenzen, da das Modell frühere Aussagen gelegentlich widersprach.</w:t>
      </w:r>
    </w:p>
    <w:p w:rsidR="007A7E08" w:rsidRDefault="00E70EEF">
      <w:pPr>
        <w:pStyle w:val="berschrift3"/>
        <w:keepNext w:val="0"/>
        <w:keepLines w:val="0"/>
        <w:pageBreakBefore w:val="0"/>
        <w:jc w:val="left"/>
      </w:pPr>
      <w:bookmarkStart w:id="40" w:name="_Toc229075360"/>
      <w:r>
        <w:rPr>
          <w:rFonts w:ascii="Arial" w:hAnsi="Arial"/>
        </w:rPr>
        <w:t>7.2.2 Lösungsansatz: System Prompt Constraining und Guardrails</w:t>
      </w:r>
      <w:bookmarkEnd w:id="40"/>
    </w:p>
    <w:p w:rsidR="007A7E08" w:rsidRDefault="00000000">
      <w:pPr>
        <w:spacing w:line="240" w:lineRule="auto" w:before="0" w:after="60"/>
        <w:jc w:val="left"/>
      </w:pPr>
      <w:r>
        <w:rPr>
          <w:rFonts w:ascii="Arial" w:hAnsi="Arial"/>
          <w:sz w:val="24"/>
        </w:rPr>
        <w:t>Als Lösung wurde das Konzept des System Prompt Constraining implementiert: Der Systemdialog des Chatbots definiert explizit seinen Nutzungskontext, seine Fähigkeiten und seine Grenzen. Der Bot nimmt ausschließlich Anfragen entgegen, die direkt mit der Preisberechnung zusammenhängen: Erläuterungen zur Eingabe von Fahrzeugspezifikationen, Interpretationshilfe für SHAP-Einflussfaktoren, allgemeine Fragen zur Funktionsweise des Preismodells sowie Hinweise auf verfügbare Fahrzeugsegmente.</w:t>
      </w:r>
    </w:p>
    <w:p w:rsidR="007A7E08" w:rsidRDefault="00000000">
      <w:pPr>
        <w:spacing w:line="240" w:lineRule="auto" w:before="0" w:after="60"/>
        <w:jc w:val="left"/>
      </w:pPr>
      <w:r>
        <w:rPr>
          <w:rFonts w:ascii="Arial" w:hAnsi="Arial"/>
          <w:sz w:val="24"/>
        </w:rPr>
        <w:t>Bei Anfragen, die außerhalb dieses Kontexts liegen – allgemeine Kaufberatung, spekulative Marktprognosen oder themenfremde Fragen –, weist der Chatbot den Nutzer explizit auf seine eingeschränkten Möglichkeiten hin und lenkt das Gespräch zurück auf die verfügbaren Funktionen. Dieser Ansatz des Guardrail Prompting ist eine etablierte Methode zur Einschränkung von LLM-Anwendungen auf definierte Nutzungskontexte und reduziert das Risiko von Halluzinationen, indem der Antwortbereich des Modells eingegrenzt wird. In der finalen Version der Applikation ist der Chatbot als optionale Assistenzfunktion neben dem Preisrechner platziert, sodass seine eingeschränkte Funktionalität den Kernnutzen der Applikation nicht beeinträchtigt.</w:t>
      </w:r>
    </w:p>
    <w:p w:rsidR="007A7E08" w:rsidRDefault="00E70EEF">
      <w:pPr>
        <w:pStyle w:val="berschrift1"/>
        <w:keepNext w:val="0"/>
        <w:keepLines w:val="0"/>
        <w:pageBreakBefore w:val="0"/>
        <w:jc w:val="left"/>
      </w:pPr>
      <w:bookmarkStart w:id="41" w:name="_Toc229075361"/>
      <w:r>
        <w:rPr>
          <w:rFonts w:ascii="Arial" w:hAnsi="Arial"/>
        </w:rPr>
        <w:t>8 Software-Qualität und Entwicklungsprozess</w:t>
      </w:r>
      <w:bookmarkEnd w:id="41"/>
    </w:p>
    <w:p w:rsidR="007A7E08" w:rsidRDefault="00E70EEF">
      <w:pPr>
        <w:pStyle w:val="berschrift2"/>
        <w:keepNext w:val="0"/>
        <w:keepLines w:val="0"/>
        <w:pageBreakBefore w:val="0"/>
        <w:jc w:val="left"/>
      </w:pPr>
      <w:bookmarkStart w:id="42" w:name="_Toc229075362"/>
      <w:r>
        <w:rPr>
          <w:rFonts w:ascii="Arial" w:hAnsi="Arial"/>
        </w:rPr>
        <w:t>8.1 Testabdeckung mit pytest</w:t>
      </w:r>
      <w:bookmarkEnd w:id="42"/>
    </w:p>
    <w:p w:rsidR="007A7E08" w:rsidRDefault="00000000">
      <w:pPr>
        <w:spacing w:line="240" w:lineRule="auto" w:before="0" w:after="60"/>
        <w:jc w:val="left"/>
      </w:pPr>
      <w:r>
        <w:rPr>
          <w:rFonts w:ascii="Arial" w:hAnsi="Arial"/>
          <w:sz w:val="24"/>
        </w:rPr>
        <w:t>Die Qualitätssicherung des Codes erfolgt über ein strukturiertes Unit-Test-Framework auf Basis von pytest. Unit-Tests prüfen einzelne Funktionen oder Klassen in Isolation, unabhängig von externen Abhängigkeiten. Da das System stark auf externe Dienste angewiesen ist – die Supabase-Datenbank, die Groq-API für LLM-Inferenz und die auto.dev API für Fahrzeugdaten –, werden diese in den Tests konsequent durch Mock-Objekte ersetzt, die mit der Python-Bibliothek unittest.mock implementiert werden.</w:t>
      </w:r>
    </w:p>
    <w:p w:rsidR="007A7E08" w:rsidRDefault="00000000">
      <w:pPr>
        <w:spacing w:line="240" w:lineRule="auto" w:before="0" w:after="60"/>
        <w:jc w:val="left"/>
      </w:pPr>
      <w:r>
        <w:rPr>
          <w:rFonts w:ascii="Arial" w:hAnsi="Arial"/>
          <w:sz w:val="24"/>
        </w:rPr>
        <w:t xml:space="preserve">Mocking ersetzt reale externe Abhängigkeiten durch kontrollierte Testdoubles, die definierte Antworten zurückgeben. Dies ermöglicht schnelle, deterministisch </w:t>
      </w:r>
      <w:r>
        <w:rPr>
          <w:rFonts w:ascii="Arial" w:hAnsi="Arial"/>
          <w:sz w:val="24"/>
        </w:rPr>
        <w:lastRenderedPageBreak/>
        <w:t>reproduzierbare Tests ohne Netzwerkverbindung, ohne API-Kosten und ohne das Risiko unbeabsichtigter Seiteneffekte auf die Produktionsdatenbank. Ein weiterer Vorteil ist die Möglichkeit, Fehlerfälle systematisch zu testen: Mock-Objekte können so konfiguriert werden, dass sie Exceptions werfen, um die Fehlerbehandlung des Codes zu prüfen.</w:t>
      </w:r>
    </w:p>
    <w:p w:rsidR="007A7E08" w:rsidRDefault="00000000">
      <w:pPr>
        <w:spacing w:line="240" w:lineRule="auto" w:before="0" w:after="60"/>
        <w:jc w:val="left"/>
      </w:pPr>
      <w:r>
        <w:rPr>
          <w:rFonts w:ascii="Arial" w:hAnsi="Arial"/>
          <w:sz w:val="24"/>
        </w:rPr>
        <w:t>Die Tests decken die kritischen Pfade der Anwendung ab: die Korrektheit der DE- und US-Bereinigungspipelines bei unterschiedlichen Eingabeformaten (gültige Werte, Nullwerte, unerwartete Strings), die korrekte JSON-Verarbeitung und Fehlerbehandlung bei der LLM-Ausgabe (valides JSON, fehlende Schlüssel, invalider JSON-String), die erwartete Ausgabestruktur und Dimensionalität der Modell-Inferenz sowie die korrekte Berechnung der SHAP-Werte für Testdatenpunkte.</w:t>
      </w:r>
    </w:p>
    <w:p w:rsidR="007A7E08" w:rsidRDefault="00E70EEF">
      <w:pPr>
        <w:pStyle w:val="berschrift2"/>
        <w:keepNext w:val="0"/>
        <w:keepLines w:val="0"/>
        <w:pageBreakBefore w:val="0"/>
        <w:jc w:val="left"/>
      </w:pPr>
      <w:bookmarkStart w:id="43" w:name="_Toc229075363"/>
      <w:r>
        <w:rPr>
          <w:rFonts w:ascii="Arial" w:hAnsi="Arial"/>
        </w:rPr>
        <w:t>8.2 Git-Workflow und Versionskontrolle</w:t>
      </w:r>
      <w:bookmarkEnd w:id="43"/>
    </w:p>
    <w:p w:rsidR="007A7E08" w:rsidRDefault="00000000">
      <w:pPr>
        <w:spacing w:line="240" w:lineRule="auto" w:before="0" w:after="60"/>
        <w:jc w:val="left"/>
      </w:pPr>
      <w:r>
        <w:rPr>
          <w:rFonts w:ascii="Arial" w:hAnsi="Arial"/>
          <w:sz w:val="24"/>
        </w:rPr>
        <w:t>Das Projektteam nutzte Git für die Versionskontrolle und folgte einem strukturierten Branch-Workflow, der sich an gängigen Git-Flow-Konventionen orientiert. Die Entwicklung neuer Features und Bugfixes erfolgte in isolierten Feature-Branches, die nach dem Schema feature/beschreibung bzw. fix/beschreibung benannt wurden. Nach lokalem Testing und gegenseitigem Code-Review wurden Feature-Branches per Merge-Request in den zentralen dev-Branch überführt. Produktionsreife Stände wurden aus dem dev-Branch durch getaggte Releases in den main-Branch überführt, der direkt mit der Streamlit Community Cloud verbunden ist und automatische Deployments auslöst.</w:t>
      </w:r>
    </w:p>
    <w:p w:rsidR="007A7E08" w:rsidRDefault="00000000">
      <w:pPr>
        <w:spacing w:line="240" w:lineRule="auto" w:before="0" w:after="60"/>
        <w:jc w:val="left"/>
      </w:pPr>
      <w:r>
        <w:rPr>
          <w:rFonts w:ascii="Arial" w:hAnsi="Arial"/>
          <w:sz w:val="24"/>
        </w:rPr>
        <w:t>Commit-Messages folgen einer einheitlichen Konvention mit Typ-Präfixen nach dem Conventional-Commits-Standard: feat: kennzeichnet neue Features, fix: Bugfixes, chore: Wartungsarbeiten ohne funktionale Änderungen, docs: Dokumentationsänderungen, refactor: Code-Refactorings ohne Verhaltensänderung, und test: Ergänzungen oder Anpassungen des Testsuits. Diese Konventionen erhöhen die Lesbarkeit der Commit-Historie und ermöglichen das automatisierte Erstellen von Changelogs. Sämtliche Variablen, Funktionsnamen, Docstrings und Logging-Ausgaben sind in professionellem Englisch verfasst, um internationalen Open-Source-Standards zu genügen.</w:t>
      </w:r>
    </w:p>
    <w:p w:rsidR="007A7E08" w:rsidRDefault="00E70EEF">
      <w:pPr>
        <w:pStyle w:val="berschrift2"/>
        <w:keepNext w:val="0"/>
        <w:keepLines w:val="0"/>
        <w:pageBreakBefore w:val="0"/>
        <w:jc w:val="left"/>
      </w:pPr>
      <w:bookmarkStart w:id="44" w:name="_Toc229075364"/>
      <w:r>
        <w:rPr>
          <w:rFonts w:ascii="Arial" w:hAnsi="Arial"/>
        </w:rPr>
        <w:lastRenderedPageBreak/>
        <w:t>8.3 Produktionsreife, Deployment und Benutzerfreundlichkeit</w:t>
      </w:r>
      <w:bookmarkEnd w:id="44"/>
    </w:p>
    <w:p w:rsidR="007A7E08" w:rsidRDefault="00000000">
      <w:pPr>
        <w:spacing w:line="240" w:lineRule="auto" w:before="0" w:after="60"/>
        <w:jc w:val="left"/>
      </w:pPr>
      <w:r>
        <w:rPr>
          <w:rFonts w:ascii="Arial" w:hAnsi="Arial"/>
          <w:sz w:val="24"/>
        </w:rPr>
        <w:t>Die Applikation wurde mit Blick auf eine produktive Bereitstellung entwickelt. Sämtliche externen Konfigurationen – API-Keys für Groq und auto.dev, Supabase-Zugangsdaten – werden ausschließlich über Umgebungsvariablen verwaltet und sind nicht im Repository versioniert. Dieses Prinzip entspricht den Anforderungen von The Twelve-Factor App, einem etablierten Modell für cloud-native Applikationen, das unter anderem die strikte Trennung von Code und Konfiguration sowie die Deklaration aller Abhängigkeiten fordert.</w:t>
      </w:r>
    </w:p>
    <w:p w:rsidR="007A7E08" w:rsidRDefault="00000000">
      <w:pPr>
        <w:spacing w:line="240" w:lineRule="auto" w:before="0" w:after="60"/>
        <w:jc w:val="left"/>
      </w:pPr>
      <w:r>
        <w:rPr>
          <w:rFonts w:ascii="Arial" w:hAnsi="Arial"/>
          <w:sz w:val="24"/>
        </w:rPr>
        <w:t>Die Bereitstellung der Applikation erfolgt über die Streamlit Community Cloud, die eine kostenfreie Hosting-Option für öffentliche Streamlit-Applikationen direkt aus GitHub-Repositories bietet. Die Plattform übernimmt automatisch die Paketinstallation aus der requirements.txt, stellt eine HTTPS-gesicherte URL bereit und bietet ein integriertes Secrets-Management für sensible Konfigurationsdaten. Die requirements.txt-Datei deklariert alle Abhängigkeiten mit Versionspinning, was reproduzierbare Build-Umgebungen sicherstellt und Kompatibilitätsprobleme durch unkontrollierte Abhängigkeitsupdates verhindert.</w:t>
      </w:r>
    </w:p>
    <w:p w:rsidR="007A7E08" w:rsidRDefault="00000000">
      <w:pPr>
        <w:spacing w:line="240" w:lineRule="auto" w:before="0" w:after="60"/>
        <w:jc w:val="left"/>
      </w:pPr>
      <w:r>
        <w:rPr>
          <w:rFonts w:ascii="Arial" w:hAnsi="Arial"/>
          <w:sz w:val="24"/>
        </w:rPr>
        <w:t>Aus Benutzerfreundlichkeitsperspektive wurde darauf geachtet, dass die Applikation ohne technische Vorkenntnisse nutzbar ist. Slider-Elemente haben sinnvolle Standardwerte, die einem typischen Fahrzeug entsprechen, sodass der Nutzer direkt nach dem Laden der Seite ohne Eingaben eine erste Preisschätzung abrufen kann. Alle Ausgaben sind auf Deutsch lokalisiert und mit erklärenden Tooltips versehen. Die SHAP-Visualisierung ist bewusst einfach gehalten und verzichtet auf Fachterminologie.</w:t>
      </w:r>
    </w:p>
    <w:p w:rsidR="007A7E08" w:rsidRDefault="00E70EEF">
      <w:pPr>
        <w:pStyle w:val="berschrift1"/>
        <w:keepNext w:val="0"/>
        <w:keepLines w:val="0"/>
        <w:pageBreakBefore w:val="0"/>
        <w:jc w:val="left"/>
      </w:pPr>
      <w:bookmarkStart w:id="45" w:name="_Toc229075365"/>
      <w:r>
        <w:rPr>
          <w:rFonts w:ascii="Arial" w:hAnsi="Arial"/>
        </w:rPr>
        <w:lastRenderedPageBreak/>
        <w:t>9 Kritische Reflexion, Fazit und Ausblick</w:t>
      </w:r>
      <w:bookmarkEnd w:id="45"/>
    </w:p>
    <w:p w:rsidR="007A7E08" w:rsidRDefault="00E70EEF">
      <w:pPr>
        <w:pStyle w:val="berschrift2"/>
        <w:keepNext w:val="0"/>
        <w:keepLines w:val="0"/>
        <w:pageBreakBefore w:val="0"/>
        <w:jc w:val="left"/>
      </w:pPr>
      <w:bookmarkStart w:id="46" w:name="_Toc229075366"/>
      <w:r>
        <w:rPr>
          <w:rFonts w:ascii="Arial" w:hAnsi="Arial"/>
        </w:rPr>
        <w:t>9.1 Kritische Reflexion der Ergebnisse</w:t>
      </w:r>
      <w:bookmarkEnd w:id="46"/>
    </w:p>
    <w:p w:rsidR="007A7E08" w:rsidRDefault="00000000">
      <w:pPr>
        <w:spacing w:line="240" w:lineRule="auto" w:before="0" w:after="60"/>
        <w:jc w:val="left"/>
      </w:pPr>
      <w:r>
        <w:rPr>
          <w:rFonts w:ascii="Arial" w:hAnsi="Arial"/>
          <w:sz w:val="24"/>
        </w:rPr>
        <w:t>Das entwickelte System erfüllt das ursprünglich definierte Ziel: datengetriebene Preisvorhersage für Gebrauchtfahrzeuge in zwei strukturell unterschiedlichen Märkten mit guter Erklärungsgüte (R² = 0,92 für DE, R² = 0,85 für US) und transparenter SHAP-Visualisierung. Die Integration einer LLM-basierten Feature-Extraktion, die aus unstrukturierten Fahrzeugbeschreibungen quantifizierbare Ausstattungsmerkmale extrahiert, stellt einen methodischen Mehrwert dar, der über klassische Gebrauchtwagenbewertungsmodelle hinausgeht.</w:t>
      </w:r>
    </w:p>
    <w:p w:rsidR="007A7E08" w:rsidRDefault="00000000">
      <w:pPr>
        <w:spacing w:line="240" w:lineRule="auto" w:before="0" w:after="60"/>
        <w:jc w:val="left"/>
      </w:pPr>
      <w:r>
        <w:rPr>
          <w:rFonts w:ascii="Arial" w:hAnsi="Arial"/>
          <w:sz w:val="24"/>
        </w:rPr>
        <w:t>Gleichwohl sind mehrere Limitationen offen anzusprechen. Der deutsche Datensatz umfasst mit 817 Inseraten eine moderate Größe. Für ein statistisch noch robusteres Modell wäre ein Datensatz mit mehreren tausend Fahrzeugen wünschenswert, insbesondere um seltene Ausstattungskombinationen ausreichend häufig im Training zu sehen. Die Beschränkung auf Mercedes-Benz begrenzt die Übertragbarkeit des deutschen Modells auf andere Marken – das Modell hat keine Grundlage, um beispielsweise BMW- oder Audi-Fahrzeuge zu bewerten. Für ein marktbreites Bewertungswerkzeug wäre eine deutliche Erweiterung der Datenbasis notwendig.</w:t>
      </w:r>
    </w:p>
    <w:p w:rsidR="007A7E08" w:rsidRDefault="00000000">
      <w:pPr>
        <w:spacing w:line="240" w:lineRule="auto" w:before="0" w:after="60"/>
        <w:jc w:val="left"/>
      </w:pPr>
      <w:r>
        <w:rPr>
          <w:rFonts w:ascii="Arial" w:hAnsi="Arial"/>
          <w:sz w:val="24"/>
        </w:rPr>
        <w:t>Das Scraping-Vorgehen bei mobile.de, insbesondere die Umgehung von Anti-Bot-Maßnahmen, ist der ethisch und rechtlich problematischste Aspekt des Projekts. Die Begründung über § 60d UrhG ist für den akademischen Kontext vertretbar, würde aber bei kommerzieller Nutzung nicht standhalten. Das Projektteam empfiehlt für Folgearbeiten entweder die Nutzung offizieller Daten-APIs oder die aktive Partnerschaft mit Plattformbetreibern.</w:t>
      </w:r>
    </w:p>
    <w:p w:rsidR="007A7E08" w:rsidRDefault="00000000">
      <w:pPr>
        <w:spacing w:line="240" w:lineRule="auto" w:before="0" w:after="60"/>
        <w:jc w:val="left"/>
      </w:pPr>
      <w:r>
        <w:rPr>
          <w:rFonts w:ascii="Arial" w:hAnsi="Arial"/>
          <w:sz w:val="24"/>
        </w:rPr>
        <w:t>Die Chatbot-Implementierung demonstriert deutlich die Grenzen mittlerer Open-Source-LLMs bei präzisen, domänenspezifischen Aufgaben. Während Llama 3.3 für allgemeine Konversationsaufgaben geeignet ist, überschreitet die Anforderung an präzise, faktenbasierte Fahrzeugbewertungsberatung die verlässlichen Fähigkeiten des Modells. Der Guardrail-Ansatz ist pragmatisch, macht aber auch die eingeschränkte Funktionalität des Chatbots deutlich.</w:t>
      </w:r>
    </w:p>
    <w:p w:rsidR="007A7E08" w:rsidRDefault="00E70EEF">
      <w:pPr>
        <w:pStyle w:val="berschrift2"/>
        <w:keepNext w:val="0"/>
        <w:keepLines w:val="0"/>
        <w:pageBreakBefore w:val="0"/>
        <w:jc w:val="left"/>
      </w:pPr>
      <w:bookmarkStart w:id="47" w:name="_Toc229075367"/>
      <w:r>
        <w:rPr>
          <w:rFonts w:ascii="Arial" w:hAnsi="Arial"/>
        </w:rPr>
        <w:lastRenderedPageBreak/>
        <w:t>9.2 Fazit</w:t>
      </w:r>
      <w:bookmarkEnd w:id="47"/>
    </w:p>
    <w:p w:rsidR="007A7E08" w:rsidRDefault="00000000">
      <w:pPr>
        <w:spacing w:line="240" w:lineRule="auto" w:before="0" w:after="60"/>
        <w:jc w:val="left"/>
      </w:pPr>
      <w:r>
        <w:rPr>
          <w:rFonts w:ascii="Arial" w:hAnsi="Arial"/>
          <w:sz w:val="24"/>
        </w:rPr>
        <w:t>Das Projekt "Gebrauchtwagen Preisanalyse &amp; Vorhersage" demonstriert erfolgreich die Entwicklung einer vollständigen, produktiv einsetzbaren Data-Science-Lösung unter realweltlichen Bedingungen. Der gesamte Lebenszyklus wurde durchlaufen: von der Datenbeschaffung mit all ihren rechtlichen und technischen Herausforderungen, über die Datenhaltung in einer Cloud-Datenbank, das Feature Engineering mit einem Large Language Model, das Training und die Optimierung eines Gradient-Boosting-Modells, bis zur Bereitstellung in einer öffentlich zugänglichen Webanwendung.</w:t>
      </w:r>
    </w:p>
    <w:p w:rsidR="007A7E08" w:rsidRDefault="00000000">
      <w:pPr>
        <w:spacing w:line="240" w:lineRule="auto" w:before="0" w:after="60"/>
        <w:jc w:val="left"/>
      </w:pPr>
      <w:r>
        <w:rPr>
          <w:rFonts w:ascii="Arial" w:hAnsi="Arial"/>
          <w:sz w:val="24"/>
        </w:rPr>
        <w:t>Besonders hervorzuheben sind zwei methodische Entscheidungen, die sich als besonders wertvoll erwiesen haben. Erstens die LLM-basierte Feature-Extraktion, die Informationen aus unstrukturierten Texten für das Modell nutzbar macht und zur hohen Erklärungsgüte des deutschen Modells beiträgt. Zweitens die SHAP-Integration, die das Modell von einer Black Box in ein transparentes, erklärbares Bewertungswerkzeug verwandelt und damit die Nutzbarkeit für nicht-technische Endnutzer erheblich verbessert. Die gewählte Systemarchitektur nach dem Separation-of-Concerns-Prinzip hat sich als tragfähig und erweiterungsfähig erwiesen.</w:t>
      </w:r>
    </w:p>
    <w:p w:rsidR="007A7E08" w:rsidRDefault="00E70EEF">
      <w:pPr>
        <w:pStyle w:val="berschrift2"/>
        <w:keepNext w:val="0"/>
        <w:keepLines w:val="0"/>
        <w:pageBreakBefore w:val="0"/>
        <w:jc w:val="left"/>
      </w:pPr>
      <w:bookmarkStart w:id="48" w:name="_Toc229075368"/>
      <w:r>
        <w:rPr>
          <w:rFonts w:ascii="Arial" w:hAnsi="Arial"/>
        </w:rPr>
        <w:t>9.3 Ausblick</w:t>
      </w:r>
      <w:bookmarkEnd w:id="48"/>
    </w:p>
    <w:p w:rsidR="007A7E08" w:rsidRDefault="00000000" w:rsidP="00E70EEF">
      <w:pPr>
        <w:spacing w:line="240" w:lineRule="auto" w:before="0" w:after="60"/>
        <w:jc w:val="left"/>
      </w:pPr>
      <w:r>
        <w:rPr>
          <w:rFonts w:ascii="Arial" w:hAnsi="Arial"/>
          <w:sz w:val="24"/>
        </w:rPr>
        <w:t>Das System bietet mehrere konkrete Ansatzpunkte für zukünftige Erweiterungen. Eine marktbreitere Datenerhebung durch Einbeziehung weiterer Fahrzeugmarken und -modelle – idealerweise über offizielle Datenpartnerschaften – würde die Anwendbarkeit deutlich erhöhen. Die LLM-Feature-Extraktion könnte auf den US-Markt ausgeweitet werden, sofern detaillierte Fahrzeugbeschreibungen verfügbar sind, was die Modellqualität des US-Modells voraussichtlich auf das Niveau des deutschen Modells heben würde. Ein kontinuierliches Nachtraining des Modells mit aktuellen Marktdaten würde Concept Drift adressieren – die schleichende Verschiebung der Marktpreisstrukturen durch makroökonomische Einflüsse. Schließlich könnte eine Erweiterung des Chatbots durch Retrieval-Augmented Generation (RAG) über die tatsächlichen Marktdaten eine zuverlässigere und halluzinationsresistentere Beratungsfunktion ermöglichen, als es mit einem reinen LLM-Ansatz möglich ist.</w:t>
      </w:r>
    </w:p>
    <w:p w:rsidR="007A7E08" w:rsidRPr="002B02E6" w:rsidRDefault="00000000">
      <w:pPr>
        <w:pStyle w:val="berschrift1"/>
        <w:keepNext w:val="0"/>
        <w:keepLines w:val="0"/>
        <w:pageBreakBefore w:val="0"/>
        <w:jc w:val="left"/>
        <w:rPr>
          <w:lang w:val="en-GB"/>
        </w:rPr>
      </w:pPr>
      <w:bookmarkStart w:id="49" w:name="_Toc229075369"/>
      <w:r>
        <w:rPr>
          <w:rFonts w:ascii="Arial" w:hAnsi="Arial"/>
          <w:lang w:val="en-GB"/>
        </w:rPr>
        <w:lastRenderedPageBreak/>
        <w:t>Literaturverzeichnis</w:t>
      </w:r>
      <w:bookmarkEnd w:id="49"/>
    </w:p>
    <w:p w:rsidR="007A7E08" w:rsidRPr="002B02E6" w:rsidRDefault="00000000">
      <w:pPr>
        <w:spacing w:line="240" w:lineRule="auto" w:before="0" w:after="60"/>
        <w:jc w:val="left"/>
        <w:rPr>
          <w:lang w:val="en-GB"/>
        </w:rPr>
      </w:pPr>
      <w:r w:rsidRPr="00E97BAD">
        <w:rPr>
          <w:rFonts w:ascii="Arial" w:hAnsi="Arial"/>
          <w:sz w:val="24"/>
          <w:lang w:val="en-GB"/>
        </w:rPr>
        <w:t xml:space="preserve">Akerlof, G. A. (1970). The market for lemons: Quality uncertainty and the market mechanism. </w:t>
      </w:r>
      <w:r w:rsidRPr="00E97BAD">
        <w:rPr>
          <w:rFonts w:ascii="Arial" w:hAnsi="Arial"/>
          <w:i/>
          <w:iCs/>
          <w:sz w:val="24"/>
          <w:lang w:val="en-GB"/>
        </w:rPr>
        <w:t>The Quarterly Journal of Economics</w:t>
      </w:r>
      <w:r w:rsidRPr="00E97BAD">
        <w:rPr>
          <w:rFonts w:ascii="Arial" w:hAnsi="Arial"/>
          <w:sz w:val="24"/>
          <w:lang w:val="en-GB"/>
        </w:rPr>
        <w:t xml:space="preserve">, </w:t>
      </w:r>
      <w:r w:rsidRPr="00E97BAD">
        <w:rPr>
          <w:rFonts w:ascii="Arial" w:hAnsi="Arial"/>
          <w:i/>
          <w:iCs/>
          <w:sz w:val="24"/>
          <w:lang w:val="en-GB"/>
        </w:rPr>
        <w:t>84</w:t>
      </w:r>
      <w:r w:rsidRPr="00E97BAD">
        <w:rPr>
          <w:rFonts w:ascii="Arial" w:hAnsi="Arial"/>
          <w:sz w:val="24"/>
          <w:lang w:val="en-GB"/>
        </w:rPr>
        <w:t>(3), 488–500. https://doi.org/10.2307/1879431</w:t>
      </w:r>
    </w:p>
    <w:p w:rsidR="007A7E08" w:rsidRPr="00E97BAD" w:rsidRDefault="00000000">
      <w:pPr>
        <w:spacing w:line="240" w:lineRule="auto" w:before="0" w:after="60"/>
        <w:jc w:val="left"/>
      </w:pPr>
      <w:r w:rsidRPr="00E97BAD">
        <w:rPr>
          <w:rFonts w:ascii="Arial" w:hAnsi="Arial"/>
          <w:sz w:val="24"/>
          <w:lang w:val="en-GB"/>
        </w:rPr>
        <w:t xml:space="preserve">Chen, T., &amp; </w:t>
      </w:r>
      <w:proofErr w:type="spellStart"/>
      <w:r w:rsidRPr="00E97BAD">
        <w:rPr>
          <w:rFonts w:ascii="Arial" w:hAnsi="Arial"/>
          <w:sz w:val="24"/>
          <w:lang w:val="en-GB"/>
        </w:rPr>
        <w:t>Guestrin</w:t>
      </w:r>
      <w:proofErr w:type="spellEnd"/>
      <w:r w:rsidRPr="00E97BAD">
        <w:rPr>
          <w:rFonts w:ascii="Arial" w:hAnsi="Arial"/>
          <w:sz w:val="24"/>
          <w:lang w:val="en-GB"/>
        </w:rPr>
        <w:t xml:space="preserve">, C. (2016). </w:t>
      </w:r>
      <w:proofErr w:type="spellStart"/>
      <w:r w:rsidRPr="00E97BAD">
        <w:rPr>
          <w:rFonts w:ascii="Arial" w:hAnsi="Arial"/>
          <w:sz w:val="24"/>
          <w:lang w:val="en-GB"/>
        </w:rPr>
        <w:t>XGBoost</w:t>
      </w:r>
      <w:proofErr w:type="spellEnd"/>
      <w:r w:rsidRPr="00E97BAD">
        <w:rPr>
          <w:rFonts w:ascii="Arial" w:hAnsi="Arial"/>
          <w:sz w:val="24"/>
          <w:lang w:val="en-GB"/>
        </w:rPr>
        <w:t xml:space="preserve">: A scalable tree boosting system. In </w:t>
      </w:r>
      <w:r w:rsidRPr="00E97BAD">
        <w:rPr>
          <w:rFonts w:ascii="Arial" w:hAnsi="Arial"/>
          <w:i/>
          <w:iCs/>
          <w:sz w:val="24"/>
          <w:lang w:val="en-GB"/>
        </w:rPr>
        <w:t>Proceedings of the 22nd ACM SIGKDD International Conference on Knowledge Discovery and Data Mining</w:t>
      </w:r>
      <w:r w:rsidRPr="00E97BAD">
        <w:rPr>
          <w:rFonts w:ascii="Arial" w:hAnsi="Arial"/>
          <w:sz w:val="24"/>
          <w:lang w:val="en-GB"/>
        </w:rPr>
        <w:t xml:space="preserve"> (pp. 785–794). </w:t>
      </w:r>
      <w:r>
        <w:rPr>
          <w:rFonts w:ascii="Arial" w:hAnsi="Arial"/>
          <w:sz w:val="24"/>
        </w:rPr>
        <w:t>ACM. https://doi.org/10.1145/2939672.2939785</w:t>
      </w:r>
    </w:p>
    <w:p w:rsidR="007A7E08" w:rsidRDefault="00000000">
      <w:pPr>
        <w:spacing w:line="240" w:lineRule="auto" w:before="0" w:after="60"/>
        <w:jc w:val="left"/>
      </w:pPr>
      <w:r>
        <w:rPr>
          <w:rFonts w:ascii="Arial" w:hAnsi="Arial"/>
          <w:sz w:val="24"/>
        </w:rPr>
        <w:t xml:space="preserve">Lundberg, S. M., &amp; Lee, S.-I. (2017). </w:t>
      </w:r>
      <w:r w:rsidRPr="00E97BAD">
        <w:rPr>
          <w:rFonts w:ascii="Arial" w:hAnsi="Arial"/>
          <w:sz w:val="24"/>
          <w:lang w:val="en-GB"/>
        </w:rPr>
        <w:t xml:space="preserve">A unified approach to interpreting model predictions. In </w:t>
      </w:r>
      <w:r w:rsidRPr="00E97BAD">
        <w:rPr>
          <w:rFonts w:ascii="Arial" w:hAnsi="Arial"/>
          <w:i/>
          <w:iCs/>
          <w:sz w:val="24"/>
          <w:lang w:val="en-GB"/>
        </w:rPr>
        <w:t>Advances in Neural Information Processing Systems</w:t>
      </w:r>
      <w:r w:rsidRPr="00E97BAD">
        <w:rPr>
          <w:rFonts w:ascii="Arial" w:hAnsi="Arial"/>
          <w:sz w:val="24"/>
          <w:lang w:val="en-GB"/>
        </w:rPr>
        <w:t xml:space="preserve"> (Vol. 30, pp. 4765–4774). Curran Associates. </w:t>
      </w:r>
      <w:r>
        <w:rPr>
          <w:rFonts w:ascii="Arial" w:hAnsi="Arial"/>
          <w:sz w:val="24"/>
        </w:rPr>
        <w:t>Abgerufen von https://proceedings.neurips.cc/paper/2017/hash/8a20a8621978632d76c43dfd28b67767-Abstract.html</w:t>
      </w:r>
    </w:p>
    <w:p w:rsidR="007A7E08" w:rsidRDefault="00000000">
      <w:pPr>
        <w:spacing w:line="240" w:lineRule="auto" w:before="0" w:after="60"/>
        <w:jc w:val="left"/>
      </w:pPr>
      <w:r w:rsidRPr="00E97BAD">
        <w:rPr>
          <w:rFonts w:ascii="Arial" w:hAnsi="Arial"/>
          <w:sz w:val="24"/>
          <w:lang w:val="en-GB"/>
        </w:rPr>
        <w:t xml:space="preserve">Brown, T. B., et al. (2020). Language models are few-shot learners. In </w:t>
      </w:r>
      <w:r w:rsidRPr="00E97BAD">
        <w:rPr>
          <w:rFonts w:ascii="Arial" w:hAnsi="Arial"/>
          <w:i/>
          <w:iCs/>
          <w:sz w:val="24"/>
          <w:lang w:val="en-GB"/>
        </w:rPr>
        <w:t>Advances in Neural Information Processing Systems</w:t>
      </w:r>
      <w:r w:rsidRPr="00E97BAD">
        <w:rPr>
          <w:rFonts w:ascii="Arial" w:hAnsi="Arial"/>
          <w:sz w:val="24"/>
          <w:lang w:val="en-GB"/>
        </w:rPr>
        <w:t xml:space="preserve"> (Vol. 33, pp. 1877–1901). Curran Associates. </w:t>
      </w:r>
      <w:r>
        <w:rPr>
          <w:rFonts w:ascii="Arial" w:hAnsi="Arial"/>
          <w:sz w:val="24"/>
        </w:rPr>
        <w:t>Abgerufen von https://proceedings.neurips.cc/paper/2020/hash/1457c0d6bfcb4967418bfb8ac142f64a-Abstract.html</w:t>
      </w:r>
    </w:p>
    <w:p w:rsidR="007A7E08" w:rsidRDefault="00000000">
      <w:pPr>
        <w:spacing w:line="240" w:lineRule="auto" w:before="0" w:after="60"/>
        <w:jc w:val="left"/>
      </w:pPr>
      <w:r>
        <w:rPr>
          <w:rFonts w:ascii="Arial" w:hAnsi="Arial"/>
          <w:sz w:val="24"/>
        </w:rPr>
        <w:t xml:space="preserve">Lund, B. D., &amp; Wang, T. (2023). </w:t>
      </w:r>
      <w:r w:rsidRPr="00E97BAD">
        <w:rPr>
          <w:rFonts w:ascii="Arial" w:hAnsi="Arial"/>
          <w:sz w:val="24"/>
          <w:lang w:val="en-GB"/>
        </w:rPr>
        <w:t xml:space="preserve">Chatting about ChatGPT: How may AI and GPT impact academia and libraries? </w:t>
      </w:r>
      <w:r w:rsidRPr="00E97BAD">
        <w:rPr>
          <w:rFonts w:ascii="Arial" w:hAnsi="Arial"/>
          <w:i/>
          <w:iCs/>
          <w:sz w:val="24"/>
          <w:lang w:val="en-GB"/>
        </w:rPr>
        <w:t>Library Hi Tech News</w:t>
      </w:r>
      <w:r w:rsidRPr="00E97BAD">
        <w:rPr>
          <w:rFonts w:ascii="Arial" w:hAnsi="Arial"/>
          <w:sz w:val="24"/>
          <w:lang w:val="en-GB"/>
        </w:rPr>
        <w:t xml:space="preserve">, </w:t>
      </w:r>
      <w:r w:rsidRPr="00E97BAD">
        <w:rPr>
          <w:rFonts w:ascii="Arial" w:hAnsi="Arial"/>
          <w:i/>
          <w:iCs/>
          <w:sz w:val="24"/>
          <w:lang w:val="en-GB"/>
        </w:rPr>
        <w:t>40</w:t>
      </w:r>
      <w:r w:rsidRPr="00E97BAD">
        <w:rPr>
          <w:rFonts w:ascii="Arial" w:hAnsi="Arial"/>
          <w:sz w:val="24"/>
          <w:lang w:val="en-GB"/>
        </w:rPr>
        <w:t xml:space="preserve">(3), 26–29. https://doi.org/10.1108/LHTN-01-2023-0009; Cloudflare Inc. </w:t>
      </w:r>
      <w:r>
        <w:rPr>
          <w:rFonts w:ascii="Arial" w:hAnsi="Arial"/>
          <w:sz w:val="24"/>
        </w:rPr>
        <w:t>(2024). Bot management. Abgerufen von https://www.cloudflare.com/products/bot-management/</w:t>
      </w:r>
    </w:p>
    <w:p w:rsidR="007A7E08" w:rsidRPr="00E97BAD" w:rsidRDefault="00000000">
      <w:pPr>
        <w:spacing w:line="240" w:lineRule="auto" w:before="0" w:after="60"/>
        <w:jc w:val="left"/>
      </w:pPr>
      <w:r w:rsidRPr="00E97BAD">
        <w:rPr>
          <w:rFonts w:ascii="Arial" w:hAnsi="Arial"/>
          <w:sz w:val="24"/>
          <w:lang w:val="en-GB"/>
        </w:rPr>
        <w:t xml:space="preserve">Dijkstra, E. W. (1982). On the role of scientific thought. In </w:t>
      </w:r>
      <w:r w:rsidRPr="00E97BAD">
        <w:rPr>
          <w:rFonts w:ascii="Arial" w:hAnsi="Arial"/>
          <w:i/>
          <w:iCs/>
          <w:sz w:val="24"/>
          <w:lang w:val="en-GB"/>
        </w:rPr>
        <w:t>Selected writings on computing: A personal perspective</w:t>
      </w:r>
      <w:r w:rsidRPr="00E97BAD">
        <w:rPr>
          <w:rFonts w:ascii="Arial" w:hAnsi="Arial"/>
          <w:sz w:val="24"/>
          <w:lang w:val="en-GB"/>
        </w:rPr>
        <w:t xml:space="preserve"> (pp. 60–66). </w:t>
      </w:r>
      <w:r>
        <w:rPr>
          <w:rFonts w:ascii="Arial" w:hAnsi="Arial"/>
          <w:sz w:val="24"/>
        </w:rPr>
        <w:t>Springer.</w:t>
      </w:r>
    </w:p>
    <w:p w:rsidR="007A7E08" w:rsidRPr="00E97BAD" w:rsidRDefault="00000000">
      <w:pPr>
        <w:spacing w:line="240" w:lineRule="auto" w:before="0" w:after="60"/>
        <w:jc w:val="left"/>
      </w:pPr>
      <w:r>
        <w:rPr>
          <w:rFonts w:ascii="Arial" w:hAnsi="Arial"/>
          <w:sz w:val="24"/>
        </w:rPr>
        <w:t xml:space="preserve">Supabase Inc. (2024). </w:t>
      </w:r>
      <w:r>
        <w:rPr>
          <w:rFonts w:ascii="Arial" w:hAnsi="Arial"/>
          <w:i/>
          <w:iCs/>
          <w:sz w:val="24"/>
        </w:rPr>
        <w:t>Supabase documentation</w:t>
      </w:r>
      <w:r>
        <w:rPr>
          <w:rFonts w:ascii="Arial" w:hAnsi="Arial"/>
          <w:sz w:val="24"/>
        </w:rPr>
        <w:t>. Abgerufen von https://supabase.com/docs</w:t>
      </w:r>
    </w:p>
    <w:p w:rsidR="007A7E08" w:rsidRPr="00E97BAD" w:rsidRDefault="00000000">
      <w:pPr>
        <w:spacing w:line="240" w:lineRule="auto" w:before="0" w:after="60"/>
        <w:jc w:val="left"/>
      </w:pPr>
      <w:proofErr w:type="spellStart"/>
      <w:r w:rsidRPr="00E97BAD">
        <w:rPr>
          <w:rFonts w:ascii="Arial" w:hAnsi="Arial"/>
          <w:sz w:val="24"/>
          <w:lang w:val="en-GB"/>
        </w:rPr>
        <w:t>SeleniumBase</w:t>
      </w:r>
      <w:proofErr w:type="spellEnd"/>
      <w:r w:rsidRPr="00E97BAD">
        <w:rPr>
          <w:rFonts w:ascii="Arial" w:hAnsi="Arial"/>
          <w:sz w:val="24"/>
          <w:lang w:val="en-GB"/>
        </w:rPr>
        <w:t xml:space="preserve">. (2024). </w:t>
      </w:r>
      <w:r w:rsidRPr="00E97BAD">
        <w:rPr>
          <w:rFonts w:ascii="Arial" w:hAnsi="Arial"/>
          <w:i/>
          <w:iCs/>
          <w:sz w:val="24"/>
          <w:lang w:val="en-GB"/>
        </w:rPr>
        <w:t xml:space="preserve">UC-Mode: Undetected </w:t>
      </w:r>
      <w:proofErr w:type="spellStart"/>
      <w:r w:rsidRPr="00E97BAD">
        <w:rPr>
          <w:rFonts w:ascii="Arial" w:hAnsi="Arial"/>
          <w:i/>
          <w:iCs/>
          <w:sz w:val="24"/>
          <w:lang w:val="en-GB"/>
        </w:rPr>
        <w:t>ChromeDriver</w:t>
      </w:r>
      <w:proofErr w:type="spellEnd"/>
      <w:r w:rsidRPr="00E97BAD">
        <w:rPr>
          <w:rFonts w:ascii="Arial" w:hAnsi="Arial"/>
          <w:sz w:val="24"/>
          <w:lang w:val="en-GB"/>
        </w:rPr>
        <w:t xml:space="preserve"> [GitHub repository]. </w:t>
      </w:r>
      <w:r>
        <w:rPr>
          <w:rFonts w:ascii="Arial" w:hAnsi="Arial"/>
          <w:sz w:val="24"/>
        </w:rPr>
        <w:t>Abgerufen von https://github.com/seleniumbase/SeleniumBase</w:t>
      </w:r>
    </w:p>
    <w:p w:rsidR="007A7E08" w:rsidRDefault="00000000">
      <w:pPr>
        <w:spacing w:line="240" w:lineRule="auto" w:before="0" w:after="60"/>
        <w:jc w:val="left"/>
      </w:pPr>
      <w:proofErr w:type="spellStart"/>
      <w:r>
        <w:rPr>
          <w:rFonts w:ascii="Arial" w:hAnsi="Arial"/>
          <w:sz w:val="24"/>
        </w:rPr>
        <w:t>auto.dev</w:t>
      </w:r>
      <w:proofErr w:type="spellEnd"/>
      <w:r>
        <w:rPr>
          <w:rFonts w:ascii="Arial" w:hAnsi="Arial"/>
          <w:sz w:val="24"/>
        </w:rPr>
        <w:t xml:space="preserve">. (2024). </w:t>
      </w:r>
      <w:r>
        <w:rPr>
          <w:rFonts w:ascii="Arial" w:hAnsi="Arial"/>
          <w:i/>
          <w:iCs/>
          <w:sz w:val="24"/>
        </w:rPr>
        <w:t xml:space="preserve">Vehicle </w:t>
      </w:r>
      <w:proofErr w:type="spellStart"/>
      <w:r>
        <w:rPr>
          <w:rFonts w:ascii="Arial" w:hAnsi="Arial"/>
          <w:i/>
          <w:iCs/>
          <w:sz w:val="24"/>
        </w:rPr>
        <w:t>listings</w:t>
      </w:r>
      <w:proofErr w:type="spellEnd"/>
      <w:r>
        <w:rPr>
          <w:rFonts w:ascii="Arial" w:hAnsi="Arial"/>
          <w:i/>
          <w:iCs/>
          <w:sz w:val="24"/>
        </w:rPr>
        <w:t xml:space="preserve"> API </w:t>
      </w:r>
      <w:proofErr w:type="spellStart"/>
      <w:r>
        <w:rPr>
          <w:rFonts w:ascii="Arial" w:hAnsi="Arial"/>
          <w:i/>
          <w:iCs/>
          <w:sz w:val="24"/>
        </w:rPr>
        <w:t>documentation</w:t>
      </w:r>
      <w:proofErr w:type="spellEnd"/>
      <w:r>
        <w:rPr>
          <w:rFonts w:ascii="Arial" w:hAnsi="Arial"/>
          <w:sz w:val="24"/>
        </w:rPr>
        <w:t>. Abgerufen von https://auto.dev/docs</w:t>
      </w:r>
    </w:p>
    <w:p w:rsidR="007A7E08" w:rsidRPr="002B02E6" w:rsidRDefault="00000000">
      <w:pPr>
        <w:spacing w:line="240" w:lineRule="auto" w:before="0" w:after="60"/>
        <w:jc w:val="left"/>
        <w:rPr>
          <w:lang w:val="en-GB"/>
        </w:rPr>
      </w:pPr>
      <w:r w:rsidRPr="00E97BAD">
        <w:rPr>
          <w:rFonts w:ascii="Arial" w:hAnsi="Arial"/>
          <w:sz w:val="24"/>
          <w:lang w:val="en-GB"/>
        </w:rPr>
        <w:lastRenderedPageBreak/>
        <w:t xml:space="preserve">Pedregosa, F., et al. (2011). Scikit-learn: Machine learning in Python. </w:t>
      </w:r>
      <w:r w:rsidRPr="00E97BAD">
        <w:rPr>
          <w:rFonts w:ascii="Arial" w:hAnsi="Arial"/>
          <w:i/>
          <w:iCs/>
          <w:sz w:val="24"/>
          <w:lang w:val="en-GB"/>
        </w:rPr>
        <w:t>Journal of Machine Learning Research</w:t>
      </w:r>
      <w:r w:rsidRPr="00E97BAD">
        <w:rPr>
          <w:rFonts w:ascii="Arial" w:hAnsi="Arial"/>
          <w:sz w:val="24"/>
          <w:lang w:val="en-GB"/>
        </w:rPr>
        <w:t xml:space="preserve">, </w:t>
      </w:r>
      <w:r w:rsidRPr="00E97BAD">
        <w:rPr>
          <w:rFonts w:ascii="Arial" w:hAnsi="Arial"/>
          <w:i/>
          <w:iCs/>
          <w:sz w:val="24"/>
          <w:lang w:val="en-GB"/>
        </w:rPr>
        <w:t>12</w:t>
      </w:r>
      <w:r w:rsidRPr="00E97BAD">
        <w:rPr>
          <w:rFonts w:ascii="Arial" w:hAnsi="Arial"/>
          <w:sz w:val="24"/>
          <w:lang w:val="en-GB"/>
        </w:rPr>
        <w:t xml:space="preserve">, 2825–2830. </w:t>
      </w:r>
      <w:proofErr w:type="spellStart"/>
      <w:r w:rsidRPr="00E97BAD">
        <w:rPr>
          <w:rFonts w:ascii="Arial" w:hAnsi="Arial"/>
          <w:sz w:val="24"/>
          <w:lang w:val="en-GB"/>
        </w:rPr>
        <w:t>Abgerufen</w:t>
      </w:r>
      <w:proofErr w:type="spellEnd"/>
      <w:r w:rsidRPr="00E97BAD">
        <w:rPr>
          <w:rFonts w:ascii="Arial" w:hAnsi="Arial"/>
          <w:sz w:val="24"/>
          <w:lang w:val="en-GB"/>
        </w:rPr>
        <w:t xml:space="preserve"> von https://jmlr.org/papers/v12/pedregosa11a.html</w:t>
      </w:r>
    </w:p>
    <w:p w:rsidR="007A7E08" w:rsidRPr="00E97BAD" w:rsidRDefault="00000000">
      <w:pPr>
        <w:spacing w:line="240" w:lineRule="auto" w:before="0" w:after="60"/>
        <w:jc w:val="left"/>
      </w:pPr>
      <w:r>
        <w:rPr>
          <w:rFonts w:ascii="Arial" w:hAnsi="Arial"/>
          <w:sz w:val="24"/>
        </w:rPr>
        <w:t xml:space="preserve">Streamlit Inc. (2024). </w:t>
      </w:r>
      <w:r>
        <w:rPr>
          <w:rFonts w:ascii="Arial" w:hAnsi="Arial"/>
          <w:i/>
          <w:iCs/>
          <w:sz w:val="24"/>
        </w:rPr>
        <w:t>Streamlit documentation</w:t>
      </w:r>
      <w:r>
        <w:rPr>
          <w:rFonts w:ascii="Arial" w:hAnsi="Arial"/>
          <w:sz w:val="24"/>
        </w:rPr>
        <w:t>. Abgerufen von https://docs.streamlit.io</w:t>
      </w:r>
    </w:p>
    <w:p w:rsidR="007A7E08" w:rsidRDefault="00000000">
      <w:pPr>
        <w:spacing w:line="240" w:lineRule="auto" w:before="0" w:after="60"/>
        <w:jc w:val="left"/>
      </w:pPr>
      <w:r w:rsidRPr="00E97BAD">
        <w:rPr>
          <w:rFonts w:ascii="Arial" w:hAnsi="Arial"/>
          <w:sz w:val="24"/>
          <w:lang w:val="en-GB"/>
        </w:rPr>
        <w:t xml:space="preserve">Wiggins, A. (2017). </w:t>
      </w:r>
      <w:r w:rsidRPr="00E97BAD">
        <w:rPr>
          <w:rFonts w:ascii="Arial" w:hAnsi="Arial"/>
          <w:i/>
          <w:iCs/>
          <w:sz w:val="24"/>
          <w:lang w:val="en-GB"/>
        </w:rPr>
        <w:t>The twelve-factor app</w:t>
      </w:r>
      <w:r w:rsidRPr="00E97BAD">
        <w:rPr>
          <w:rFonts w:ascii="Arial" w:hAnsi="Arial"/>
          <w:sz w:val="24"/>
          <w:lang w:val="en-GB"/>
        </w:rPr>
        <w:t xml:space="preserve">. </w:t>
      </w:r>
      <w:r>
        <w:rPr>
          <w:rFonts w:ascii="Arial" w:hAnsi="Arial"/>
          <w:sz w:val="24"/>
        </w:rPr>
        <w:t>Abgerufen von https://12factor.net</w:t>
      </w:r>
    </w:p>
    <w:p w:rsidR="007A7E08" w:rsidRPr="00E97BAD" w:rsidRDefault="00000000">
      <w:pPr>
        <w:spacing w:line="240" w:lineRule="auto" w:before="0" w:after="60"/>
        <w:jc w:val="left"/>
      </w:pPr>
      <w:r>
        <w:rPr>
          <w:rFonts w:ascii="Arial" w:hAnsi="Arial"/>
          <w:sz w:val="24"/>
        </w:rPr>
        <w:t xml:space="preserve">Friedman, J. H. (2001). </w:t>
      </w:r>
      <w:r w:rsidRPr="00E97BAD">
        <w:rPr>
          <w:rFonts w:ascii="Arial" w:hAnsi="Arial"/>
          <w:sz w:val="24"/>
          <w:lang w:val="en-GB"/>
        </w:rPr>
        <w:t xml:space="preserve">Greedy function approximation: A gradient boosting machine. </w:t>
      </w:r>
      <w:r>
        <w:rPr>
          <w:rFonts w:ascii="Arial" w:hAnsi="Arial"/>
          <w:i/>
          <w:iCs/>
          <w:sz w:val="24"/>
        </w:rPr>
        <w:t xml:space="preserve">The Annals </w:t>
      </w:r>
      <w:proofErr w:type="spellStart"/>
      <w:r>
        <w:rPr>
          <w:rFonts w:ascii="Arial" w:hAnsi="Arial"/>
          <w:i/>
          <w:iCs/>
          <w:sz w:val="24"/>
        </w:rPr>
        <w:t>of</w:t>
      </w:r>
      <w:proofErr w:type="spellEnd"/>
      <w:r>
        <w:rPr>
          <w:rFonts w:ascii="Arial" w:hAnsi="Arial"/>
          <w:i/>
          <w:iCs/>
          <w:sz w:val="24"/>
        </w:rPr>
        <w:t xml:space="preserve"> </w:t>
      </w:r>
      <w:proofErr w:type="spellStart"/>
      <w:r>
        <w:rPr>
          <w:rFonts w:ascii="Arial" w:hAnsi="Arial"/>
          <w:i/>
          <w:iCs/>
          <w:sz w:val="24"/>
        </w:rPr>
        <w:t>Statistics</w:t>
      </w:r>
      <w:proofErr w:type="spellEnd"/>
      <w:r>
        <w:rPr>
          <w:rFonts w:ascii="Arial" w:hAnsi="Arial"/>
          <w:sz w:val="24"/>
        </w:rPr>
        <w:t xml:space="preserve">, </w:t>
      </w:r>
      <w:r>
        <w:rPr>
          <w:rFonts w:ascii="Arial" w:hAnsi="Arial"/>
          <w:i/>
          <w:iCs/>
          <w:sz w:val="24"/>
        </w:rPr>
        <w:t>29</w:t>
      </w:r>
      <w:r>
        <w:rPr>
          <w:rFonts w:ascii="Arial" w:hAnsi="Arial"/>
          <w:sz w:val="24"/>
        </w:rPr>
        <w:t>(5), 1189–1232. https://doi.org/10.1214/aos/1013203451</w:t>
      </w:r>
    </w:p>
    <w:p w:rsidR="007A7E08" w:rsidRDefault="00000000">
      <w:pPr>
        <w:spacing w:line="240" w:lineRule="auto" w:before="0" w:after="60"/>
        <w:jc w:val="left"/>
      </w:pPr>
      <w:r>
        <w:rPr>
          <w:rFonts w:ascii="Arial" w:hAnsi="Arial"/>
          <w:sz w:val="24"/>
        </w:rPr>
        <w:t>Kraftfahrtbundesamt. (2024). Jahresbilanz des Fahrzeugbestandes am 1. Januar 2024. Abgerufen von https://www.kba.de/DE/Statistik/Fahrzeuge/Bestand/bestand_node.html</w:t>
      </w:r>
    </w:p>
    <w:p w:rsidR="007A7E08" w:rsidRDefault="00000000">
      <w:pPr>
        <w:pStyle w:val="berschrift1"/>
        <w:keepNext w:val="0"/>
        <w:keepLines w:val="0"/>
        <w:pageBreakBefore w:val="0"/>
        <w:jc w:val="left"/>
      </w:pPr>
      <w:bookmarkStart w:id="50" w:name="_Toc229075370"/>
      <w:r>
        <w:rPr>
          <w:rFonts w:ascii="Arial" w:hAnsi="Arial"/>
        </w:rPr>
        <w:t>Hilfsmittelverzeichnis</w:t>
      </w:r>
      <w:bookmarkEnd w:id="50"/>
    </w:p>
    <w:p w:rsidR="007A7E08" w:rsidRDefault="00000000">
      <w:pPr>
        <w:spacing w:line="240" w:lineRule="auto" w:before="0" w:after="60"/>
        <w:jc w:val="left"/>
      </w:pPr>
      <w:r>
        <w:rPr>
          <w:rFonts w:ascii="Arial" w:hAnsi="Arial"/>
          <w:sz w:val="24"/>
        </w:rPr>
        <w:t>Gemäß den Vorgaben der DHBW Karlsruhe werden nachfolgend alle im Rahmen dieser Projektarbeit eingesetzten KI-gestützten Hilfsmittel transparent deklariert.</w:t>
      </w:r>
    </w:p>
    <w:p w:rsidR="007A7E08" w:rsidRDefault="00000000">
      <w:pPr>
        <w:spacing w:line="240" w:lineRule="auto" w:before="0" w:after="60"/>
        <w:jc w:val="left"/>
      </w:pPr>
      <w:r>
        <w:rPr>
          <w:rFonts w:ascii="Arial" w:hAnsi="Arial"/>
          <w:sz w:val="24"/>
        </w:rPr>
        <w:t>Groq API / Mistral-7B-Instruct: Eingesetzt für die LLM-basierte Extraktion von 15 Ausstattungsfeatures aus den Fahrzeugbeschreibungen im Rahmen des Feature Engineerings.</w:t>
      </w:r>
    </w:p>
    <w:p w:rsidR="007A7E08" w:rsidRDefault="00000000">
      <w:pPr>
        <w:spacing w:line="240" w:lineRule="auto" w:before="0" w:after="60"/>
        <w:jc w:val="left"/>
      </w:pPr>
      <w:r>
        <w:rPr>
          <w:rFonts w:ascii="Arial" w:hAnsi="Arial"/>
          <w:sz w:val="24"/>
        </w:rPr>
        <w:t>Groq API / Llama-3.3-70B-Versatile: Eingesetzt als Chatbot-Backend in der Streamlit-Applikation im eingeschränkten Nutzungskontext.</w:t>
      </w:r>
    </w:p>
    <w:p w:rsidR="007A7E08" w:rsidRDefault="00000000">
      <w:pPr>
        <w:spacing w:line="240" w:lineRule="auto" w:before="0" w:after="60"/>
        <w:jc w:val="left"/>
      </w:pPr>
      <w:r>
        <w:rPr>
          <w:rFonts w:ascii="Arial" w:hAnsi="Arial"/>
          <w:sz w:val="24"/>
        </w:rPr>
        <w:t>GitHub Copilot (GPT-4o-basiert): Eingesetzt zur Code-Vervollständigung und Unterstützung bei der Fehlersuche während der Entwicklung.</w:t>
      </w:r>
    </w:p>
    <w:p w:rsidR="007A7E08" w:rsidRDefault="00000000">
      <w:pPr>
        <w:spacing w:line="240" w:lineRule="auto" w:before="0" w:after="60"/>
        <w:jc w:val="left"/>
      </w:pPr>
      <w:r>
        <w:rPr>
          <w:rFonts w:ascii="Arial" w:hAnsi="Arial"/>
          <w:sz w:val="24"/>
        </w:rPr>
        <w:t>Alle weiteren eingesetzten Bibliotheken und Frameworks – darunter XGBoost, scikit-learn, SeleniumBase, Streamlit, Supabase-py und SHAP – sind mit exakten Versionsnummern in der Datei requirements.txt des Projektrepositories dokumentiert und können dort eingesehen werden.</w:t>
      </w:r>
    </w:p>
    <w:sectPr w:rsidR="007A7E08">
      <w:footerReference w:type="default" r:id="rId11"/>
      <w:pgSz w:w="11906" w:h="16838"/>
      <w:pgMar w:top="850" w:right="850" w:bottom="850" w:left="850" w:header="454" w:footer="45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C2304" w:rsidRDefault="003C2304">
      <w:r>
        <w:separator/>
      </w:r>
    </w:p>
  </w:endnote>
  <w:endnote w:type="continuationSeparator" w:id="0">
    <w:p w:rsidR="003C2304" w:rsidRDefault="003C23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F55F3" w:rsidRDefault="00BF55F3">
    <w:pP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A7E08" w:rsidRDefault="00000000">
    <w:pPr>
      <w:pBdr>
        <w:top w:val="single" w:sz="6" w:space="1" w:color="000000"/>
      </w:pBdr>
      <w:jc w:val="right"/>
    </w:pPr>
    <w:r>
      <w:rPr>
        <w:sz w:val="18"/>
        <w:szCs w:val="18"/>
      </w:rPr>
      <w:fldChar w:fldCharType="begin"/>
    </w:r>
    <w:r>
      <w:rPr>
        <w:sz w:val="18"/>
        <w:szCs w:val="18"/>
      </w:rPr>
      <w:instrText>PAGE</w:instrText>
    </w:r>
    <w:r>
      <w:rPr>
        <w:sz w:val="18"/>
        <w:szCs w:val="18"/>
      </w:rPr>
      <w:fldChar w:fldCharType="separate"/>
    </w:r>
    <w:r w:rsidR="00E70EEF">
      <w:rPr>
        <w:noProof/>
        <w:sz w:val="18"/>
        <w:szCs w:val="18"/>
      </w:rPr>
      <w:t>1</w:t>
    </w:r>
    <w:r>
      <w:rPr>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A7E08" w:rsidRDefault="00000000">
    <w:pPr>
      <w:pBdr>
        <w:top w:val="single" w:sz="6" w:space="1" w:color="000000"/>
      </w:pBdr>
      <w:jc w:val="right"/>
    </w:pPr>
    <w:r>
      <w:rPr>
        <w:sz w:val="18"/>
        <w:szCs w:val="18"/>
      </w:rPr>
      <w:fldChar w:fldCharType="begin"/>
    </w:r>
    <w:r>
      <w:rPr>
        <w:sz w:val="18"/>
        <w:szCs w:val="18"/>
      </w:rPr>
      <w:instrText>PAGE</w:instrText>
    </w:r>
    <w:r>
      <w:rPr>
        <w:sz w:val="18"/>
        <w:szCs w:val="18"/>
      </w:rPr>
      <w:fldChar w:fldCharType="separate"/>
    </w:r>
    <w:r w:rsidR="00E70EEF">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C2304" w:rsidRDefault="003C2304">
      <w:r>
        <w:separator/>
      </w:r>
    </w:p>
  </w:footnote>
  <w:footnote w:type="continuationSeparator" w:id="0">
    <w:p w:rsidR="003C2304" w:rsidRDefault="003C230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5C6238"/>
    <w:multiLevelType w:val="hybridMultilevel"/>
    <w:tmpl w:val="1CB21DE0"/>
    <w:lvl w:ilvl="0" w:tplc="A218DBF6">
      <w:start w:val="1"/>
      <w:numFmt w:val="bullet"/>
      <w:lvlText w:val="●"/>
      <w:lvlJc w:val="left"/>
      <w:pPr>
        <w:ind w:left="720" w:hanging="360"/>
      </w:pPr>
    </w:lvl>
    <w:lvl w:ilvl="1" w:tplc="1E502964">
      <w:start w:val="1"/>
      <w:numFmt w:val="bullet"/>
      <w:lvlText w:val="○"/>
      <w:lvlJc w:val="left"/>
      <w:pPr>
        <w:ind w:left="1440" w:hanging="360"/>
      </w:pPr>
    </w:lvl>
    <w:lvl w:ilvl="2" w:tplc="6F44194A">
      <w:start w:val="1"/>
      <w:numFmt w:val="bullet"/>
      <w:lvlText w:val="■"/>
      <w:lvlJc w:val="left"/>
      <w:pPr>
        <w:ind w:left="2160" w:hanging="360"/>
      </w:pPr>
    </w:lvl>
    <w:lvl w:ilvl="3" w:tplc="73343060">
      <w:start w:val="1"/>
      <w:numFmt w:val="bullet"/>
      <w:lvlText w:val="●"/>
      <w:lvlJc w:val="left"/>
      <w:pPr>
        <w:ind w:left="2880" w:hanging="360"/>
      </w:pPr>
    </w:lvl>
    <w:lvl w:ilvl="4" w:tplc="59382B9E">
      <w:start w:val="1"/>
      <w:numFmt w:val="bullet"/>
      <w:lvlText w:val="○"/>
      <w:lvlJc w:val="left"/>
      <w:pPr>
        <w:ind w:left="3600" w:hanging="360"/>
      </w:pPr>
    </w:lvl>
    <w:lvl w:ilvl="5" w:tplc="90CA38D6">
      <w:start w:val="1"/>
      <w:numFmt w:val="bullet"/>
      <w:lvlText w:val="■"/>
      <w:lvlJc w:val="left"/>
      <w:pPr>
        <w:ind w:left="4320" w:hanging="360"/>
      </w:pPr>
    </w:lvl>
    <w:lvl w:ilvl="6" w:tplc="D43212B0">
      <w:start w:val="1"/>
      <w:numFmt w:val="bullet"/>
      <w:lvlText w:val="●"/>
      <w:lvlJc w:val="left"/>
      <w:pPr>
        <w:ind w:left="5040" w:hanging="360"/>
      </w:pPr>
    </w:lvl>
    <w:lvl w:ilvl="7" w:tplc="5E1CCB64">
      <w:start w:val="1"/>
      <w:numFmt w:val="bullet"/>
      <w:lvlText w:val="●"/>
      <w:lvlJc w:val="left"/>
      <w:pPr>
        <w:ind w:left="5760" w:hanging="360"/>
      </w:pPr>
    </w:lvl>
    <w:lvl w:ilvl="8" w:tplc="444C63C0">
      <w:start w:val="1"/>
      <w:numFmt w:val="bullet"/>
      <w:lvlText w:val="●"/>
      <w:lvlJc w:val="left"/>
      <w:pPr>
        <w:ind w:left="6480" w:hanging="360"/>
      </w:pPr>
    </w:lvl>
  </w:abstractNum>
  <w:num w:numId="1" w16cid:durableId="139979116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displayBackgroundShape/>
  <w:proofState w:spelling="clean" w:grammar="clean"/>
  <w:defaultTabStop w:val="708"/>
  <w:autoHyphenation/>
  <w:consecutiveHyphenLimit w:val="3"/>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7E08"/>
    <w:rsid w:val="000F5813"/>
    <w:rsid w:val="002B02E6"/>
    <w:rsid w:val="003C2304"/>
    <w:rsid w:val="007A7E08"/>
    <w:rsid w:val="008D078E"/>
    <w:rsid w:val="00B2033E"/>
    <w:rsid w:val="00B8674F"/>
    <w:rsid w:val="00BF55F3"/>
    <w:rsid w:val="00CE2A07"/>
    <w:rsid w:val="00E70EEF"/>
    <w:rsid w:val="00E97BA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EE6FB8"/>
  <w15:docId w15:val="{9700264F-BAF2-4FF1-A194-88BB43C021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spacing w:before="0" w:line="240" w:lineRule="auto" w:after="60"/>
      <w:jc w:val="both"/>
    </w:pPr>
    <w:rPr>
      <w:rFonts w:ascii="Arial" w:hAnsi="Arial"/>
      <w:sz w:val="24"/>
    </w:rPr>
  </w:style>
  <w:style w:type="paragraph" w:styleId="berschrift1">
    <w:name w:val="heading 1"/>
    <w:uiPriority w:val="9"/>
    <w:qFormat/>
    <w:pPr>
      <w:keepNext w:val="0"/>
      <w:pageBreakBefore w:val="0"/>
      <w:spacing w:before="160" w:after="80" w:line="240" w:lineRule="auto"/>
      <w:outlineLvl w:val="0"/>
    </w:pPr>
    <w:rPr>
      <w:rFonts w:ascii="Arial" w:hAnsi="Arial"/>
      <w:b/>
      <w:bCs/>
      <w:sz w:val="30"/>
      <w:szCs w:val="32"/>
    </w:rPr>
  </w:style>
  <w:style w:type="paragraph" w:styleId="berschrift2">
    <w:name w:val="heading 2"/>
    <w:uiPriority w:val="9"/>
    <w:unhideWhenUsed/>
    <w:qFormat/>
    <w:pPr>
      <w:keepNext w:val="0"/>
      <w:pageBreakBefore w:val="0"/>
      <w:spacing w:before="100" w:after="40" w:line="240" w:lineRule="auto"/>
      <w:outlineLvl w:val="1"/>
    </w:pPr>
    <w:rPr>
      <w:rFonts w:ascii="Arial" w:hAnsi="Arial"/>
      <w:b/>
      <w:bCs/>
      <w:sz w:val="27"/>
      <w:szCs w:val="28"/>
    </w:rPr>
  </w:style>
  <w:style w:type="paragraph" w:styleId="berschrift3">
    <w:name w:val="heading 3"/>
    <w:uiPriority w:val="9"/>
    <w:unhideWhenUsed/>
    <w:qFormat/>
    <w:pPr>
      <w:keepNext w:val="0"/>
      <w:pageBreakBefore w:val="0"/>
      <w:spacing w:before="60" w:after="30" w:line="240" w:lineRule="auto"/>
      <w:outlineLvl w:val="2"/>
    </w:pPr>
    <w:rPr>
      <w:rFonts w:ascii="Arial" w:hAnsi="Arial"/>
      <w:b/>
      <w:bCs/>
      <w:sz w:val="25"/>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 w:type="paragraph" w:styleId="Inhaltsverzeichnisberschrift">
    <w:name w:val="TOC Heading"/>
    <w:basedOn w:val="berschrift1"/>
    <w:next w:val="Standard"/>
    <w:uiPriority w:val="39"/>
    <w:unhideWhenUsed/>
    <w:qFormat/>
    <w:rsid w:val="00E70EEF"/>
    <w:pPr>
      <w:keepLines/>
      <w:spacing w:before="240" w:after="0" w:line="259" w:lineRule="auto"/>
      <w:outlineLvl w:val="9"/>
    </w:pPr>
    <w:rPr>
      <w:rFonts w:asciiTheme="majorHAnsi" w:eastAsiaTheme="majorEastAsia" w:hAnsiTheme="majorHAnsi" w:cstheme="majorBidi"/>
      <w:b w:val="0"/>
      <w:bCs w:val="0"/>
      <w:color w:val="0F4761" w:themeColor="accent1" w:themeShade="BF"/>
    </w:rPr>
  </w:style>
  <w:style w:type="paragraph" w:styleId="Verzeichnis1">
    <w:name w:val="toc 1"/>
    <w:basedOn w:val="Standard"/>
    <w:next w:val="Standard"/>
    <w:autoRedefine/>
    <w:uiPriority w:val="39"/>
    <w:unhideWhenUsed/>
    <w:rsid w:val="00E70EEF"/>
    <w:pPr>
      <w:tabs>
        <w:tab w:val="right" w:leader="dot" w:pos="8505"/>
      </w:tabs>
      <w:spacing w:before="0" w:after="60" w:line="240" w:lineRule="auto"/>
      <w:jc w:val="left"/>
    </w:pPr>
  </w:style>
  <w:style w:type="paragraph" w:styleId="Verzeichnis2">
    <w:name w:val="toc 2"/>
    <w:basedOn w:val="Standard"/>
    <w:next w:val="Standard"/>
    <w:autoRedefine/>
    <w:uiPriority w:val="39"/>
    <w:unhideWhenUsed/>
    <w:rsid w:val="00E70EEF"/>
    <w:pPr>
      <w:tabs>
        <w:tab w:val="right" w:leader="dot" w:pos="8505"/>
      </w:tabs>
      <w:spacing w:before="0" w:after="60" w:line="240" w:lineRule="auto"/>
      <w:ind w:left="360"/>
      <w:jc w:val="left"/>
    </w:pPr>
  </w:style>
  <w:style w:type="paragraph" w:styleId="Verzeichnis3">
    <w:name w:val="toc 3"/>
    <w:basedOn w:val="Standard"/>
    <w:next w:val="Standard"/>
    <w:autoRedefine/>
    <w:uiPriority w:val="39"/>
    <w:unhideWhenUsed/>
    <w:rsid w:val="00E70EEF"/>
    <w:pPr>
      <w:tabs>
        <w:tab w:val="right" w:leader="dot" w:pos="8505"/>
      </w:tabs>
      <w:spacing w:before="0" w:after="60" w:line="240" w:lineRule="auto"/>
      <w:ind w:left="720"/>
      <w:jc w:val="left"/>
    </w:pPr>
  </w:style>
  <w:style w:type="paragraph" w:styleId="Beschriftung">
    <w:name w:val="caption"/>
    <w:uiPriority w:val="35"/>
    <w:qFormat/>
    <w:pPr>
      <w:spacing w:before="60" w:after="12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324BF8-7490-431D-B281-124DA5D695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32</Pages>
  <Words>8882</Words>
  <Characters>55961</Characters>
  <Application>Microsoft Office Word</Application>
  <DocSecurity>0</DocSecurity>
  <Lines>466</Lines>
  <Paragraphs>129</Paragraphs>
  <ScaleCrop>false</ScaleCrop>
  <Company/>
  <LinksUpToDate>false</LinksUpToDate>
  <CharactersWithSpaces>64714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Tim Kern</cp:lastModifiedBy>
  <cp:revision>5</cp:revision>
  <dcterms:created xsi:type="dcterms:W3CDTF">2026-05-06T23:28:00Z</dcterms:created>
  <dcterms:modified xsi:type="dcterms:W3CDTF">2026-05-07T18:03:00Z</dcterms:modified>
</cp:coreProperties>
</file>