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7F4C3" w14:textId="3E05E94A" w:rsidR="001D70AA" w:rsidRDefault="001D70AA" w:rsidP="001D70AA">
      <w:pPr>
        <w:pStyle w:val="Ttulo1"/>
        <w:spacing w:line="240" w:lineRule="auto"/>
      </w:pPr>
      <w:r>
        <w:t xml:space="preserve">Meta-regla extraída de la documentación </w:t>
      </w:r>
      <w:proofErr w:type="spellStart"/>
      <w:r>
        <w:t>NoMADA</w:t>
      </w:r>
      <w:proofErr w:type="spellEnd"/>
      <w:r>
        <w:t xml:space="preserve"> 2022</w:t>
      </w:r>
    </w:p>
    <w:p w14:paraId="3AC92614" w14:textId="178691A2" w:rsidR="001D70AA" w:rsidRDefault="001D70AA" w:rsidP="001D70AA">
      <w:r>
        <w:t>A continuación</w:t>
      </w:r>
      <w:r>
        <w:t>,</w:t>
      </w:r>
      <w:r>
        <w:t xml:space="preserve"> se presentan las meta-reglas estructurales extraídas de la documentación, abstrayendo los procesos específicos del negocio para convertirlos en axiomas de gestión y desarrollo:</w:t>
      </w:r>
    </w:p>
    <w:p w14:paraId="51C6AED2" w14:textId="77777777" w:rsidR="001D70AA" w:rsidRPr="001D70AA" w:rsidRDefault="001D70AA" w:rsidP="001D70AA">
      <w:pPr>
        <w:rPr>
          <w:b/>
          <w:bCs/>
        </w:rPr>
      </w:pPr>
      <w:r w:rsidRPr="001D70AA">
        <w:rPr>
          <w:b/>
          <w:bCs/>
        </w:rPr>
        <w:t>1. Gestión de Artefactos y Control Documental</w:t>
      </w:r>
    </w:p>
    <w:p w14:paraId="46A64AD0" w14:textId="18FE3239" w:rsidR="001D70AA" w:rsidRDefault="001D70AA" w:rsidP="001D70AA">
      <w:r w:rsidRPr="001D70AA">
        <w:rPr>
          <w:b/>
          <w:bCs/>
        </w:rPr>
        <w:t xml:space="preserve">Regla Privada: </w:t>
      </w:r>
      <w:r>
        <w:t>Cada "Acta de Reunión" o "Descripción de Proyecto" debe tener un código único (ej. NoI-ACRE-001), versión (V1.0.0) y fecha de vigencia</w:t>
      </w:r>
      <w:r>
        <w:t>.</w:t>
      </w:r>
    </w:p>
    <w:p w14:paraId="74553FBF" w14:textId="43215118" w:rsidR="001D70AA" w:rsidRDefault="001D70AA" w:rsidP="001D70AA">
      <w:r w:rsidRPr="001D70AA">
        <w:rPr>
          <w:b/>
          <w:bCs/>
        </w:rPr>
        <w:t xml:space="preserve">Meta-Regla: </w:t>
      </w:r>
      <w:r>
        <w:t>Todo componente de información organizacional debe estar sujeto a un sistema de identificación unívoca y control de versiones para garantizar la integridad y auditabilidad del historial del proyecto</w:t>
      </w:r>
      <w:r>
        <w:t>.</w:t>
      </w:r>
    </w:p>
    <w:p w14:paraId="057B6885" w14:textId="77777777" w:rsidR="001D70AA" w:rsidRPr="001D70AA" w:rsidRDefault="001D70AA" w:rsidP="001D70AA">
      <w:pPr>
        <w:rPr>
          <w:b/>
          <w:bCs/>
        </w:rPr>
      </w:pPr>
      <w:r w:rsidRPr="001D70AA">
        <w:rPr>
          <w:b/>
          <w:bCs/>
        </w:rPr>
        <w:t>2. Validación y Verificación (Control de Calidad)</w:t>
      </w:r>
    </w:p>
    <w:p w14:paraId="4D2B7E5A" w14:textId="0D4FF49E" w:rsidR="001D70AA" w:rsidRDefault="001D70AA" w:rsidP="001D70AA">
      <w:r w:rsidRPr="001D70AA">
        <w:rPr>
          <w:b/>
        </w:rPr>
        <w:t xml:space="preserve">Regla Privada: </w:t>
      </w:r>
      <w:r>
        <w:t>Los documentos como el Plan de Proyecto o Casos de Prueba deben revisarse con una lista de cotejo que verifique ortografía, códigos de identificación y consistencia</w:t>
      </w:r>
      <w:r>
        <w:t>.</w:t>
      </w:r>
    </w:p>
    <w:p w14:paraId="12BC38C5" w14:textId="333950D5" w:rsidR="001D70AA" w:rsidRDefault="001D70AA" w:rsidP="001D70AA">
      <w:r w:rsidRPr="001D70AA">
        <w:rPr>
          <w:b/>
        </w:rPr>
        <w:t xml:space="preserve">Meta-Regla: </w:t>
      </w:r>
      <w:r>
        <w:t>Los entregables técnicos deben someterse a un proceso estandarizado de revisión por pares utilizando criterios de calidad predefinidos antes de su aprobación final</w:t>
      </w:r>
      <w:r>
        <w:t>.</w:t>
      </w:r>
    </w:p>
    <w:p w14:paraId="59DAA2B9" w14:textId="77777777" w:rsidR="001D70AA" w:rsidRPr="001D70AA" w:rsidRDefault="001D70AA" w:rsidP="001D70AA">
      <w:pPr>
        <w:rPr>
          <w:b/>
          <w:bCs/>
        </w:rPr>
      </w:pPr>
      <w:r w:rsidRPr="001D70AA">
        <w:rPr>
          <w:b/>
          <w:bCs/>
        </w:rPr>
        <w:t>3. Gobernanza y Aprobaciones</w:t>
      </w:r>
    </w:p>
    <w:p w14:paraId="56A42BB5" w14:textId="66CBDD4F" w:rsidR="001D70AA" w:rsidRDefault="001D70AA" w:rsidP="001D70AA">
      <w:r w:rsidRPr="001D70AA">
        <w:rPr>
          <w:b/>
        </w:rPr>
        <w:t xml:space="preserve">Regla Privada: </w:t>
      </w:r>
      <w:r>
        <w:t>El desarrollo de software no puede comenzar formalmente hasta que el cliente autorice la especificación de requerimientos y el diseño</w:t>
      </w:r>
      <w:r>
        <w:t>.</w:t>
      </w:r>
    </w:p>
    <w:p w14:paraId="3746B0C3" w14:textId="54763BBE" w:rsidR="001D70AA" w:rsidRDefault="001D70AA" w:rsidP="001D70AA">
      <w:r w:rsidRPr="001D70AA">
        <w:rPr>
          <w:b/>
        </w:rPr>
        <w:lastRenderedPageBreak/>
        <w:t xml:space="preserve">Meta-Regla: </w:t>
      </w:r>
      <w:r>
        <w:t>Las transiciones entre fases críticas del ciclo de vida del proyecto requieren una validación formal y explícita de los interesados clave para mitigar riesgos de desviación de alcance</w:t>
      </w:r>
      <w:r>
        <w:t>.</w:t>
      </w:r>
    </w:p>
    <w:p w14:paraId="2DF7FE2F" w14:textId="77777777" w:rsidR="001D70AA" w:rsidRPr="001D70AA" w:rsidRDefault="001D70AA" w:rsidP="001D70AA">
      <w:pPr>
        <w:rPr>
          <w:b/>
          <w:bCs/>
        </w:rPr>
      </w:pPr>
      <w:r w:rsidRPr="001D70AA">
        <w:rPr>
          <w:b/>
          <w:bCs/>
        </w:rPr>
        <w:t>4. Seguridad y Manejo de Credenciales</w:t>
      </w:r>
    </w:p>
    <w:p w14:paraId="14DA4C0E" w14:textId="3BF6AC54" w:rsidR="001D70AA" w:rsidRDefault="001D70AA" w:rsidP="001D70AA">
      <w:r w:rsidRPr="001D70AA">
        <w:rPr>
          <w:b/>
        </w:rPr>
        <w:t xml:space="preserve">Regla Privada: </w:t>
      </w:r>
      <w:r>
        <w:t>Las contraseñas de servidores (Digital Ocean) y administradores deben entregarse en archivos cifrados dentro de una memoria USB protegida</w:t>
      </w:r>
      <w:r>
        <w:t>.</w:t>
      </w:r>
    </w:p>
    <w:p w14:paraId="5FF0069C" w14:textId="3D9A2C1C" w:rsidR="001D70AA" w:rsidRDefault="001D70AA" w:rsidP="001D70AA">
      <w:r w:rsidRPr="001D70AA">
        <w:rPr>
          <w:b/>
        </w:rPr>
        <w:t xml:space="preserve">Meta-Regla: </w:t>
      </w:r>
      <w:r>
        <w:t>La transferencia de información sensible y credenciales de acceso debe realizarse exclusivamente a través de medios cifrados y soportes físicos protegidos para asegurar la confidencialidad en la entrega final</w:t>
      </w:r>
      <w:r>
        <w:t>.</w:t>
      </w:r>
    </w:p>
    <w:p w14:paraId="163A89B5" w14:textId="77777777" w:rsidR="001D70AA" w:rsidRPr="001D70AA" w:rsidRDefault="001D70AA" w:rsidP="001D70AA">
      <w:pPr>
        <w:rPr>
          <w:b/>
          <w:bCs/>
        </w:rPr>
      </w:pPr>
      <w:r w:rsidRPr="001D70AA">
        <w:rPr>
          <w:b/>
          <w:bCs/>
        </w:rPr>
        <w:t>5. Trazabilidad del Desarrollo</w:t>
      </w:r>
    </w:p>
    <w:p w14:paraId="456F904B" w14:textId="3BFAFAC3" w:rsidR="001D70AA" w:rsidRDefault="001D70AA" w:rsidP="001D70AA">
      <w:r w:rsidRPr="001D70AA">
        <w:rPr>
          <w:b/>
        </w:rPr>
        <w:t xml:space="preserve">Regla Privada: </w:t>
      </w:r>
      <w:r>
        <w:t>Cada requisito funcional (RF_00) debe estar mapeado a una página del diseño, un fragmento de código específico y un ID de caso de prueba (LOGIN01)</w:t>
      </w:r>
      <w:r>
        <w:t>.</w:t>
      </w:r>
    </w:p>
    <w:p w14:paraId="63FF67FB" w14:textId="7ADA406A" w:rsidR="001D70AA" w:rsidRDefault="001D70AA" w:rsidP="001D70AA">
      <w:r w:rsidRPr="001D70AA">
        <w:rPr>
          <w:b/>
        </w:rPr>
        <w:t xml:space="preserve">Meta-Regla: </w:t>
      </w:r>
      <w:r>
        <w:t>Debe existir una correspondencia bidireccional y documentada entre los requisitos de usuario, los componentes de arquitectura, la implementación lógica y las pruebas de validación</w:t>
      </w:r>
      <w:r>
        <w:t>.</w:t>
      </w:r>
    </w:p>
    <w:p w14:paraId="6B2EB1D5" w14:textId="77777777" w:rsidR="001D70AA" w:rsidRPr="001D70AA" w:rsidRDefault="001D70AA" w:rsidP="001D70AA">
      <w:pPr>
        <w:rPr>
          <w:b/>
          <w:bCs/>
        </w:rPr>
      </w:pPr>
      <w:r w:rsidRPr="001D70AA">
        <w:rPr>
          <w:b/>
          <w:bCs/>
        </w:rPr>
        <w:t>6. Protocolos de Pruebas</w:t>
      </w:r>
    </w:p>
    <w:p w14:paraId="539B6A16" w14:textId="20292AF2" w:rsidR="001D70AA" w:rsidRDefault="001D70AA" w:rsidP="001D70AA">
      <w:r w:rsidRPr="001D70AA">
        <w:rPr>
          <w:b/>
        </w:rPr>
        <w:t xml:space="preserve">Regla Privada: </w:t>
      </w:r>
      <w:r>
        <w:t>Los procedimientos de prueba deben listar requisitos de hardware, software (como Google Chrome) y pasos numerados con resultados esperados.</w:t>
      </w:r>
    </w:p>
    <w:p w14:paraId="4EEFDB1E" w14:textId="16A01CEA" w:rsidR="001D70AA" w:rsidRDefault="001D70AA" w:rsidP="001D70AA">
      <w:r w:rsidRPr="001D70AA">
        <w:rPr>
          <w:b/>
        </w:rPr>
        <w:t xml:space="preserve">Meta-Regla: </w:t>
      </w:r>
      <w:r>
        <w:t>La validación técnica debe ejecutarse en entornos controlados siguiendo guiones reproducibles que contrasten sistemáticamente el comportamiento observado contra la especificación técnica.</w:t>
      </w:r>
    </w:p>
    <w:p w14:paraId="62B5F12D" w14:textId="77777777" w:rsidR="001D70AA" w:rsidRPr="001D70AA" w:rsidRDefault="001D70AA" w:rsidP="001D70AA">
      <w:pPr>
        <w:rPr>
          <w:b/>
          <w:bCs/>
        </w:rPr>
      </w:pPr>
      <w:r w:rsidRPr="001D70AA">
        <w:rPr>
          <w:b/>
          <w:bCs/>
        </w:rPr>
        <w:t>7. Continuidad y Respaldo de Información</w:t>
      </w:r>
    </w:p>
    <w:p w14:paraId="0069277F" w14:textId="3C5EF1EE" w:rsidR="001D70AA" w:rsidRDefault="001D70AA" w:rsidP="001D70AA">
      <w:r w:rsidRPr="001D70AA">
        <w:rPr>
          <w:b/>
        </w:rPr>
        <w:lastRenderedPageBreak/>
        <w:t xml:space="preserve">Regla Privada: </w:t>
      </w:r>
      <w:r>
        <w:t>Se deben realizar respaldos del repositorio del proyecto en hitos específicos (primero, segundo y tercero) y un respaldo final en medios digitales</w:t>
      </w:r>
      <w:r>
        <w:t>.</w:t>
      </w:r>
    </w:p>
    <w:p w14:paraId="38606B5D" w14:textId="735D43E4" w:rsidR="001D70AA" w:rsidRDefault="001D70AA" w:rsidP="001D70AA">
      <w:r w:rsidRPr="001D70AA">
        <w:rPr>
          <w:b/>
        </w:rPr>
        <w:t xml:space="preserve">Meta-Regla: </w:t>
      </w:r>
      <w:r>
        <w:t>Los procesos de ingeniería deben integrar rutinas obligatorias de respaldo de activos digitales en hitos clave para asegurar la recuperación ante desastres y la persistencia del conocimiento técnico</w:t>
      </w:r>
      <w:r>
        <w:t>.</w:t>
      </w:r>
    </w:p>
    <w:p w14:paraId="6603B177" w14:textId="77777777" w:rsidR="001D70AA" w:rsidRPr="001D70AA" w:rsidRDefault="001D70AA" w:rsidP="001D70AA">
      <w:pPr>
        <w:rPr>
          <w:b/>
          <w:bCs/>
        </w:rPr>
      </w:pPr>
      <w:r w:rsidRPr="001D70AA">
        <w:rPr>
          <w:b/>
          <w:bCs/>
        </w:rPr>
        <w:t>8. Gestión de Acuerdos en Reuniones</w:t>
      </w:r>
    </w:p>
    <w:p w14:paraId="6606E198" w14:textId="7BAED551" w:rsidR="001D70AA" w:rsidRDefault="001D70AA" w:rsidP="001D70AA">
      <w:r w:rsidRPr="001D70AA">
        <w:rPr>
          <w:b/>
        </w:rPr>
        <w:t xml:space="preserve">Regla Privada: </w:t>
      </w:r>
      <w:r>
        <w:t>Al final de cada sesión se deben firmar los acuerdos y darles seguimiento en las actas posteriores indicando si están "Cumplidos" o "En Proceso"</w:t>
      </w:r>
      <w:r>
        <w:t>.</w:t>
      </w:r>
    </w:p>
    <w:p w14:paraId="544C9EDD" w14:textId="65F2EDDB" w:rsidR="001D70AA" w:rsidRDefault="001D70AA" w:rsidP="001D70AA">
      <w:r w:rsidRPr="001D70AA">
        <w:rPr>
          <w:b/>
        </w:rPr>
        <w:t xml:space="preserve">Meta-Regla: </w:t>
      </w:r>
      <w:r>
        <w:t>Toda sesión de toma de decisiones debe concluir con la formalización de compromisos, asignación de responsables y un mecanismo de seguimiento del estado de cumplimiento para garantizar la ejecución de la estrategia</w:t>
      </w:r>
      <w:r>
        <w:t>.</w:t>
      </w:r>
    </w:p>
    <w:p w14:paraId="1A776818" w14:textId="77777777" w:rsidR="001D70AA" w:rsidRPr="001D70AA" w:rsidRDefault="001D70AA" w:rsidP="001D70AA">
      <w:pPr>
        <w:rPr>
          <w:b/>
          <w:bCs/>
        </w:rPr>
      </w:pPr>
      <w:r w:rsidRPr="001D70AA">
        <w:rPr>
          <w:b/>
          <w:bCs/>
        </w:rPr>
        <w:t>9. Restricciones de Infraestructura</w:t>
      </w:r>
    </w:p>
    <w:p w14:paraId="62801775" w14:textId="4636064F" w:rsidR="001D70AA" w:rsidRDefault="001D70AA" w:rsidP="001D70AA">
      <w:r w:rsidRPr="001D70AA">
        <w:rPr>
          <w:b/>
        </w:rPr>
        <w:t xml:space="preserve">Regla Privada: </w:t>
      </w:r>
      <w:r>
        <w:t>El sistema debe funcionar bajo subdominios específicos de note-app.com para permitir la visualización interna en la red del cliente (VDI)</w:t>
      </w:r>
      <w:r>
        <w:t>.</w:t>
      </w:r>
    </w:p>
    <w:p w14:paraId="158FEF75" w14:textId="7F1431CF" w:rsidR="001D70AA" w:rsidRDefault="001D70AA" w:rsidP="001D70AA">
      <w:r w:rsidRPr="001D70AA">
        <w:rPr>
          <w:b/>
        </w:rPr>
        <w:t xml:space="preserve">Meta-Regla: </w:t>
      </w:r>
      <w:r>
        <w:t>El diseño de la arquitectura de red del software debe alinearse con las políticas de seguridad y la topología de red existente de la organización receptora para garantizar la operatividad en producción</w:t>
      </w:r>
      <w:r>
        <w:t>.</w:t>
      </w:r>
    </w:p>
    <w:sectPr w:rsidR="001D70A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MU Serif">
    <w:panose1 w:val="02000603000000000000"/>
    <w:charset w:val="00"/>
    <w:family w:val="auto"/>
    <w:pitch w:val="variable"/>
    <w:sig w:usb0="E10002FF" w:usb1="5201E9EB" w:usb2="02020004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48D4"/>
    <w:multiLevelType w:val="multilevel"/>
    <w:tmpl w:val="79E4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C41F7"/>
    <w:multiLevelType w:val="multilevel"/>
    <w:tmpl w:val="E9B0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31763"/>
    <w:multiLevelType w:val="multilevel"/>
    <w:tmpl w:val="D7E8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A32011"/>
    <w:multiLevelType w:val="multilevel"/>
    <w:tmpl w:val="DF1C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B6496F"/>
    <w:multiLevelType w:val="multilevel"/>
    <w:tmpl w:val="DEBC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5749A7"/>
    <w:multiLevelType w:val="multilevel"/>
    <w:tmpl w:val="C1AA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35205F"/>
    <w:multiLevelType w:val="multilevel"/>
    <w:tmpl w:val="3C0E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DE0800"/>
    <w:multiLevelType w:val="multilevel"/>
    <w:tmpl w:val="3FD65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050687"/>
    <w:multiLevelType w:val="multilevel"/>
    <w:tmpl w:val="51B8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4650658">
    <w:abstractNumId w:val="6"/>
  </w:num>
  <w:num w:numId="2" w16cid:durableId="651955158">
    <w:abstractNumId w:val="3"/>
  </w:num>
  <w:num w:numId="3" w16cid:durableId="1351762568">
    <w:abstractNumId w:val="7"/>
  </w:num>
  <w:num w:numId="4" w16cid:durableId="1174883405">
    <w:abstractNumId w:val="2"/>
  </w:num>
  <w:num w:numId="5" w16cid:durableId="1869029157">
    <w:abstractNumId w:val="8"/>
  </w:num>
  <w:num w:numId="6" w16cid:durableId="725956752">
    <w:abstractNumId w:val="1"/>
  </w:num>
  <w:num w:numId="7" w16cid:durableId="627319859">
    <w:abstractNumId w:val="4"/>
  </w:num>
  <w:num w:numId="8" w16cid:durableId="1840535982">
    <w:abstractNumId w:val="0"/>
  </w:num>
  <w:num w:numId="9" w16cid:durableId="293856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6E8"/>
    <w:rsid w:val="00146D0E"/>
    <w:rsid w:val="001D70AA"/>
    <w:rsid w:val="003B36E8"/>
    <w:rsid w:val="005724DF"/>
    <w:rsid w:val="00582843"/>
    <w:rsid w:val="00A25040"/>
    <w:rsid w:val="00B26B1F"/>
    <w:rsid w:val="00B73918"/>
    <w:rsid w:val="00C34F00"/>
    <w:rsid w:val="00F46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00658"/>
  <w15:chartTrackingRefBased/>
  <w15:docId w15:val="{EF0A7FDC-BC20-4650-A6F1-5265C229B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70AA"/>
    <w:pPr>
      <w:spacing w:line="360" w:lineRule="auto"/>
      <w:jc w:val="both"/>
    </w:pPr>
    <w:rPr>
      <w:rFonts w:ascii="CMU Serif" w:hAnsi="CMU Serif"/>
    </w:rPr>
  </w:style>
  <w:style w:type="paragraph" w:styleId="Ttulo1">
    <w:name w:val="heading 1"/>
    <w:basedOn w:val="Normal"/>
    <w:next w:val="Normal"/>
    <w:link w:val="Ttulo1Car"/>
    <w:uiPriority w:val="9"/>
    <w:qFormat/>
    <w:rsid w:val="001D70AA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3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36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3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36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3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3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3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3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70AA"/>
    <w:rPr>
      <w:rFonts w:ascii="CMU Serif" w:eastAsiaTheme="majorEastAsia" w:hAnsi="CMU Serif" w:cstheme="majorBidi"/>
      <w:b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36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36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36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36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36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36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36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36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3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3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36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3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3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36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36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36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36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36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36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1586</TotalTime>
  <Pages>1</Pages>
  <Words>582</Words>
  <Characters>3283</Characters>
  <Application>Microsoft Office Word</Application>
  <DocSecurity>0</DocSecurity>
  <Lines>82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Miguel Terrón Macías</dc:creator>
  <cp:keywords/>
  <dc:description/>
  <cp:lastModifiedBy>Víctor Miguel Terrón Macías</cp:lastModifiedBy>
  <cp:revision>3</cp:revision>
  <dcterms:created xsi:type="dcterms:W3CDTF">2026-03-16T22:23:00Z</dcterms:created>
  <dcterms:modified xsi:type="dcterms:W3CDTF">2026-03-18T00:51:00Z</dcterms:modified>
</cp:coreProperties>
</file>