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charts/chart1.xml" ContentType="application/vnd.openxmlformats-officedocument.drawingml.chart+xml"/>
  <Override PartName="/word/numbering.xml" ContentType="application/vnd.openxmlformats-officedocument.wordprocessingml.numbering+xml"/>
  <Override PartName="/word/_rels/header3.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b/>
          <w:color w:val="FF0000"/>
        </w:rPr>
      </w:pPr>
      <w:r>
        <w:rPr>
          <w:b/>
          <w:bCs w:val="false"/>
          <w:color w:val="000000"/>
        </w:rPr>
        <w:t>CIT26-1002</w:t>
      </w:r>
    </w:p>
    <w:p>
      <w:pPr>
        <w:pStyle w:val="PaperTitle"/>
        <w:rPr>
          <w:b/>
          <w:bCs w:val="false"/>
          <w:color w:val="000000"/>
        </w:rPr>
      </w:pPr>
      <w:r>
        <w:rPr>
          <w:b/>
          <w:bCs w:val="false"/>
          <w:color w:val="000000"/>
        </w:rPr>
        <w:t>APPLICATION OF WATER VAPOR AND OXYGEN AS GASIFYING AGENTS IN THE PLASMA GASIFICATION PROCESS FOR THE PRODUCTION OF MOSS HYDROGEN</w:t>
      </w:r>
    </w:p>
    <w:p>
      <w:pPr>
        <w:pStyle w:val="AuthorName"/>
        <w:rPr/>
      </w:pPr>
      <w:r>
        <w:rPr/>
      </w:r>
    </w:p>
    <w:p>
      <w:pPr>
        <w:pStyle w:val="AuthorName"/>
        <w:rPr/>
      </w:pPr>
      <w:r>
        <w:rPr/>
        <w:t xml:space="preserve">Marcos Alcino Ribeiro Cussioli </w:t>
      </w:r>
    </w:p>
    <w:p>
      <w:pPr>
        <w:pStyle w:val="AuthorAddress"/>
        <w:rPr>
          <w:lang w:val="en-US"/>
        </w:rPr>
      </w:pPr>
      <w:r>
        <w:rPr>
          <w:lang w:val="en-US"/>
        </w:rPr>
        <w:t xml:space="preserve">UniMetrocamp University Center – Wyden </w:t>
      </w:r>
    </w:p>
    <w:p>
      <w:pPr>
        <w:pStyle w:val="AuthorAddress"/>
        <w:rPr>
          <w:lang w:val="en-US"/>
        </w:rPr>
      </w:pPr>
      <w:r>
        <w:rPr>
          <w:lang w:val="en-US"/>
        </w:rPr>
        <w:t>marcoscussioli32@gmail.com</w:t>
      </w:r>
    </w:p>
    <w:p>
      <w:pPr>
        <w:pStyle w:val="AuthorName"/>
        <w:rPr/>
      </w:pPr>
      <w:r>
        <w:rPr/>
      </w:r>
    </w:p>
    <w:p>
      <w:pPr>
        <w:pStyle w:val="AuthorName"/>
        <w:rPr/>
      </w:pPr>
      <w:r>
        <w:rPr/>
        <w:t>Raquel Alves dos Santos</w:t>
      </w:r>
    </w:p>
    <w:p>
      <w:pPr>
        <w:pStyle w:val="AuthorAddress"/>
        <w:rPr>
          <w:lang w:val="en-US"/>
        </w:rPr>
      </w:pPr>
      <w:r>
        <w:rPr>
          <w:lang w:val="en-US"/>
        </w:rPr>
        <w:t xml:space="preserve">UniMetrocamp University Center – Wyden </w:t>
      </w:r>
    </w:p>
    <w:p>
      <w:pPr>
        <w:pStyle w:val="AuthorAddress"/>
        <w:rPr>
          <w:lang w:val="en-US"/>
        </w:rPr>
      </w:pPr>
      <w:hyperlink r:id="rId2">
        <w:r>
          <w:rPr>
            <w:rStyle w:val="ListLabel28"/>
            <w:lang w:val="en-US"/>
          </w:rPr>
          <w:t>raquel.alves568332@gmail.com</w:t>
        </w:r>
      </w:hyperlink>
    </w:p>
    <w:p>
      <w:pPr>
        <w:pStyle w:val="AuthorAddress"/>
        <w:rPr>
          <w:lang w:val="en-US"/>
        </w:rPr>
      </w:pPr>
      <w:r>
        <w:rPr>
          <w:lang w:val="en-US"/>
        </w:rPr>
      </w:r>
    </w:p>
    <w:p>
      <w:pPr>
        <w:pStyle w:val="AuthorName"/>
        <w:rPr/>
      </w:pPr>
      <w:r>
        <w:rPr/>
        <w:t>Regina Franciélle Silva Paulino</w:t>
      </w:r>
    </w:p>
    <w:p>
      <w:pPr>
        <w:pStyle w:val="AuthorAddress"/>
        <w:rPr>
          <w:lang w:val="en-US"/>
        </w:rPr>
      </w:pPr>
      <w:r>
        <w:rPr>
          <w:lang w:val="en-US"/>
        </w:rPr>
        <w:t xml:space="preserve">UniMetrocamp University Center – Wyden </w:t>
      </w:r>
    </w:p>
    <w:p>
      <w:pPr>
        <w:pStyle w:val="AuthorAddress"/>
        <w:rPr>
          <w:lang w:val="en-US"/>
        </w:rPr>
      </w:pPr>
      <w:r>
        <w:rPr>
          <w:lang w:val="en-US"/>
        </w:rPr>
        <w:t>regina.paulino@professores.unimetrocamp.edu.br</w:t>
      </w:r>
    </w:p>
    <w:p>
      <w:pPr>
        <w:pStyle w:val="AuthorAddress"/>
        <w:rPr>
          <w:lang w:val="en-US"/>
        </w:rPr>
      </w:pPr>
      <w:r>
        <w:rPr>
          <w:lang w:val="en-US"/>
        </w:rPr>
        <w:t xml:space="preserve">Laboratory of Optimization of Energy Systems (LOSE), Department of Energy, School of Engineering and Institute of Bioenergy Research (IPBEN-UNESP)-Associated Laboratory of Guaratinguetá, Sao Paulo State University (UNESP) , São Paulo - SP, Brazil. </w:t>
      </w:r>
    </w:p>
    <w:p>
      <w:pPr>
        <w:pStyle w:val="AuthorAddress"/>
        <w:rPr/>
      </w:pPr>
      <w:hyperlink r:id="rId3">
        <w:r>
          <w:rPr>
            <w:rStyle w:val="ListLabel28"/>
            <w:lang w:val="en-US"/>
          </w:rPr>
          <w:t>regina.paulino@unesp.br</w:t>
        </w:r>
      </w:hyperlink>
    </w:p>
    <w:p>
      <w:pPr>
        <w:pStyle w:val="Keywords"/>
        <w:rPr/>
      </w:pPr>
      <w:r>
        <w:rPr/>
      </w:r>
    </w:p>
    <w:p>
      <w:pPr>
        <w:pStyle w:val="Abstract"/>
        <w:jc w:val="both"/>
        <w:rPr/>
      </w:pPr>
      <w:r>
        <w:rPr>
          <w:b/>
        </w:rPr>
        <w:t>Abstract.</w:t>
      </w:r>
      <w:r>
        <w:rPr/>
        <w:t xml:space="preserve"> The climate crisis and the search for carbon-free energy sources have elevated hydrogen to a leading role in the global energy transition. Brazil faces significant problems regarding biomedical waste (BW), which is frequently disposed of inadequately and ends up in septic tanks, dumps, and landfills without any treatment. Plasma gasification technology is very promising as it aims to provide a sustainable disposal method for a range of waste, including biomedical waste. The syngas generated by plasma gasification, rich in CO₂ and H₂, represents the raw material for obtaining high-purity hydrogen. Thus, this work aims to study hydrogen production from moss as a function of the temperature of the plasma gasification process of Brazilian biomedical waste and the gasifying agents, water vapor and oxygen, through simulation in the TERRA software, as well as the electrical energy consumption in the gasifier torches to process 1 kg of BW through thermodynamic equations. In conclusion, the plasma gasification temperature for Brazilian biomedical waste that produces the highest fraction of hydrogen using water vapor and oxygen as gasifying agents is 1020 K and 1070 K, respectively. At these temperatures, mass fractions of hydrogen produced are 5.35% and 4.57%, respectively. It is necessary to use 3558.44 kW and 4296.07 kW of electricity to process 1 kg/s of BW Brazilian at temperatures of 1020 K and 1070 K, respectively.</w:t>
      </w:r>
    </w:p>
    <w:p>
      <w:pPr>
        <w:pStyle w:val="Abstract"/>
        <w:rPr>
          <w:b/>
        </w:rPr>
      </w:pPr>
      <w:r>
        <w:rPr>
          <w:b/>
        </w:rPr>
      </w:r>
    </w:p>
    <w:p>
      <w:pPr>
        <w:pStyle w:val="Abstract"/>
        <w:rPr/>
      </w:pPr>
      <w:r>
        <w:rPr>
          <w:b/>
        </w:rPr>
        <w:t>Keywords:</w:t>
      </w:r>
      <w:r>
        <w:rPr/>
        <w:t xml:space="preserve"> plasma gasification, biomedical waste, hydrogen, , economic analysis. </w:t>
      </w:r>
    </w:p>
    <w:p>
      <w:pPr>
        <w:pStyle w:val="Normal"/>
        <w:rPr>
          <w:b/>
          <w:color w:val="FF0000"/>
        </w:rPr>
      </w:pPr>
      <w:r>
        <w:rPr>
          <w:b/>
          <w:color w:val="FF0000"/>
        </w:rPr>
      </w:r>
    </w:p>
    <w:p>
      <w:pPr>
        <w:pStyle w:val="SectionHeader"/>
        <w:numPr>
          <w:ilvl w:val="0"/>
          <w:numId w:val="2"/>
        </w:numPr>
        <w:rPr>
          <w:b w:val="false"/>
          <w:color w:val="FF0000"/>
        </w:rPr>
      </w:pPr>
      <w:r>
        <w:rPr/>
        <w:t xml:space="preserve">Introduction </w:t>
      </w:r>
    </w:p>
    <w:p>
      <w:pPr>
        <w:pStyle w:val="SectionBody"/>
        <w:ind w:hanging="0"/>
        <w:rPr/>
      </w:pPr>
      <w:r>
        <w:rPr/>
      </w:r>
    </w:p>
    <w:p>
      <w:pPr>
        <w:pStyle w:val="SectionBody"/>
        <w:ind w:hanging="0"/>
        <w:rPr>
          <w:iCs/>
        </w:rPr>
      </w:pPr>
      <w:r>
        <w:rPr>
          <w:iCs/>
        </w:rPr>
        <w:tab/>
        <w:t>The Brazilian Association of Public Cleaning and Special Waste Companies (ABREMA), through its Panorama of Solid Waste in Brazil 2025, is the main source of consolidated data for the sector. The study shows that the generation of healthcare waste in the country reached 1.25 million tons in 2024, a volume that, although it represents less than 2% of total municipal solid waste, requires specialized attention due to its hazardous nature. ABREMA (2025) highlights that generation is highly concentrated, with hospital units accounting for 85.9% of the total, followed by clinical analysis laboratories (8.3%), animal health establishments (3.9%), and dental clinics (1.9%).</w:t>
      </w:r>
    </w:p>
    <w:p>
      <w:pPr>
        <w:pStyle w:val="SectionBody"/>
        <w:ind w:hanging="0"/>
        <w:rPr>
          <w:iCs/>
        </w:rPr>
      </w:pPr>
      <w:r>
        <w:rPr>
          <w:iCs/>
        </w:rPr>
        <w:tab/>
        <w:t>One of the main logistical and operational challenges, as pointed out by ABREMA (2025), lies in the gravimetric composition and inefficient source segregation. Improper classification causes common waste (Group D) to be treated as infectious waste (Group A), unnecessarily increasing the costs and complexity of handling. Specialized literature supports this limitation, indicating that in hospitals a significant portion (reaching 90% in some case studies) of the waste classified as Group A could be reclassified as Group D if sorting were performed correctly (MADERS; CUNHA, 2015).</w:t>
      </w:r>
    </w:p>
    <w:p>
      <w:pPr>
        <w:pStyle w:val="SectionBody"/>
        <w:ind w:hanging="0"/>
        <w:rPr>
          <w:iCs/>
        </w:rPr>
      </w:pPr>
      <w:r>
        <w:rPr>
          <w:iCs/>
        </w:rPr>
        <w:tab/>
        <w:t>Regarding treatment, the ABREMA Panorama (2025) reports that sterilization technologies, such as autoclaving, are the most widely used, treating about 50.1% of infectious waste. Incineration, which enables a drastic volume reduction, accounts for 39.7% of treatment, while microwave treatment reaches 10.2%. The technological choice, however, is a dilemma: incineration raises environmental concerns due to the potential emission of persistent pollutants (dioxins and furans), whereas sterilization does not physically destroy the waste, requiring subsequent final disposal steps. The final stage, and the most critical one for the sector's sustainability, is final disposal. ABREMA (2025) estimates that about 34% of healthcare waste is still sent to inappropriate locations, such as open dumps or controlled landfills, in conflict with the National Solid Waste Policy (PNRS). This scenario shows the urgency of adopting technologies that, in addition to treating biological risk, promote energy recovery and material circularity, such as plasma gasification.</w:t>
      </w:r>
    </w:p>
    <w:p>
      <w:pPr>
        <w:pStyle w:val="SectionBody"/>
        <w:ind w:hanging="0"/>
        <w:rPr>
          <w:iCs/>
        </w:rPr>
      </w:pPr>
      <w:r>
        <w:rPr>
          <w:iCs/>
        </w:rPr>
        <w:tab/>
        <w:t>The climate crisis and the search for carbon-free energy vectors have elevated hydrogen (H2) to a leading role in the global energy transition. As a fuel that emits only water vapor during combustion, H2 has the potential to replace fossil fuels in several industrial and transportation sectors. However, the sustainability of the process depends on the production route, particularly green hydrogen, obtained via electrolysis powered by renewable energy or biomass gasification. According to Kuo et al. (2021), the use of plant-based materials or renewable waste to produce H2 contributes directly to the reduction of greenhouse gas (GHG) emissions, in line with global climate objectives. In addition, studies indicate that plasma gasification produces higher hydrogen yields and lower solid waste volumes than conventional techniques, establishing itself as a highly efficient and sustainable solution (OLIVEIRA et al., 2022).</w:t>
      </w:r>
    </w:p>
    <w:p>
      <w:pPr>
        <w:pStyle w:val="SectionBody"/>
        <w:ind w:hanging="0"/>
        <w:rPr>
          <w:iCs/>
        </w:rPr>
      </w:pPr>
      <w:r>
        <w:rPr>
          <w:iCs/>
        </w:rPr>
        <w:tab/>
        <w:t>Plasma gasification is a thermochemical conversion process that uses electric plasma to decompose organic waste into synthesis gas (syngas) under a reducing atmosphere. Plasma, an ionized gas at extreme temperatures (1,000 °C to 4,000 °C), completely breaks down complex molecular chains, destroying pathogens and tar while melting inorganic materials into an inert vitrified slag (OLIVEIRA et al., 2022). The process takes place in reactors equipped with plasma torches, where the waste undergoes pyrolysis followed by gasification reactions. The main chemical reactions involved in hydrogen production include steam reforming (C + H2O → CO + H2) and the water-gas shift reaction (CO + H2O → CO2 + H2), both of which are favored by the injection of water vapor into the reactor to maximize H2 yield (FAVAS; TRINDADE; FILLAT, 2017; DIAZ et al., 2015). Messerle, Mosse, and Ustimenko (2018) experimentally demonstrated that plasma gasification of biomedical waste produces a syngas rich in CO and H2 with a high calorific value, outperforming conventional methods in terms of contaminant destruction and conversion efficiency.</w:t>
      </w:r>
    </w:p>
    <w:p>
      <w:pPr>
        <w:pStyle w:val="SectionBody"/>
        <w:ind w:hanging="0"/>
        <w:rPr>
          <w:iCs/>
        </w:rPr>
      </w:pPr>
      <w:r>
        <w:rPr>
          <w:iCs/>
        </w:rPr>
        <w:tab/>
        <w:t>Gasification is defined as a method in which the molecules of the feedstock are decomposed into their constituent elements at high temperatures and under atmospheric or elevated pressures. The process must be carried out in the presence of a gasifying agent, such as steam, air, O2, CO2, or even mixtures of these agents (OLIVEIRA et al., 2022).</w:t>
      </w:r>
    </w:p>
    <w:p>
      <w:pPr>
        <w:pStyle w:val="SectionBody"/>
        <w:ind w:hanging="0"/>
        <w:rPr>
          <w:iCs/>
        </w:rPr>
      </w:pPr>
      <w:r>
        <w:rPr>
          <w:iCs/>
        </w:rPr>
        <w:tab/>
        <w:t>Water vapor is the most efficient agent for maximizing hydrogen production. Steam favors the water-gas shift reaction, which consumes carbon monoxide and water to produce more hydrogen and carbon dioxide. The use of steam in plasma reactors can increase the hydrogen concentration to ranges between 40% and 60% in the dry gas (CVETINOVIĆ et al., 2025). Oxygen mainly promotes partial oxidation reactions, which are exothermic and supply heat to the process. Although it increases the overall thermal efficiency, oxygen alone tends to produce a gas richer in carbon monoxide than in hydrogen when compared with steam (SIKARWAR et al., 2020).</w:t>
      </w:r>
    </w:p>
    <w:p>
      <w:pPr>
        <w:pStyle w:val="SectionBody"/>
        <w:ind w:hanging="0"/>
        <w:rPr>
          <w:iCs/>
        </w:rPr>
      </w:pPr>
      <w:r>
        <w:rPr>
          <w:iCs/>
        </w:rPr>
        <w:tab/>
        <w:t>Given the high generation of healthcare service waste (HSW) and the possibility of using the plasma gasification process to contribute to its final disposal in a more efficient and safer way, this study aims to evaluate the use of water vapor and oxygen as gasifying agents in the HSW plasma gasification system through simulation in the TERRA software, in relation to the hydrogen fraction produced, and to determine the energy required in the plasma torch for the use of the respective gasifying agents to process 1 kg/s of HSW.</w:t>
      </w:r>
    </w:p>
    <w:p>
      <w:pPr>
        <w:pStyle w:val="SectionBody"/>
        <w:ind w:hanging="0"/>
        <w:rPr>
          <w:iCs/>
        </w:rPr>
      </w:pPr>
      <w:r>
        <w:rPr>
          <w:iCs/>
        </w:rPr>
      </w:r>
    </w:p>
    <w:p>
      <w:pPr>
        <w:pStyle w:val="SectionHeader"/>
        <w:numPr>
          <w:ilvl w:val="0"/>
          <w:numId w:val="2"/>
        </w:numPr>
        <w:rPr/>
      </w:pPr>
      <w:r>
        <w:rPr/>
        <w:t>MATERIAL</w:t>
      </w:r>
    </w:p>
    <w:p>
      <w:pPr>
        <w:pStyle w:val="SectionBody"/>
        <w:ind w:hanging="0"/>
        <w:rPr>
          <w:iCs/>
        </w:rPr>
      </w:pPr>
      <w:r>
        <w:rPr>
          <w:iCs/>
        </w:rPr>
      </w:r>
    </w:p>
    <w:p>
      <w:pPr>
        <w:pStyle w:val="SectionBody"/>
        <w:ind w:firstLine="284"/>
        <w:rPr/>
      </w:pPr>
      <w:r>
        <w:rPr/>
        <w:t>For the development of this work, Brazilian hospital solid waste with the elemental composition shown in Table 1 was used.</w:t>
      </w:r>
    </w:p>
    <w:p>
      <w:pPr>
        <w:pStyle w:val="SectionBody"/>
        <w:ind w:firstLine="284"/>
        <w:rPr/>
      </w:pPr>
      <w:r>
        <w:rPr/>
      </w:r>
    </w:p>
    <w:p>
      <w:pPr>
        <w:pStyle w:val="SectionBody"/>
        <w:ind w:firstLine="284"/>
        <w:rPr/>
      </w:pPr>
      <w:r>
        <w:rPr/>
        <w:t>Table 1 – Elemental composition of Brazilian biomedical waste (%) (PAULINO et al., 2022)</w:t>
      </w:r>
    </w:p>
    <w:tbl>
      <w:tblPr>
        <w:tblW w:w="8972" w:type="dxa"/>
        <w:jc w:val="left"/>
        <w:tblInd w:w="99" w:type="dxa"/>
        <w:tblLayout w:type="fixed"/>
        <w:tblCellMar>
          <w:top w:w="0" w:type="dxa"/>
          <w:left w:w="108" w:type="dxa"/>
          <w:bottom w:w="0" w:type="dxa"/>
          <w:right w:w="108" w:type="dxa"/>
        </w:tblCellMar>
        <w:tblLook w:val="0400" w:noHBand="0" w:noVBand="1" w:firstColumn="0" w:lastRow="0" w:lastColumn="0" w:firstRow="0"/>
      </w:tblPr>
      <w:tblGrid>
        <w:gridCol w:w="1568"/>
        <w:gridCol w:w="1558"/>
        <w:gridCol w:w="1418"/>
        <w:gridCol w:w="1417"/>
        <w:gridCol w:w="1134"/>
        <w:gridCol w:w="890"/>
        <w:gridCol w:w="986"/>
      </w:tblGrid>
      <w:tr>
        <w:trPr>
          <w:trHeight w:val="270" w:hRule="atLeast"/>
        </w:trPr>
        <w:tc>
          <w:tcPr>
            <w:tcW w:w="1568" w:type="dxa"/>
            <w:tcBorders>
              <w:top w:val="single" w:sz="12" w:space="0" w:color="000000"/>
              <w:bottom w:val="single" w:sz="12" w:space="0" w:color="000000"/>
            </w:tcBorders>
            <w:vAlign w:val="center"/>
          </w:tcPr>
          <w:p>
            <w:pPr>
              <w:pStyle w:val="SectionBody"/>
              <w:ind w:firstLine="284"/>
              <w:rPr/>
            </w:pPr>
            <w:r>
              <w:rPr/>
              <w:t>Componentes</w:t>
            </w:r>
          </w:p>
        </w:tc>
        <w:tc>
          <w:tcPr>
            <w:tcW w:w="1558" w:type="dxa"/>
            <w:tcBorders>
              <w:top w:val="single" w:sz="12" w:space="0" w:color="000000"/>
              <w:bottom w:val="single" w:sz="12" w:space="0" w:color="000000"/>
            </w:tcBorders>
            <w:vAlign w:val="center"/>
          </w:tcPr>
          <w:p>
            <w:pPr>
              <w:pStyle w:val="SectionBody"/>
              <w:ind w:firstLine="284"/>
              <w:rPr/>
            </w:pPr>
            <w:r>
              <w:rPr/>
              <w:t>Hospital</w:t>
            </w:r>
          </w:p>
        </w:tc>
        <w:tc>
          <w:tcPr>
            <w:tcW w:w="1418" w:type="dxa"/>
            <w:tcBorders>
              <w:top w:val="single" w:sz="12" w:space="0" w:color="000000"/>
              <w:bottom w:val="single" w:sz="12" w:space="0" w:color="000000"/>
            </w:tcBorders>
            <w:vAlign w:val="center"/>
          </w:tcPr>
          <w:p>
            <w:pPr>
              <w:pStyle w:val="SectionBody"/>
              <w:ind w:firstLine="284"/>
              <w:rPr/>
            </w:pPr>
            <w:r>
              <w:rPr/>
              <w:t>Enfermaria</w:t>
            </w:r>
          </w:p>
        </w:tc>
        <w:tc>
          <w:tcPr>
            <w:tcW w:w="1417" w:type="dxa"/>
            <w:tcBorders>
              <w:top w:val="single" w:sz="12" w:space="0" w:color="000000"/>
              <w:bottom w:val="single" w:sz="12" w:space="0" w:color="000000"/>
            </w:tcBorders>
            <w:vAlign w:val="center"/>
          </w:tcPr>
          <w:p>
            <w:pPr>
              <w:pStyle w:val="SectionBody"/>
              <w:ind w:firstLine="284"/>
              <w:rPr/>
            </w:pPr>
            <w:r>
              <w:rPr/>
              <w:t>Centro Cirúrgico</w:t>
            </w:r>
          </w:p>
        </w:tc>
        <w:tc>
          <w:tcPr>
            <w:tcW w:w="1134" w:type="dxa"/>
            <w:tcBorders>
              <w:top w:val="single" w:sz="12" w:space="0" w:color="000000"/>
              <w:bottom w:val="single" w:sz="12" w:space="0" w:color="000000"/>
            </w:tcBorders>
            <w:vAlign w:val="center"/>
          </w:tcPr>
          <w:p>
            <w:pPr>
              <w:pStyle w:val="SectionBody"/>
              <w:ind w:firstLine="284"/>
              <w:rPr/>
            </w:pPr>
            <w:r>
              <w:rPr/>
              <w:t>Outros</w:t>
            </w:r>
          </w:p>
        </w:tc>
        <w:tc>
          <w:tcPr>
            <w:tcW w:w="890" w:type="dxa"/>
            <w:tcBorders>
              <w:top w:val="single" w:sz="12" w:space="0" w:color="000000"/>
              <w:bottom w:val="single" w:sz="12" w:space="0" w:color="000000"/>
            </w:tcBorders>
            <w:vAlign w:val="center"/>
          </w:tcPr>
          <w:p>
            <w:pPr>
              <w:pStyle w:val="SectionBody"/>
              <w:ind w:firstLine="284"/>
              <w:rPr/>
            </w:pPr>
            <w:r>
              <w:rPr/>
              <w:t>Média</w:t>
            </w:r>
          </w:p>
        </w:tc>
        <w:tc>
          <w:tcPr>
            <w:tcW w:w="986" w:type="dxa"/>
            <w:tcBorders>
              <w:top w:val="single" w:sz="12" w:space="0" w:color="000000"/>
              <w:bottom w:val="single" w:sz="12" w:space="0" w:color="000000"/>
            </w:tcBorders>
            <w:vAlign w:val="center"/>
          </w:tcPr>
          <w:p>
            <w:pPr>
              <w:pStyle w:val="SectionBody"/>
              <w:ind w:firstLine="284"/>
              <w:rPr/>
            </w:pPr>
            <w:r>
              <w:rPr/>
              <w:t>Desvio padrão</w:t>
            </w:r>
          </w:p>
        </w:tc>
      </w:tr>
      <w:tr>
        <w:trPr>
          <w:trHeight w:val="270" w:hRule="atLeast"/>
        </w:trPr>
        <w:tc>
          <w:tcPr>
            <w:tcW w:w="1568" w:type="dxa"/>
            <w:tcBorders>
              <w:top w:val="single" w:sz="12" w:space="0" w:color="000000"/>
            </w:tcBorders>
            <w:vAlign w:val="bottom"/>
          </w:tcPr>
          <w:p>
            <w:pPr>
              <w:pStyle w:val="SectionBody"/>
              <w:ind w:firstLine="284"/>
              <w:rPr/>
            </w:pPr>
            <w:r>
              <w:rPr/>
              <w:t>C</w:t>
            </w:r>
          </w:p>
        </w:tc>
        <w:tc>
          <w:tcPr>
            <w:tcW w:w="1558" w:type="dxa"/>
            <w:tcBorders>
              <w:top w:val="single" w:sz="12" w:space="0" w:color="000000"/>
            </w:tcBorders>
            <w:vAlign w:val="bottom"/>
          </w:tcPr>
          <w:p>
            <w:pPr>
              <w:pStyle w:val="SectionBody"/>
              <w:ind w:firstLine="284"/>
              <w:rPr/>
            </w:pPr>
            <w:r>
              <w:rPr/>
              <w:t>35,73</w:t>
            </w:r>
          </w:p>
        </w:tc>
        <w:tc>
          <w:tcPr>
            <w:tcW w:w="1418" w:type="dxa"/>
            <w:tcBorders>
              <w:top w:val="single" w:sz="12" w:space="0" w:color="000000"/>
            </w:tcBorders>
            <w:vAlign w:val="bottom"/>
          </w:tcPr>
          <w:p>
            <w:pPr>
              <w:pStyle w:val="SectionBody"/>
              <w:ind w:firstLine="284"/>
              <w:rPr/>
            </w:pPr>
            <w:r>
              <w:rPr/>
              <w:t>30,80</w:t>
            </w:r>
          </w:p>
        </w:tc>
        <w:tc>
          <w:tcPr>
            <w:tcW w:w="1417" w:type="dxa"/>
            <w:tcBorders>
              <w:top w:val="single" w:sz="12" w:space="0" w:color="000000"/>
            </w:tcBorders>
            <w:vAlign w:val="bottom"/>
          </w:tcPr>
          <w:p>
            <w:pPr>
              <w:pStyle w:val="SectionBody"/>
              <w:ind w:firstLine="284"/>
              <w:rPr/>
            </w:pPr>
            <w:r>
              <w:rPr/>
              <w:t>27,90</w:t>
            </w:r>
          </w:p>
        </w:tc>
        <w:tc>
          <w:tcPr>
            <w:tcW w:w="1134" w:type="dxa"/>
            <w:tcBorders>
              <w:top w:val="single" w:sz="12" w:space="0" w:color="000000"/>
            </w:tcBorders>
            <w:vAlign w:val="bottom"/>
          </w:tcPr>
          <w:p>
            <w:pPr>
              <w:pStyle w:val="SectionBody"/>
              <w:ind w:firstLine="284"/>
              <w:rPr/>
            </w:pPr>
            <w:r>
              <w:rPr/>
              <w:t>32,00</w:t>
            </w:r>
          </w:p>
        </w:tc>
        <w:tc>
          <w:tcPr>
            <w:tcW w:w="890" w:type="dxa"/>
            <w:tcBorders>
              <w:top w:val="single" w:sz="12" w:space="0" w:color="000000"/>
            </w:tcBorders>
            <w:vAlign w:val="bottom"/>
          </w:tcPr>
          <w:p>
            <w:pPr>
              <w:pStyle w:val="SectionBody"/>
              <w:ind w:firstLine="284"/>
              <w:rPr/>
            </w:pPr>
            <w:r>
              <w:rPr/>
              <w:t>31,6</w:t>
            </w:r>
          </w:p>
        </w:tc>
        <w:tc>
          <w:tcPr>
            <w:tcW w:w="986" w:type="dxa"/>
            <w:tcBorders>
              <w:top w:val="single" w:sz="12" w:space="0" w:color="000000"/>
            </w:tcBorders>
            <w:vAlign w:val="bottom"/>
          </w:tcPr>
          <w:p>
            <w:pPr>
              <w:pStyle w:val="SectionBody"/>
              <w:ind w:firstLine="284"/>
              <w:rPr/>
            </w:pPr>
            <w:r>
              <w:rPr/>
              <w:t>1,6</w:t>
            </w:r>
          </w:p>
        </w:tc>
      </w:tr>
      <w:tr>
        <w:trPr>
          <w:trHeight w:val="270" w:hRule="atLeast"/>
        </w:trPr>
        <w:tc>
          <w:tcPr>
            <w:tcW w:w="1568" w:type="dxa"/>
            <w:tcBorders/>
            <w:vAlign w:val="bottom"/>
          </w:tcPr>
          <w:p>
            <w:pPr>
              <w:pStyle w:val="SectionBody"/>
              <w:ind w:firstLine="284"/>
              <w:rPr/>
            </w:pPr>
            <w:r>
              <w:rPr/>
              <w:t>H</w:t>
            </w:r>
          </w:p>
        </w:tc>
        <w:tc>
          <w:tcPr>
            <w:tcW w:w="1558" w:type="dxa"/>
            <w:tcBorders/>
            <w:vAlign w:val="bottom"/>
          </w:tcPr>
          <w:p>
            <w:pPr>
              <w:pStyle w:val="SectionBody"/>
              <w:ind w:firstLine="284"/>
              <w:rPr/>
            </w:pPr>
            <w:r>
              <w:rPr/>
              <w:t>3,87</w:t>
            </w:r>
          </w:p>
        </w:tc>
        <w:tc>
          <w:tcPr>
            <w:tcW w:w="1418" w:type="dxa"/>
            <w:tcBorders/>
            <w:vAlign w:val="bottom"/>
          </w:tcPr>
          <w:p>
            <w:pPr>
              <w:pStyle w:val="SectionBody"/>
              <w:ind w:firstLine="284"/>
              <w:rPr/>
            </w:pPr>
            <w:r>
              <w:rPr/>
              <w:t>3,60</w:t>
            </w:r>
          </w:p>
        </w:tc>
        <w:tc>
          <w:tcPr>
            <w:tcW w:w="1417" w:type="dxa"/>
            <w:tcBorders/>
            <w:vAlign w:val="bottom"/>
          </w:tcPr>
          <w:p>
            <w:pPr>
              <w:pStyle w:val="SectionBody"/>
              <w:ind w:firstLine="284"/>
              <w:rPr/>
            </w:pPr>
            <w:r>
              <w:rPr/>
              <w:t>3,90</w:t>
            </w:r>
          </w:p>
        </w:tc>
        <w:tc>
          <w:tcPr>
            <w:tcW w:w="1134" w:type="dxa"/>
            <w:tcBorders/>
            <w:vAlign w:val="bottom"/>
          </w:tcPr>
          <w:p>
            <w:pPr>
              <w:pStyle w:val="SectionBody"/>
              <w:ind w:firstLine="284"/>
              <w:rPr/>
            </w:pPr>
            <w:r>
              <w:rPr/>
              <w:t>3,60</w:t>
            </w:r>
          </w:p>
        </w:tc>
        <w:tc>
          <w:tcPr>
            <w:tcW w:w="890" w:type="dxa"/>
            <w:tcBorders/>
            <w:vAlign w:val="bottom"/>
          </w:tcPr>
          <w:p>
            <w:pPr>
              <w:pStyle w:val="SectionBody"/>
              <w:ind w:firstLine="284"/>
              <w:rPr/>
            </w:pPr>
            <w:r>
              <w:rPr/>
              <w:t>3,74</w:t>
            </w:r>
          </w:p>
        </w:tc>
        <w:tc>
          <w:tcPr>
            <w:tcW w:w="986" w:type="dxa"/>
            <w:tcBorders/>
            <w:vAlign w:val="bottom"/>
          </w:tcPr>
          <w:p>
            <w:pPr>
              <w:pStyle w:val="SectionBody"/>
              <w:ind w:firstLine="284"/>
              <w:rPr/>
            </w:pPr>
            <w:r>
              <w:rPr/>
              <w:t>0,08</w:t>
            </w:r>
          </w:p>
        </w:tc>
      </w:tr>
      <w:tr>
        <w:trPr>
          <w:trHeight w:val="270" w:hRule="atLeast"/>
        </w:trPr>
        <w:tc>
          <w:tcPr>
            <w:tcW w:w="1568" w:type="dxa"/>
            <w:tcBorders/>
            <w:vAlign w:val="bottom"/>
          </w:tcPr>
          <w:p>
            <w:pPr>
              <w:pStyle w:val="SectionBody"/>
              <w:ind w:firstLine="284"/>
              <w:rPr/>
            </w:pPr>
            <w:r>
              <w:rPr/>
              <w:t>S</w:t>
            </w:r>
          </w:p>
        </w:tc>
        <w:tc>
          <w:tcPr>
            <w:tcW w:w="1558" w:type="dxa"/>
            <w:tcBorders/>
            <w:vAlign w:val="bottom"/>
          </w:tcPr>
          <w:p>
            <w:pPr>
              <w:pStyle w:val="SectionBody"/>
              <w:ind w:firstLine="284"/>
              <w:rPr/>
            </w:pPr>
            <w:r>
              <w:rPr/>
              <w:t>0,00</w:t>
            </w:r>
          </w:p>
        </w:tc>
        <w:tc>
          <w:tcPr>
            <w:tcW w:w="1418" w:type="dxa"/>
            <w:tcBorders/>
            <w:vAlign w:val="bottom"/>
          </w:tcPr>
          <w:p>
            <w:pPr>
              <w:pStyle w:val="SectionBody"/>
              <w:ind w:firstLine="284"/>
              <w:rPr/>
            </w:pPr>
            <w:r>
              <w:rPr/>
              <w:t>0,00</w:t>
            </w:r>
          </w:p>
        </w:tc>
        <w:tc>
          <w:tcPr>
            <w:tcW w:w="1417" w:type="dxa"/>
            <w:tcBorders/>
            <w:vAlign w:val="bottom"/>
          </w:tcPr>
          <w:p>
            <w:pPr>
              <w:pStyle w:val="SectionBody"/>
              <w:ind w:firstLine="284"/>
              <w:rPr/>
            </w:pPr>
            <w:r>
              <w:rPr/>
              <w:t>0,50</w:t>
            </w:r>
          </w:p>
        </w:tc>
        <w:tc>
          <w:tcPr>
            <w:tcW w:w="1134" w:type="dxa"/>
            <w:tcBorders/>
            <w:vAlign w:val="bottom"/>
          </w:tcPr>
          <w:p>
            <w:pPr>
              <w:pStyle w:val="SectionBody"/>
              <w:ind w:firstLine="284"/>
              <w:rPr/>
            </w:pPr>
            <w:r>
              <w:rPr/>
              <w:t>0,30</w:t>
            </w:r>
          </w:p>
        </w:tc>
        <w:tc>
          <w:tcPr>
            <w:tcW w:w="890" w:type="dxa"/>
            <w:tcBorders/>
            <w:vAlign w:val="bottom"/>
          </w:tcPr>
          <w:p>
            <w:pPr>
              <w:pStyle w:val="SectionBody"/>
              <w:ind w:firstLine="284"/>
              <w:rPr/>
            </w:pPr>
            <w:r>
              <w:rPr/>
              <w:t>0,20</w:t>
            </w:r>
          </w:p>
        </w:tc>
        <w:tc>
          <w:tcPr>
            <w:tcW w:w="986" w:type="dxa"/>
            <w:tcBorders/>
            <w:vAlign w:val="bottom"/>
          </w:tcPr>
          <w:p>
            <w:pPr>
              <w:pStyle w:val="SectionBody"/>
              <w:ind w:firstLine="284"/>
              <w:rPr/>
            </w:pPr>
            <w:r>
              <w:rPr/>
              <w:t>0,12</w:t>
            </w:r>
          </w:p>
        </w:tc>
      </w:tr>
      <w:tr>
        <w:trPr>
          <w:trHeight w:val="270" w:hRule="atLeast"/>
        </w:trPr>
        <w:tc>
          <w:tcPr>
            <w:tcW w:w="1568" w:type="dxa"/>
            <w:tcBorders/>
            <w:vAlign w:val="bottom"/>
          </w:tcPr>
          <w:p>
            <w:pPr>
              <w:pStyle w:val="SectionBody"/>
              <w:ind w:firstLine="284"/>
              <w:rPr/>
            </w:pPr>
            <w:r>
              <w:rPr/>
              <w:t>Cl</w:t>
            </w:r>
          </w:p>
        </w:tc>
        <w:tc>
          <w:tcPr>
            <w:tcW w:w="1558" w:type="dxa"/>
            <w:tcBorders/>
            <w:vAlign w:val="bottom"/>
          </w:tcPr>
          <w:p>
            <w:pPr>
              <w:pStyle w:val="SectionBody"/>
              <w:ind w:firstLine="284"/>
              <w:rPr/>
            </w:pPr>
            <w:r>
              <w:rPr/>
              <w:t>0,32</w:t>
            </w:r>
          </w:p>
        </w:tc>
        <w:tc>
          <w:tcPr>
            <w:tcW w:w="1418" w:type="dxa"/>
            <w:tcBorders/>
            <w:vAlign w:val="bottom"/>
          </w:tcPr>
          <w:p>
            <w:pPr>
              <w:pStyle w:val="SectionBody"/>
              <w:ind w:firstLine="284"/>
              <w:rPr/>
            </w:pPr>
            <w:r>
              <w:rPr/>
              <w:t>0,08</w:t>
            </w:r>
          </w:p>
        </w:tc>
        <w:tc>
          <w:tcPr>
            <w:tcW w:w="1417" w:type="dxa"/>
            <w:tcBorders/>
            <w:vAlign w:val="bottom"/>
          </w:tcPr>
          <w:p>
            <w:pPr>
              <w:pStyle w:val="SectionBody"/>
              <w:ind w:firstLine="284"/>
              <w:rPr/>
            </w:pPr>
            <w:r>
              <w:rPr/>
              <w:t>0,09</w:t>
            </w:r>
          </w:p>
        </w:tc>
        <w:tc>
          <w:tcPr>
            <w:tcW w:w="1134" w:type="dxa"/>
            <w:tcBorders/>
            <w:vAlign w:val="bottom"/>
          </w:tcPr>
          <w:p>
            <w:pPr>
              <w:pStyle w:val="SectionBody"/>
              <w:ind w:firstLine="284"/>
              <w:rPr/>
            </w:pPr>
            <w:r>
              <w:rPr/>
              <w:t>0,09</w:t>
            </w:r>
          </w:p>
        </w:tc>
        <w:tc>
          <w:tcPr>
            <w:tcW w:w="890" w:type="dxa"/>
            <w:tcBorders/>
            <w:vAlign w:val="bottom"/>
          </w:tcPr>
          <w:p>
            <w:pPr>
              <w:pStyle w:val="SectionBody"/>
              <w:ind w:firstLine="284"/>
              <w:rPr/>
            </w:pPr>
            <w:r>
              <w:rPr/>
              <w:t>0,15</w:t>
            </w:r>
          </w:p>
        </w:tc>
        <w:tc>
          <w:tcPr>
            <w:tcW w:w="986" w:type="dxa"/>
            <w:tcBorders/>
            <w:vAlign w:val="bottom"/>
          </w:tcPr>
          <w:p>
            <w:pPr>
              <w:pStyle w:val="SectionBody"/>
              <w:ind w:firstLine="284"/>
              <w:rPr/>
            </w:pPr>
            <w:r>
              <w:rPr/>
              <w:t>0,06</w:t>
            </w:r>
          </w:p>
        </w:tc>
      </w:tr>
      <w:tr>
        <w:trPr>
          <w:trHeight w:val="270" w:hRule="atLeast"/>
        </w:trPr>
        <w:tc>
          <w:tcPr>
            <w:tcW w:w="1568" w:type="dxa"/>
            <w:tcBorders/>
            <w:vAlign w:val="bottom"/>
          </w:tcPr>
          <w:p>
            <w:pPr>
              <w:pStyle w:val="SectionBody"/>
              <w:ind w:firstLine="284"/>
              <w:rPr/>
            </w:pPr>
            <w:r>
              <w:rPr/>
              <w:t>N</w:t>
            </w:r>
          </w:p>
        </w:tc>
        <w:tc>
          <w:tcPr>
            <w:tcW w:w="1558" w:type="dxa"/>
            <w:tcBorders/>
            <w:vAlign w:val="bottom"/>
          </w:tcPr>
          <w:p>
            <w:pPr>
              <w:pStyle w:val="SectionBody"/>
              <w:ind w:firstLine="284"/>
              <w:rPr/>
            </w:pPr>
            <w:r>
              <w:rPr/>
              <w:t>0,51</w:t>
            </w:r>
          </w:p>
        </w:tc>
        <w:tc>
          <w:tcPr>
            <w:tcW w:w="1418" w:type="dxa"/>
            <w:tcBorders/>
            <w:vAlign w:val="bottom"/>
          </w:tcPr>
          <w:p>
            <w:pPr>
              <w:pStyle w:val="SectionBody"/>
              <w:ind w:firstLine="284"/>
              <w:rPr/>
            </w:pPr>
            <w:r>
              <w:rPr/>
              <w:t>0,50</w:t>
            </w:r>
          </w:p>
        </w:tc>
        <w:tc>
          <w:tcPr>
            <w:tcW w:w="1417" w:type="dxa"/>
            <w:tcBorders/>
            <w:vAlign w:val="bottom"/>
          </w:tcPr>
          <w:p>
            <w:pPr>
              <w:pStyle w:val="SectionBody"/>
              <w:ind w:firstLine="284"/>
              <w:rPr/>
            </w:pPr>
            <w:r>
              <w:rPr/>
              <w:t>0,38</w:t>
            </w:r>
          </w:p>
        </w:tc>
        <w:tc>
          <w:tcPr>
            <w:tcW w:w="1134" w:type="dxa"/>
            <w:tcBorders/>
            <w:vAlign w:val="bottom"/>
          </w:tcPr>
          <w:p>
            <w:pPr>
              <w:pStyle w:val="SectionBody"/>
              <w:ind w:firstLine="284"/>
              <w:rPr/>
            </w:pPr>
            <w:r>
              <w:rPr/>
              <w:t>0,64</w:t>
            </w:r>
          </w:p>
        </w:tc>
        <w:tc>
          <w:tcPr>
            <w:tcW w:w="890" w:type="dxa"/>
            <w:tcBorders/>
            <w:vAlign w:val="bottom"/>
          </w:tcPr>
          <w:p>
            <w:pPr>
              <w:pStyle w:val="SectionBody"/>
              <w:ind w:firstLine="284"/>
              <w:rPr/>
            </w:pPr>
            <w:r>
              <w:rPr/>
              <w:t>0,51</w:t>
            </w:r>
          </w:p>
        </w:tc>
        <w:tc>
          <w:tcPr>
            <w:tcW w:w="986" w:type="dxa"/>
            <w:tcBorders/>
            <w:vAlign w:val="bottom"/>
          </w:tcPr>
          <w:p>
            <w:pPr>
              <w:pStyle w:val="SectionBody"/>
              <w:ind w:firstLine="284"/>
              <w:rPr/>
            </w:pPr>
            <w:r>
              <w:rPr/>
              <w:t>0,05</w:t>
            </w:r>
          </w:p>
        </w:tc>
      </w:tr>
      <w:tr>
        <w:trPr>
          <w:trHeight w:val="270" w:hRule="atLeast"/>
        </w:trPr>
        <w:tc>
          <w:tcPr>
            <w:tcW w:w="1568" w:type="dxa"/>
            <w:tcBorders/>
            <w:vAlign w:val="bottom"/>
          </w:tcPr>
          <w:p>
            <w:pPr>
              <w:pStyle w:val="SectionBody"/>
              <w:ind w:firstLine="284"/>
              <w:rPr/>
            </w:pPr>
            <w:r>
              <w:rPr/>
              <w:t>O</w:t>
            </w:r>
          </w:p>
        </w:tc>
        <w:tc>
          <w:tcPr>
            <w:tcW w:w="1558" w:type="dxa"/>
            <w:tcBorders/>
            <w:vAlign w:val="bottom"/>
          </w:tcPr>
          <w:p>
            <w:pPr>
              <w:pStyle w:val="SectionBody"/>
              <w:ind w:firstLine="284"/>
              <w:rPr/>
            </w:pPr>
            <w:r>
              <w:rPr/>
              <w:t>37,40</w:t>
            </w:r>
          </w:p>
        </w:tc>
        <w:tc>
          <w:tcPr>
            <w:tcW w:w="1418" w:type="dxa"/>
            <w:tcBorders/>
            <w:vAlign w:val="bottom"/>
          </w:tcPr>
          <w:p>
            <w:pPr>
              <w:pStyle w:val="SectionBody"/>
              <w:ind w:firstLine="284"/>
              <w:rPr/>
            </w:pPr>
            <w:r>
              <w:rPr/>
              <w:t>36,72</w:t>
            </w:r>
          </w:p>
        </w:tc>
        <w:tc>
          <w:tcPr>
            <w:tcW w:w="1417" w:type="dxa"/>
            <w:tcBorders/>
            <w:vAlign w:val="bottom"/>
          </w:tcPr>
          <w:p>
            <w:pPr>
              <w:pStyle w:val="SectionBody"/>
              <w:ind w:firstLine="284"/>
              <w:rPr/>
            </w:pPr>
            <w:r>
              <w:rPr/>
              <w:t>28,13</w:t>
            </w:r>
          </w:p>
        </w:tc>
        <w:tc>
          <w:tcPr>
            <w:tcW w:w="1134" w:type="dxa"/>
            <w:tcBorders/>
            <w:vAlign w:val="bottom"/>
          </w:tcPr>
          <w:p>
            <w:pPr>
              <w:pStyle w:val="SectionBody"/>
              <w:ind w:firstLine="284"/>
              <w:rPr/>
            </w:pPr>
            <w:r>
              <w:rPr/>
              <w:t>47,07</w:t>
            </w:r>
          </w:p>
        </w:tc>
        <w:tc>
          <w:tcPr>
            <w:tcW w:w="890" w:type="dxa"/>
            <w:tcBorders/>
            <w:vAlign w:val="bottom"/>
          </w:tcPr>
          <w:p>
            <w:pPr>
              <w:pStyle w:val="SectionBody"/>
              <w:ind w:firstLine="284"/>
              <w:rPr/>
            </w:pPr>
            <w:r>
              <w:rPr/>
              <w:t>37,3</w:t>
            </w:r>
          </w:p>
        </w:tc>
        <w:tc>
          <w:tcPr>
            <w:tcW w:w="986" w:type="dxa"/>
            <w:tcBorders/>
            <w:vAlign w:val="bottom"/>
          </w:tcPr>
          <w:p>
            <w:pPr>
              <w:pStyle w:val="SectionBody"/>
              <w:ind w:firstLine="284"/>
              <w:rPr/>
            </w:pPr>
            <w:r>
              <w:rPr/>
              <w:t>3,9</w:t>
            </w:r>
          </w:p>
        </w:tc>
      </w:tr>
      <w:tr>
        <w:trPr>
          <w:trHeight w:val="270" w:hRule="atLeast"/>
        </w:trPr>
        <w:tc>
          <w:tcPr>
            <w:tcW w:w="1568" w:type="dxa"/>
            <w:tcBorders/>
            <w:vAlign w:val="bottom"/>
          </w:tcPr>
          <w:p>
            <w:pPr>
              <w:pStyle w:val="SectionBody"/>
              <w:ind w:firstLine="284"/>
              <w:rPr/>
            </w:pPr>
            <w:r>
              <w:rPr/>
              <w:t>H2O</w:t>
            </w:r>
          </w:p>
        </w:tc>
        <w:tc>
          <w:tcPr>
            <w:tcW w:w="1558" w:type="dxa"/>
            <w:tcBorders/>
            <w:vAlign w:val="bottom"/>
          </w:tcPr>
          <w:p>
            <w:pPr>
              <w:pStyle w:val="SectionBody"/>
              <w:ind w:firstLine="284"/>
              <w:rPr/>
            </w:pPr>
            <w:r>
              <w:rPr/>
              <w:t>18,33</w:t>
            </w:r>
          </w:p>
        </w:tc>
        <w:tc>
          <w:tcPr>
            <w:tcW w:w="1418" w:type="dxa"/>
            <w:tcBorders/>
            <w:vAlign w:val="bottom"/>
          </w:tcPr>
          <w:p>
            <w:pPr>
              <w:pStyle w:val="SectionBody"/>
              <w:ind w:firstLine="284"/>
              <w:rPr/>
            </w:pPr>
            <w:r>
              <w:rPr/>
              <w:t>24,10</w:t>
            </w:r>
          </w:p>
        </w:tc>
        <w:tc>
          <w:tcPr>
            <w:tcW w:w="1417" w:type="dxa"/>
            <w:tcBorders/>
            <w:vAlign w:val="bottom"/>
          </w:tcPr>
          <w:p>
            <w:pPr>
              <w:pStyle w:val="SectionBody"/>
              <w:ind w:firstLine="284"/>
              <w:rPr/>
            </w:pPr>
            <w:r>
              <w:rPr/>
              <w:t>28,60</w:t>
            </w:r>
          </w:p>
        </w:tc>
        <w:tc>
          <w:tcPr>
            <w:tcW w:w="1134" w:type="dxa"/>
            <w:tcBorders/>
            <w:vAlign w:val="bottom"/>
          </w:tcPr>
          <w:p>
            <w:pPr>
              <w:pStyle w:val="SectionBody"/>
              <w:ind w:firstLine="284"/>
              <w:rPr/>
            </w:pPr>
            <w:r>
              <w:rPr/>
              <w:t>12,20</w:t>
            </w:r>
          </w:p>
        </w:tc>
        <w:tc>
          <w:tcPr>
            <w:tcW w:w="890" w:type="dxa"/>
            <w:tcBorders/>
            <w:vAlign w:val="bottom"/>
          </w:tcPr>
          <w:p>
            <w:pPr>
              <w:pStyle w:val="SectionBody"/>
              <w:ind w:firstLine="284"/>
              <w:rPr/>
            </w:pPr>
            <w:r>
              <w:rPr/>
              <w:t>20,8</w:t>
            </w:r>
          </w:p>
        </w:tc>
        <w:tc>
          <w:tcPr>
            <w:tcW w:w="986" w:type="dxa"/>
            <w:tcBorders/>
            <w:vAlign w:val="bottom"/>
          </w:tcPr>
          <w:p>
            <w:pPr>
              <w:pStyle w:val="SectionBody"/>
              <w:ind w:firstLine="284"/>
              <w:rPr/>
            </w:pPr>
            <w:r>
              <w:rPr/>
              <w:t>3,6</w:t>
            </w:r>
          </w:p>
        </w:tc>
      </w:tr>
      <w:tr>
        <w:trPr>
          <w:trHeight w:val="270" w:hRule="atLeast"/>
        </w:trPr>
        <w:tc>
          <w:tcPr>
            <w:tcW w:w="1568" w:type="dxa"/>
            <w:tcBorders>
              <w:bottom w:val="single" w:sz="12" w:space="0" w:color="000000"/>
            </w:tcBorders>
            <w:vAlign w:val="bottom"/>
          </w:tcPr>
          <w:p>
            <w:pPr>
              <w:pStyle w:val="SectionBody"/>
              <w:ind w:firstLine="284"/>
              <w:rPr/>
            </w:pPr>
            <w:r>
              <w:rPr/>
              <w:t>Cinzas</w:t>
            </w:r>
          </w:p>
        </w:tc>
        <w:tc>
          <w:tcPr>
            <w:tcW w:w="1558" w:type="dxa"/>
            <w:tcBorders>
              <w:bottom w:val="single" w:sz="12" w:space="0" w:color="000000"/>
            </w:tcBorders>
            <w:vAlign w:val="bottom"/>
          </w:tcPr>
          <w:p>
            <w:pPr>
              <w:pStyle w:val="SectionBody"/>
              <w:ind w:firstLine="284"/>
              <w:rPr/>
            </w:pPr>
            <w:r>
              <w:rPr/>
              <w:t>9,03</w:t>
            </w:r>
          </w:p>
        </w:tc>
        <w:tc>
          <w:tcPr>
            <w:tcW w:w="1418" w:type="dxa"/>
            <w:tcBorders>
              <w:bottom w:val="single" w:sz="12" w:space="0" w:color="000000"/>
            </w:tcBorders>
            <w:vAlign w:val="bottom"/>
          </w:tcPr>
          <w:p>
            <w:pPr>
              <w:pStyle w:val="SectionBody"/>
              <w:ind w:firstLine="284"/>
              <w:rPr/>
            </w:pPr>
            <w:r>
              <w:rPr/>
              <w:t>4,20</w:t>
            </w:r>
          </w:p>
        </w:tc>
        <w:tc>
          <w:tcPr>
            <w:tcW w:w="1417" w:type="dxa"/>
            <w:tcBorders>
              <w:bottom w:val="single" w:sz="12" w:space="0" w:color="000000"/>
            </w:tcBorders>
            <w:vAlign w:val="bottom"/>
          </w:tcPr>
          <w:p>
            <w:pPr>
              <w:pStyle w:val="SectionBody"/>
              <w:ind w:firstLine="284"/>
              <w:rPr/>
            </w:pPr>
            <w:r>
              <w:rPr/>
              <w:t>10,50</w:t>
            </w:r>
          </w:p>
        </w:tc>
        <w:tc>
          <w:tcPr>
            <w:tcW w:w="1134" w:type="dxa"/>
            <w:tcBorders>
              <w:bottom w:val="single" w:sz="12" w:space="0" w:color="000000"/>
            </w:tcBorders>
            <w:vAlign w:val="bottom"/>
          </w:tcPr>
          <w:p>
            <w:pPr>
              <w:pStyle w:val="SectionBody"/>
              <w:ind w:firstLine="284"/>
              <w:rPr/>
            </w:pPr>
            <w:r>
              <w:rPr/>
              <w:t>4,10</w:t>
            </w:r>
          </w:p>
        </w:tc>
        <w:tc>
          <w:tcPr>
            <w:tcW w:w="890" w:type="dxa"/>
            <w:tcBorders>
              <w:bottom w:val="single" w:sz="12" w:space="0" w:color="000000"/>
            </w:tcBorders>
            <w:vAlign w:val="bottom"/>
          </w:tcPr>
          <w:p>
            <w:pPr>
              <w:pStyle w:val="SectionBody"/>
              <w:ind w:firstLine="284"/>
              <w:rPr/>
            </w:pPr>
            <w:r>
              <w:rPr/>
              <w:t>7,0</w:t>
            </w:r>
          </w:p>
        </w:tc>
        <w:tc>
          <w:tcPr>
            <w:tcW w:w="986" w:type="dxa"/>
            <w:tcBorders>
              <w:bottom w:val="single" w:sz="12" w:space="0" w:color="000000"/>
            </w:tcBorders>
            <w:vAlign w:val="bottom"/>
          </w:tcPr>
          <w:p>
            <w:pPr>
              <w:pStyle w:val="SectionBody"/>
              <w:ind w:firstLine="284"/>
              <w:rPr/>
            </w:pPr>
            <w:r>
              <w:rPr/>
              <w:t>1,7</w:t>
            </w:r>
          </w:p>
        </w:tc>
      </w:tr>
    </w:tbl>
    <w:p>
      <w:pPr>
        <w:pStyle w:val="SectionHeader"/>
        <w:numPr>
          <w:ilvl w:val="0"/>
          <w:numId w:val="0"/>
        </w:numPr>
        <w:rPr/>
      </w:pPr>
      <w:r>
        <w:rPr/>
      </w:r>
    </w:p>
    <w:p>
      <w:pPr>
        <w:pStyle w:val="SectionBody"/>
        <w:numPr>
          <w:ilvl w:val="0"/>
          <w:numId w:val="0"/>
        </w:numPr>
        <w:ind w:hanging="0"/>
        <w:rPr/>
      </w:pPr>
      <w:r>
        <w:rPr/>
      </w:r>
    </w:p>
    <w:p>
      <w:pPr>
        <w:pStyle w:val="SectionBody"/>
        <w:numPr>
          <w:ilvl w:val="0"/>
          <w:numId w:val="0"/>
        </w:numPr>
        <w:ind w:hanging="0"/>
        <w:rPr/>
      </w:pPr>
      <w:r>
        <w:rPr/>
      </w:r>
    </w:p>
    <w:p>
      <w:pPr>
        <w:pStyle w:val="SectionHeader"/>
        <w:numPr>
          <w:ilvl w:val="0"/>
          <w:numId w:val="2"/>
        </w:numPr>
        <w:rPr/>
      </w:pPr>
      <w:r>
        <w:rPr/>
        <w:t>METHODOLOGY</w:t>
      </w:r>
    </w:p>
    <w:p>
      <w:pPr>
        <w:pStyle w:val="SectionBody"/>
        <w:ind w:firstLine="284"/>
        <w:rPr/>
      </w:pPr>
      <w:r>
        <w:rPr/>
      </w:r>
    </w:p>
    <w:p>
      <w:pPr>
        <w:pStyle w:val="Normal"/>
        <w:spacing w:lineRule="auto" w:line="360"/>
        <w:ind w:firstLine="360"/>
        <w:jc w:val="both"/>
        <w:rPr/>
      </w:pPr>
      <w:r>
        <w:rPr/>
        <w:t>There are two commonly used methods for calculating the composition of a thermodynamic equilibrium system. The first method is based on the law of conservation of mass and uses equilibrium constants. In this case, the path followed by the process is irrelevant; only the initial and final states of the system matter. Chemical transformations are represented as reversible reactions of dissociation of substances into elements. The second method for calculating equilibrium composition is based on the search for maximum entropy or minimum Gibbs energy. In this case, a thermodynamic system is considered as a set of individual substances without considering chemical reactions. The extreme values of the characteristic functions (entropy or Gibbs energy) are determined for all phases. In this case, the laws of mass conservation, charge conservation (for plasma), and the equation of state must be considered. Thus, the extreme of the characteristic functions is found and the composition of the system is obtained by applying the method of undetermined Lagrange multipliers. After building the Lagrange function and taking the partial derivatives with respect to all variables, a system of equations is obtained that can be solved by the method of successive approximations. This method was applied in this study using simulation in the TERRA software.</w:t>
      </w:r>
    </w:p>
    <w:p>
      <w:pPr>
        <w:pStyle w:val="Normal"/>
        <w:spacing w:lineRule="auto" w:line="360"/>
        <w:ind w:firstLine="360"/>
        <w:jc w:val="both"/>
        <w:rPr/>
      </w:pPr>
      <w:r>
        <w:rPr/>
        <w:t>To simulate the gasification process under thermodynamic equilibrium, the average values of the feedstock (HSW) elements were used, with temperature varied from 300 to 1400 K at atmospheric pressure. This temperature range was selected because at higher temperatures the syngas energy yield decreases.</w:t>
      </w:r>
    </w:p>
    <w:p>
      <w:pPr>
        <w:pStyle w:val="Normal"/>
        <w:spacing w:lineRule="auto" w:line="360"/>
        <w:ind w:firstLine="360"/>
        <w:jc w:val="both"/>
        <w:rPr/>
      </w:pPr>
      <w:r>
        <w:rPr/>
        <w:t>To determine the energy required in the torch using the different gasifying agents (water vapor and oxygen) to process 1 kg/s of healthcare service waste, Equation (1) was used (PAULINO et al., 2024).</w:t>
      </w:r>
    </w:p>
    <w:p>
      <w:pPr>
        <w:pStyle w:val="Normal"/>
        <w:spacing w:lineRule="auto" w:line="360"/>
        <w:ind w:firstLine="360"/>
        <w:jc w:val="both"/>
        <w:rPr/>
      </w:pPr>
      <w:r>
        <w:rPr/>
      </w:r>
    </w:p>
    <w:p>
      <w:pPr>
        <w:pStyle w:val="Normal"/>
        <w:spacing w:lineRule="auto" w:line="360"/>
        <w:jc w:val="both"/>
        <w:rPr/>
      </w:pPr>
      <w:r>
        <w:rPr/>
      </w:r>
      <m:oMath xmlns:m="http://schemas.openxmlformats.org/officeDocument/2006/math">
        <m:sSub>
          <m:e>
            <m:r>
              <w:rPr>
                <w:rFonts w:ascii="Cambria Math" w:hAnsi="Cambria Math"/>
              </w:rPr>
              <m:t xml:space="preserve">E</m:t>
            </m:r>
          </m:e>
          <m:sub>
            <m:r>
              <w:rPr>
                <w:rFonts w:ascii="Cambria Math" w:hAnsi="Cambria Math"/>
              </w:rPr>
              <m:t xml:space="preserve">tocha</m:t>
            </m:r>
          </m:sub>
        </m:sSub>
        <m:r>
          <w:rPr>
            <w:rFonts w:ascii="Cambria Math" w:hAnsi="Cambria Math"/>
          </w:rPr>
          <m:t xml:space="preserve">=</m:t>
        </m:r>
        <m:f>
          <m:num>
            <m:sSub>
              <m:e>
                <m:acc>
                  <m:accPr>
                    <m:chr m:val="˙"/>
                  </m:accPr>
                  <m:e>
                    <m:r>
                      <w:rPr>
                        <w:rFonts w:ascii="Cambria Math" w:hAnsi="Cambria Math"/>
                      </w:rPr>
                      <m:t xml:space="preserve">m</m:t>
                    </m:r>
                  </m:e>
                </m:acc>
              </m:e>
              <m:sub>
                <m:r>
                  <w:rPr>
                    <w:rFonts w:ascii="Cambria Math" w:hAnsi="Cambria Math"/>
                  </w:rPr>
                  <m:t xml:space="preserve">RSS</m:t>
                </m:r>
              </m:sub>
            </m:sSub>
            <m:r>
              <w:rPr>
                <w:rFonts w:ascii="Cambria Math" w:hAnsi="Cambria Math"/>
              </w:rPr>
              <m:t xml:space="preserve">.</m:t>
            </m:r>
            <m:r>
              <w:rPr>
                <w:rFonts w:ascii="Cambria Math" w:hAnsi="Cambria Math"/>
              </w:rPr>
              <m:t xml:space="preserve">∆</m:t>
            </m:r>
            <m:r>
              <w:rPr>
                <w:rFonts w:ascii="Cambria Math" w:hAnsi="Cambria Math"/>
              </w:rPr>
              <m:t xml:space="preserve">H</m:t>
            </m:r>
          </m:num>
          <m:den>
            <m:sSub>
              <m:e>
                <m:r>
                  <w:rPr>
                    <w:rFonts w:ascii="Cambria Math" w:hAnsi="Cambria Math"/>
                  </w:rPr>
                  <m:t xml:space="preserve">η</m:t>
                </m:r>
              </m:e>
              <m:sub>
                <m:r>
                  <w:rPr>
                    <w:rFonts w:ascii="Cambria Math" w:hAnsi="Cambria Math"/>
                  </w:rPr>
                  <m:t xml:space="preserve">tocha</m:t>
                </m:r>
              </m:sub>
            </m:sSub>
          </m:den>
        </m:f>
      </m:oMath>
      <w:r>
        <w:rPr/>
        <w:t xml:space="preserve">  </w:t>
      </w:r>
      <w:r>
        <w:rPr/>
        <w:tab/>
        <w:tab/>
        <w:tab/>
        <w:tab/>
        <w:tab/>
        <w:tab/>
        <w:tab/>
        <w:tab/>
        <w:t xml:space="preserve">         </w:t>
        <w:tab/>
        <w:tab/>
        <w:t xml:space="preserve">  </w:t>
        <w:tab/>
        <w:t>(1)</w:t>
      </w:r>
    </w:p>
    <w:p>
      <w:pPr>
        <w:pStyle w:val="Normal"/>
        <w:spacing w:lineRule="auto" w:line="360"/>
        <w:jc w:val="both"/>
        <w:rPr/>
      </w:pPr>
      <w:r>
        <w:rPr/>
        <w:t xml:space="preserve"> </w:t>
      </w:r>
      <w:r>
        <w:rPr/>
        <w:tab/>
        <w:tab/>
        <w:tab/>
        <w:tab/>
        <w:tab/>
        <w:tab/>
        <w:tab/>
        <w:tab/>
      </w:r>
    </w:p>
    <w:p>
      <w:pPr>
        <w:pStyle w:val="Normal"/>
        <w:spacing w:lineRule="auto" w:line="360"/>
        <w:jc w:val="both"/>
        <w:rPr/>
      </w:pPr>
      <w:r>
        <w:rPr/>
        <w:t>Onde:</w:t>
      </w:r>
    </w:p>
    <w:p>
      <w:pPr>
        <w:pStyle w:val="Normal"/>
        <w:spacing w:lineRule="auto" w:line="360"/>
        <w:jc w:val="both"/>
        <w:rPr/>
      </w:pPr>
      <w:r>
        <w:rPr/>
      </w:r>
      <m:oMath xmlns:m="http://schemas.openxmlformats.org/officeDocument/2006/math">
        <m:sSub>
          <m:e>
            <m:r>
              <w:rPr>
                <w:rFonts w:ascii="Cambria Math" w:hAnsi="Cambria Math"/>
              </w:rPr>
              <m:t xml:space="preserve">E</m:t>
            </m:r>
          </m:e>
          <m:sub>
            <m:r>
              <w:rPr>
                <w:rFonts w:ascii="Cambria Math" w:hAnsi="Cambria Math"/>
              </w:rPr>
              <m:t xml:space="preserve">tocha</m:t>
            </m:r>
          </m:sub>
        </m:sSub>
        <m:r>
          <w:rPr>
            <w:rFonts w:ascii="Cambria Math" w:hAnsi="Cambria Math"/>
          </w:rPr>
          <m:t xml:space="preserve">:</m:t>
        </m:r>
      </m:oMath>
      <w:r>
        <w:rPr/>
        <w:t xml:space="preserve"> </w:t>
      </w:r>
      <w:r>
        <w:rPr>
          <w:rFonts w:eastAsia="Times New Roman"/>
          <w:b w:val="false"/>
          <w:i w:val="false"/>
          <w:sz w:val="24"/>
        </w:rPr>
        <w:t>electrical power of the torch [kW];</w:t>
      </w:r>
    </w:p>
    <w:p>
      <w:pPr>
        <w:pStyle w:val="Normal"/>
        <w:spacing w:lineRule="auto" w:line="360"/>
        <w:jc w:val="both"/>
        <w:rPr/>
      </w:pPr>
      <w:r>
        <w:rPr/>
      </w:r>
      <m:oMath xmlns:m="http://schemas.openxmlformats.org/officeDocument/2006/math">
        <m:sSub>
          <m:e>
            <m:acc>
              <m:accPr>
                <m:chr m:val="˙"/>
              </m:accPr>
              <m:e>
                <m:r>
                  <w:rPr>
                    <w:rFonts w:ascii="Cambria Math" w:hAnsi="Cambria Math"/>
                  </w:rPr>
                  <m:t xml:space="preserve">m</m:t>
                </m:r>
              </m:e>
            </m:acc>
          </m:e>
          <m:sub>
            <m:r>
              <w:rPr>
                <w:rFonts w:ascii="Cambria Math" w:hAnsi="Cambria Math"/>
              </w:rPr>
              <m:t xml:space="preserve">RSS</m:t>
            </m:r>
          </m:sub>
        </m:sSub>
        <m:r>
          <w:rPr>
            <w:rFonts w:ascii="Cambria Math" w:hAnsi="Cambria Math"/>
          </w:rPr>
          <m:t xml:space="preserve">:</m:t>
        </m:r>
      </m:oMath>
      <w:r>
        <w:rPr/>
        <w:t xml:space="preserve"> </w:t>
      </w:r>
      <w:r>
        <w:rPr>
          <w:rFonts w:eastAsia="Times New Roman"/>
          <w:b w:val="false"/>
          <w:i w:val="false"/>
          <w:sz w:val="24"/>
        </w:rPr>
        <w:t>mass flow rate of HSW [kg/s];</w:t>
      </w:r>
    </w:p>
    <w:p>
      <w:pPr>
        <w:pStyle w:val="Normal"/>
        <w:spacing w:lineRule="auto" w:line="360"/>
        <w:jc w:val="both"/>
        <w:rPr>
          <w:color w:val="000000"/>
        </w:rPr>
      </w:pPr>
      <w:r>
        <w:rPr/>
      </w:r>
      <m:oMath xmlns:m="http://schemas.openxmlformats.org/officeDocument/2006/math">
        <m:r>
          <w:rPr>
            <w:rFonts w:ascii="Cambria Math" w:hAnsi="Cambria Math"/>
          </w:rPr>
          <m:t xml:space="preserve">∆</m:t>
        </m:r>
        <m:r>
          <w:rPr>
            <w:rFonts w:ascii="Cambria Math" w:hAnsi="Cambria Math"/>
          </w:rPr>
          <m:t xml:space="preserve">H</m:t>
        </m:r>
        <m:r>
          <w:rPr>
            <w:rFonts w:ascii="Cambria Math" w:hAnsi="Cambria Math"/>
          </w:rPr>
          <m:t xml:space="preserve">:</m:t>
        </m:r>
      </m:oMath>
      <w:r>
        <w:rPr/>
        <w:t xml:space="preserve"> </w:t>
      </w:r>
      <w:r>
        <w:rPr>
          <w:rFonts w:eastAsia="Times New Roman"/>
          <w:b w:val="false"/>
          <w:i w:val="false"/>
          <w:color w:val="000000"/>
          <w:sz w:val="24"/>
        </w:rPr>
        <w:t>enthalpy difference [kJ/kg], i.e., the energy required to heat 1 kg of HSW from the initial to the final state.</w:t>
      </w:r>
    </w:p>
    <w:p>
      <w:pPr>
        <w:pStyle w:val="Normal"/>
        <w:spacing w:lineRule="auto" w:line="360"/>
        <w:ind w:firstLine="567"/>
        <w:jc w:val="both"/>
        <w:rPr/>
      </w:pPr>
      <w:r>
        <w:rPr/>
        <w:t>The thermal efficiency of the plasma torch, η_plasma, for converting electrical energy into thermal energy depends on the design and type of plasma torch. The average thermal efficiency of a non-transferred arc plasma torch is 70%. Such a torch requires a relatively high plasma gas flow rate, which is also necessary to stabilize the electric arc and is suitable for supplying oxidant (or another reactive gas) to the gasifier. By contrast, the transferred arc plasma torch has a thermal efficiency of 95% and requires a very small gas flow. Such torches are more suitable for the plasma gasification process (TIWARI et al., 2019). In this study, a transferred arc torch was considered. The transferred arc torch requires a conductive medium or an external electrode to close the electrical circuit.</w:t>
      </w:r>
    </w:p>
    <w:p>
      <w:pPr>
        <w:pStyle w:val="Normal"/>
        <w:spacing w:lineRule="auto" w:line="360"/>
        <w:ind w:hanging="0"/>
        <w:jc w:val="both"/>
        <w:rPr/>
      </w:pPr>
      <w:r>
        <w:rPr/>
      </w:r>
    </w:p>
    <w:p>
      <w:pPr>
        <w:pStyle w:val="Normal"/>
        <w:spacing w:lineRule="auto" w:line="360"/>
        <w:ind w:hanging="0"/>
        <w:jc w:val="both"/>
        <w:rPr/>
      </w:pPr>
      <w:r>
        <w:rPr/>
      </w:r>
    </w:p>
    <w:p>
      <w:pPr>
        <w:pStyle w:val="Normal"/>
        <w:spacing w:lineRule="auto" w:line="360"/>
        <w:ind w:hanging="0"/>
        <w:jc w:val="both"/>
        <w:rPr/>
      </w:pPr>
      <w:r>
        <w:rPr/>
      </w:r>
    </w:p>
    <w:p>
      <w:pPr>
        <w:pStyle w:val="Normal"/>
        <w:spacing w:lineRule="auto" w:line="360"/>
        <w:ind w:hanging="0"/>
        <w:jc w:val="both"/>
        <w:rPr/>
      </w:pPr>
      <w:r>
        <w:rPr/>
      </w:r>
    </w:p>
    <w:p>
      <w:pPr>
        <w:pStyle w:val="Normal"/>
        <w:spacing w:lineRule="auto" w:line="360"/>
        <w:ind w:hanging="0"/>
        <w:jc w:val="both"/>
        <w:rPr/>
      </w:pPr>
      <w:r>
        <w:rPr/>
      </w:r>
    </w:p>
    <w:p>
      <w:pPr>
        <w:pStyle w:val="SectionHeader"/>
        <w:numPr>
          <w:ilvl w:val="0"/>
          <w:numId w:val="2"/>
        </w:numPr>
        <w:rPr/>
      </w:pPr>
      <w:r>
        <w:rPr/>
        <w:t>RESULTS</w:t>
      </w:r>
    </w:p>
    <w:p>
      <w:pPr>
        <w:pStyle w:val="SectionBody"/>
        <w:rPr/>
      </w:pPr>
      <w:r>
        <w:rPr/>
      </w:r>
    </w:p>
    <w:p>
      <w:pPr>
        <w:pStyle w:val="SectionBody"/>
        <w:rPr/>
      </w:pPr>
      <w:r>
        <w:rPr/>
        <w:t>Figure 1 – Concentrations of CO, H2 and C(s) as a function of temperature</w:t>
      </w:r>
    </w:p>
    <w:p>
      <w:pPr>
        <w:pStyle w:val="SectionBody"/>
        <w:rPr>
          <w:highlight w:val="yellow"/>
        </w:rPr>
      </w:pPr>
      <w:r>
        <w:rPr/>
        <w:drawing>
          <wp:inline distT="0" distB="0" distL="0" distR="0">
            <wp:extent cx="4337050" cy="2543810"/>
            <wp:effectExtent l="0" t="0" r="0" b="0"/>
            <wp:docPr id="1" name="Gráfico 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pStyle w:val="SectionBody"/>
        <w:rPr>
          <w:highlight w:val="yellow"/>
        </w:rPr>
      </w:pPr>
      <w:r>
        <w:rPr>
          <w:rStyle w:val="Emphasis"/>
        </w:rPr>
        <w:t>Source: Prepared by the author (2026).</w:t>
      </w:r>
    </w:p>
    <w:p>
      <w:pPr>
        <w:pStyle w:val="SectionBody"/>
        <w:rPr>
          <w:highlight w:val="yellow"/>
        </w:rPr>
      </w:pPr>
      <w:r>
        <w:rPr>
          <w:highlight w:val="yellow"/>
        </w:rPr>
      </w:r>
    </w:p>
    <w:p>
      <w:pPr>
        <w:pStyle w:val="SectionBody"/>
        <w:rPr>
          <w:highlight w:val="yellow"/>
        </w:rPr>
      </w:pPr>
      <w:r>
        <w:rPr>
          <w:highlight w:val="yellow"/>
        </w:rPr>
      </w:r>
    </w:p>
    <w:p>
      <w:pPr>
        <w:pStyle w:val="SectionBody"/>
        <w:rPr>
          <w:highlight w:val="yellow"/>
        </w:rPr>
      </w:pPr>
      <w:r>
        <w:rPr>
          <w:rStyle w:val="Emphasis"/>
        </w:rPr>
        <w:t>Figure 2 – Variation of C(s) as a function of temperature with water vapor and oxygen</w:t>
      </w:r>
    </w:p>
    <w:p>
      <w:pPr>
        <w:pStyle w:val="SectionBody"/>
        <w:rPr>
          <w:highlight w:val="yellow"/>
        </w:rPr>
      </w:pPr>
      <w:r>
        <w:rPr>
          <w:highlight w:val="yellow"/>
        </w:rPr>
        <w:drawing>
          <wp:anchor behindDoc="0" distT="0" distB="0" distL="0" distR="0" simplePos="0" locked="0" layoutInCell="0" allowOverlap="1" relativeHeight="3">
            <wp:simplePos x="0" y="0"/>
            <wp:positionH relativeFrom="column">
              <wp:posOffset>217170</wp:posOffset>
            </wp:positionH>
            <wp:positionV relativeFrom="paragraph">
              <wp:posOffset>36830</wp:posOffset>
            </wp:positionV>
            <wp:extent cx="4330700" cy="2675890"/>
            <wp:effectExtent l="0" t="0" r="0" b="0"/>
            <wp:wrapSquare wrapText="righ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5"/>
                    <a:srcRect l="-105" t="-170" r="-105" b="-170"/>
                    <a:stretch>
                      <a:fillRect/>
                    </a:stretch>
                  </pic:blipFill>
                  <pic:spPr bwMode="auto">
                    <a:xfrm>
                      <a:off x="0" y="0"/>
                      <a:ext cx="4330700" cy="2675890"/>
                    </a:xfrm>
                    <a:prstGeom prst="rect">
                      <a:avLst/>
                    </a:prstGeom>
                    <a:ln w="9525">
                      <a:solidFill>
                        <a:srgbClr val="000000"/>
                      </a:solidFill>
                    </a:ln>
                  </pic:spPr>
                </pic:pic>
              </a:graphicData>
            </a:graphic>
          </wp:anchor>
        </w:drawing>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t>Source: Prepared by the author (2026).</w:t>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
    </w:p>
    <w:p>
      <w:pPr>
        <w:pStyle w:val="SectionBody"/>
        <w:rPr/>
      </w:pPr>
      <w:r>
        <w:rPr>
          <w:rStyle w:val="Emphasis"/>
        </w:rPr>
        <w:t>Figure 3 – Variation of H2 as a function of temperature with water vapor and oxygen</w:t>
      </w:r>
    </w:p>
    <w:p>
      <w:pPr>
        <w:pStyle w:val="SectionBody"/>
        <w:ind w:hanging="0"/>
        <w:rPr/>
      </w:pPr>
      <w:r>
        <w:rPr/>
        <w:drawing>
          <wp:anchor behindDoc="0" distT="0" distB="0" distL="0" distR="0" simplePos="0" locked="0" layoutInCell="0" allowOverlap="1" relativeHeight="6">
            <wp:simplePos x="0" y="0"/>
            <wp:positionH relativeFrom="column">
              <wp:posOffset>219710</wp:posOffset>
            </wp:positionH>
            <wp:positionV relativeFrom="paragraph">
              <wp:posOffset>5080</wp:posOffset>
            </wp:positionV>
            <wp:extent cx="4322445" cy="26765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rcRect l="-106" t="-170" r="-106" b="-170"/>
                    <a:stretch>
                      <a:fillRect/>
                    </a:stretch>
                  </pic:blipFill>
                  <pic:spPr bwMode="auto">
                    <a:xfrm>
                      <a:off x="0" y="0"/>
                      <a:ext cx="4322445" cy="2676525"/>
                    </a:xfrm>
                    <a:prstGeom prst="rect">
                      <a:avLst/>
                    </a:prstGeom>
                    <a:ln w="9525">
                      <a:solidFill>
                        <a:srgbClr val="000000"/>
                      </a:solidFill>
                    </a:ln>
                  </pic:spPr>
                </pic:pic>
              </a:graphicData>
            </a:graphic>
          </wp:anchor>
        </w:drawing>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t xml:space="preserve">       </w:t>
      </w:r>
      <w:r>
        <w:rPr/>
        <w:t>Source: Prepared by the author (2026).</w:t>
      </w:r>
    </w:p>
    <w:p>
      <w:pPr>
        <w:pStyle w:val="SectionBody"/>
        <w:ind w:hanging="0"/>
        <w:rPr/>
      </w:pPr>
      <w:r>
        <w:rPr/>
      </w:r>
    </w:p>
    <w:p>
      <w:pPr>
        <w:pStyle w:val="SectionBody"/>
        <w:ind w:hanging="0"/>
        <w:rPr/>
      </w:pPr>
      <w:r>
        <w:rPr/>
      </w:r>
    </w:p>
    <w:p>
      <w:pPr>
        <w:pStyle w:val="SectionBody"/>
        <w:ind w:hanging="0"/>
        <w:rPr/>
      </w:pPr>
      <w:r>
        <w:rPr/>
        <w:t xml:space="preserve">       </w:t>
      </w:r>
      <w:r>
        <w:rPr>
          <w:rStyle w:val="Emphasis"/>
        </w:rPr>
        <w:t>Figure 4 – Simultaneous variation of C(s), H2 and CO as a function of temperature with water vapor and oxygen</w:t>
      </w:r>
    </w:p>
    <w:p>
      <w:pPr>
        <w:pStyle w:val="SectionBody"/>
        <w:ind w:hanging="0"/>
        <w:rPr/>
      </w:pPr>
      <w:r>
        <w:rPr/>
        <w:drawing>
          <wp:anchor behindDoc="0" distT="0" distB="0" distL="0" distR="0" simplePos="0" locked="0" layoutInCell="0" allowOverlap="1" relativeHeight="7">
            <wp:simplePos x="0" y="0"/>
            <wp:positionH relativeFrom="column">
              <wp:posOffset>254000</wp:posOffset>
            </wp:positionH>
            <wp:positionV relativeFrom="paragraph">
              <wp:posOffset>69850</wp:posOffset>
            </wp:positionV>
            <wp:extent cx="4322445" cy="26708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rcRect l="-105" t="-170" r="-105" b="-170"/>
                    <a:stretch>
                      <a:fillRect/>
                    </a:stretch>
                  </pic:blipFill>
                  <pic:spPr bwMode="auto">
                    <a:xfrm>
                      <a:off x="0" y="0"/>
                      <a:ext cx="4322445" cy="2670810"/>
                    </a:xfrm>
                    <a:prstGeom prst="rect">
                      <a:avLst/>
                    </a:prstGeom>
                    <a:ln w="9525">
                      <a:solidFill>
                        <a:srgbClr val="000000"/>
                      </a:solidFill>
                    </a:ln>
                  </pic:spPr>
                </pic:pic>
              </a:graphicData>
            </a:graphic>
          </wp:anchor>
        </w:drawing>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t xml:space="preserve">       </w:t>
      </w:r>
      <w:r>
        <w:rPr/>
        <w:t>Source: Prepared by the author (2026).</w:t>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drawing>
          <wp:anchor behindDoc="0" distT="0" distB="0" distL="0" distR="0" simplePos="0" locked="0" layoutInCell="0" allowOverlap="1" relativeHeight="8">
            <wp:simplePos x="0" y="0"/>
            <wp:positionH relativeFrom="column">
              <wp:posOffset>243840</wp:posOffset>
            </wp:positionH>
            <wp:positionV relativeFrom="paragraph">
              <wp:posOffset>40640</wp:posOffset>
            </wp:positionV>
            <wp:extent cx="4327525" cy="269811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rcRect l="-106" t="-170" r="-106" b="-170"/>
                    <a:stretch>
                      <a:fillRect/>
                    </a:stretch>
                  </pic:blipFill>
                  <pic:spPr bwMode="auto">
                    <a:xfrm>
                      <a:off x="0" y="0"/>
                      <a:ext cx="4327525" cy="2698115"/>
                    </a:xfrm>
                    <a:prstGeom prst="rect">
                      <a:avLst/>
                    </a:prstGeom>
                    <a:ln w="9525">
                      <a:solidFill>
                        <a:srgbClr val="000000"/>
                      </a:solidFill>
                    </a:ln>
                  </pic:spPr>
                </pic:pic>
              </a:graphicData>
            </a:graphic>
          </wp:anchor>
        </w:drawing>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t>Figure 5 – Energy required in the plasma torch as a function of temperature for water vapor and oxygen as gasifying agents</w:t>
      </w:r>
    </w:p>
    <w:p>
      <w:pPr>
        <w:pStyle w:val="SectionBody"/>
        <w:ind w:hanging="0"/>
        <w:rPr/>
      </w:pPr>
      <w:r>
        <w:rPr/>
        <w:drawing>
          <wp:anchor behindDoc="0" distT="0" distB="0" distL="0" distR="0" simplePos="0" locked="0" layoutInCell="0" allowOverlap="1" relativeHeight="9">
            <wp:simplePos x="0" y="0"/>
            <wp:positionH relativeFrom="column">
              <wp:posOffset>249555</wp:posOffset>
            </wp:positionH>
            <wp:positionV relativeFrom="paragraph">
              <wp:posOffset>132080</wp:posOffset>
            </wp:positionV>
            <wp:extent cx="4317365" cy="261175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rcRect l="-103" t="-170" r="-103" b="-170"/>
                    <a:stretch>
                      <a:fillRect/>
                    </a:stretch>
                  </pic:blipFill>
                  <pic:spPr bwMode="auto">
                    <a:xfrm>
                      <a:off x="0" y="0"/>
                      <a:ext cx="4317365" cy="2611755"/>
                    </a:xfrm>
                    <a:prstGeom prst="rect">
                      <a:avLst/>
                    </a:prstGeom>
                    <a:ln w="9525">
                      <a:solidFill>
                        <a:srgbClr val="000000"/>
                      </a:solidFill>
                    </a:ln>
                  </pic:spPr>
                </pic:pic>
              </a:graphicData>
            </a:graphic>
          </wp:anchor>
        </w:drawing>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r>
    </w:p>
    <w:p>
      <w:pPr>
        <w:pStyle w:val="SectionBody"/>
        <w:ind w:hanging="0"/>
        <w:rPr/>
      </w:pPr>
      <w:r>
        <w:rPr/>
        <w:t>Source: Prepared by the author (2026).</w:t>
      </w:r>
    </w:p>
    <w:p>
      <w:pPr>
        <w:pStyle w:val="SectionBody"/>
        <w:ind w:hanging="0"/>
        <w:rPr/>
      </w:pPr>
      <w:r>
        <w:rPr/>
      </w:r>
    </w:p>
    <w:p>
      <w:pPr>
        <w:pStyle w:val="Normal"/>
        <w:spacing w:lineRule="auto" w:line="360" w:before="0" w:after="0"/>
        <w:ind w:firstLine="709"/>
        <w:jc w:val="both"/>
        <w:rPr/>
      </w:pPr>
      <w:r>
        <w:rPr/>
        <w:t>The thermodynamic simulation of the plasma gasification process, performed in the TERRA software over the 300 to 1400 K range, showed behavior dependent on the gasifying agent. An increase in the hydrogen fraction was observed with rising temperature up to a maximum region, followed by a reduction at higher temperatures, whereas carbon monoxide exhibited the opposite trend and solid carbon C(s) was progressively consumed during heating.</w:t>
      </w:r>
    </w:p>
    <w:p>
      <w:pPr>
        <w:pStyle w:val="Normal"/>
        <w:spacing w:lineRule="auto" w:line="360" w:before="0" w:after="0"/>
        <w:ind w:firstLine="709"/>
        <w:jc w:val="both"/>
        <w:rPr/>
      </w:pPr>
      <w:r>
        <w:rPr/>
        <w:t>With water vapor as the gasifying agent, the temperature that produced the highest hydrogen fraction was 1020 K, with 5.35% H2. For oxygen, the highest value was obtained at 1070 K, with 4.57% H2. These results indicate superior performance of water vapor compared with oxygen in hydrogen generation under the evaluated conditions.</w:t>
      </w:r>
    </w:p>
    <w:p>
      <w:pPr>
        <w:pStyle w:val="Normal"/>
        <w:spacing w:lineRule="auto" w:line="360" w:before="0" w:after="0"/>
        <w:ind w:firstLine="709"/>
        <w:jc w:val="both"/>
        <w:rPr/>
      </w:pPr>
      <w:r>
        <w:rPr/>
        <w:t>The estimated electrical power required to process 1 kg/s of healthcare service waste was 3558.44 kW for the water vapor condition and 4296.07 kW for the oxygen condition. Therefore, the use of water vapor resulted in lower energy demand and a higher hydrogen fraction than oxygen.</w:t>
      </w:r>
    </w:p>
    <w:p>
      <w:pPr>
        <w:pStyle w:val="Normal"/>
        <w:spacing w:lineRule="auto" w:line="360" w:before="0" w:after="0"/>
        <w:ind w:firstLine="709"/>
        <w:jc w:val="both"/>
        <w:rPr/>
      </w:pPr>
      <w:r>
        <w:rPr/>
      </w:r>
    </w:p>
    <w:p>
      <w:pPr>
        <w:pStyle w:val="Normal"/>
        <w:spacing w:lineRule="auto" w:line="360" w:before="0" w:after="0"/>
        <w:ind w:firstLine="709"/>
        <w:jc w:val="both"/>
        <w:rPr/>
      </w:pPr>
      <w:r>
        <w:rPr/>
      </w:r>
    </w:p>
    <w:p>
      <w:pPr>
        <w:pStyle w:val="SectionHeader"/>
        <w:numPr>
          <w:ilvl w:val="0"/>
          <w:numId w:val="2"/>
        </w:numPr>
        <w:rPr/>
      </w:pPr>
      <w:r>
        <w:rPr/>
        <w:t>Conclusions</w:t>
      </w:r>
    </w:p>
    <w:p>
      <w:pPr>
        <w:pStyle w:val="Normal"/>
        <w:spacing w:lineRule="auto" w:line="360" w:before="0" w:after="0"/>
        <w:ind w:firstLine="709"/>
        <w:jc w:val="both"/>
        <w:rPr/>
      </w:pPr>
      <w:r>
        <w:rPr/>
        <w:t>It is concluded that, under the simulated conditions, water vapor presented better performance as a gasifying agent for hydrogen production in the plasma gasification process of healthcare service waste. The temperature of 1020 K provided the highest H2 fraction among the evaluated conditions, outperforming the result obtained with oxygen.</w:t>
      </w:r>
    </w:p>
    <w:p>
      <w:pPr>
        <w:pStyle w:val="Normal"/>
        <w:spacing w:lineRule="auto" w:line="360" w:before="0" w:after="0"/>
        <w:ind w:firstLine="709"/>
        <w:jc w:val="both"/>
        <w:rPr/>
      </w:pPr>
      <w:r>
        <w:rPr/>
        <w:t>It is also concluded that operation with water vapor required lower electrical power from the plasma torch than operation with oxygen, reinforcing its greater suitability for the analyzed scenario. Thus, based exclusively on the simulated data, water vapor proved to be the most favorable alternative for maximizing hydrogen production and reducing the energy required in the process.</w:t>
      </w:r>
    </w:p>
    <w:p>
      <w:pPr>
        <w:pStyle w:val="SectionBody"/>
        <w:ind w:firstLine="284"/>
        <w:rPr/>
      </w:pPr>
      <w:r>
        <w:rPr/>
      </w:r>
    </w:p>
    <w:p>
      <w:pPr>
        <w:pStyle w:val="SectionHeader"/>
        <w:numPr>
          <w:ilvl w:val="0"/>
          <w:numId w:val="2"/>
        </w:numPr>
        <w:rPr/>
      </w:pPr>
      <w:r>
        <w:rPr/>
        <w:t>Acknowledgements</w:t>
      </w:r>
    </w:p>
    <w:p>
      <w:pPr>
        <w:pStyle w:val="SectionBody"/>
        <w:ind w:hanging="0"/>
        <w:rPr>
          <w:iCs/>
        </w:rPr>
      </w:pPr>
      <w:r>
        <w:rPr>
          <w:iCs/>
        </w:rPr>
      </w:r>
    </w:p>
    <w:p>
      <w:pPr>
        <w:pStyle w:val="SectionBody"/>
        <w:ind w:hanging="0"/>
        <w:rPr/>
      </w:pPr>
      <w:r>
        <w:rPr/>
        <w:t>This publication was funded by IBMEC EDUCACIONAL LTDA and UNIMETROCAMP WYDEN.</w:t>
      </w:r>
    </w:p>
    <w:p>
      <w:pPr>
        <w:pStyle w:val="SectionBody"/>
        <w:ind w:hanging="0"/>
        <w:rPr>
          <w:iCs/>
          <w:color w:val="FF0000"/>
        </w:rPr>
      </w:pPr>
      <w:r>
        <w:rPr>
          <w:iCs/>
          <w:color w:val="FF0000"/>
        </w:rPr>
      </w:r>
    </w:p>
    <w:p>
      <w:pPr>
        <w:pStyle w:val="SectionHeader"/>
        <w:numPr>
          <w:ilvl w:val="0"/>
          <w:numId w:val="2"/>
        </w:numPr>
        <w:rPr/>
      </w:pPr>
      <w:r>
        <w:rPr/>
        <w:t xml:space="preserve"> </w:t>
      </w:r>
      <w:r>
        <w:rPr/>
        <w:t>References</w:t>
      </w:r>
    </w:p>
    <w:p>
      <w:pPr>
        <w:pStyle w:val="SectionBody"/>
        <w:tabs>
          <w:tab w:val="clear" w:pos="706"/>
          <w:tab w:val="left" w:pos="6076" w:leader="none"/>
        </w:tabs>
        <w:ind w:hanging="0"/>
        <w:rPr>
          <w:iCs/>
          <w:color w:val="FF0000"/>
        </w:rPr>
      </w:pPr>
      <w:r>
        <w:rPr>
          <w:iCs/>
          <w:color w:val="FF0000"/>
        </w:rPr>
      </w:r>
    </w:p>
    <w:p>
      <w:pPr>
        <w:pStyle w:val="References"/>
        <w:spacing w:lineRule="auto" w:line="240" w:before="0" w:after="0"/>
        <w:rPr/>
      </w:pPr>
      <w:r>
        <w:rPr/>
        <w:t>ABREMA (2026). Brazilian Association of Waste and Environment. Panorama of Solid Waste in Brazil 2023 (Internet). 2026. Available at: https://www.abrema.org.br/wp-content/uploads/dlm_uploads/2024/03/Panorama_2023_P1.pdf. Accessed on: 04/12/2024.</w:t>
      </w:r>
    </w:p>
    <w:p>
      <w:pPr>
        <w:pStyle w:val="References"/>
        <w:spacing w:lineRule="auto" w:line="240" w:before="0" w:after="0"/>
        <w:rPr/>
      </w:pPr>
      <w:r>
        <w:rPr/>
        <w:t>Cvetinović, D.; Aleksandar Erić; Slobodan Cvetković; Mirko Komatina; Nebojša Manić; Bojan Janković. Performance assessment and techno-economic analysis of the thermal plasma gasification of biomass using air and steam as gasification medium. Applied Thermal Engineering, v. 276, 2025, 126940. https://doi.org/10.1016/j.applthermaleng.2025.126940.</w:t>
      </w:r>
    </w:p>
    <w:p>
      <w:pPr>
        <w:pStyle w:val="References"/>
        <w:spacing w:lineRule="auto" w:line="240" w:before="0" w:after="0"/>
        <w:rPr/>
      </w:pPr>
      <w:r>
        <w:rPr/>
        <w:t>FAVAS, J. M. S.; TRINDADE, T.; FILLAT, M. Hydrogen production using plasma gasification with steam injection. International Journal of Hydrogen Energy, v. 42, n. 33, p. 21017–21031, 2017.</w:t>
      </w:r>
    </w:p>
    <w:p>
      <w:pPr>
        <w:pStyle w:val="References"/>
        <w:spacing w:lineRule="auto" w:line="240" w:before="0" w:after="0"/>
        <w:rPr/>
      </w:pPr>
      <w:r>
        <w:rPr/>
        <w:t>KUO, P.-C.; ILLATHUKANDY, B.; WU, W.; YANG, T.-S.; HSIEH, C.-C.; HWANG, W.-S.; CHEN, W.-H.; WU, J.-D.; CHEN, S.-L. Experimental evaluation and 3E analysis of hydrogen production via plasma gasification of microalgae. Energy, v. 223, p. 120025, 2021.</w:t>
      </w:r>
    </w:p>
    <w:p>
      <w:pPr>
        <w:pStyle w:val="References"/>
        <w:spacing w:lineRule="auto" w:line="240" w:before="0" w:after="0"/>
        <w:rPr/>
      </w:pPr>
      <w:r>
        <w:rPr/>
        <w:t>MADERS, G. R.; CUNHA, H. F. A. Analysis of the management and handling of healthcare service waste (HSW) from the Emergency Hospital of Macapá, Amapá, Brazil. Engenharia Sanitária e Ambiental, v. 20, n. 4, p. 601–610, 2015.</w:t>
      </w:r>
    </w:p>
    <w:p>
      <w:pPr>
        <w:pStyle w:val="References"/>
        <w:spacing w:lineRule="auto" w:line="240" w:before="0" w:after="0"/>
        <w:rPr/>
      </w:pPr>
      <w:r>
        <w:rPr/>
        <w:t>MESSERLE, V. E.; MOSSE, A. L.; USTIMENKO, A. B. Processing of biomedical waste in a plasma gasifier. Waste Management, v. 79, p. 791–799, 2018.</w:t>
      </w:r>
    </w:p>
    <w:p>
      <w:pPr>
        <w:pStyle w:val="References"/>
        <w:spacing w:lineRule="auto" w:line="240" w:before="0" w:after="0"/>
        <w:rPr/>
      </w:pPr>
      <w:r>
        <w:rPr/>
        <w:t>Oliveira, M.; Ramos, A.; Ismail, T. M.; Monteiro, E.; Rouboa, A. A review on plasma gasification of solid residues: recent advances and developments. Energies, 2022, 15, 1475. https://doi.org/10.3390/en15041475.</w:t>
      </w:r>
    </w:p>
    <w:p>
      <w:pPr>
        <w:pStyle w:val="References"/>
        <w:spacing w:lineRule="auto" w:line="240" w:before="0" w:after="0"/>
        <w:rPr/>
      </w:pPr>
      <w:r>
        <w:rPr/>
        <w:t>SIKARWAR, V. S. et al. Plasma gasification as a potential solution for waste-to-fuels applications. Journal of Cleaner Production, Elsevier, v. 277, p. 123985, 2020.</w:t>
      </w:r>
    </w:p>
    <w:p>
      <w:pPr>
        <w:pStyle w:val="References"/>
        <w:spacing w:lineRule="auto" w:line="240" w:before="0" w:after="0"/>
        <w:rPr/>
      </w:pPr>
      <w:r>
        <w:rPr/>
        <w:t>Paulino, R. F. S.; Essiptchouk, A. M.; Costa, L. P. C.; Silveira, J. L. Thermodynamic analysis of biomedical waste plasma gasification. Energy, v. 244, p. 122600, 2022.</w:t>
      </w:r>
    </w:p>
    <w:p>
      <w:pPr>
        <w:pStyle w:val="References"/>
        <w:spacing w:lineRule="auto" w:line="240" w:before="0" w:after="0"/>
        <w:rPr/>
      </w:pPr>
      <w:r>
        <w:rPr/>
        <w:t>Tamošiūnas, A.; Gimžauskaitė, D.; Aikas, M. et al. Biomass gasification to syngas in thermal water vapor arc discharge plasma. Biomass Conversion and Biorefinery, v. 13, p. 16373–16384, 2023. https://doi.org/10.1007/s13399-023-03828-3.</w:t>
      </w:r>
    </w:p>
    <w:p>
      <w:pPr>
        <w:pStyle w:val="References"/>
        <w:spacing w:lineRule="auto" w:line="240" w:before="0" w:after="0"/>
        <w:rPr/>
      </w:pPr>
      <w:r>
        <w:rPr/>
      </w:r>
    </w:p>
    <w:p>
      <w:pPr>
        <w:pStyle w:val="SectionHeader"/>
        <w:numPr>
          <w:ilvl w:val="0"/>
          <w:numId w:val="2"/>
        </w:numPr>
        <w:rPr/>
      </w:pPr>
      <w:r>
        <w:rPr/>
        <w:t>Responsibility notice</w:t>
      </w:r>
    </w:p>
    <w:p>
      <w:pPr>
        <w:pStyle w:val="SectionBody"/>
        <w:ind w:hanging="0"/>
        <w:rPr>
          <w:iCs/>
          <w:color w:val="FF0000"/>
        </w:rPr>
      </w:pPr>
      <w:r>
        <w:rPr>
          <w:iCs/>
          <w:color w:val="FF0000"/>
        </w:rPr>
      </w:r>
    </w:p>
    <w:p>
      <w:pPr>
        <w:pStyle w:val="SectionBody"/>
        <w:ind w:firstLine="284"/>
        <w:rPr/>
      </w:pPr>
      <w:r>
        <w:rPr/>
        <w:t>The authors are responsible for the printed material included in this paper.</w:t>
      </w:r>
    </w:p>
    <w:sectPr>
      <w:headerReference w:type="even" r:id="rId10"/>
      <w:headerReference w:type="default" r:id="rId11"/>
      <w:headerReference w:type="first" r:id="rId12"/>
      <w:type w:val="nextPage"/>
      <w:pgSz w:w="11906" w:h="16838"/>
      <w:pgMar w:left="1134" w:right="1134" w:gutter="0" w:header="851" w:top="1701" w:footer="0" w:bottom="1134"/>
      <w:pgNumType w:start="1" w:fmt="decimal"/>
      <w:formProt w:val="false"/>
      <w:titlePg/>
      <w:textDirection w:val="lrTb"/>
      <w:docGrid w:type="default" w:linePitch="272"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Symbol">
    <w:charset w:val="01"/>
    <w:family w:val="roman"/>
    <w:pitch w:val="variable"/>
  </w:font>
  <w:font w:name="Tahoma">
    <w:charset w:val="01"/>
    <w:family w:val="roman"/>
    <w:pitch w:val="variable"/>
  </w:font>
  <w:font w:name="NimbusRomNo9L-Regu">
    <w:charset w:val="01"/>
    <w:family w:val="roman"/>
    <w:pitch w:val="variable"/>
  </w:font>
  <w:font w:name="Courier New">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419"/>
        <w:tab w:val="clear" w:pos="8838"/>
        <w:tab w:val="left" w:pos="5706" w:leader="none"/>
      </w:tabs>
      <w:rPr>
        <w:rFonts w:ascii="Arial" w:hAnsi="Arial" w:cs="Arial"/>
        <w:sz w:val="16"/>
        <w:szCs w:val="16"/>
      </w:rPr>
    </w:pPr>
    <w:r>
      <w:rPr>
        <w:rFonts w:cs="Arial" w:ascii="Arial" w:hAnsi="Arial"/>
        <w:sz w:val="16"/>
        <w:szCs w:val="16"/>
      </w:rPr>
      <w:t>Paulino R. F. S., Cussioli M. A. R. and Santos R. A.</w:t>
    </w:r>
  </w:p>
  <w:p>
    <w:pPr>
      <w:pStyle w:val="Footer"/>
      <w:tabs>
        <w:tab w:val="clear" w:pos="4419"/>
        <w:tab w:val="clear" w:pos="8838"/>
        <w:tab w:val="left" w:pos="5706" w:leader="none"/>
      </w:tabs>
      <w:rPr/>
    </w:pPr>
    <w:r>
      <w:rPr>
        <w:rFonts w:cs="Arial" w:ascii="Arial" w:hAnsi="Arial"/>
        <w:sz w:val="16"/>
        <w:szCs w:val="16"/>
      </w:rPr>
      <w:t xml:space="preserve">Hydrogen production from landfill biogas: economic and environmental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419"/>
        <w:tab w:val="clear" w:pos="8838"/>
        <w:tab w:val="left" w:pos="5706" w:leader="none"/>
      </w:tabs>
      <w:jc w:val="right"/>
      <w:rPr>
        <w:rFonts w:ascii="Arial" w:hAnsi="Arial" w:cs="Arial"/>
        <w:sz w:val="16"/>
        <w:lang w:eastAsia="pt-BR"/>
      </w:rPr>
    </w:pPr>
    <w:r>
      <w:rPr>
        <w:rFonts w:cs="Arial" w:ascii="Arial" w:hAnsi="Arial"/>
        <w:sz w:val="16"/>
        <w:lang w:eastAsia="pt-BR"/>
      </w:rPr>
      <w:t>21</w:t>
    </w:r>
    <w:r>
      <w:rPr>
        <w:rFonts w:cs="Arial" w:ascii="Arial" w:hAnsi="Arial"/>
        <w:sz w:val="16"/>
        <w:vertAlign w:val="superscript"/>
        <w:lang w:eastAsia="pt-BR"/>
      </w:rPr>
      <w:t>st</w:t>
    </w:r>
    <w:r>
      <w:rPr>
        <w:rFonts w:cs="Arial" w:ascii="Arial" w:hAnsi="Arial"/>
        <w:sz w:val="16"/>
        <w:lang w:eastAsia="pt-BR"/>
      </w:rPr>
      <w:t xml:space="preserve"> Brazilian Congress of Thermal Sciences and Engineering</w:t>
    </w:r>
  </w:p>
  <w:p>
    <w:pPr>
      <w:pStyle w:val="Footer"/>
      <w:tabs>
        <w:tab w:val="clear" w:pos="4419"/>
        <w:tab w:val="clear" w:pos="8838"/>
        <w:tab w:val="left" w:pos="6192" w:leader="none"/>
      </w:tabs>
      <w:spacing w:before="0" w:after="40"/>
      <w:jc w:val="right"/>
      <w:rPr>
        <w:rFonts w:ascii="Arial" w:hAnsi="Arial" w:cs="Arial"/>
        <w:sz w:val="16"/>
      </w:rPr>
    </w:pPr>
    <w:r>
      <w:rPr>
        <w:rFonts w:cs="Arial" w:ascii="Arial" w:hAnsi="Arial"/>
        <w:sz w:val="16"/>
        <w:lang w:eastAsia="pt-BR"/>
      </w:rPr>
      <w:t>November 8th-12th, 2026, Santos – SP - Brazil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5385"/>
    </w:tblGrid>
    <w:tr>
      <w:trPr/>
      <w:tc>
        <w:tcPr>
          <w:tcW w:w="4536" w:type="dxa"/>
          <w:tcBorders/>
          <w:vAlign w:val="center"/>
        </w:tcPr>
        <w:p>
          <w:pPr>
            <w:pStyle w:val="Footer"/>
            <w:tabs>
              <w:tab w:val="clear" w:pos="4419"/>
              <w:tab w:val="clear" w:pos="8838"/>
              <w:tab w:val="left" w:pos="5706" w:leader="none"/>
            </w:tabs>
            <w:ind w:left="-104" w:right="-111"/>
            <w:rPr>
              <w:lang w:eastAsia="pt-BR"/>
            </w:rPr>
          </w:pPr>
          <w:r>
            <w:rPr/>
            <w:drawing>
              <wp:inline distT="0" distB="0" distL="0" distR="0">
                <wp:extent cx="2743200" cy="83820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1"/>
                        <a:stretch>
                          <a:fillRect/>
                        </a:stretch>
                      </pic:blipFill>
                      <pic:spPr bwMode="auto">
                        <a:xfrm>
                          <a:off x="0" y="0"/>
                          <a:ext cx="2743200" cy="838200"/>
                        </a:xfrm>
                        <a:prstGeom prst="rect">
                          <a:avLst/>
                        </a:prstGeom>
                      </pic:spPr>
                    </pic:pic>
                  </a:graphicData>
                </a:graphic>
              </wp:inline>
            </w:drawing>
          </w:r>
        </w:p>
      </w:tc>
      <w:tc>
        <w:tcPr>
          <w:tcW w:w="5385" w:type="dxa"/>
          <w:tcBorders/>
          <w:vAlign w:val="center"/>
        </w:tcPr>
        <w:p>
          <w:pPr>
            <w:pStyle w:val="Footer"/>
            <w:tabs>
              <w:tab w:val="clear" w:pos="4419"/>
              <w:tab w:val="clear" w:pos="8838"/>
              <w:tab w:val="left" w:pos="5706" w:leader="none"/>
            </w:tabs>
            <w:jc w:val="right"/>
            <w:rPr>
              <w:lang w:eastAsia="pt-BR"/>
            </w:rPr>
          </w:pPr>
          <w:r>
            <w:rPr>
              <w:lang w:eastAsia="pt-BR"/>
            </w:rPr>
          </w:r>
        </w:p>
        <w:p>
          <w:pPr>
            <w:pStyle w:val="Footer"/>
            <w:tabs>
              <w:tab w:val="clear" w:pos="4419"/>
              <w:tab w:val="clear" w:pos="8838"/>
              <w:tab w:val="left" w:pos="5706" w:leader="none"/>
            </w:tabs>
            <w:jc w:val="right"/>
            <w:rPr>
              <w:lang w:eastAsia="pt-BR"/>
            </w:rPr>
          </w:pPr>
          <w:r>
            <w:rPr/>
            <w:drawing>
              <wp:inline distT="0" distB="0" distL="0" distR="0">
                <wp:extent cx="2270125" cy="72009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2"/>
                        <a:stretch>
                          <a:fillRect/>
                        </a:stretch>
                      </pic:blipFill>
                      <pic:spPr bwMode="auto">
                        <a:xfrm>
                          <a:off x="0" y="0"/>
                          <a:ext cx="2270125" cy="720090"/>
                        </a:xfrm>
                        <a:prstGeom prst="rect">
                          <a:avLst/>
                        </a:prstGeom>
                      </pic:spPr>
                    </pic:pic>
                  </a:graphicData>
                </a:graphic>
              </wp:inline>
            </w:drawing>
          </w:r>
        </w:p>
        <w:p>
          <w:pPr>
            <w:pStyle w:val="Footer"/>
            <w:tabs>
              <w:tab w:val="clear" w:pos="4419"/>
              <w:tab w:val="clear" w:pos="8838"/>
              <w:tab w:val="left" w:pos="5706" w:leader="none"/>
            </w:tabs>
            <w:jc w:val="right"/>
            <w:rPr>
              <w:rFonts w:ascii="Arial" w:hAnsi="Arial" w:cs="Arial"/>
              <w:sz w:val="16"/>
              <w:lang w:eastAsia="pt-BR"/>
            </w:rPr>
          </w:pPr>
          <w:r>
            <w:rPr>
              <w:rFonts w:cs="Arial" w:ascii="Arial" w:hAnsi="Arial"/>
              <w:sz w:val="16"/>
              <w:lang w:eastAsia="pt-BR"/>
            </w:rPr>
            <w:t>21</w:t>
          </w:r>
          <w:r>
            <w:rPr>
              <w:rFonts w:cs="Arial" w:ascii="Arial" w:hAnsi="Arial"/>
              <w:sz w:val="16"/>
              <w:vertAlign w:val="superscript"/>
              <w:lang w:eastAsia="pt-BR"/>
            </w:rPr>
            <w:t>st</w:t>
          </w:r>
          <w:r>
            <w:rPr>
              <w:rFonts w:cs="Arial" w:ascii="Arial" w:hAnsi="Arial"/>
              <w:sz w:val="16"/>
              <w:lang w:eastAsia="pt-BR"/>
            </w:rPr>
            <w:t xml:space="preserve"> Brazilian Congress of Thermal Sciences and Engineering</w:t>
          </w:r>
        </w:p>
        <w:p>
          <w:pPr>
            <w:pStyle w:val="Footer"/>
            <w:tabs>
              <w:tab w:val="clear" w:pos="4419"/>
              <w:tab w:val="clear" w:pos="8838"/>
              <w:tab w:val="left" w:pos="6192" w:leader="none"/>
            </w:tabs>
            <w:jc w:val="right"/>
            <w:rPr>
              <w:rFonts w:ascii="Arial" w:hAnsi="Arial" w:cs="Arial"/>
              <w:sz w:val="16"/>
              <w:lang w:eastAsia="pt-BR"/>
            </w:rPr>
          </w:pPr>
          <w:r>
            <w:rPr>
              <w:rFonts w:cs="Arial" w:ascii="Arial" w:hAnsi="Arial"/>
              <w:sz w:val="16"/>
              <w:lang w:eastAsia="pt-BR"/>
            </w:rPr>
            <w:t>November 8th-12th, 2026, Santos – SP - Brazil</w:t>
          </w:r>
        </w:p>
      </w:tc>
    </w:tr>
  </w:tbl>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3">
    <w:lvl w:ilvl="0">
      <w:start w:val="1"/>
      <w:numFmt w:val="decimal"/>
      <w:lvlText w:val="%1"/>
      <w:lvlJc w:val="left"/>
      <w:pPr>
        <w:tabs>
          <w:tab w:val="num" w:pos="360"/>
        </w:tabs>
        <w:ind w:left="360" w:hanging="360"/>
      </w:pPr>
      <w:rPr>
        <w:i w:val="false"/>
        <w:color w:val="auto"/>
      </w:rPr>
    </w:lvl>
    <w:lvl w:ilvl="1">
      <w:start w:val="1"/>
      <w:numFmt w:val="decimal"/>
      <w:lvlText w:val="%1.%2"/>
      <w:lvlJc w:val="left"/>
      <w:pPr>
        <w:tabs>
          <w:tab w:val="num" w:pos="792"/>
        </w:tabs>
        <w:ind w:left="792" w:hanging="432"/>
      </w:pPr>
      <w:rPr>
        <w:b/>
      </w:rPr>
    </w:lvl>
    <w:lvl w:ilvl="2">
      <w:start w:val="1"/>
      <w:numFmt w:val="decimal"/>
      <w:lvlText w:val="%1.%2.%3."/>
      <w:lvlJc w:val="left"/>
      <w:pPr>
        <w:tabs>
          <w:tab w:val="num" w:pos="1440"/>
        </w:tabs>
        <w:ind w:left="1224" w:hanging="504"/>
      </w:pPr>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4320"/>
        </w:tabs>
        <w:ind w:left="3744" w:hanging="1224"/>
      </w:pPr>
      <w:rPr/>
    </w:lvl>
    <w:lvl w:ilvl="8">
      <w:start w:val="1"/>
      <w:numFmt w:val="decimal"/>
      <w:lvlText w:val="%1.%2.%3.%4.%5.%6.%7.%8.%9."/>
      <w:lvlJc w:val="left"/>
      <w:pPr>
        <w:tabs>
          <w:tab w:val="num" w:pos="5040"/>
        </w:tabs>
        <w:ind w:left="4320" w:hanging="144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6"/>
  <w:autoHyphenation w:val="true"/>
  <w:hyphenationZone w:val="425"/>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1fed"/>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pt-BR" w:bidi="ar-SA"/>
    </w:rPr>
  </w:style>
  <w:style w:type="paragraph" w:styleId="Heading1">
    <w:name w:val="Heading 1"/>
    <w:next w:val="Normal"/>
    <w:qFormat/>
    <w:rsid w:val="00611fed"/>
    <w:pPr>
      <w:keepNext w:val="true"/>
      <w:keepLines/>
      <w:widowControl/>
      <w:numPr>
        <w:ilvl w:val="0"/>
        <w:numId w:val="1"/>
      </w:numPr>
      <w:pBdr>
        <w:left w:val="single" w:sz="12" w:space="4" w:color="000000"/>
      </w:pBdr>
      <w:suppressAutoHyphens w:val="true"/>
      <w:bidi w:val="0"/>
      <w:spacing w:lineRule="exact" w:line="200" w:before="200" w:after="0"/>
      <w:jc w:val="left"/>
      <w:outlineLvl w:val="0"/>
    </w:pPr>
    <w:rPr>
      <w:rFonts w:ascii="Arial" w:hAnsi="Arial" w:eastAsia="Times New Roman" w:cs="Times New Roman"/>
      <w:b/>
      <w:color w:val="auto"/>
      <w:kern w:val="0"/>
      <w:sz w:val="18"/>
      <w:szCs w:val="20"/>
      <w:lang w:val="en-US" w:eastAsia="pt-BR" w:bidi="ar-SA"/>
    </w:rPr>
  </w:style>
  <w:style w:type="paragraph" w:styleId="Heading2">
    <w:name w:val="Heading 2"/>
    <w:basedOn w:val="Normal"/>
    <w:next w:val="Normal"/>
    <w:qFormat/>
    <w:rsid w:val="00611fed"/>
    <w:pPr>
      <w:keepNext w:val="true"/>
      <w:numPr>
        <w:ilvl w:val="1"/>
        <w:numId w:val="1"/>
      </w:numPr>
      <w:jc w:val="center"/>
      <w:outlineLvl w:val="1"/>
    </w:pPr>
    <w:rPr>
      <w:sz w:val="28"/>
    </w:rPr>
  </w:style>
  <w:style w:type="paragraph" w:styleId="Heading3">
    <w:name w:val="Heading 3"/>
    <w:basedOn w:val="Normal"/>
    <w:next w:val="Normal"/>
    <w:qFormat/>
    <w:rsid w:val="00611fed"/>
    <w:pPr>
      <w:keepNext w:val="true"/>
      <w:numPr>
        <w:ilvl w:val="2"/>
        <w:numId w:val="1"/>
      </w:numPr>
      <w:jc w:val="both"/>
      <w:outlineLvl w:val="2"/>
    </w:pPr>
    <w:rPr>
      <w:b/>
      <w:sz w:val="28"/>
    </w:rPr>
  </w:style>
  <w:style w:type="paragraph" w:styleId="Heading4">
    <w:name w:val="Heading 4"/>
    <w:basedOn w:val="Normal"/>
    <w:next w:val="Normal"/>
    <w:qFormat/>
    <w:rsid w:val="00611fed"/>
    <w:pPr>
      <w:keepNext w:val="true"/>
      <w:numPr>
        <w:ilvl w:val="3"/>
        <w:numId w:val="1"/>
      </w:numPr>
      <w:jc w:val="center"/>
      <w:outlineLvl w:val="3"/>
    </w:pPr>
    <w:rPr>
      <w:b/>
      <w:sz w:val="26"/>
    </w:rPr>
  </w:style>
  <w:style w:type="paragraph" w:styleId="Heading5">
    <w:name w:val="Heading 5"/>
    <w:basedOn w:val="Normal"/>
    <w:next w:val="Normal"/>
    <w:qFormat/>
    <w:rsid w:val="00611fed"/>
    <w:pPr>
      <w:keepNext w:val="true"/>
      <w:keepLines/>
      <w:numPr>
        <w:ilvl w:val="4"/>
        <w:numId w:val="1"/>
      </w:numPr>
      <w:spacing w:lineRule="atLeast" w:line="160" w:before="60" w:after="113"/>
      <w:jc w:val="center"/>
      <w:outlineLvl w:val="4"/>
    </w:pPr>
    <w:rPr>
      <w:rFonts w:ascii="Arial" w:hAnsi="Arial"/>
      <w:b/>
      <w:sz w:val="14"/>
    </w:rPr>
  </w:style>
  <w:style w:type="paragraph" w:styleId="Heading6">
    <w:name w:val="Heading 6"/>
    <w:basedOn w:val="Normal"/>
    <w:next w:val="Normal"/>
    <w:qFormat/>
    <w:rsid w:val="00611fed"/>
    <w:pPr>
      <w:keepNext w:val="true"/>
      <w:numPr>
        <w:ilvl w:val="5"/>
        <w:numId w:val="1"/>
      </w:numPr>
      <w:jc w:val="right"/>
      <w:outlineLvl w:val="5"/>
    </w:pPr>
    <w:rPr>
      <w:b/>
    </w:rPr>
  </w:style>
  <w:style w:type="paragraph" w:styleId="Heading7">
    <w:name w:val="Heading 7"/>
    <w:basedOn w:val="Normal"/>
    <w:next w:val="Normal"/>
    <w:qFormat/>
    <w:rsid w:val="00611fed"/>
    <w:pPr>
      <w:keepNext w:val="true"/>
      <w:numPr>
        <w:ilvl w:val="6"/>
        <w:numId w:val="1"/>
      </w:numPr>
      <w:tabs>
        <w:tab w:val="clear" w:pos="706"/>
        <w:tab w:val="left" w:pos="284" w:leader="none"/>
      </w:tabs>
      <w:spacing w:lineRule="exact" w:line="264" w:before="240" w:after="113"/>
      <w:ind w:right="51"/>
      <w:outlineLvl w:val="6"/>
    </w:pPr>
    <w:rPr>
      <w:rFonts w:ascii="Arial" w:hAnsi="Arial"/>
      <w:b/>
      <w:sz w:val="16"/>
    </w:rPr>
  </w:style>
  <w:style w:type="paragraph" w:styleId="Heading8">
    <w:name w:val="Heading 8"/>
    <w:basedOn w:val="Normal"/>
    <w:next w:val="Normal"/>
    <w:link w:val="Ttulo8Char"/>
    <w:qFormat/>
    <w:rsid w:val="00cf3c40"/>
    <w:pPr>
      <w:keepNext w:val="true"/>
      <w:keepLines/>
      <w:numPr>
        <w:ilvl w:val="7"/>
        <w:numId w:val="1"/>
      </w:numPr>
      <w:spacing w:before="200" w:after="0"/>
      <w:outlineLvl w:val="7"/>
    </w:pPr>
    <w:rPr>
      <w:rFonts w:ascii="Cambria" w:hAnsi="Cambria" w:eastAsia="MS Gothic"/>
      <w:color w:val="404040"/>
      <w:lang w:eastAsia="x-none"/>
    </w:rPr>
  </w:style>
  <w:style w:type="paragraph" w:styleId="Heading9">
    <w:name w:val="Heading 9"/>
    <w:basedOn w:val="Normal"/>
    <w:next w:val="Normal"/>
    <w:link w:val="Ttulo9Char"/>
    <w:qFormat/>
    <w:rsid w:val="00cf3c40"/>
    <w:pPr>
      <w:keepNext w:val="true"/>
      <w:keepLines/>
      <w:numPr>
        <w:ilvl w:val="8"/>
        <w:numId w:val="1"/>
      </w:numPr>
      <w:spacing w:before="200" w:after="0"/>
      <w:outlineLvl w:val="8"/>
    </w:pPr>
    <w:rPr>
      <w:rFonts w:ascii="Cambria" w:hAnsi="Cambria" w:eastAsia="MS Gothic"/>
      <w:i/>
      <w:iCs/>
      <w:color w:val="404040"/>
      <w:lang w:eastAsia="x-none"/>
    </w:rPr>
  </w:style>
  <w:style w:type="character" w:styleId="DefaultParagraphFont" w:default="1">
    <w:name w:val="Default Paragraph Font"/>
    <w:uiPriority w:val="1"/>
    <w:unhideWhenUsed/>
    <w:qFormat/>
    <w:rPr/>
  </w:style>
  <w:style w:type="character" w:styleId="Hyperlink">
    <w:name w:val="Hyperlink"/>
    <w:uiPriority w:val="99"/>
    <w:rsid w:val="00611fed"/>
    <w:rPr>
      <w:color w:val="0000FF"/>
      <w:u w:val="single"/>
    </w:rPr>
  </w:style>
  <w:style w:type="character" w:styleId="PageNumber">
    <w:name w:val="Page Number"/>
    <w:semiHidden/>
    <w:rsid w:val="00611fed"/>
    <w:rPr>
      <w:rFonts w:ascii="Arial" w:hAnsi="Arial"/>
      <w:sz w:val="16"/>
    </w:rPr>
  </w:style>
  <w:style w:type="character" w:styleId="Symbol" w:customStyle="1">
    <w:name w:val="Symbol"/>
    <w:qFormat/>
    <w:rsid w:val="00611fed"/>
    <w:rPr>
      <w:rFonts w:ascii="Symbol" w:hAnsi="Symbol"/>
      <w:sz w:val="16"/>
    </w:rPr>
  </w:style>
  <w:style w:type="character" w:styleId="TextodebaloChar" w:customStyle="1">
    <w:name w:val="Texto de balão Char"/>
    <w:link w:val="BalloonText"/>
    <w:uiPriority w:val="99"/>
    <w:semiHidden/>
    <w:qFormat/>
    <w:rsid w:val="00d16204"/>
    <w:rPr>
      <w:rFonts w:ascii="Tahoma" w:hAnsi="Tahoma" w:cs="Tahoma"/>
      <w:sz w:val="16"/>
      <w:szCs w:val="16"/>
      <w:lang w:val="en-US"/>
    </w:rPr>
  </w:style>
  <w:style w:type="character" w:styleId="RodapChar" w:customStyle="1">
    <w:name w:val="Rodapé Char"/>
    <w:link w:val="Footer"/>
    <w:semiHidden/>
    <w:qFormat/>
    <w:rsid w:val="00d16204"/>
    <w:rPr>
      <w:lang w:val="en-US"/>
    </w:rPr>
  </w:style>
  <w:style w:type="character" w:styleId="annotationreference">
    <w:name w:val="annotation reference"/>
    <w:uiPriority w:val="99"/>
    <w:semiHidden/>
    <w:unhideWhenUsed/>
    <w:qFormat/>
    <w:rsid w:val="005a52d1"/>
    <w:rPr>
      <w:sz w:val="16"/>
      <w:szCs w:val="16"/>
    </w:rPr>
  </w:style>
  <w:style w:type="character" w:styleId="TextodecomentrioChar" w:customStyle="1">
    <w:name w:val="Texto de comentário Char"/>
    <w:link w:val="AnnotationText"/>
    <w:uiPriority w:val="99"/>
    <w:semiHidden/>
    <w:qFormat/>
    <w:rsid w:val="005a52d1"/>
    <w:rPr>
      <w:lang w:val="en-US"/>
    </w:rPr>
  </w:style>
  <w:style w:type="character" w:styleId="AssuntodocomentrioChar" w:customStyle="1">
    <w:name w:val="Assunto do comentário Char"/>
    <w:link w:val="annotationsubject"/>
    <w:uiPriority w:val="99"/>
    <w:semiHidden/>
    <w:qFormat/>
    <w:rsid w:val="005a52d1"/>
    <w:rPr>
      <w:b/>
      <w:bCs/>
      <w:lang w:val="en-US"/>
    </w:rPr>
  </w:style>
  <w:style w:type="character" w:styleId="Ttulo8Char" w:customStyle="1">
    <w:name w:val="Título 8 Char"/>
    <w:link w:val="Heading8"/>
    <w:uiPriority w:val="9"/>
    <w:semiHidden/>
    <w:qFormat/>
    <w:rsid w:val="00cf3c40"/>
    <w:rPr>
      <w:rFonts w:ascii="Cambria" w:hAnsi="Cambria" w:eastAsia="MS Gothic" w:cs="Times New Roman"/>
      <w:color w:val="404040"/>
      <w:lang w:val="en-US"/>
    </w:rPr>
  </w:style>
  <w:style w:type="character" w:styleId="Ttulo9Char" w:customStyle="1">
    <w:name w:val="Título 9 Char"/>
    <w:link w:val="Heading9"/>
    <w:uiPriority w:val="9"/>
    <w:semiHidden/>
    <w:qFormat/>
    <w:rsid w:val="00cf3c40"/>
    <w:rPr>
      <w:rFonts w:ascii="Cambria" w:hAnsi="Cambria" w:eastAsia="MS Gothic" w:cs="Times New Roman"/>
      <w:i/>
      <w:iCs/>
      <w:color w:val="404040"/>
      <w:lang w:val="en-US"/>
    </w:rPr>
  </w:style>
  <w:style w:type="character" w:styleId="UnresolvedMention">
    <w:name w:val="Unresolved Mention"/>
    <w:basedOn w:val="DefaultParagraphFont"/>
    <w:uiPriority w:val="99"/>
    <w:semiHidden/>
    <w:unhideWhenUsed/>
    <w:qFormat/>
    <w:rsid w:val="00f778be"/>
    <w:rPr>
      <w:color w:val="605E5C"/>
      <w:shd w:fill="E1DFDD" w:val="clear"/>
    </w:rPr>
  </w:style>
  <w:style w:type="character" w:styleId="PlaceholderText">
    <w:name w:val="Placeholder Text"/>
    <w:basedOn w:val="DefaultParagraphFont"/>
    <w:uiPriority w:val="99"/>
    <w:semiHidden/>
    <w:qFormat/>
    <w:rsid w:val="005d3391"/>
    <w:rPr>
      <w:color w:val="808080"/>
    </w:rPr>
  </w:style>
  <w:style w:type="character" w:styleId="fontstyle01" w:customStyle="1">
    <w:name w:val="fontstyle01"/>
    <w:qFormat/>
    <w:rsid w:val="00e36885"/>
    <w:rPr>
      <w:rFonts w:ascii="NimbusRomNo9L-Regu" w:hAnsi="NimbusRomNo9L-Regu"/>
      <w:b w:val="false"/>
      <w:bCs w:val="false"/>
      <w:i w:val="false"/>
      <w:iCs w:val="false"/>
      <w:color w:val="000000"/>
      <w:sz w:val="20"/>
      <w:szCs w:val="20"/>
    </w:rPr>
  </w:style>
  <w:style w:type="character" w:styleId="hps" w:customStyle="1">
    <w:name w:val="hps"/>
    <w:basedOn w:val="DefaultParagraphFont"/>
    <w:qFormat/>
    <w:rsid w:val="00c312b8"/>
    <w:rPr/>
  </w:style>
  <w:style w:type="character" w:styleId="WW8Num27z1" w:customStyle="1">
    <w:name w:val="WW8Num27z1"/>
    <w:qFormat/>
    <w:rsid w:val="002119a8"/>
    <w:rPr>
      <w:rFonts w:ascii="Courier New" w:hAnsi="Courier New" w:cs="Courier New"/>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semiHidden/>
    <w:rsid w:val="00611fed"/>
    <w:pPr/>
    <w:rPr>
      <w:sz w:val="16"/>
    </w:rPr>
  </w:style>
  <w:style w:type="paragraph" w:styleId="List">
    <w:name w:val="List"/>
    <w:basedOn w:val="BodyText"/>
    <w:pPr/>
    <w:rPr>
      <w:rFonts w:cs="Noto Sans Devanagari"/>
    </w:rPr>
  </w:style>
  <w:style w:type="paragraph" w:styleId="Caption">
    <w:name w:val="Caption"/>
    <w:basedOn w:val="Normal"/>
    <w:uiPriority w:val="35"/>
    <w:qFormat/>
    <w:pPr>
      <w:suppressLineNumbers/>
      <w:spacing w:before="120" w:after="120"/>
    </w:pPr>
    <w:rPr>
      <w:rFonts w:ascii="Arial" w:hAnsi="Arial" w:cs="Noto Sans Devanagari"/>
      <w:i/>
      <w:iCs/>
      <w:sz w:val="24"/>
      <w:szCs w:val="24"/>
    </w:rPr>
  </w:style>
  <w:style w:type="paragraph" w:styleId="Index" w:customStyle="1">
    <w:name w:val="Index"/>
    <w:basedOn w:val="Normal"/>
    <w:qFormat/>
    <w:pPr>
      <w:suppressLineNumbers/>
    </w:pPr>
    <w:rPr>
      <w:rFonts w:ascii="Arial" w:hAnsi="Arial" w:cs="Noto Sans Devanagari"/>
    </w:rPr>
  </w:style>
  <w:style w:type="paragraph" w:styleId="PageHeader-Even" w:customStyle="1">
    <w:name w:val="Page Header - Even"/>
    <w:qFormat/>
    <w:rsid w:val="00611fed"/>
    <w:pPr>
      <w:widowControl/>
      <w:suppressAutoHyphens w:val="true"/>
      <w:bidi w:val="0"/>
      <w:spacing w:before="0" w:after="0"/>
      <w:ind w:firstLine="360" w:right="14"/>
      <w:jc w:val="right"/>
    </w:pPr>
    <w:rPr>
      <w:rFonts w:ascii="Arial" w:hAnsi="Arial" w:eastAsia="Times New Roman" w:cs="Times New Roman"/>
      <w:color w:val="auto"/>
      <w:kern w:val="0"/>
      <w:sz w:val="14"/>
      <w:szCs w:val="20"/>
      <w:lang w:val="pt-BR" w:eastAsia="pt-BR" w:bidi="ar-SA"/>
    </w:rPr>
  </w:style>
  <w:style w:type="paragraph" w:styleId="HeaderandFooter" w:customStyle="1">
    <w:name w:val="Header and Footer"/>
    <w:basedOn w:val="Normal"/>
    <w:qFormat/>
    <w:pPr/>
    <w:rPr/>
  </w:style>
  <w:style w:type="paragraph" w:styleId="Footer">
    <w:name w:val="Footer"/>
    <w:basedOn w:val="Normal"/>
    <w:link w:val="RodapChar"/>
    <w:semiHidden/>
    <w:rsid w:val="00611fed"/>
    <w:pPr>
      <w:tabs>
        <w:tab w:val="clear" w:pos="706"/>
        <w:tab w:val="center" w:pos="4419" w:leader="none"/>
        <w:tab w:val="right" w:pos="8838" w:leader="none"/>
      </w:tabs>
    </w:pPr>
    <w:rPr>
      <w:lang w:eastAsia="x-none"/>
    </w:rPr>
  </w:style>
  <w:style w:type="paragraph" w:styleId="References" w:customStyle="1">
    <w:name w:val="References"/>
    <w:qFormat/>
    <w:rsid w:val="006c1c19"/>
    <w:pPr>
      <w:widowControl/>
      <w:suppressAutoHyphens w:val="true"/>
      <w:bidi w:val="0"/>
      <w:spacing w:lineRule="atLeast" w:line="180" w:before="100" w:after="100"/>
      <w:ind w:hanging="284" w:left="284"/>
      <w:jc w:val="both"/>
    </w:pPr>
    <w:rPr>
      <w:rFonts w:ascii="Times New Roman" w:hAnsi="Times New Roman" w:eastAsia="Times New Roman" w:cs="Times New Roman"/>
      <w:color w:val="auto"/>
      <w:kern w:val="0"/>
      <w:sz w:val="20"/>
      <w:szCs w:val="20"/>
      <w:lang w:val="en-US" w:eastAsia="pt-BR" w:bidi="ar-SA"/>
    </w:rPr>
  </w:style>
  <w:style w:type="paragraph" w:styleId="PageHeader-Odd" w:customStyle="1">
    <w:name w:val="Page Header - Odd"/>
    <w:qFormat/>
    <w:rsid w:val="00611fed"/>
    <w:pPr>
      <w:widowControl/>
      <w:suppressAutoHyphens w:val="true"/>
      <w:bidi w:val="0"/>
      <w:spacing w:before="0" w:after="0"/>
      <w:ind w:left="360"/>
      <w:jc w:val="left"/>
    </w:pPr>
    <w:rPr>
      <w:rFonts w:ascii="Times New Roman" w:hAnsi="Times New Roman" w:eastAsia="Times New Roman" w:cs="Times New Roman"/>
      <w:color w:val="auto"/>
      <w:kern w:val="0"/>
      <w:sz w:val="20"/>
      <w:szCs w:val="20"/>
      <w:lang w:val="pt-PT" w:eastAsia="pt-BR" w:bidi="ar-SA"/>
    </w:rPr>
  </w:style>
  <w:style w:type="paragraph" w:styleId="EquationLine" w:customStyle="1">
    <w:name w:val="Equation Line"/>
    <w:next w:val="SectionBody"/>
    <w:qFormat/>
    <w:rsid w:val="00611fed"/>
    <w:pPr>
      <w:widowControl/>
      <w:tabs>
        <w:tab w:val="clear" w:pos="706"/>
        <w:tab w:val="right" w:pos="6804" w:leader="none"/>
      </w:tabs>
      <w:suppressAutoHyphens w:val="true"/>
      <w:bidi w:val="0"/>
      <w:spacing w:before="0" w:after="0"/>
      <w:ind w:firstLine="340"/>
      <w:jc w:val="left"/>
    </w:pPr>
    <w:rPr>
      <w:rFonts w:ascii="Times New Roman" w:hAnsi="Times New Roman" w:eastAsia="Times New Roman" w:cs="Times New Roman"/>
      <w:color w:val="auto"/>
      <w:kern w:val="0"/>
      <w:sz w:val="18"/>
      <w:szCs w:val="20"/>
      <w:lang w:val="en-US" w:eastAsia="pt-BR" w:bidi="ar-SA"/>
    </w:rPr>
  </w:style>
  <w:style w:type="paragraph" w:styleId="PaperTitle" w:customStyle="1">
    <w:name w:val="Paper Title"/>
    <w:next w:val="AuthorName"/>
    <w:autoRedefine/>
    <w:qFormat/>
    <w:rsid w:val="001f62df"/>
    <w:pPr>
      <w:keepLines/>
      <w:widowControl/>
      <w:pBdr>
        <w:left w:val="single" w:sz="18" w:space="4" w:color="000000"/>
      </w:pBdr>
      <w:suppressAutoHyphens w:val="true"/>
      <w:bidi w:val="0"/>
      <w:spacing w:before="0" w:after="0"/>
      <w:ind w:left="57"/>
      <w:jc w:val="center"/>
    </w:pPr>
    <w:rPr>
      <w:rFonts w:ascii="Times New Roman" w:hAnsi="Times New Roman" w:eastAsia="Times New Roman" w:cs="Times New Roman"/>
      <w:bCs/>
      <w:caps/>
      <w:color w:val="auto"/>
      <w:kern w:val="0"/>
      <w:sz w:val="28"/>
      <w:szCs w:val="20"/>
      <w:lang w:val="en-US" w:eastAsia="pt-BR" w:bidi="ar-SA"/>
    </w:rPr>
  </w:style>
  <w:style w:type="paragraph" w:styleId="AuthorName" w:customStyle="1">
    <w:name w:val="Author Name"/>
    <w:next w:val="AuthorAddress"/>
    <w:qFormat/>
    <w:rsid w:val="00611fed"/>
    <w:pPr>
      <w:keepLines/>
      <w:widowControl/>
      <w:pBdr>
        <w:left w:val="single" w:sz="18" w:space="4" w:color="000000"/>
      </w:pBdr>
      <w:suppressAutoHyphens w:val="true"/>
      <w:bidi w:val="0"/>
      <w:spacing w:before="0" w:after="0"/>
      <w:ind w:left="57"/>
      <w:jc w:val="left"/>
    </w:pPr>
    <w:rPr>
      <w:rFonts w:ascii="Times New Roman" w:hAnsi="Times New Roman" w:eastAsia="Times New Roman" w:cs="Times New Roman"/>
      <w:b/>
      <w:color w:val="auto"/>
      <w:kern w:val="0"/>
      <w:sz w:val="20"/>
      <w:szCs w:val="20"/>
      <w:lang w:val="en-US" w:eastAsia="pt-BR" w:bidi="ar-SA"/>
    </w:rPr>
  </w:style>
  <w:style w:type="paragraph" w:styleId="AuthorAddress" w:customStyle="1">
    <w:name w:val="Author Address"/>
    <w:next w:val="Abstract"/>
    <w:qFormat/>
    <w:rsid w:val="00611fed"/>
    <w:pPr>
      <w:keepLines/>
      <w:widowControl/>
      <w:pBdr>
        <w:left w:val="single" w:sz="18" w:space="4" w:color="000000"/>
      </w:pBdr>
      <w:suppressAutoHyphens w:val="true"/>
      <w:bidi w:val="0"/>
      <w:spacing w:before="0" w:after="0"/>
      <w:ind w:left="57"/>
      <w:jc w:val="left"/>
    </w:pPr>
    <w:rPr>
      <w:rFonts w:ascii="Times New Roman" w:hAnsi="Times New Roman" w:eastAsia="Times New Roman" w:cs="Times New Roman"/>
      <w:color w:val="auto"/>
      <w:kern w:val="0"/>
      <w:sz w:val="18"/>
      <w:szCs w:val="20"/>
      <w:lang w:val="pt-PT" w:eastAsia="pt-BR" w:bidi="ar-SA"/>
    </w:rPr>
  </w:style>
  <w:style w:type="paragraph" w:styleId="Abstract" w:customStyle="1">
    <w:name w:val="Abstract"/>
    <w:next w:val="Keywords"/>
    <w:qFormat/>
    <w:rsid w:val="00176f7c"/>
    <w:pPr>
      <w:keepLines/>
      <w:widowControl/>
      <w:pBdr>
        <w:left w:val="single" w:sz="18" w:space="4" w:color="000000"/>
      </w:pBdr>
      <w:suppressAutoHyphens w:val="true"/>
      <w:bidi w:val="0"/>
      <w:spacing w:before="0" w:after="0"/>
      <w:ind w:left="57"/>
      <w:jc w:val="left"/>
    </w:pPr>
    <w:rPr>
      <w:rFonts w:ascii="Times New Roman" w:hAnsi="Times New Roman" w:eastAsia="Times New Roman" w:cs="Times New Roman"/>
      <w:i/>
      <w:color w:val="auto"/>
      <w:kern w:val="0"/>
      <w:sz w:val="20"/>
      <w:szCs w:val="20"/>
      <w:lang w:val="en-US" w:eastAsia="pt-BR" w:bidi="ar-SA"/>
    </w:rPr>
  </w:style>
  <w:style w:type="paragraph" w:styleId="Keywords" w:customStyle="1">
    <w:name w:val="Keywords"/>
    <w:basedOn w:val="Abstract"/>
    <w:next w:val="SectionHeader"/>
    <w:qFormat/>
    <w:rsid w:val="00176f7c"/>
    <w:pPr/>
    <w:rPr>
      <w:b/>
    </w:rPr>
  </w:style>
  <w:style w:type="paragraph" w:styleId="SectionHeader" w:customStyle="1">
    <w:name w:val="Section Header"/>
    <w:next w:val="SectionBody"/>
    <w:qFormat/>
    <w:rsid w:val="006c1c19"/>
    <w:pPr>
      <w:keepLines/>
      <w:widowControl/>
      <w:numPr>
        <w:ilvl w:val="0"/>
        <w:numId w:val="2"/>
      </w:numPr>
      <w:tabs>
        <w:tab w:val="clear" w:pos="706"/>
        <w:tab w:val="left" w:pos="284" w:leader="none"/>
      </w:tabs>
      <w:suppressAutoHyphens w:val="true"/>
      <w:bidi w:val="0"/>
      <w:spacing w:before="0" w:after="0"/>
      <w:jc w:val="left"/>
      <w:outlineLvl w:val="0"/>
    </w:pPr>
    <w:rPr>
      <w:rFonts w:ascii="Times New Roman" w:hAnsi="Times New Roman" w:eastAsia="Times New Roman" w:cs="Times New Roman"/>
      <w:b/>
      <w:caps/>
      <w:color w:val="auto"/>
      <w:kern w:val="0"/>
      <w:sz w:val="20"/>
      <w:szCs w:val="20"/>
      <w:lang w:val="en-US" w:eastAsia="pt-BR" w:bidi="ar-SA"/>
    </w:rPr>
  </w:style>
  <w:style w:type="paragraph" w:styleId="SectionBody" w:customStyle="1">
    <w:name w:val="Section Body"/>
    <w:qFormat/>
    <w:rsid w:val="00f01842"/>
    <w:pPr>
      <w:widowControl/>
      <w:suppressAutoHyphens w:val="true"/>
      <w:bidi w:val="0"/>
      <w:spacing w:before="0" w:after="0"/>
      <w:ind w:firstLine="340"/>
      <w:jc w:val="both"/>
    </w:pPr>
    <w:rPr>
      <w:rFonts w:ascii="Times New Roman" w:hAnsi="Times New Roman" w:eastAsia="Times New Roman" w:cs="Times New Roman"/>
      <w:color w:val="auto"/>
      <w:kern w:val="0"/>
      <w:sz w:val="20"/>
      <w:szCs w:val="20"/>
      <w:lang w:val="en-US" w:eastAsia="pt-BR" w:bidi="ar-SA"/>
    </w:rPr>
  </w:style>
  <w:style w:type="paragraph" w:styleId="NomenclatureHeader" w:customStyle="1">
    <w:name w:val="Nomenclature Header"/>
    <w:next w:val="NomenclatureBody"/>
    <w:qFormat/>
    <w:rsid w:val="00611fed"/>
    <w:pPr>
      <w:widowControl/>
      <w:tabs>
        <w:tab w:val="clear" w:pos="706"/>
        <w:tab w:val="left" w:pos="709" w:leader="none"/>
      </w:tabs>
      <w:suppressAutoHyphens w:val="true"/>
      <w:bidi w:val="0"/>
      <w:spacing w:lineRule="exact" w:line="264" w:before="240" w:after="113"/>
      <w:ind w:right="51"/>
      <w:jc w:val="both"/>
    </w:pPr>
    <w:rPr>
      <w:rFonts w:ascii="Arial" w:hAnsi="Arial" w:eastAsia="Times New Roman" w:cs="Times New Roman"/>
      <w:b/>
      <w:color w:val="auto"/>
      <w:kern w:val="0"/>
      <w:sz w:val="22"/>
      <w:szCs w:val="20"/>
      <w:lang w:val="en-US" w:eastAsia="pt-BR" w:bidi="ar-SA"/>
    </w:rPr>
  </w:style>
  <w:style w:type="paragraph" w:styleId="NomenclatureBody" w:customStyle="1">
    <w:name w:val="Nomenclature Body"/>
    <w:qFormat/>
    <w:rsid w:val="00611fed"/>
    <w:pPr>
      <w:widowControl/>
      <w:tabs>
        <w:tab w:val="clear" w:pos="706"/>
        <w:tab w:val="left" w:pos="284" w:leader="none"/>
      </w:tabs>
      <w:suppressAutoHyphens w:val="true"/>
      <w:bidi w:val="0"/>
      <w:spacing w:lineRule="exact" w:line="188" w:before="0" w:after="0"/>
      <w:ind w:hanging="432" w:left="432"/>
      <w:jc w:val="left"/>
    </w:pPr>
    <w:rPr>
      <w:rFonts w:ascii="Times New Roman" w:hAnsi="Times New Roman" w:eastAsia="Times New Roman" w:cs="Times New Roman"/>
      <w:i/>
      <w:color w:val="auto"/>
      <w:kern w:val="0"/>
      <w:sz w:val="16"/>
      <w:szCs w:val="20"/>
      <w:lang w:val="pt-PT" w:eastAsia="pt-BR" w:bidi="ar-SA"/>
    </w:rPr>
  </w:style>
  <w:style w:type="paragraph" w:styleId="FigureCaption" w:customStyle="1">
    <w:name w:val="Figure Caption"/>
    <w:basedOn w:val="SectionBody"/>
    <w:qFormat/>
    <w:rsid w:val="00611fed"/>
    <w:pPr>
      <w:ind w:hanging="737" w:left="737"/>
      <w:jc w:val="left"/>
    </w:pPr>
    <w:rPr/>
  </w:style>
  <w:style w:type="paragraph" w:styleId="NomenclatureSub-header" w:customStyle="1">
    <w:name w:val="Nomenclature Sub-header"/>
    <w:next w:val="NomenclatureBody"/>
    <w:qFormat/>
    <w:rsid w:val="00611fed"/>
    <w:pPr>
      <w:widowControl/>
      <w:tabs>
        <w:tab w:val="clear" w:pos="706"/>
        <w:tab w:val="left" w:pos="284" w:leader="none"/>
      </w:tabs>
      <w:suppressAutoHyphens w:val="true"/>
      <w:bidi w:val="0"/>
      <w:spacing w:lineRule="exact" w:line="264" w:before="240" w:after="113"/>
      <w:ind w:hanging="426" w:left="426" w:right="51"/>
      <w:jc w:val="left"/>
    </w:pPr>
    <w:rPr>
      <w:rFonts w:ascii="Arial" w:hAnsi="Arial" w:eastAsia="Times New Roman" w:cs="Times New Roman"/>
      <w:b/>
      <w:color w:val="auto"/>
      <w:kern w:val="0"/>
      <w:sz w:val="16"/>
      <w:szCs w:val="20"/>
      <w:lang w:val="pt-PT" w:eastAsia="pt-BR" w:bidi="ar-SA"/>
    </w:rPr>
  </w:style>
  <w:style w:type="paragraph" w:styleId="BodyTextIndent2">
    <w:name w:val="Body Text Indent 2"/>
    <w:basedOn w:val="Normal"/>
    <w:semiHidden/>
    <w:qFormat/>
    <w:rsid w:val="00611fed"/>
    <w:pPr>
      <w:ind w:left="360"/>
    </w:pPr>
    <w:rPr>
      <w:rFonts w:ascii="Arial" w:hAnsi="Arial"/>
    </w:rPr>
  </w:style>
  <w:style w:type="paragraph" w:styleId="BodyTextIndent3">
    <w:name w:val="Body Text Indent 3"/>
    <w:basedOn w:val="Normal"/>
    <w:semiHidden/>
    <w:qFormat/>
    <w:rsid w:val="00611fed"/>
    <w:pPr>
      <w:ind w:left="355"/>
      <w:jc w:val="both"/>
    </w:pPr>
    <w:rPr>
      <w:rFonts w:ascii="Arial" w:hAnsi="Arial"/>
    </w:rPr>
  </w:style>
  <w:style w:type="paragraph" w:styleId="BodyText2">
    <w:name w:val="Body Text 2"/>
    <w:basedOn w:val="Normal"/>
    <w:semiHidden/>
    <w:qFormat/>
    <w:rsid w:val="00611fed"/>
    <w:pPr/>
    <w:rPr>
      <w:color w:val="FF0000"/>
      <w:sz w:val="24"/>
      <w:szCs w:val="17"/>
      <w:lang w:val="pt-BR"/>
    </w:rPr>
  </w:style>
  <w:style w:type="paragraph" w:styleId="BodyTextIndent">
    <w:name w:val="Body Text Indent"/>
    <w:basedOn w:val="Normal"/>
    <w:semiHidden/>
    <w:rsid w:val="00611fed"/>
    <w:pPr>
      <w:tabs>
        <w:tab w:val="clear" w:pos="706"/>
        <w:tab w:val="left" w:pos="284" w:leader="none"/>
      </w:tabs>
      <w:spacing w:lineRule="exact" w:line="188"/>
      <w:ind w:hanging="426" w:left="426"/>
    </w:pPr>
    <w:rPr>
      <w:sz w:val="16"/>
    </w:rPr>
  </w:style>
  <w:style w:type="paragraph" w:styleId="PaperHeader" w:customStyle="1">
    <w:name w:val="Paper Header"/>
    <w:basedOn w:val="Normal"/>
    <w:qFormat/>
    <w:rsid w:val="00611fed"/>
    <w:pPr/>
    <w:rPr>
      <w:rFonts w:ascii="Arial" w:hAnsi="Arial"/>
      <w:sz w:val="16"/>
      <w:lang w:val="pt-BR"/>
    </w:rPr>
  </w:style>
  <w:style w:type="paragraph" w:styleId="PageNumber1" w:customStyle="1">
    <w:name w:val="Page Number1"/>
    <w:basedOn w:val="Normal"/>
    <w:qFormat/>
    <w:rsid w:val="00611fed"/>
    <w:pPr/>
    <w:rPr/>
  </w:style>
  <w:style w:type="paragraph" w:styleId="BodyText3">
    <w:name w:val="Body Text 3"/>
    <w:basedOn w:val="Normal"/>
    <w:semiHidden/>
    <w:qFormat/>
    <w:rsid w:val="00611fed"/>
    <w:pPr>
      <w:jc w:val="both"/>
    </w:pPr>
    <w:rPr>
      <w:color w:val="FF0000"/>
      <w:sz w:val="24"/>
      <w:szCs w:val="17"/>
      <w:lang w:val="pt-BR"/>
    </w:rPr>
  </w:style>
  <w:style w:type="paragraph" w:styleId="Header">
    <w:name w:val="Header"/>
    <w:basedOn w:val="Normal"/>
    <w:semiHidden/>
    <w:rsid w:val="00611fed"/>
    <w:pPr>
      <w:tabs>
        <w:tab w:val="clear" w:pos="706"/>
        <w:tab w:val="center" w:pos="4419" w:leader="none"/>
        <w:tab w:val="right" w:pos="8838" w:leader="none"/>
      </w:tabs>
    </w:pPr>
    <w:rPr/>
  </w:style>
  <w:style w:type="paragraph" w:styleId="BalloonText">
    <w:name w:val="Balloon Text"/>
    <w:basedOn w:val="Normal"/>
    <w:link w:val="TextodebaloChar"/>
    <w:uiPriority w:val="99"/>
    <w:semiHidden/>
    <w:unhideWhenUsed/>
    <w:qFormat/>
    <w:rsid w:val="00d16204"/>
    <w:pPr/>
    <w:rPr>
      <w:rFonts w:ascii="Tahoma" w:hAnsi="Tahoma"/>
      <w:sz w:val="16"/>
      <w:szCs w:val="16"/>
      <w:lang w:eastAsia="x-none"/>
    </w:rPr>
  </w:style>
  <w:style w:type="paragraph" w:styleId="AnnotationText">
    <w:name w:val="Annotation Text"/>
    <w:basedOn w:val="Normal"/>
    <w:link w:val="TextodecomentrioChar"/>
    <w:uiPriority w:val="99"/>
    <w:semiHidden/>
    <w:unhideWhenUsed/>
    <w:rsid w:val="005a52d1"/>
    <w:pPr/>
    <w:rPr>
      <w:lang w:eastAsia="x-none"/>
    </w:rPr>
  </w:style>
  <w:style w:type="paragraph" w:styleId="annotationsubject">
    <w:name w:val="annotation subject"/>
    <w:basedOn w:val="AnnotationText"/>
    <w:next w:val="AnnotationText"/>
    <w:link w:val="AssuntodocomentrioChar"/>
    <w:uiPriority w:val="99"/>
    <w:semiHidden/>
    <w:unhideWhenUsed/>
    <w:qFormat/>
    <w:rsid w:val="005a52d1"/>
    <w:pPr/>
    <w:rPr>
      <w:b/>
      <w:bCs/>
    </w:rPr>
  </w:style>
  <w:style w:type="paragraph" w:styleId="Sectionsubheader" w:customStyle="1">
    <w:name w:val="Section sub header"/>
    <w:basedOn w:val="SectionHeader"/>
    <w:next w:val="SectionBody"/>
    <w:qFormat/>
    <w:rsid w:val="00cf3c40"/>
    <w:pPr>
      <w:tabs>
        <w:tab w:val="clear" w:pos="284"/>
      </w:tabs>
      <w:outlineLvl w:val="1"/>
    </w:pPr>
    <w:rPr>
      <w:caps w:val="false"/>
      <w:smallCaps w:val="false"/>
    </w:rPr>
  </w:style>
  <w:style w:type="paragraph" w:styleId="Text" w:customStyle="1">
    <w:name w:val="Text"/>
    <w:basedOn w:val="Normal"/>
    <w:qFormat/>
    <w:rsid w:val="0028449d"/>
    <w:pPr>
      <w:widowControl w:val="false"/>
      <w:suppressAutoHyphens w:val="false"/>
      <w:spacing w:lineRule="auto" w:line="252"/>
      <w:ind w:firstLine="240"/>
      <w:jc w:val="both"/>
    </w:pPr>
    <w:rPr>
      <w:lang w:eastAsia="en-US"/>
    </w:rPr>
  </w:style>
  <w:style w:type="paragraph" w:styleId="ListParagraph">
    <w:name w:val="List Paragraph"/>
    <w:basedOn w:val="Normal"/>
    <w:uiPriority w:val="34"/>
    <w:qFormat/>
    <w:rsid w:val="002a5d65"/>
    <w:pPr>
      <w:suppressAutoHyphens w:val="false"/>
      <w:spacing w:before="0" w:after="0"/>
      <w:ind w:left="720"/>
      <w:contextualSpacing/>
    </w:pPr>
    <w:rPr>
      <w:lang w:val="pt-BR" w:eastAsia="en-US"/>
    </w:rPr>
  </w:style>
  <w:style w:type="paragraph" w:styleId="Default" w:customStyle="1">
    <w:name w:val="Default"/>
    <w:qFormat/>
    <w:rsid w:val="002a5d65"/>
    <w:pPr>
      <w:widowControl/>
      <w:suppressAutoHyphens w:val="false"/>
      <w:bidi w:val="0"/>
      <w:spacing w:before="0" w:after="0"/>
      <w:jc w:val="left"/>
    </w:pPr>
    <w:rPr>
      <w:rFonts w:ascii="Times New Roman" w:hAnsi="Times New Roman" w:eastAsia="Times New Roman" w:cs="Times New Roman"/>
      <w:color w:val="000000"/>
      <w:kern w:val="0"/>
      <w:sz w:val="24"/>
      <w:szCs w:val="24"/>
      <w:lang w:val="pt-BR" w:eastAsia="en-US" w:bidi="ar-SA"/>
    </w:rPr>
  </w:style>
  <w:style w:type="paragraph" w:styleId="NoSpacing">
    <w:name w:val="No Spacing"/>
    <w:uiPriority w:val="1"/>
    <w:qFormat/>
    <w:rsid w:val="00422579"/>
    <w:pPr>
      <w:widowControl w:val="false"/>
      <w:suppressAutoHyphens w:val="true"/>
      <w:bidi w:val="0"/>
      <w:spacing w:lineRule="auto" w:line="360" w:before="0" w:after="0"/>
      <w:jc w:val="both"/>
      <w:textAlignment w:val="baseline"/>
    </w:pPr>
    <w:rPr>
      <w:rFonts w:ascii="Times New Roman" w:hAnsi="Times New Roman" w:eastAsia="SimSun" w:cs="Mangal"/>
      <w:color w:val="auto"/>
      <w:kern w:val="2"/>
      <w:sz w:val="24"/>
      <w:szCs w:val="21"/>
      <w:lang w:val="pt-BR" w:eastAsia="zh-CN" w:bidi="hi-IN"/>
    </w:rPr>
  </w:style>
  <w:style w:type="paragraph" w:styleId="acad1" w:customStyle="1">
    <w:name w:val="acad1"/>
    <w:basedOn w:val="Normal"/>
    <w:qFormat/>
    <w:rsid w:val="001d736b"/>
    <w:pPr>
      <w:numPr>
        <w:ilvl w:val="0"/>
        <w:numId w:val="3"/>
      </w:numPr>
      <w:spacing w:lineRule="auto" w:line="360"/>
    </w:pPr>
    <w:rPr>
      <w:rFonts w:ascii="Arial" w:hAnsi="Arial" w:cs="Arial"/>
      <w:b/>
      <w:sz w:val="24"/>
      <w:szCs w:val="24"/>
      <w:lang w:val="pt-BR"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d1620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aquel.alves568332@gmail.com" TargetMode="External"/><Relationship Id="rId3" Type="http://schemas.openxmlformats.org/officeDocument/2006/relationships/hyperlink" Target="mailto:regina.paulino@unesp.br" TargetMode="External"/><Relationship Id="rId4" Type="http://schemas.openxmlformats.org/officeDocument/2006/relationships/chart" Target="charts/chart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jpeg"/>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layout>
        <c:manualLayout>
          <c:layoutTarget val="inner"/>
          <c:xMode val="edge"/>
          <c:yMode val="edge"/>
          <c:x val="0.11475"/>
          <c:y val="0.0421111111111111"/>
          <c:w val="0.8374375"/>
          <c:h val="0.800111111111111"/>
        </c:manualLayout>
      </c:layout>
      <c:lineChart>
        <c:grouping val="standard"/>
        <c:varyColors val="0"/>
        <c:ser>
          <c:idx val="0"/>
          <c:order val="0"/>
          <c:tx>
            <c:strRef>
              <c:f>label 0</c:f>
              <c:strCache>
                <c:ptCount val="1"/>
                <c:pt idx="0">
                  <c:v>CO</c:v>
                </c:pt>
              </c:strCache>
            </c:strRef>
          </c:tx>
          <c:spPr>
            <a:solidFill>
              <a:srgbClr val="ed7d31"/>
            </a:solidFill>
            <a:ln cap="rnd" w="28440">
              <a:solidFill>
                <a:srgbClr val="ed7d31"/>
              </a:solidFill>
              <a:round/>
            </a:ln>
          </c:spPr>
          <c:marker>
            <c:symbol val="none"/>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201"/>
                <c:pt idx="0">
                  <c:v>300</c:v>
                </c:pt>
                <c:pt idx="1">
                  <c:v>310</c:v>
                </c:pt>
                <c:pt idx="2">
                  <c:v>320</c:v>
                </c:pt>
                <c:pt idx="3">
                  <c:v>330</c:v>
                </c:pt>
                <c:pt idx="4">
                  <c:v>340</c:v>
                </c:pt>
                <c:pt idx="5">
                  <c:v>350</c:v>
                </c:pt>
                <c:pt idx="6">
                  <c:v>360</c:v>
                </c:pt>
                <c:pt idx="7">
                  <c:v>370</c:v>
                </c:pt>
                <c:pt idx="8">
                  <c:v>380</c:v>
                </c:pt>
                <c:pt idx="9">
                  <c:v>390</c:v>
                </c:pt>
                <c:pt idx="10">
                  <c:v>400</c:v>
                </c:pt>
                <c:pt idx="11">
                  <c:v>410</c:v>
                </c:pt>
                <c:pt idx="12">
                  <c:v>420</c:v>
                </c:pt>
                <c:pt idx="13">
                  <c:v>430</c:v>
                </c:pt>
                <c:pt idx="14">
                  <c:v>440</c:v>
                </c:pt>
                <c:pt idx="15">
                  <c:v>450</c:v>
                </c:pt>
                <c:pt idx="16">
                  <c:v>460</c:v>
                </c:pt>
                <c:pt idx="17">
                  <c:v>470</c:v>
                </c:pt>
                <c:pt idx="18">
                  <c:v>480</c:v>
                </c:pt>
                <c:pt idx="19">
                  <c:v>490</c:v>
                </c:pt>
                <c:pt idx="20">
                  <c:v>500</c:v>
                </c:pt>
                <c:pt idx="21">
                  <c:v>510</c:v>
                </c:pt>
                <c:pt idx="22">
                  <c:v>520</c:v>
                </c:pt>
                <c:pt idx="23">
                  <c:v>530</c:v>
                </c:pt>
                <c:pt idx="24">
                  <c:v>540</c:v>
                </c:pt>
                <c:pt idx="25">
                  <c:v>550</c:v>
                </c:pt>
                <c:pt idx="26">
                  <c:v>560</c:v>
                </c:pt>
                <c:pt idx="27">
                  <c:v>570</c:v>
                </c:pt>
                <c:pt idx="28">
                  <c:v>580</c:v>
                </c:pt>
                <c:pt idx="29">
                  <c:v>590</c:v>
                </c:pt>
                <c:pt idx="30">
                  <c:v>600</c:v>
                </c:pt>
                <c:pt idx="31">
                  <c:v>610</c:v>
                </c:pt>
                <c:pt idx="32">
                  <c:v>620</c:v>
                </c:pt>
                <c:pt idx="33">
                  <c:v>630</c:v>
                </c:pt>
                <c:pt idx="34">
                  <c:v>640</c:v>
                </c:pt>
                <c:pt idx="35">
                  <c:v>650</c:v>
                </c:pt>
                <c:pt idx="36">
                  <c:v>660</c:v>
                </c:pt>
                <c:pt idx="37">
                  <c:v>670</c:v>
                </c:pt>
                <c:pt idx="38">
                  <c:v>680</c:v>
                </c:pt>
                <c:pt idx="39">
                  <c:v>690</c:v>
                </c:pt>
                <c:pt idx="40">
                  <c:v>700</c:v>
                </c:pt>
                <c:pt idx="41">
                  <c:v>710</c:v>
                </c:pt>
                <c:pt idx="42">
                  <c:v>720</c:v>
                </c:pt>
                <c:pt idx="43">
                  <c:v>730</c:v>
                </c:pt>
                <c:pt idx="44">
                  <c:v>740</c:v>
                </c:pt>
                <c:pt idx="45">
                  <c:v>750</c:v>
                </c:pt>
                <c:pt idx="46">
                  <c:v>760</c:v>
                </c:pt>
                <c:pt idx="47">
                  <c:v>770</c:v>
                </c:pt>
                <c:pt idx="48">
                  <c:v>780</c:v>
                </c:pt>
                <c:pt idx="49">
                  <c:v>790</c:v>
                </c:pt>
                <c:pt idx="50">
                  <c:v>800</c:v>
                </c:pt>
                <c:pt idx="51">
                  <c:v>810</c:v>
                </c:pt>
                <c:pt idx="52">
                  <c:v>820</c:v>
                </c:pt>
                <c:pt idx="53">
                  <c:v>830</c:v>
                </c:pt>
                <c:pt idx="54">
                  <c:v>840</c:v>
                </c:pt>
                <c:pt idx="55">
                  <c:v>850</c:v>
                </c:pt>
                <c:pt idx="56">
                  <c:v>860</c:v>
                </c:pt>
                <c:pt idx="57">
                  <c:v>870</c:v>
                </c:pt>
                <c:pt idx="58">
                  <c:v>880</c:v>
                </c:pt>
                <c:pt idx="59">
                  <c:v>890</c:v>
                </c:pt>
                <c:pt idx="60">
                  <c:v>900</c:v>
                </c:pt>
                <c:pt idx="61">
                  <c:v>910</c:v>
                </c:pt>
                <c:pt idx="62">
                  <c:v>920</c:v>
                </c:pt>
                <c:pt idx="63">
                  <c:v>930</c:v>
                </c:pt>
                <c:pt idx="64">
                  <c:v>940</c:v>
                </c:pt>
                <c:pt idx="65">
                  <c:v>950</c:v>
                </c:pt>
                <c:pt idx="66">
                  <c:v>960</c:v>
                </c:pt>
                <c:pt idx="67">
                  <c:v>970</c:v>
                </c:pt>
                <c:pt idx="68">
                  <c:v>980</c:v>
                </c:pt>
                <c:pt idx="69">
                  <c:v>990</c:v>
                </c:pt>
                <c:pt idx="70">
                  <c:v>1000</c:v>
                </c:pt>
                <c:pt idx="71">
                  <c:v>1010</c:v>
                </c:pt>
                <c:pt idx="72">
                  <c:v>1020</c:v>
                </c:pt>
                <c:pt idx="73">
                  <c:v>1030</c:v>
                </c:pt>
                <c:pt idx="74">
                  <c:v>1040</c:v>
                </c:pt>
                <c:pt idx="75">
                  <c:v>1050</c:v>
                </c:pt>
                <c:pt idx="76">
                  <c:v>1060</c:v>
                </c:pt>
                <c:pt idx="77">
                  <c:v>1070</c:v>
                </c:pt>
                <c:pt idx="78">
                  <c:v>1080</c:v>
                </c:pt>
                <c:pt idx="79">
                  <c:v>1090</c:v>
                </c:pt>
                <c:pt idx="80">
                  <c:v>1100</c:v>
                </c:pt>
                <c:pt idx="81">
                  <c:v>1110</c:v>
                </c:pt>
                <c:pt idx="82">
                  <c:v>1120</c:v>
                </c:pt>
                <c:pt idx="83">
                  <c:v>1130</c:v>
                </c:pt>
                <c:pt idx="84">
                  <c:v>1140</c:v>
                </c:pt>
                <c:pt idx="85">
                  <c:v>1150</c:v>
                </c:pt>
                <c:pt idx="86">
                  <c:v>1160</c:v>
                </c:pt>
                <c:pt idx="87">
                  <c:v>1170</c:v>
                </c:pt>
                <c:pt idx="88">
                  <c:v>1180</c:v>
                </c:pt>
                <c:pt idx="89">
                  <c:v>1190</c:v>
                </c:pt>
                <c:pt idx="90">
                  <c:v>1200</c:v>
                </c:pt>
                <c:pt idx="91">
                  <c:v>1210</c:v>
                </c:pt>
                <c:pt idx="92">
                  <c:v>1220</c:v>
                </c:pt>
                <c:pt idx="93">
                  <c:v>1230</c:v>
                </c:pt>
                <c:pt idx="94">
                  <c:v>1240</c:v>
                </c:pt>
                <c:pt idx="95">
                  <c:v>1250</c:v>
                </c:pt>
                <c:pt idx="96">
                  <c:v>1260</c:v>
                </c:pt>
                <c:pt idx="97">
                  <c:v>1270</c:v>
                </c:pt>
                <c:pt idx="98">
                  <c:v>1280</c:v>
                </c:pt>
                <c:pt idx="99">
                  <c:v>1290</c:v>
                </c:pt>
                <c:pt idx="100">
                  <c:v>1300</c:v>
                </c:pt>
                <c:pt idx="101">
                  <c:v>1310</c:v>
                </c:pt>
                <c:pt idx="102">
                  <c:v>1320</c:v>
                </c:pt>
                <c:pt idx="103">
                  <c:v>1330</c:v>
                </c:pt>
                <c:pt idx="104">
                  <c:v>1340</c:v>
                </c:pt>
                <c:pt idx="105">
                  <c:v>1350</c:v>
                </c:pt>
                <c:pt idx="106">
                  <c:v>1360</c:v>
                </c:pt>
                <c:pt idx="107">
                  <c:v>1370</c:v>
                </c:pt>
                <c:pt idx="108">
                  <c:v>1380</c:v>
                </c:pt>
                <c:pt idx="109">
                  <c:v>1390</c:v>
                </c:pt>
                <c:pt idx="110">
                  <c:v>1400</c:v>
                </c:pt>
                <c:pt idx="111">
                  <c:v>1410</c:v>
                </c:pt>
                <c:pt idx="112">
                  <c:v>1420</c:v>
                </c:pt>
                <c:pt idx="113">
                  <c:v>1430</c:v>
                </c:pt>
                <c:pt idx="114">
                  <c:v>1440</c:v>
                </c:pt>
                <c:pt idx="115">
                  <c:v>1450</c:v>
                </c:pt>
                <c:pt idx="116">
                  <c:v>1460</c:v>
                </c:pt>
                <c:pt idx="117">
                  <c:v>1470</c:v>
                </c:pt>
                <c:pt idx="118">
                  <c:v>1480</c:v>
                </c:pt>
                <c:pt idx="119">
                  <c:v>1490</c:v>
                </c:pt>
                <c:pt idx="120">
                  <c:v>1500</c:v>
                </c:pt>
                <c:pt idx="121">
                  <c:v>1510</c:v>
                </c:pt>
                <c:pt idx="122">
                  <c:v>1520</c:v>
                </c:pt>
                <c:pt idx="123">
                  <c:v>1530</c:v>
                </c:pt>
                <c:pt idx="124">
                  <c:v>1540</c:v>
                </c:pt>
                <c:pt idx="125">
                  <c:v>1550</c:v>
                </c:pt>
                <c:pt idx="126">
                  <c:v>1560</c:v>
                </c:pt>
                <c:pt idx="127">
                  <c:v>1570</c:v>
                </c:pt>
                <c:pt idx="128">
                  <c:v>1580</c:v>
                </c:pt>
                <c:pt idx="129">
                  <c:v>1590</c:v>
                </c:pt>
                <c:pt idx="130">
                  <c:v>1600</c:v>
                </c:pt>
                <c:pt idx="131">
                  <c:v>1610</c:v>
                </c:pt>
                <c:pt idx="132">
                  <c:v>1620</c:v>
                </c:pt>
                <c:pt idx="133">
                  <c:v>1630</c:v>
                </c:pt>
                <c:pt idx="134">
                  <c:v>1640</c:v>
                </c:pt>
                <c:pt idx="135">
                  <c:v>1650</c:v>
                </c:pt>
                <c:pt idx="136">
                  <c:v>1660</c:v>
                </c:pt>
                <c:pt idx="137">
                  <c:v>1670</c:v>
                </c:pt>
                <c:pt idx="138">
                  <c:v>1680</c:v>
                </c:pt>
                <c:pt idx="139">
                  <c:v>1690</c:v>
                </c:pt>
                <c:pt idx="140">
                  <c:v>1700</c:v>
                </c:pt>
                <c:pt idx="141">
                  <c:v>1710</c:v>
                </c:pt>
                <c:pt idx="142">
                  <c:v>1720</c:v>
                </c:pt>
                <c:pt idx="143">
                  <c:v>1730</c:v>
                </c:pt>
                <c:pt idx="144">
                  <c:v>1740</c:v>
                </c:pt>
                <c:pt idx="145">
                  <c:v>1750</c:v>
                </c:pt>
                <c:pt idx="146">
                  <c:v>1760</c:v>
                </c:pt>
                <c:pt idx="147">
                  <c:v>1770</c:v>
                </c:pt>
                <c:pt idx="148">
                  <c:v>1780</c:v>
                </c:pt>
                <c:pt idx="149">
                  <c:v>1790</c:v>
                </c:pt>
                <c:pt idx="150">
                  <c:v>1800</c:v>
                </c:pt>
                <c:pt idx="151">
                  <c:v>1810</c:v>
                </c:pt>
                <c:pt idx="152">
                  <c:v>1820</c:v>
                </c:pt>
                <c:pt idx="153">
                  <c:v>1830</c:v>
                </c:pt>
                <c:pt idx="154">
                  <c:v>1840</c:v>
                </c:pt>
                <c:pt idx="155">
                  <c:v>1850</c:v>
                </c:pt>
                <c:pt idx="156">
                  <c:v>1860</c:v>
                </c:pt>
                <c:pt idx="157">
                  <c:v>1870</c:v>
                </c:pt>
                <c:pt idx="158">
                  <c:v>1880</c:v>
                </c:pt>
                <c:pt idx="159">
                  <c:v>1890</c:v>
                </c:pt>
                <c:pt idx="160">
                  <c:v>1900</c:v>
                </c:pt>
                <c:pt idx="161">
                  <c:v>1910</c:v>
                </c:pt>
                <c:pt idx="162">
                  <c:v>1920</c:v>
                </c:pt>
                <c:pt idx="163">
                  <c:v>1930</c:v>
                </c:pt>
                <c:pt idx="164">
                  <c:v>1940</c:v>
                </c:pt>
                <c:pt idx="165">
                  <c:v>1950</c:v>
                </c:pt>
                <c:pt idx="166">
                  <c:v>1960</c:v>
                </c:pt>
                <c:pt idx="167">
                  <c:v>1970</c:v>
                </c:pt>
                <c:pt idx="168">
                  <c:v>1980</c:v>
                </c:pt>
                <c:pt idx="169">
                  <c:v>1990</c:v>
                </c:pt>
                <c:pt idx="170">
                  <c:v>2000</c:v>
                </c:pt>
                <c:pt idx="171">
                  <c:v>2010</c:v>
                </c:pt>
                <c:pt idx="172">
                  <c:v>2020</c:v>
                </c:pt>
                <c:pt idx="173">
                  <c:v>2030</c:v>
                </c:pt>
                <c:pt idx="174">
                  <c:v>2040</c:v>
                </c:pt>
                <c:pt idx="175">
                  <c:v>2050</c:v>
                </c:pt>
                <c:pt idx="176">
                  <c:v>2060</c:v>
                </c:pt>
                <c:pt idx="177">
                  <c:v>2070</c:v>
                </c:pt>
                <c:pt idx="178">
                  <c:v>2080</c:v>
                </c:pt>
                <c:pt idx="179">
                  <c:v>2090</c:v>
                </c:pt>
                <c:pt idx="180">
                  <c:v>2100</c:v>
                </c:pt>
                <c:pt idx="181">
                  <c:v>2110</c:v>
                </c:pt>
                <c:pt idx="182">
                  <c:v>2120</c:v>
                </c:pt>
                <c:pt idx="183">
                  <c:v>2130</c:v>
                </c:pt>
                <c:pt idx="184">
                  <c:v>2140</c:v>
                </c:pt>
                <c:pt idx="185">
                  <c:v>2150</c:v>
                </c:pt>
                <c:pt idx="186">
                  <c:v>2160</c:v>
                </c:pt>
                <c:pt idx="187">
                  <c:v>2170</c:v>
                </c:pt>
                <c:pt idx="188">
                  <c:v>2180</c:v>
                </c:pt>
                <c:pt idx="189">
                  <c:v>2190</c:v>
                </c:pt>
                <c:pt idx="190">
                  <c:v>2200</c:v>
                </c:pt>
                <c:pt idx="191">
                  <c:v>2210</c:v>
                </c:pt>
                <c:pt idx="192">
                  <c:v>2220</c:v>
                </c:pt>
                <c:pt idx="193">
                  <c:v>2230</c:v>
                </c:pt>
                <c:pt idx="194">
                  <c:v>2240</c:v>
                </c:pt>
                <c:pt idx="195">
                  <c:v>2250</c:v>
                </c:pt>
                <c:pt idx="196">
                  <c:v>2260</c:v>
                </c:pt>
                <c:pt idx="197">
                  <c:v>2270</c:v>
                </c:pt>
                <c:pt idx="198">
                  <c:v>2280</c:v>
                </c:pt>
                <c:pt idx="199">
                  <c:v>2290</c:v>
                </c:pt>
                <c:pt idx="200">
                  <c:v>2300</c:v>
                </c:pt>
              </c:strCache>
            </c:strRef>
          </c:cat>
          <c:val>
            <c:numRef>
              <c:f>0</c:f>
              <c:numCache>
                <c:formatCode>General</c:formatCode>
                <c:ptCount val="201"/>
                <c:pt idx="0">
                  <c:v>1.74436E-010</c:v>
                </c:pt>
                <c:pt idx="1">
                  <c:v>5.39995E-010</c:v>
                </c:pt>
                <c:pt idx="2">
                  <c:v>1.57489E-009</c:v>
                </c:pt>
                <c:pt idx="3">
                  <c:v>4.38066E-009</c:v>
                </c:pt>
                <c:pt idx="4">
                  <c:v>1.18206E-008</c:v>
                </c:pt>
                <c:pt idx="5">
                  <c:v>3.19783E-008</c:v>
                </c:pt>
                <c:pt idx="6">
                  <c:v>9.86532E-008</c:v>
                </c:pt>
                <c:pt idx="7">
                  <c:v>6.75952E-007</c:v>
                </c:pt>
                <c:pt idx="8">
                  <c:v>1.45204E-006</c:v>
                </c:pt>
                <c:pt idx="9">
                  <c:v>3.00053E-006</c:v>
                </c:pt>
                <c:pt idx="10">
                  <c:v>5.98139E-006</c:v>
                </c:pt>
                <c:pt idx="11">
                  <c:v>1.15321E-005</c:v>
                </c:pt>
                <c:pt idx="12">
                  <c:v>2.15541E-005</c:v>
                </c:pt>
                <c:pt idx="13">
                  <c:v>3.91373E-005</c:v>
                </c:pt>
                <c:pt idx="14">
                  <c:v>6.91721E-005</c:v>
                </c:pt>
                <c:pt idx="15">
                  <c:v>0.000119212</c:v>
                </c:pt>
                <c:pt idx="16">
                  <c:v>0.000200659</c:v>
                </c:pt>
                <c:pt idx="17">
                  <c:v>0.000330365</c:v>
                </c:pt>
                <c:pt idx="18">
                  <c:v>0.000532745</c:v>
                </c:pt>
                <c:pt idx="19">
                  <c:v>0.000842515</c:v>
                </c:pt>
                <c:pt idx="20">
                  <c:v>0.00131</c:v>
                </c:pt>
                <c:pt idx="21">
                  <c:v>0.002</c:v>
                </c:pt>
                <c:pt idx="22">
                  <c:v>0.003</c:v>
                </c:pt>
                <c:pt idx="23">
                  <c:v>0.00443</c:v>
                </c:pt>
                <c:pt idx="24">
                  <c:v>0.00646</c:v>
                </c:pt>
                <c:pt idx="25">
                  <c:v>0.00928</c:v>
                </c:pt>
                <c:pt idx="26">
                  <c:v>0.01317</c:v>
                </c:pt>
                <c:pt idx="27">
                  <c:v>0.01846</c:v>
                </c:pt>
                <c:pt idx="28">
                  <c:v>0.02556</c:v>
                </c:pt>
                <c:pt idx="29">
                  <c:v>0.03501</c:v>
                </c:pt>
                <c:pt idx="30">
                  <c:v>0.04745</c:v>
                </c:pt>
                <c:pt idx="31">
                  <c:v>0.06366</c:v>
                </c:pt>
                <c:pt idx="32">
                  <c:v>0.0846</c:v>
                </c:pt>
                <c:pt idx="33">
                  <c:v>0.1114</c:v>
                </c:pt>
                <c:pt idx="34">
                  <c:v>0.14541</c:v>
                </c:pt>
                <c:pt idx="35">
                  <c:v>0.18822</c:v>
                </c:pt>
                <c:pt idx="36">
                  <c:v>0.24171</c:v>
                </c:pt>
                <c:pt idx="37">
                  <c:v>0.30804</c:v>
                </c:pt>
                <c:pt idx="38">
                  <c:v>0.38972</c:v>
                </c:pt>
                <c:pt idx="39">
                  <c:v>0.48961</c:v>
                </c:pt>
                <c:pt idx="40">
                  <c:v>0.61097</c:v>
                </c:pt>
                <c:pt idx="41">
                  <c:v>0.75752</c:v>
                </c:pt>
                <c:pt idx="42">
                  <c:v>0.9334</c:v>
                </c:pt>
                <c:pt idx="43">
                  <c:v>1.14326</c:v>
                </c:pt>
                <c:pt idx="44">
                  <c:v>1.39224</c:v>
                </c:pt>
                <c:pt idx="45">
                  <c:v>1.68602</c:v>
                </c:pt>
                <c:pt idx="46">
                  <c:v>2.03081</c:v>
                </c:pt>
                <c:pt idx="47">
                  <c:v>2.43334</c:v>
                </c:pt>
                <c:pt idx="48">
                  <c:v>2.90084</c:v>
                </c:pt>
                <c:pt idx="49">
                  <c:v>3.44104</c:v>
                </c:pt>
                <c:pt idx="50">
                  <c:v>4.06204</c:v>
                </c:pt>
                <c:pt idx="51">
                  <c:v>4.77228</c:v>
                </c:pt>
                <c:pt idx="52">
                  <c:v>5.58037</c:v>
                </c:pt>
                <c:pt idx="53">
                  <c:v>6.49495</c:v>
                </c:pt>
                <c:pt idx="54">
                  <c:v>7.52441</c:v>
                </c:pt>
                <c:pt idx="55">
                  <c:v>8.67668</c:v>
                </c:pt>
                <c:pt idx="56">
                  <c:v>9.9588</c:v>
                </c:pt>
                <c:pt idx="57">
                  <c:v>11.3766</c:v>
                </c:pt>
                <c:pt idx="58">
                  <c:v>12.934</c:v>
                </c:pt>
                <c:pt idx="59">
                  <c:v>14.6329</c:v>
                </c:pt>
                <c:pt idx="60">
                  <c:v>16.4721</c:v>
                </c:pt>
                <c:pt idx="61">
                  <c:v>18.4471</c:v>
                </c:pt>
                <c:pt idx="62">
                  <c:v>20.5494</c:v>
                </c:pt>
                <c:pt idx="63">
                  <c:v>22.7662</c:v>
                </c:pt>
                <c:pt idx="64">
                  <c:v>25.0803</c:v>
                </c:pt>
                <c:pt idx="65">
                  <c:v>27.4698</c:v>
                </c:pt>
                <c:pt idx="66">
                  <c:v>29.9091</c:v>
                </c:pt>
                <c:pt idx="67">
                  <c:v>32.3693</c:v>
                </c:pt>
                <c:pt idx="68">
                  <c:v>34.8195</c:v>
                </c:pt>
                <c:pt idx="69">
                  <c:v>36.5155</c:v>
                </c:pt>
                <c:pt idx="70">
                  <c:v>36.9893</c:v>
                </c:pt>
                <c:pt idx="71">
                  <c:v>37.3956</c:v>
                </c:pt>
                <c:pt idx="72">
                  <c:v>37.744</c:v>
                </c:pt>
                <c:pt idx="73">
                  <c:v>38.0439</c:v>
                </c:pt>
                <c:pt idx="74">
                  <c:v>38.3037</c:v>
                </c:pt>
                <c:pt idx="75">
                  <c:v>38.5308</c:v>
                </c:pt>
                <c:pt idx="76">
                  <c:v>38.7314</c:v>
                </c:pt>
                <c:pt idx="77">
                  <c:v>38.9108</c:v>
                </c:pt>
                <c:pt idx="78">
                  <c:v>39.0731</c:v>
                </c:pt>
                <c:pt idx="79">
                  <c:v>39.2218</c:v>
                </c:pt>
                <c:pt idx="80">
                  <c:v>39.3594</c:v>
                </c:pt>
                <c:pt idx="81">
                  <c:v>39.4879</c:v>
                </c:pt>
                <c:pt idx="82">
                  <c:v>39.6091</c:v>
                </c:pt>
                <c:pt idx="83">
                  <c:v>39.7239</c:v>
                </c:pt>
                <c:pt idx="84">
                  <c:v>39.8335</c:v>
                </c:pt>
                <c:pt idx="85">
                  <c:v>39.9385</c:v>
                </c:pt>
                <c:pt idx="86">
                  <c:v>40.0396</c:v>
                </c:pt>
                <c:pt idx="87">
                  <c:v>40.137</c:v>
                </c:pt>
                <c:pt idx="88">
                  <c:v>40.2313</c:v>
                </c:pt>
                <c:pt idx="89">
                  <c:v>40.3227</c:v>
                </c:pt>
                <c:pt idx="90">
                  <c:v>40.4113</c:v>
                </c:pt>
                <c:pt idx="91">
                  <c:v>40.4975</c:v>
                </c:pt>
                <c:pt idx="92">
                  <c:v>40.5813</c:v>
                </c:pt>
                <c:pt idx="93">
                  <c:v>40.6629</c:v>
                </c:pt>
                <c:pt idx="94">
                  <c:v>40.7424</c:v>
                </c:pt>
                <c:pt idx="95">
                  <c:v>40.8199</c:v>
                </c:pt>
                <c:pt idx="96">
                  <c:v>40.8955</c:v>
                </c:pt>
                <c:pt idx="97">
                  <c:v>40.9692</c:v>
                </c:pt>
                <c:pt idx="98">
                  <c:v>41.0411</c:v>
                </c:pt>
                <c:pt idx="99">
                  <c:v>41.1112</c:v>
                </c:pt>
                <c:pt idx="100">
                  <c:v>41.1797</c:v>
                </c:pt>
                <c:pt idx="101">
                  <c:v>41.2466</c:v>
                </c:pt>
                <c:pt idx="102">
                  <c:v>41.3119</c:v>
                </c:pt>
                <c:pt idx="103">
                  <c:v>41.3757</c:v>
                </c:pt>
                <c:pt idx="104">
                  <c:v>41.438</c:v>
                </c:pt>
                <c:pt idx="105">
                  <c:v>41.4989</c:v>
                </c:pt>
                <c:pt idx="106">
                  <c:v>41.5583</c:v>
                </c:pt>
                <c:pt idx="107">
                  <c:v>41.6165</c:v>
                </c:pt>
                <c:pt idx="108">
                  <c:v>41.6732</c:v>
                </c:pt>
                <c:pt idx="109">
                  <c:v>41.7287</c:v>
                </c:pt>
                <c:pt idx="110">
                  <c:v>41.783</c:v>
                </c:pt>
                <c:pt idx="111">
                  <c:v>41.836</c:v>
                </c:pt>
                <c:pt idx="112">
                  <c:v>41.8879</c:v>
                </c:pt>
                <c:pt idx="113">
                  <c:v>41.9386</c:v>
                </c:pt>
                <c:pt idx="114">
                  <c:v>41.9882</c:v>
                </c:pt>
                <c:pt idx="115">
                  <c:v>42.0367</c:v>
                </c:pt>
                <c:pt idx="116">
                  <c:v>42.0841</c:v>
                </c:pt>
                <c:pt idx="117">
                  <c:v>42.1305</c:v>
                </c:pt>
                <c:pt idx="118">
                  <c:v>42.1758</c:v>
                </c:pt>
                <c:pt idx="119">
                  <c:v>42.2202</c:v>
                </c:pt>
                <c:pt idx="120">
                  <c:v>42.2637</c:v>
                </c:pt>
                <c:pt idx="121">
                  <c:v>42.3062</c:v>
                </c:pt>
                <c:pt idx="122">
                  <c:v>42.3477</c:v>
                </c:pt>
                <c:pt idx="123">
                  <c:v>42.3884</c:v>
                </c:pt>
                <c:pt idx="124">
                  <c:v>42.4283</c:v>
                </c:pt>
                <c:pt idx="125">
                  <c:v>42.4673</c:v>
                </c:pt>
                <c:pt idx="126">
                  <c:v>42.5054</c:v>
                </c:pt>
                <c:pt idx="127">
                  <c:v>42.5428</c:v>
                </c:pt>
                <c:pt idx="128">
                  <c:v>42.5794</c:v>
                </c:pt>
                <c:pt idx="129">
                  <c:v>42.6152</c:v>
                </c:pt>
                <c:pt idx="130">
                  <c:v>42.6503</c:v>
                </c:pt>
                <c:pt idx="131">
                  <c:v>42.6847</c:v>
                </c:pt>
                <c:pt idx="132">
                  <c:v>42.7183</c:v>
                </c:pt>
                <c:pt idx="133">
                  <c:v>42.7513</c:v>
                </c:pt>
                <c:pt idx="134">
                  <c:v>42.7835</c:v>
                </c:pt>
                <c:pt idx="135">
                  <c:v>42.8152</c:v>
                </c:pt>
                <c:pt idx="136">
                  <c:v>42.8461</c:v>
                </c:pt>
                <c:pt idx="137">
                  <c:v>42.8765</c:v>
                </c:pt>
                <c:pt idx="138">
                  <c:v>42.9062</c:v>
                </c:pt>
                <c:pt idx="139">
                  <c:v>42.9353</c:v>
                </c:pt>
                <c:pt idx="140">
                  <c:v>42.9639</c:v>
                </c:pt>
                <c:pt idx="141">
                  <c:v>42.9918</c:v>
                </c:pt>
                <c:pt idx="142">
                  <c:v>43.0192</c:v>
                </c:pt>
                <c:pt idx="143">
                  <c:v>43.0461</c:v>
                </c:pt>
                <c:pt idx="144">
                  <c:v>43.0724</c:v>
                </c:pt>
                <c:pt idx="145">
                  <c:v>43.0982</c:v>
                </c:pt>
                <c:pt idx="146">
                  <c:v>43.1234</c:v>
                </c:pt>
                <c:pt idx="147">
                  <c:v>43.1482</c:v>
                </c:pt>
                <c:pt idx="148">
                  <c:v>43.1724</c:v>
                </c:pt>
                <c:pt idx="149">
                  <c:v>43.1962</c:v>
                </c:pt>
                <c:pt idx="150">
                  <c:v>43.2194</c:v>
                </c:pt>
                <c:pt idx="151">
                  <c:v>43.2422</c:v>
                </c:pt>
                <c:pt idx="152">
                  <c:v>43.2646</c:v>
                </c:pt>
                <c:pt idx="153">
                  <c:v>43.2864</c:v>
                </c:pt>
                <c:pt idx="154">
                  <c:v>43.3079</c:v>
                </c:pt>
                <c:pt idx="155">
                  <c:v>43.3288</c:v>
                </c:pt>
                <c:pt idx="156">
                  <c:v>43.3494</c:v>
                </c:pt>
                <c:pt idx="157">
                  <c:v>43.3695</c:v>
                </c:pt>
                <c:pt idx="158">
                  <c:v>43.3892</c:v>
                </c:pt>
                <c:pt idx="159">
                  <c:v>43.4084</c:v>
                </c:pt>
                <c:pt idx="160">
                  <c:v>43.4273</c:v>
                </c:pt>
                <c:pt idx="161">
                  <c:v>43.4457</c:v>
                </c:pt>
                <c:pt idx="162">
                  <c:v>43.4638</c:v>
                </c:pt>
                <c:pt idx="163">
                  <c:v>43.4814</c:v>
                </c:pt>
                <c:pt idx="164">
                  <c:v>43.4986</c:v>
                </c:pt>
                <c:pt idx="165">
                  <c:v>43.5155</c:v>
                </c:pt>
                <c:pt idx="166">
                  <c:v>43.5319</c:v>
                </c:pt>
                <c:pt idx="167">
                  <c:v>43.548</c:v>
                </c:pt>
                <c:pt idx="168">
                  <c:v>43.5637</c:v>
                </c:pt>
                <c:pt idx="169">
                  <c:v>43.5789</c:v>
                </c:pt>
                <c:pt idx="170">
                  <c:v>43.5938</c:v>
                </c:pt>
                <c:pt idx="171">
                  <c:v>43.6084</c:v>
                </c:pt>
                <c:pt idx="172">
                  <c:v>43.6225</c:v>
                </c:pt>
                <c:pt idx="173">
                  <c:v>43.6363</c:v>
                </c:pt>
                <c:pt idx="174">
                  <c:v>43.6496</c:v>
                </c:pt>
                <c:pt idx="175">
                  <c:v>43.6626</c:v>
                </c:pt>
                <c:pt idx="176">
                  <c:v>43.6753</c:v>
                </c:pt>
                <c:pt idx="177">
                  <c:v>43.6875</c:v>
                </c:pt>
                <c:pt idx="178">
                  <c:v>43.6994</c:v>
                </c:pt>
                <c:pt idx="179">
                  <c:v>43.7108</c:v>
                </c:pt>
                <c:pt idx="180">
                  <c:v>43.7219</c:v>
                </c:pt>
                <c:pt idx="181">
                  <c:v>43.7326</c:v>
                </c:pt>
                <c:pt idx="182">
                  <c:v>43.743</c:v>
                </c:pt>
                <c:pt idx="183">
                  <c:v>43.7529</c:v>
                </c:pt>
                <c:pt idx="184">
                  <c:v>43.7624</c:v>
                </c:pt>
                <c:pt idx="185">
                  <c:v>43.7716</c:v>
                </c:pt>
                <c:pt idx="186">
                  <c:v>43.7803</c:v>
                </c:pt>
                <c:pt idx="187">
                  <c:v>43.7886</c:v>
                </c:pt>
                <c:pt idx="188">
                  <c:v>43.7966</c:v>
                </c:pt>
                <c:pt idx="189">
                  <c:v>43.8041</c:v>
                </c:pt>
                <c:pt idx="190">
                  <c:v>43.8112</c:v>
                </c:pt>
                <c:pt idx="191">
                  <c:v>43.8179</c:v>
                </c:pt>
                <c:pt idx="192">
                  <c:v>43.8241</c:v>
                </c:pt>
                <c:pt idx="193">
                  <c:v>43.8299</c:v>
                </c:pt>
                <c:pt idx="194">
                  <c:v>43.8353</c:v>
                </c:pt>
                <c:pt idx="195">
                  <c:v>43.8403</c:v>
                </c:pt>
                <c:pt idx="196">
                  <c:v>43.8448</c:v>
                </c:pt>
                <c:pt idx="197">
                  <c:v>43.8488</c:v>
                </c:pt>
                <c:pt idx="198">
                  <c:v>43.8524</c:v>
                </c:pt>
                <c:pt idx="199">
                  <c:v>43.8555</c:v>
                </c:pt>
                <c:pt idx="200">
                  <c:v>43.8581</c:v>
                </c:pt>
              </c:numCache>
            </c:numRef>
          </c:val>
          <c:smooth val="0"/>
        </c:ser>
        <c:ser>
          <c:idx val="1"/>
          <c:order val="1"/>
          <c:tx>
            <c:strRef>
              <c:f>label 1</c:f>
              <c:strCache>
                <c:ptCount val="1"/>
                <c:pt idx="0">
                  <c:v>H2</c:v>
                </c:pt>
              </c:strCache>
            </c:strRef>
          </c:tx>
          <c:spPr>
            <a:solidFill>
              <a:srgbClr val="2f5597"/>
            </a:solidFill>
            <a:ln cap="rnd" w="28440">
              <a:solidFill>
                <a:srgbClr val="2f5597"/>
              </a:solidFill>
              <a:round/>
            </a:ln>
          </c:spPr>
          <c:marker>
            <c:symbol val="none"/>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201"/>
                <c:pt idx="0">
                  <c:v>300</c:v>
                </c:pt>
                <c:pt idx="1">
                  <c:v>310</c:v>
                </c:pt>
                <c:pt idx="2">
                  <c:v>320</c:v>
                </c:pt>
                <c:pt idx="3">
                  <c:v>330</c:v>
                </c:pt>
                <c:pt idx="4">
                  <c:v>340</c:v>
                </c:pt>
                <c:pt idx="5">
                  <c:v>350</c:v>
                </c:pt>
                <c:pt idx="6">
                  <c:v>360</c:v>
                </c:pt>
                <c:pt idx="7">
                  <c:v>370</c:v>
                </c:pt>
                <c:pt idx="8">
                  <c:v>380</c:v>
                </c:pt>
                <c:pt idx="9">
                  <c:v>390</c:v>
                </c:pt>
                <c:pt idx="10">
                  <c:v>400</c:v>
                </c:pt>
                <c:pt idx="11">
                  <c:v>410</c:v>
                </c:pt>
                <c:pt idx="12">
                  <c:v>420</c:v>
                </c:pt>
                <c:pt idx="13">
                  <c:v>430</c:v>
                </c:pt>
                <c:pt idx="14">
                  <c:v>440</c:v>
                </c:pt>
                <c:pt idx="15">
                  <c:v>450</c:v>
                </c:pt>
                <c:pt idx="16">
                  <c:v>460</c:v>
                </c:pt>
                <c:pt idx="17">
                  <c:v>470</c:v>
                </c:pt>
                <c:pt idx="18">
                  <c:v>480</c:v>
                </c:pt>
                <c:pt idx="19">
                  <c:v>490</c:v>
                </c:pt>
                <c:pt idx="20">
                  <c:v>500</c:v>
                </c:pt>
                <c:pt idx="21">
                  <c:v>510</c:v>
                </c:pt>
                <c:pt idx="22">
                  <c:v>520</c:v>
                </c:pt>
                <c:pt idx="23">
                  <c:v>530</c:v>
                </c:pt>
                <c:pt idx="24">
                  <c:v>540</c:v>
                </c:pt>
                <c:pt idx="25">
                  <c:v>550</c:v>
                </c:pt>
                <c:pt idx="26">
                  <c:v>560</c:v>
                </c:pt>
                <c:pt idx="27">
                  <c:v>570</c:v>
                </c:pt>
                <c:pt idx="28">
                  <c:v>580</c:v>
                </c:pt>
                <c:pt idx="29">
                  <c:v>590</c:v>
                </c:pt>
                <c:pt idx="30">
                  <c:v>600</c:v>
                </c:pt>
                <c:pt idx="31">
                  <c:v>610</c:v>
                </c:pt>
                <c:pt idx="32">
                  <c:v>620</c:v>
                </c:pt>
                <c:pt idx="33">
                  <c:v>630</c:v>
                </c:pt>
                <c:pt idx="34">
                  <c:v>640</c:v>
                </c:pt>
                <c:pt idx="35">
                  <c:v>650</c:v>
                </c:pt>
                <c:pt idx="36">
                  <c:v>660</c:v>
                </c:pt>
                <c:pt idx="37">
                  <c:v>670</c:v>
                </c:pt>
                <c:pt idx="38">
                  <c:v>680</c:v>
                </c:pt>
                <c:pt idx="39">
                  <c:v>690</c:v>
                </c:pt>
                <c:pt idx="40">
                  <c:v>700</c:v>
                </c:pt>
                <c:pt idx="41">
                  <c:v>710</c:v>
                </c:pt>
                <c:pt idx="42">
                  <c:v>720</c:v>
                </c:pt>
                <c:pt idx="43">
                  <c:v>730</c:v>
                </c:pt>
                <c:pt idx="44">
                  <c:v>740</c:v>
                </c:pt>
                <c:pt idx="45">
                  <c:v>750</c:v>
                </c:pt>
                <c:pt idx="46">
                  <c:v>760</c:v>
                </c:pt>
                <c:pt idx="47">
                  <c:v>770</c:v>
                </c:pt>
                <c:pt idx="48">
                  <c:v>780</c:v>
                </c:pt>
                <c:pt idx="49">
                  <c:v>790</c:v>
                </c:pt>
                <c:pt idx="50">
                  <c:v>800</c:v>
                </c:pt>
                <c:pt idx="51">
                  <c:v>810</c:v>
                </c:pt>
                <c:pt idx="52">
                  <c:v>820</c:v>
                </c:pt>
                <c:pt idx="53">
                  <c:v>830</c:v>
                </c:pt>
                <c:pt idx="54">
                  <c:v>840</c:v>
                </c:pt>
                <c:pt idx="55">
                  <c:v>850</c:v>
                </c:pt>
                <c:pt idx="56">
                  <c:v>860</c:v>
                </c:pt>
                <c:pt idx="57">
                  <c:v>870</c:v>
                </c:pt>
                <c:pt idx="58">
                  <c:v>880</c:v>
                </c:pt>
                <c:pt idx="59">
                  <c:v>890</c:v>
                </c:pt>
                <c:pt idx="60">
                  <c:v>900</c:v>
                </c:pt>
                <c:pt idx="61">
                  <c:v>910</c:v>
                </c:pt>
                <c:pt idx="62">
                  <c:v>920</c:v>
                </c:pt>
                <c:pt idx="63">
                  <c:v>930</c:v>
                </c:pt>
                <c:pt idx="64">
                  <c:v>940</c:v>
                </c:pt>
                <c:pt idx="65">
                  <c:v>950</c:v>
                </c:pt>
                <c:pt idx="66">
                  <c:v>960</c:v>
                </c:pt>
                <c:pt idx="67">
                  <c:v>970</c:v>
                </c:pt>
                <c:pt idx="68">
                  <c:v>980</c:v>
                </c:pt>
                <c:pt idx="69">
                  <c:v>990</c:v>
                </c:pt>
                <c:pt idx="70">
                  <c:v>1000</c:v>
                </c:pt>
                <c:pt idx="71">
                  <c:v>1010</c:v>
                </c:pt>
                <c:pt idx="72">
                  <c:v>1020</c:v>
                </c:pt>
                <c:pt idx="73">
                  <c:v>1030</c:v>
                </c:pt>
                <c:pt idx="74">
                  <c:v>1040</c:v>
                </c:pt>
                <c:pt idx="75">
                  <c:v>1050</c:v>
                </c:pt>
                <c:pt idx="76">
                  <c:v>1060</c:v>
                </c:pt>
                <c:pt idx="77">
                  <c:v>1070</c:v>
                </c:pt>
                <c:pt idx="78">
                  <c:v>1080</c:v>
                </c:pt>
                <c:pt idx="79">
                  <c:v>1090</c:v>
                </c:pt>
                <c:pt idx="80">
                  <c:v>1100</c:v>
                </c:pt>
                <c:pt idx="81">
                  <c:v>1110</c:v>
                </c:pt>
                <c:pt idx="82">
                  <c:v>1120</c:v>
                </c:pt>
                <c:pt idx="83">
                  <c:v>1130</c:v>
                </c:pt>
                <c:pt idx="84">
                  <c:v>1140</c:v>
                </c:pt>
                <c:pt idx="85">
                  <c:v>1150</c:v>
                </c:pt>
                <c:pt idx="86">
                  <c:v>1160</c:v>
                </c:pt>
                <c:pt idx="87">
                  <c:v>1170</c:v>
                </c:pt>
                <c:pt idx="88">
                  <c:v>1180</c:v>
                </c:pt>
                <c:pt idx="89">
                  <c:v>1190</c:v>
                </c:pt>
                <c:pt idx="90">
                  <c:v>1200</c:v>
                </c:pt>
                <c:pt idx="91">
                  <c:v>1210</c:v>
                </c:pt>
                <c:pt idx="92">
                  <c:v>1220</c:v>
                </c:pt>
                <c:pt idx="93">
                  <c:v>1230</c:v>
                </c:pt>
                <c:pt idx="94">
                  <c:v>1240</c:v>
                </c:pt>
                <c:pt idx="95">
                  <c:v>1250</c:v>
                </c:pt>
                <c:pt idx="96">
                  <c:v>1260</c:v>
                </c:pt>
                <c:pt idx="97">
                  <c:v>1270</c:v>
                </c:pt>
                <c:pt idx="98">
                  <c:v>1280</c:v>
                </c:pt>
                <c:pt idx="99">
                  <c:v>1290</c:v>
                </c:pt>
                <c:pt idx="100">
                  <c:v>1300</c:v>
                </c:pt>
                <c:pt idx="101">
                  <c:v>1310</c:v>
                </c:pt>
                <c:pt idx="102">
                  <c:v>1320</c:v>
                </c:pt>
                <c:pt idx="103">
                  <c:v>1330</c:v>
                </c:pt>
                <c:pt idx="104">
                  <c:v>1340</c:v>
                </c:pt>
                <c:pt idx="105">
                  <c:v>1350</c:v>
                </c:pt>
                <c:pt idx="106">
                  <c:v>1360</c:v>
                </c:pt>
                <c:pt idx="107">
                  <c:v>1370</c:v>
                </c:pt>
                <c:pt idx="108">
                  <c:v>1380</c:v>
                </c:pt>
                <c:pt idx="109">
                  <c:v>1390</c:v>
                </c:pt>
                <c:pt idx="110">
                  <c:v>1400</c:v>
                </c:pt>
                <c:pt idx="111">
                  <c:v>1410</c:v>
                </c:pt>
                <c:pt idx="112">
                  <c:v>1420</c:v>
                </c:pt>
                <c:pt idx="113">
                  <c:v>1430</c:v>
                </c:pt>
                <c:pt idx="114">
                  <c:v>1440</c:v>
                </c:pt>
                <c:pt idx="115">
                  <c:v>1450</c:v>
                </c:pt>
                <c:pt idx="116">
                  <c:v>1460</c:v>
                </c:pt>
                <c:pt idx="117">
                  <c:v>1470</c:v>
                </c:pt>
                <c:pt idx="118">
                  <c:v>1480</c:v>
                </c:pt>
                <c:pt idx="119">
                  <c:v>1490</c:v>
                </c:pt>
                <c:pt idx="120">
                  <c:v>1500</c:v>
                </c:pt>
                <c:pt idx="121">
                  <c:v>1510</c:v>
                </c:pt>
                <c:pt idx="122">
                  <c:v>1520</c:v>
                </c:pt>
                <c:pt idx="123">
                  <c:v>1530</c:v>
                </c:pt>
                <c:pt idx="124">
                  <c:v>1540</c:v>
                </c:pt>
                <c:pt idx="125">
                  <c:v>1550</c:v>
                </c:pt>
                <c:pt idx="126">
                  <c:v>1560</c:v>
                </c:pt>
                <c:pt idx="127">
                  <c:v>1570</c:v>
                </c:pt>
                <c:pt idx="128">
                  <c:v>1580</c:v>
                </c:pt>
                <c:pt idx="129">
                  <c:v>1590</c:v>
                </c:pt>
                <c:pt idx="130">
                  <c:v>1600</c:v>
                </c:pt>
                <c:pt idx="131">
                  <c:v>1610</c:v>
                </c:pt>
                <c:pt idx="132">
                  <c:v>1620</c:v>
                </c:pt>
                <c:pt idx="133">
                  <c:v>1630</c:v>
                </c:pt>
                <c:pt idx="134">
                  <c:v>1640</c:v>
                </c:pt>
                <c:pt idx="135">
                  <c:v>1650</c:v>
                </c:pt>
                <c:pt idx="136">
                  <c:v>1660</c:v>
                </c:pt>
                <c:pt idx="137">
                  <c:v>1670</c:v>
                </c:pt>
                <c:pt idx="138">
                  <c:v>1680</c:v>
                </c:pt>
                <c:pt idx="139">
                  <c:v>1690</c:v>
                </c:pt>
                <c:pt idx="140">
                  <c:v>1700</c:v>
                </c:pt>
                <c:pt idx="141">
                  <c:v>1710</c:v>
                </c:pt>
                <c:pt idx="142">
                  <c:v>1720</c:v>
                </c:pt>
                <c:pt idx="143">
                  <c:v>1730</c:v>
                </c:pt>
                <c:pt idx="144">
                  <c:v>1740</c:v>
                </c:pt>
                <c:pt idx="145">
                  <c:v>1750</c:v>
                </c:pt>
                <c:pt idx="146">
                  <c:v>1760</c:v>
                </c:pt>
                <c:pt idx="147">
                  <c:v>1770</c:v>
                </c:pt>
                <c:pt idx="148">
                  <c:v>1780</c:v>
                </c:pt>
                <c:pt idx="149">
                  <c:v>1790</c:v>
                </c:pt>
                <c:pt idx="150">
                  <c:v>1800</c:v>
                </c:pt>
                <c:pt idx="151">
                  <c:v>1810</c:v>
                </c:pt>
                <c:pt idx="152">
                  <c:v>1820</c:v>
                </c:pt>
                <c:pt idx="153">
                  <c:v>1830</c:v>
                </c:pt>
                <c:pt idx="154">
                  <c:v>1840</c:v>
                </c:pt>
                <c:pt idx="155">
                  <c:v>1850</c:v>
                </c:pt>
                <c:pt idx="156">
                  <c:v>1860</c:v>
                </c:pt>
                <c:pt idx="157">
                  <c:v>1870</c:v>
                </c:pt>
                <c:pt idx="158">
                  <c:v>1880</c:v>
                </c:pt>
                <c:pt idx="159">
                  <c:v>1890</c:v>
                </c:pt>
                <c:pt idx="160">
                  <c:v>1900</c:v>
                </c:pt>
                <c:pt idx="161">
                  <c:v>1910</c:v>
                </c:pt>
                <c:pt idx="162">
                  <c:v>1920</c:v>
                </c:pt>
                <c:pt idx="163">
                  <c:v>1930</c:v>
                </c:pt>
                <c:pt idx="164">
                  <c:v>1940</c:v>
                </c:pt>
                <c:pt idx="165">
                  <c:v>1950</c:v>
                </c:pt>
                <c:pt idx="166">
                  <c:v>1960</c:v>
                </c:pt>
                <c:pt idx="167">
                  <c:v>1970</c:v>
                </c:pt>
                <c:pt idx="168">
                  <c:v>1980</c:v>
                </c:pt>
                <c:pt idx="169">
                  <c:v>1990</c:v>
                </c:pt>
                <c:pt idx="170">
                  <c:v>2000</c:v>
                </c:pt>
                <c:pt idx="171">
                  <c:v>2010</c:v>
                </c:pt>
                <c:pt idx="172">
                  <c:v>2020</c:v>
                </c:pt>
                <c:pt idx="173">
                  <c:v>2030</c:v>
                </c:pt>
                <c:pt idx="174">
                  <c:v>2040</c:v>
                </c:pt>
                <c:pt idx="175">
                  <c:v>2050</c:v>
                </c:pt>
                <c:pt idx="176">
                  <c:v>2060</c:v>
                </c:pt>
                <c:pt idx="177">
                  <c:v>2070</c:v>
                </c:pt>
                <c:pt idx="178">
                  <c:v>2080</c:v>
                </c:pt>
                <c:pt idx="179">
                  <c:v>2090</c:v>
                </c:pt>
                <c:pt idx="180">
                  <c:v>2100</c:v>
                </c:pt>
                <c:pt idx="181">
                  <c:v>2110</c:v>
                </c:pt>
                <c:pt idx="182">
                  <c:v>2120</c:v>
                </c:pt>
                <c:pt idx="183">
                  <c:v>2130</c:v>
                </c:pt>
                <c:pt idx="184">
                  <c:v>2140</c:v>
                </c:pt>
                <c:pt idx="185">
                  <c:v>2150</c:v>
                </c:pt>
                <c:pt idx="186">
                  <c:v>2160</c:v>
                </c:pt>
                <c:pt idx="187">
                  <c:v>2170</c:v>
                </c:pt>
                <c:pt idx="188">
                  <c:v>2180</c:v>
                </c:pt>
                <c:pt idx="189">
                  <c:v>2190</c:v>
                </c:pt>
                <c:pt idx="190">
                  <c:v>2200</c:v>
                </c:pt>
                <c:pt idx="191">
                  <c:v>2210</c:v>
                </c:pt>
                <c:pt idx="192">
                  <c:v>2220</c:v>
                </c:pt>
                <c:pt idx="193">
                  <c:v>2230</c:v>
                </c:pt>
                <c:pt idx="194">
                  <c:v>2240</c:v>
                </c:pt>
                <c:pt idx="195">
                  <c:v>2250</c:v>
                </c:pt>
                <c:pt idx="196">
                  <c:v>2260</c:v>
                </c:pt>
                <c:pt idx="197">
                  <c:v>2270</c:v>
                </c:pt>
                <c:pt idx="198">
                  <c:v>2280</c:v>
                </c:pt>
                <c:pt idx="199">
                  <c:v>2290</c:v>
                </c:pt>
                <c:pt idx="200">
                  <c:v>2300</c:v>
                </c:pt>
              </c:strCache>
            </c:strRef>
          </c:cat>
          <c:val>
            <c:numRef>
              <c:f>1</c:f>
              <c:numCache>
                <c:formatCode>General</c:formatCode>
                <c:ptCount val="201"/>
                <c:pt idx="0">
                  <c:v>6.65877E-007</c:v>
                </c:pt>
                <c:pt idx="1">
                  <c:v>2.19183E-006</c:v>
                </c:pt>
                <c:pt idx="2">
                  <c:v>6.87903E-006</c:v>
                </c:pt>
                <c:pt idx="3">
                  <c:v>2.10974E-005</c:v>
                </c:pt>
                <c:pt idx="4">
                  <c:v>6.57076E-005</c:v>
                </c:pt>
                <c:pt idx="5">
                  <c:v>0.000224762</c:v>
                </c:pt>
                <c:pt idx="6">
                  <c:v>0.00111</c:v>
                </c:pt>
                <c:pt idx="7">
                  <c:v>0.01341</c:v>
                </c:pt>
                <c:pt idx="8">
                  <c:v>0.01937</c:v>
                </c:pt>
                <c:pt idx="9">
                  <c:v>0.02745</c:v>
                </c:pt>
                <c:pt idx="10">
                  <c:v>0.03826</c:v>
                </c:pt>
                <c:pt idx="11">
                  <c:v>0.0525</c:v>
                </c:pt>
                <c:pt idx="12">
                  <c:v>0.07098</c:v>
                </c:pt>
                <c:pt idx="13">
                  <c:v>0.09466</c:v>
                </c:pt>
                <c:pt idx="14">
                  <c:v>0.12466</c:v>
                </c:pt>
                <c:pt idx="15">
                  <c:v>0.16221</c:v>
                </c:pt>
                <c:pt idx="16">
                  <c:v>0.20874</c:v>
                </c:pt>
                <c:pt idx="17">
                  <c:v>0.26581</c:v>
                </c:pt>
                <c:pt idx="18">
                  <c:v>0.33516</c:v>
                </c:pt>
                <c:pt idx="19">
                  <c:v>0.41869</c:v>
                </c:pt>
                <c:pt idx="20">
                  <c:v>0.51845</c:v>
                </c:pt>
                <c:pt idx="21">
                  <c:v>0.63664</c:v>
                </c:pt>
                <c:pt idx="22">
                  <c:v>0.77561</c:v>
                </c:pt>
                <c:pt idx="23">
                  <c:v>0.93781</c:v>
                </c:pt>
                <c:pt idx="24">
                  <c:v>1.12582</c:v>
                </c:pt>
                <c:pt idx="25">
                  <c:v>1.34227</c:v>
                </c:pt>
                <c:pt idx="26">
                  <c:v>1.58984</c:v>
                </c:pt>
                <c:pt idx="27">
                  <c:v>1.87124</c:v>
                </c:pt>
                <c:pt idx="28">
                  <c:v>2.18915</c:v>
                </c:pt>
                <c:pt idx="29">
                  <c:v>2.54618</c:v>
                </c:pt>
                <c:pt idx="30">
                  <c:v>2.94482</c:v>
                </c:pt>
                <c:pt idx="31">
                  <c:v>3.38742</c:v>
                </c:pt>
                <c:pt idx="32">
                  <c:v>3.87612</c:v>
                </c:pt>
                <c:pt idx="33">
                  <c:v>4.4128</c:v>
                </c:pt>
                <c:pt idx="34">
                  <c:v>4.99905</c:v>
                </c:pt>
                <c:pt idx="35">
                  <c:v>5.63611</c:v>
                </c:pt>
                <c:pt idx="36">
                  <c:v>6.32484</c:v>
                </c:pt>
                <c:pt idx="37">
                  <c:v>7.06567</c:v>
                </c:pt>
                <c:pt idx="38">
                  <c:v>7.85861</c:v>
                </c:pt>
                <c:pt idx="39">
                  <c:v>8.70319</c:v>
                </c:pt>
                <c:pt idx="40">
                  <c:v>9.59849</c:v>
                </c:pt>
                <c:pt idx="41">
                  <c:v>10.5431</c:v>
                </c:pt>
                <c:pt idx="42">
                  <c:v>11.5352</c:v>
                </c:pt>
                <c:pt idx="43">
                  <c:v>12.5724</c:v>
                </c:pt>
                <c:pt idx="44">
                  <c:v>13.6522</c:v>
                </c:pt>
                <c:pt idx="45">
                  <c:v>14.7714</c:v>
                </c:pt>
                <c:pt idx="46">
                  <c:v>15.9268</c:v>
                </c:pt>
                <c:pt idx="47">
                  <c:v>17.1148</c:v>
                </c:pt>
                <c:pt idx="48">
                  <c:v>18.3316</c:v>
                </c:pt>
                <c:pt idx="49">
                  <c:v>19.5732</c:v>
                </c:pt>
                <c:pt idx="50">
                  <c:v>20.8358</c:v>
                </c:pt>
                <c:pt idx="51">
                  <c:v>22.1153</c:v>
                </c:pt>
                <c:pt idx="52">
                  <c:v>23.4077</c:v>
                </c:pt>
                <c:pt idx="53">
                  <c:v>24.7089</c:v>
                </c:pt>
                <c:pt idx="54">
                  <c:v>26.0151</c:v>
                </c:pt>
                <c:pt idx="55">
                  <c:v>27.3224</c:v>
                </c:pt>
                <c:pt idx="56">
                  <c:v>28.6269</c:v>
                </c:pt>
                <c:pt idx="57">
                  <c:v>29.9248</c:v>
                </c:pt>
                <c:pt idx="58">
                  <c:v>31.2124</c:v>
                </c:pt>
                <c:pt idx="59">
                  <c:v>32.4859</c:v>
                </c:pt>
                <c:pt idx="60">
                  <c:v>33.7414</c:v>
                </c:pt>
                <c:pt idx="61">
                  <c:v>34.9751</c:v>
                </c:pt>
                <c:pt idx="62">
                  <c:v>36.1829</c:v>
                </c:pt>
                <c:pt idx="63">
                  <c:v>37.3607</c:v>
                </c:pt>
                <c:pt idx="64">
                  <c:v>38.5045</c:v>
                </c:pt>
                <c:pt idx="65">
                  <c:v>39.61</c:v>
                </c:pt>
                <c:pt idx="66">
                  <c:v>40.6733</c:v>
                </c:pt>
                <c:pt idx="67">
                  <c:v>41.6904</c:v>
                </c:pt>
                <c:pt idx="68">
                  <c:v>42.6579</c:v>
                </c:pt>
                <c:pt idx="69">
                  <c:v>43.4169</c:v>
                </c:pt>
                <c:pt idx="70">
                  <c:v>43.8375</c:v>
                </c:pt>
                <c:pt idx="71">
                  <c:v>44.1654</c:v>
                </c:pt>
                <c:pt idx="72">
                  <c:v>44.4119</c:v>
                </c:pt>
                <c:pt idx="73">
                  <c:v>44.5887</c:v>
                </c:pt>
                <c:pt idx="74">
                  <c:v>44.7075</c:v>
                </c:pt>
                <c:pt idx="75">
                  <c:v>44.7788</c:v>
                </c:pt>
                <c:pt idx="76">
                  <c:v>44.8121</c:v>
                </c:pt>
                <c:pt idx="77">
                  <c:v>44.8155</c:v>
                </c:pt>
                <c:pt idx="78">
                  <c:v>44.7956</c:v>
                </c:pt>
                <c:pt idx="79">
                  <c:v>44.758</c:v>
                </c:pt>
                <c:pt idx="80">
                  <c:v>44.7069</c:v>
                </c:pt>
                <c:pt idx="81">
                  <c:v>44.6459</c:v>
                </c:pt>
                <c:pt idx="82">
                  <c:v>44.5776</c:v>
                </c:pt>
                <c:pt idx="83">
                  <c:v>44.5042</c:v>
                </c:pt>
                <c:pt idx="84">
                  <c:v>44.4271</c:v>
                </c:pt>
                <c:pt idx="85">
                  <c:v>44.3478</c:v>
                </c:pt>
                <c:pt idx="86">
                  <c:v>44.267</c:v>
                </c:pt>
                <c:pt idx="87">
                  <c:v>44.1857</c:v>
                </c:pt>
                <c:pt idx="88">
                  <c:v>44.1042</c:v>
                </c:pt>
                <c:pt idx="89">
                  <c:v>44.0231</c:v>
                </c:pt>
                <c:pt idx="90">
                  <c:v>43.9426</c:v>
                </c:pt>
                <c:pt idx="91">
                  <c:v>43.863</c:v>
                </c:pt>
                <c:pt idx="92">
                  <c:v>43.7845</c:v>
                </c:pt>
                <c:pt idx="93">
                  <c:v>43.7072</c:v>
                </c:pt>
                <c:pt idx="94">
                  <c:v>43.6312</c:v>
                </c:pt>
                <c:pt idx="95">
                  <c:v>43.5566</c:v>
                </c:pt>
                <c:pt idx="96">
                  <c:v>43.4834</c:v>
                </c:pt>
                <c:pt idx="97">
                  <c:v>43.4116</c:v>
                </c:pt>
                <c:pt idx="98">
                  <c:v>43.3413</c:v>
                </c:pt>
                <c:pt idx="99">
                  <c:v>43.2724</c:v>
                </c:pt>
                <c:pt idx="100">
                  <c:v>43.205</c:v>
                </c:pt>
                <c:pt idx="101">
                  <c:v>43.139</c:v>
                </c:pt>
                <c:pt idx="102">
                  <c:v>43.0744</c:v>
                </c:pt>
                <c:pt idx="103">
                  <c:v>43.0112</c:v>
                </c:pt>
                <c:pt idx="104">
                  <c:v>42.9495</c:v>
                </c:pt>
                <c:pt idx="105">
                  <c:v>42.889</c:v>
                </c:pt>
                <c:pt idx="106">
                  <c:v>42.8299</c:v>
                </c:pt>
                <c:pt idx="107">
                  <c:v>42.7721</c:v>
                </c:pt>
                <c:pt idx="108">
                  <c:v>42.7155</c:v>
                </c:pt>
                <c:pt idx="109">
                  <c:v>42.6602</c:v>
                </c:pt>
                <c:pt idx="110">
                  <c:v>42.6061</c:v>
                </c:pt>
                <c:pt idx="111">
                  <c:v>42.5532</c:v>
                </c:pt>
                <c:pt idx="112">
                  <c:v>42.5014</c:v>
                </c:pt>
                <c:pt idx="113">
                  <c:v>42.4508</c:v>
                </c:pt>
                <c:pt idx="114">
                  <c:v>42.4013</c:v>
                </c:pt>
                <c:pt idx="115">
                  <c:v>42.3528</c:v>
                </c:pt>
                <c:pt idx="116">
                  <c:v>42.3054</c:v>
                </c:pt>
                <c:pt idx="117">
                  <c:v>42.259</c:v>
                </c:pt>
                <c:pt idx="118">
                  <c:v>42.2136</c:v>
                </c:pt>
                <c:pt idx="119">
                  <c:v>42.1692</c:v>
                </c:pt>
                <c:pt idx="120">
                  <c:v>42.1257</c:v>
                </c:pt>
                <c:pt idx="121">
                  <c:v>42.0831</c:v>
                </c:pt>
                <c:pt idx="122">
                  <c:v>42.0414</c:v>
                </c:pt>
                <c:pt idx="123">
                  <c:v>42.0006</c:v>
                </c:pt>
                <c:pt idx="124">
                  <c:v>41.9606</c:v>
                </c:pt>
                <c:pt idx="125">
                  <c:v>41.9215</c:v>
                </c:pt>
                <c:pt idx="126">
                  <c:v>41.8831</c:v>
                </c:pt>
                <c:pt idx="127">
                  <c:v>41.8455</c:v>
                </c:pt>
                <c:pt idx="128">
                  <c:v>41.8087</c:v>
                </c:pt>
                <c:pt idx="129">
                  <c:v>41.7726</c:v>
                </c:pt>
                <c:pt idx="130">
                  <c:v>41.7373</c:v>
                </c:pt>
                <c:pt idx="131">
                  <c:v>41.7026</c:v>
                </c:pt>
                <c:pt idx="132">
                  <c:v>41.6686</c:v>
                </c:pt>
                <c:pt idx="133">
                  <c:v>41.6353</c:v>
                </c:pt>
                <c:pt idx="134">
                  <c:v>41.6026</c:v>
                </c:pt>
                <c:pt idx="135">
                  <c:v>41.5705</c:v>
                </c:pt>
                <c:pt idx="136">
                  <c:v>41.539</c:v>
                </c:pt>
                <c:pt idx="137">
                  <c:v>41.5081</c:v>
                </c:pt>
                <c:pt idx="138">
                  <c:v>41.4778</c:v>
                </c:pt>
                <c:pt idx="139">
                  <c:v>41.448</c:v>
                </c:pt>
                <c:pt idx="140">
                  <c:v>41.4188</c:v>
                </c:pt>
                <c:pt idx="141">
                  <c:v>41.39</c:v>
                </c:pt>
                <c:pt idx="142">
                  <c:v>41.3618</c:v>
                </c:pt>
                <c:pt idx="143">
                  <c:v>41.3341</c:v>
                </c:pt>
                <c:pt idx="144">
                  <c:v>41.3068</c:v>
                </c:pt>
                <c:pt idx="145">
                  <c:v>41.2799</c:v>
                </c:pt>
                <c:pt idx="146">
                  <c:v>41.2535</c:v>
                </c:pt>
                <c:pt idx="147">
                  <c:v>41.2275</c:v>
                </c:pt>
                <c:pt idx="148">
                  <c:v>41.2019</c:v>
                </c:pt>
                <c:pt idx="149">
                  <c:v>41.1767</c:v>
                </c:pt>
                <c:pt idx="150">
                  <c:v>41.1519</c:v>
                </c:pt>
                <c:pt idx="151">
                  <c:v>41.1274</c:v>
                </c:pt>
                <c:pt idx="152">
                  <c:v>41.1032</c:v>
                </c:pt>
                <c:pt idx="153">
                  <c:v>41.0794</c:v>
                </c:pt>
                <c:pt idx="154">
                  <c:v>41.0559</c:v>
                </c:pt>
                <c:pt idx="155">
                  <c:v>41.0327</c:v>
                </c:pt>
                <c:pt idx="156">
                  <c:v>41.0097</c:v>
                </c:pt>
                <c:pt idx="157">
                  <c:v>40.9871</c:v>
                </c:pt>
                <c:pt idx="158">
                  <c:v>40.9646</c:v>
                </c:pt>
                <c:pt idx="159">
                  <c:v>40.9424</c:v>
                </c:pt>
                <c:pt idx="160">
                  <c:v>40.9204</c:v>
                </c:pt>
                <c:pt idx="161">
                  <c:v>40.8986</c:v>
                </c:pt>
                <c:pt idx="162">
                  <c:v>40.877</c:v>
                </c:pt>
                <c:pt idx="163">
                  <c:v>40.8555</c:v>
                </c:pt>
                <c:pt idx="164">
                  <c:v>40.8342</c:v>
                </c:pt>
                <c:pt idx="165">
                  <c:v>40.813</c:v>
                </c:pt>
                <c:pt idx="166">
                  <c:v>40.7919</c:v>
                </c:pt>
                <c:pt idx="167">
                  <c:v>40.771</c:v>
                </c:pt>
                <c:pt idx="168">
                  <c:v>40.7501</c:v>
                </c:pt>
                <c:pt idx="169">
                  <c:v>40.7292</c:v>
                </c:pt>
                <c:pt idx="170">
                  <c:v>40.7084</c:v>
                </c:pt>
                <c:pt idx="171">
                  <c:v>40.6877</c:v>
                </c:pt>
                <c:pt idx="172">
                  <c:v>40.6669</c:v>
                </c:pt>
                <c:pt idx="173">
                  <c:v>40.6461</c:v>
                </c:pt>
                <c:pt idx="174">
                  <c:v>40.6253</c:v>
                </c:pt>
                <c:pt idx="175">
                  <c:v>40.6044</c:v>
                </c:pt>
                <c:pt idx="176">
                  <c:v>40.5835</c:v>
                </c:pt>
                <c:pt idx="177">
                  <c:v>40.5625</c:v>
                </c:pt>
                <c:pt idx="178">
                  <c:v>40.5413</c:v>
                </c:pt>
                <c:pt idx="179">
                  <c:v>40.52</c:v>
                </c:pt>
                <c:pt idx="180">
                  <c:v>40.4985</c:v>
                </c:pt>
                <c:pt idx="181">
                  <c:v>40.4769</c:v>
                </c:pt>
                <c:pt idx="182">
                  <c:v>40.4551</c:v>
                </c:pt>
                <c:pt idx="183">
                  <c:v>40.433</c:v>
                </c:pt>
                <c:pt idx="184">
                  <c:v>40.4107</c:v>
                </c:pt>
                <c:pt idx="185">
                  <c:v>40.388</c:v>
                </c:pt>
                <c:pt idx="186">
                  <c:v>40.3651</c:v>
                </c:pt>
                <c:pt idx="187">
                  <c:v>40.3419</c:v>
                </c:pt>
                <c:pt idx="188">
                  <c:v>40.3183</c:v>
                </c:pt>
                <c:pt idx="189">
                  <c:v>40.2943</c:v>
                </c:pt>
                <c:pt idx="190">
                  <c:v>40.27</c:v>
                </c:pt>
                <c:pt idx="191">
                  <c:v>40.2451</c:v>
                </c:pt>
                <c:pt idx="192">
                  <c:v>40.2199</c:v>
                </c:pt>
                <c:pt idx="193">
                  <c:v>40.1941</c:v>
                </c:pt>
                <c:pt idx="194">
                  <c:v>40.1678</c:v>
                </c:pt>
                <c:pt idx="195">
                  <c:v>40.141</c:v>
                </c:pt>
                <c:pt idx="196">
                  <c:v>40.1136</c:v>
                </c:pt>
                <c:pt idx="197">
                  <c:v>40.0856</c:v>
                </c:pt>
                <c:pt idx="198">
                  <c:v>40.0569</c:v>
                </c:pt>
                <c:pt idx="199">
                  <c:v>40.0276</c:v>
                </c:pt>
                <c:pt idx="200">
                  <c:v>39.9975</c:v>
                </c:pt>
              </c:numCache>
            </c:numRef>
          </c:val>
          <c:smooth val="0"/>
        </c:ser>
        <c:ser>
          <c:idx val="2"/>
          <c:order val="2"/>
          <c:tx>
            <c:strRef>
              <c:f>label 2</c:f>
              <c:strCache>
                <c:ptCount val="1"/>
                <c:pt idx="0">
                  <c:v>C(c)</c:v>
                </c:pt>
              </c:strCache>
            </c:strRef>
          </c:tx>
          <c:spPr>
            <a:solidFill>
              <a:srgbClr val="7030a0"/>
            </a:solidFill>
            <a:ln cap="rnd" w="28440">
              <a:solidFill>
                <a:srgbClr val="7030a0"/>
              </a:solidFill>
              <a:round/>
            </a:ln>
          </c:spPr>
          <c:marker>
            <c:symbol val="none"/>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201"/>
                <c:pt idx="0">
                  <c:v>300</c:v>
                </c:pt>
                <c:pt idx="1">
                  <c:v>310</c:v>
                </c:pt>
                <c:pt idx="2">
                  <c:v>320</c:v>
                </c:pt>
                <c:pt idx="3">
                  <c:v>330</c:v>
                </c:pt>
                <c:pt idx="4">
                  <c:v>340</c:v>
                </c:pt>
                <c:pt idx="5">
                  <c:v>350</c:v>
                </c:pt>
                <c:pt idx="6">
                  <c:v>360</c:v>
                </c:pt>
                <c:pt idx="7">
                  <c:v>370</c:v>
                </c:pt>
                <c:pt idx="8">
                  <c:v>380</c:v>
                </c:pt>
                <c:pt idx="9">
                  <c:v>390</c:v>
                </c:pt>
                <c:pt idx="10">
                  <c:v>400</c:v>
                </c:pt>
                <c:pt idx="11">
                  <c:v>410</c:v>
                </c:pt>
                <c:pt idx="12">
                  <c:v>420</c:v>
                </c:pt>
                <c:pt idx="13">
                  <c:v>430</c:v>
                </c:pt>
                <c:pt idx="14">
                  <c:v>440</c:v>
                </c:pt>
                <c:pt idx="15">
                  <c:v>450</c:v>
                </c:pt>
                <c:pt idx="16">
                  <c:v>460</c:v>
                </c:pt>
                <c:pt idx="17">
                  <c:v>470</c:v>
                </c:pt>
                <c:pt idx="18">
                  <c:v>480</c:v>
                </c:pt>
                <c:pt idx="19">
                  <c:v>490</c:v>
                </c:pt>
                <c:pt idx="20">
                  <c:v>500</c:v>
                </c:pt>
                <c:pt idx="21">
                  <c:v>510</c:v>
                </c:pt>
                <c:pt idx="22">
                  <c:v>520</c:v>
                </c:pt>
                <c:pt idx="23">
                  <c:v>530</c:v>
                </c:pt>
                <c:pt idx="24">
                  <c:v>540</c:v>
                </c:pt>
                <c:pt idx="25">
                  <c:v>550</c:v>
                </c:pt>
                <c:pt idx="26">
                  <c:v>560</c:v>
                </c:pt>
                <c:pt idx="27">
                  <c:v>570</c:v>
                </c:pt>
                <c:pt idx="28">
                  <c:v>580</c:v>
                </c:pt>
                <c:pt idx="29">
                  <c:v>590</c:v>
                </c:pt>
                <c:pt idx="30">
                  <c:v>600</c:v>
                </c:pt>
                <c:pt idx="31">
                  <c:v>610</c:v>
                </c:pt>
                <c:pt idx="32">
                  <c:v>620</c:v>
                </c:pt>
                <c:pt idx="33">
                  <c:v>630</c:v>
                </c:pt>
                <c:pt idx="34">
                  <c:v>640</c:v>
                </c:pt>
                <c:pt idx="35">
                  <c:v>650</c:v>
                </c:pt>
                <c:pt idx="36">
                  <c:v>660</c:v>
                </c:pt>
                <c:pt idx="37">
                  <c:v>670</c:v>
                </c:pt>
                <c:pt idx="38">
                  <c:v>680</c:v>
                </c:pt>
                <c:pt idx="39">
                  <c:v>690</c:v>
                </c:pt>
                <c:pt idx="40">
                  <c:v>700</c:v>
                </c:pt>
                <c:pt idx="41">
                  <c:v>710</c:v>
                </c:pt>
                <c:pt idx="42">
                  <c:v>720</c:v>
                </c:pt>
                <c:pt idx="43">
                  <c:v>730</c:v>
                </c:pt>
                <c:pt idx="44">
                  <c:v>740</c:v>
                </c:pt>
                <c:pt idx="45">
                  <c:v>750</c:v>
                </c:pt>
                <c:pt idx="46">
                  <c:v>760</c:v>
                </c:pt>
                <c:pt idx="47">
                  <c:v>770</c:v>
                </c:pt>
                <c:pt idx="48">
                  <c:v>780</c:v>
                </c:pt>
                <c:pt idx="49">
                  <c:v>790</c:v>
                </c:pt>
                <c:pt idx="50">
                  <c:v>800</c:v>
                </c:pt>
                <c:pt idx="51">
                  <c:v>810</c:v>
                </c:pt>
                <c:pt idx="52">
                  <c:v>820</c:v>
                </c:pt>
                <c:pt idx="53">
                  <c:v>830</c:v>
                </c:pt>
                <c:pt idx="54">
                  <c:v>840</c:v>
                </c:pt>
                <c:pt idx="55">
                  <c:v>850</c:v>
                </c:pt>
                <c:pt idx="56">
                  <c:v>860</c:v>
                </c:pt>
                <c:pt idx="57">
                  <c:v>870</c:v>
                </c:pt>
                <c:pt idx="58">
                  <c:v>880</c:v>
                </c:pt>
                <c:pt idx="59">
                  <c:v>890</c:v>
                </c:pt>
                <c:pt idx="60">
                  <c:v>900</c:v>
                </c:pt>
                <c:pt idx="61">
                  <c:v>910</c:v>
                </c:pt>
                <c:pt idx="62">
                  <c:v>920</c:v>
                </c:pt>
                <c:pt idx="63">
                  <c:v>930</c:v>
                </c:pt>
                <c:pt idx="64">
                  <c:v>940</c:v>
                </c:pt>
                <c:pt idx="65">
                  <c:v>950</c:v>
                </c:pt>
                <c:pt idx="66">
                  <c:v>960</c:v>
                </c:pt>
                <c:pt idx="67">
                  <c:v>970</c:v>
                </c:pt>
                <c:pt idx="68">
                  <c:v>980</c:v>
                </c:pt>
                <c:pt idx="69">
                  <c:v>990</c:v>
                </c:pt>
                <c:pt idx="70">
                  <c:v>1000</c:v>
                </c:pt>
                <c:pt idx="71">
                  <c:v>1010</c:v>
                </c:pt>
                <c:pt idx="72">
                  <c:v>1020</c:v>
                </c:pt>
                <c:pt idx="73">
                  <c:v>1030</c:v>
                </c:pt>
                <c:pt idx="74">
                  <c:v>1040</c:v>
                </c:pt>
                <c:pt idx="75">
                  <c:v>1050</c:v>
                </c:pt>
                <c:pt idx="76">
                  <c:v>1060</c:v>
                </c:pt>
                <c:pt idx="77">
                  <c:v>1070</c:v>
                </c:pt>
                <c:pt idx="78">
                  <c:v>1080</c:v>
                </c:pt>
                <c:pt idx="79">
                  <c:v>1090</c:v>
                </c:pt>
                <c:pt idx="80">
                  <c:v>1100</c:v>
                </c:pt>
                <c:pt idx="81">
                  <c:v>1110</c:v>
                </c:pt>
                <c:pt idx="82">
                  <c:v>1120</c:v>
                </c:pt>
                <c:pt idx="83">
                  <c:v>1130</c:v>
                </c:pt>
                <c:pt idx="84">
                  <c:v>1140</c:v>
                </c:pt>
                <c:pt idx="85">
                  <c:v>1150</c:v>
                </c:pt>
                <c:pt idx="86">
                  <c:v>1160</c:v>
                </c:pt>
                <c:pt idx="87">
                  <c:v>1170</c:v>
                </c:pt>
                <c:pt idx="88">
                  <c:v>1180</c:v>
                </c:pt>
                <c:pt idx="89">
                  <c:v>1190</c:v>
                </c:pt>
                <c:pt idx="90">
                  <c:v>1200</c:v>
                </c:pt>
                <c:pt idx="91">
                  <c:v>1210</c:v>
                </c:pt>
                <c:pt idx="92">
                  <c:v>1220</c:v>
                </c:pt>
                <c:pt idx="93">
                  <c:v>1230</c:v>
                </c:pt>
                <c:pt idx="94">
                  <c:v>1240</c:v>
                </c:pt>
                <c:pt idx="95">
                  <c:v>1250</c:v>
                </c:pt>
                <c:pt idx="96">
                  <c:v>1260</c:v>
                </c:pt>
                <c:pt idx="97">
                  <c:v>1270</c:v>
                </c:pt>
                <c:pt idx="98">
                  <c:v>1280</c:v>
                </c:pt>
                <c:pt idx="99">
                  <c:v>1290</c:v>
                </c:pt>
                <c:pt idx="100">
                  <c:v>1300</c:v>
                </c:pt>
                <c:pt idx="101">
                  <c:v>1310</c:v>
                </c:pt>
                <c:pt idx="102">
                  <c:v>1320</c:v>
                </c:pt>
                <c:pt idx="103">
                  <c:v>1330</c:v>
                </c:pt>
                <c:pt idx="104">
                  <c:v>1340</c:v>
                </c:pt>
                <c:pt idx="105">
                  <c:v>1350</c:v>
                </c:pt>
                <c:pt idx="106">
                  <c:v>1360</c:v>
                </c:pt>
                <c:pt idx="107">
                  <c:v>1370</c:v>
                </c:pt>
                <c:pt idx="108">
                  <c:v>1380</c:v>
                </c:pt>
                <c:pt idx="109">
                  <c:v>1390</c:v>
                </c:pt>
                <c:pt idx="110">
                  <c:v>1400</c:v>
                </c:pt>
                <c:pt idx="111">
                  <c:v>1410</c:v>
                </c:pt>
                <c:pt idx="112">
                  <c:v>1420</c:v>
                </c:pt>
                <c:pt idx="113">
                  <c:v>1430</c:v>
                </c:pt>
                <c:pt idx="114">
                  <c:v>1440</c:v>
                </c:pt>
                <c:pt idx="115">
                  <c:v>1450</c:v>
                </c:pt>
                <c:pt idx="116">
                  <c:v>1460</c:v>
                </c:pt>
                <c:pt idx="117">
                  <c:v>1470</c:v>
                </c:pt>
                <c:pt idx="118">
                  <c:v>1480</c:v>
                </c:pt>
                <c:pt idx="119">
                  <c:v>1490</c:v>
                </c:pt>
                <c:pt idx="120">
                  <c:v>1500</c:v>
                </c:pt>
                <c:pt idx="121">
                  <c:v>1510</c:v>
                </c:pt>
                <c:pt idx="122">
                  <c:v>1520</c:v>
                </c:pt>
                <c:pt idx="123">
                  <c:v>1530</c:v>
                </c:pt>
                <c:pt idx="124">
                  <c:v>1540</c:v>
                </c:pt>
                <c:pt idx="125">
                  <c:v>1550</c:v>
                </c:pt>
                <c:pt idx="126">
                  <c:v>1560</c:v>
                </c:pt>
                <c:pt idx="127">
                  <c:v>1570</c:v>
                </c:pt>
                <c:pt idx="128">
                  <c:v>1580</c:v>
                </c:pt>
                <c:pt idx="129">
                  <c:v>1590</c:v>
                </c:pt>
                <c:pt idx="130">
                  <c:v>1600</c:v>
                </c:pt>
                <c:pt idx="131">
                  <c:v>1610</c:v>
                </c:pt>
                <c:pt idx="132">
                  <c:v>1620</c:v>
                </c:pt>
                <c:pt idx="133">
                  <c:v>1630</c:v>
                </c:pt>
                <c:pt idx="134">
                  <c:v>1640</c:v>
                </c:pt>
                <c:pt idx="135">
                  <c:v>1650</c:v>
                </c:pt>
                <c:pt idx="136">
                  <c:v>1660</c:v>
                </c:pt>
                <c:pt idx="137">
                  <c:v>1670</c:v>
                </c:pt>
                <c:pt idx="138">
                  <c:v>1680</c:v>
                </c:pt>
                <c:pt idx="139">
                  <c:v>1690</c:v>
                </c:pt>
                <c:pt idx="140">
                  <c:v>1700</c:v>
                </c:pt>
                <c:pt idx="141">
                  <c:v>1710</c:v>
                </c:pt>
                <c:pt idx="142">
                  <c:v>1720</c:v>
                </c:pt>
                <c:pt idx="143">
                  <c:v>1730</c:v>
                </c:pt>
                <c:pt idx="144">
                  <c:v>1740</c:v>
                </c:pt>
                <c:pt idx="145">
                  <c:v>1750</c:v>
                </c:pt>
                <c:pt idx="146">
                  <c:v>1760</c:v>
                </c:pt>
                <c:pt idx="147">
                  <c:v>1770</c:v>
                </c:pt>
                <c:pt idx="148">
                  <c:v>1780</c:v>
                </c:pt>
                <c:pt idx="149">
                  <c:v>1790</c:v>
                </c:pt>
                <c:pt idx="150">
                  <c:v>1800</c:v>
                </c:pt>
                <c:pt idx="151">
                  <c:v>1810</c:v>
                </c:pt>
                <c:pt idx="152">
                  <c:v>1820</c:v>
                </c:pt>
                <c:pt idx="153">
                  <c:v>1830</c:v>
                </c:pt>
                <c:pt idx="154">
                  <c:v>1840</c:v>
                </c:pt>
                <c:pt idx="155">
                  <c:v>1850</c:v>
                </c:pt>
                <c:pt idx="156">
                  <c:v>1860</c:v>
                </c:pt>
                <c:pt idx="157">
                  <c:v>1870</c:v>
                </c:pt>
                <c:pt idx="158">
                  <c:v>1880</c:v>
                </c:pt>
                <c:pt idx="159">
                  <c:v>1890</c:v>
                </c:pt>
                <c:pt idx="160">
                  <c:v>1900</c:v>
                </c:pt>
                <c:pt idx="161">
                  <c:v>1910</c:v>
                </c:pt>
                <c:pt idx="162">
                  <c:v>1920</c:v>
                </c:pt>
                <c:pt idx="163">
                  <c:v>1930</c:v>
                </c:pt>
                <c:pt idx="164">
                  <c:v>1940</c:v>
                </c:pt>
                <c:pt idx="165">
                  <c:v>1950</c:v>
                </c:pt>
                <c:pt idx="166">
                  <c:v>1960</c:v>
                </c:pt>
                <c:pt idx="167">
                  <c:v>1970</c:v>
                </c:pt>
                <c:pt idx="168">
                  <c:v>1980</c:v>
                </c:pt>
                <c:pt idx="169">
                  <c:v>1990</c:v>
                </c:pt>
                <c:pt idx="170">
                  <c:v>2000</c:v>
                </c:pt>
                <c:pt idx="171">
                  <c:v>2010</c:v>
                </c:pt>
                <c:pt idx="172">
                  <c:v>2020</c:v>
                </c:pt>
                <c:pt idx="173">
                  <c:v>2030</c:v>
                </c:pt>
                <c:pt idx="174">
                  <c:v>2040</c:v>
                </c:pt>
                <c:pt idx="175">
                  <c:v>2050</c:v>
                </c:pt>
                <c:pt idx="176">
                  <c:v>2060</c:v>
                </c:pt>
                <c:pt idx="177">
                  <c:v>2070</c:v>
                </c:pt>
                <c:pt idx="178">
                  <c:v>2080</c:v>
                </c:pt>
                <c:pt idx="179">
                  <c:v>2090</c:v>
                </c:pt>
                <c:pt idx="180">
                  <c:v>2100</c:v>
                </c:pt>
                <c:pt idx="181">
                  <c:v>2110</c:v>
                </c:pt>
                <c:pt idx="182">
                  <c:v>2120</c:v>
                </c:pt>
                <c:pt idx="183">
                  <c:v>2130</c:v>
                </c:pt>
                <c:pt idx="184">
                  <c:v>2140</c:v>
                </c:pt>
                <c:pt idx="185">
                  <c:v>2150</c:v>
                </c:pt>
                <c:pt idx="186">
                  <c:v>2160</c:v>
                </c:pt>
                <c:pt idx="187">
                  <c:v>2170</c:v>
                </c:pt>
                <c:pt idx="188">
                  <c:v>2180</c:v>
                </c:pt>
                <c:pt idx="189">
                  <c:v>2190</c:v>
                </c:pt>
                <c:pt idx="190">
                  <c:v>2200</c:v>
                </c:pt>
                <c:pt idx="191">
                  <c:v>2210</c:v>
                </c:pt>
                <c:pt idx="192">
                  <c:v>2220</c:v>
                </c:pt>
                <c:pt idx="193">
                  <c:v>2230</c:v>
                </c:pt>
                <c:pt idx="194">
                  <c:v>2240</c:v>
                </c:pt>
                <c:pt idx="195">
                  <c:v>2250</c:v>
                </c:pt>
                <c:pt idx="196">
                  <c:v>2260</c:v>
                </c:pt>
                <c:pt idx="197">
                  <c:v>2270</c:v>
                </c:pt>
                <c:pt idx="198">
                  <c:v>2280</c:v>
                </c:pt>
                <c:pt idx="199">
                  <c:v>2290</c:v>
                </c:pt>
                <c:pt idx="200">
                  <c:v>2300</c:v>
                </c:pt>
              </c:strCache>
            </c:strRef>
          </c:cat>
          <c:val>
            <c:numRef>
              <c:f>2</c:f>
              <c:numCache>
                <c:formatCode>General</c:formatCode>
                <c:ptCount val="201"/>
                <c:pt idx="0">
                  <c:v>42.1953</c:v>
                </c:pt>
                <c:pt idx="1">
                  <c:v>42.1951</c:v>
                </c:pt>
                <c:pt idx="2">
                  <c:v>42.1944</c:v>
                </c:pt>
                <c:pt idx="3">
                  <c:v>42.1919</c:v>
                </c:pt>
                <c:pt idx="4">
                  <c:v>42.1824</c:v>
                </c:pt>
                <c:pt idx="5">
                  <c:v>42.1399</c:v>
                </c:pt>
                <c:pt idx="6">
                  <c:v>41.8124</c:v>
                </c:pt>
                <c:pt idx="7">
                  <c:v>36.0186</c:v>
                </c:pt>
                <c:pt idx="8">
                  <c:v>35.5733</c:v>
                </c:pt>
                <c:pt idx="9">
                  <c:v>35.1325</c:v>
                </c:pt>
                <c:pt idx="10">
                  <c:v>34.6972</c:v>
                </c:pt>
                <c:pt idx="11">
                  <c:v>34.2681</c:v>
                </c:pt>
                <c:pt idx="12">
                  <c:v>33.846</c:v>
                </c:pt>
                <c:pt idx="13">
                  <c:v>33.4312</c:v>
                </c:pt>
                <c:pt idx="14">
                  <c:v>33.0241</c:v>
                </c:pt>
                <c:pt idx="15">
                  <c:v>32.6251</c:v>
                </c:pt>
                <c:pt idx="16">
                  <c:v>32.2343</c:v>
                </c:pt>
                <c:pt idx="17">
                  <c:v>31.8519</c:v>
                </c:pt>
                <c:pt idx="18">
                  <c:v>31.4779</c:v>
                </c:pt>
                <c:pt idx="19">
                  <c:v>31.1123</c:v>
                </c:pt>
                <c:pt idx="20">
                  <c:v>30.7552</c:v>
                </c:pt>
                <c:pt idx="21">
                  <c:v>30.4064</c:v>
                </c:pt>
                <c:pt idx="22">
                  <c:v>30.0659</c:v>
                </c:pt>
                <c:pt idx="23">
                  <c:v>29.7336</c:v>
                </c:pt>
                <c:pt idx="24">
                  <c:v>29.4093</c:v>
                </c:pt>
                <c:pt idx="25">
                  <c:v>29.093</c:v>
                </c:pt>
                <c:pt idx="26">
                  <c:v>28.7842</c:v>
                </c:pt>
                <c:pt idx="27">
                  <c:v>28.4829</c:v>
                </c:pt>
                <c:pt idx="28">
                  <c:v>28.1887</c:v>
                </c:pt>
                <c:pt idx="29">
                  <c:v>27.9012</c:v>
                </c:pt>
                <c:pt idx="30">
                  <c:v>27.62</c:v>
                </c:pt>
                <c:pt idx="31">
                  <c:v>27.3444</c:v>
                </c:pt>
                <c:pt idx="32">
                  <c:v>27.074</c:v>
                </c:pt>
                <c:pt idx="33">
                  <c:v>26.8078</c:v>
                </c:pt>
                <c:pt idx="34">
                  <c:v>26.5448</c:v>
                </c:pt>
                <c:pt idx="35">
                  <c:v>26.2841</c:v>
                </c:pt>
                <c:pt idx="36">
                  <c:v>26.0241</c:v>
                </c:pt>
                <c:pt idx="37">
                  <c:v>25.7635</c:v>
                </c:pt>
                <c:pt idx="38">
                  <c:v>25.5003</c:v>
                </c:pt>
                <c:pt idx="39">
                  <c:v>25.2326</c:v>
                </c:pt>
                <c:pt idx="40">
                  <c:v>24.9581</c:v>
                </c:pt>
                <c:pt idx="41">
                  <c:v>24.6742</c:v>
                </c:pt>
                <c:pt idx="42">
                  <c:v>24.378</c:v>
                </c:pt>
                <c:pt idx="43">
                  <c:v>24.0663</c:v>
                </c:pt>
                <c:pt idx="44">
                  <c:v>23.7358</c:v>
                </c:pt>
                <c:pt idx="45">
                  <c:v>23.3825</c:v>
                </c:pt>
                <c:pt idx="46">
                  <c:v>23.0025</c:v>
                </c:pt>
                <c:pt idx="47">
                  <c:v>22.5915</c:v>
                </c:pt>
                <c:pt idx="48">
                  <c:v>22.145</c:v>
                </c:pt>
                <c:pt idx="49">
                  <c:v>21.6582</c:v>
                </c:pt>
                <c:pt idx="50">
                  <c:v>21.1263</c:v>
                </c:pt>
                <c:pt idx="51">
                  <c:v>20.5443</c:v>
                </c:pt>
                <c:pt idx="52">
                  <c:v>19.9074</c:v>
                </c:pt>
                <c:pt idx="53">
                  <c:v>19.2107</c:v>
                </c:pt>
                <c:pt idx="54">
                  <c:v>18.4496</c:v>
                </c:pt>
                <c:pt idx="55">
                  <c:v>17.6201</c:v>
                </c:pt>
                <c:pt idx="56">
                  <c:v>16.7186</c:v>
                </c:pt>
                <c:pt idx="57">
                  <c:v>15.7424</c:v>
                </c:pt>
                <c:pt idx="58">
                  <c:v>14.6899</c:v>
                </c:pt>
                <c:pt idx="59">
                  <c:v>13.5608</c:v>
                </c:pt>
                <c:pt idx="60">
                  <c:v>12.3566</c:v>
                </c:pt>
                <c:pt idx="61">
                  <c:v>11.0807</c:v>
                </c:pt>
                <c:pt idx="62">
                  <c:v>9.73868</c:v>
                </c:pt>
                <c:pt idx="63">
                  <c:v>8.33848</c:v>
                </c:pt>
                <c:pt idx="64">
                  <c:v>6.89058</c:v>
                </c:pt>
                <c:pt idx="65">
                  <c:v>5.4078</c:v>
                </c:pt>
                <c:pt idx="66">
                  <c:v>3.90508</c:v>
                </c:pt>
                <c:pt idx="67">
                  <c:v>2.39897</c:v>
                </c:pt>
                <c:pt idx="68">
                  <c:v>0.90697</c:v>
                </c:pt>
                <c:pt idx="69">
                  <c:v>1.68081E-027</c:v>
                </c:pt>
                <c:pt idx="70">
                  <c:v>1.71709E-030</c:v>
                </c:pt>
                <c:pt idx="71">
                  <c:v>1.70651E-030</c:v>
                </c:pt>
                <c:pt idx="72">
                  <c:v>1.69794E-030</c:v>
                </c:pt>
                <c:pt idx="73">
                  <c:v>1.69107E-030</c:v>
                </c:pt>
                <c:pt idx="74">
                  <c:v>1.68562E-030</c:v>
                </c:pt>
                <c:pt idx="75">
                  <c:v>1.68132E-030</c:v>
                </c:pt>
                <c:pt idx="76">
                  <c:v>1.67795E-030</c:v>
                </c:pt>
                <c:pt idx="77">
                  <c:v>1.67531E-030</c:v>
                </c:pt>
                <c:pt idx="78">
                  <c:v>1.67326E-030</c:v>
                </c:pt>
                <c:pt idx="79">
                  <c:v>1.67166E-030</c:v>
                </c:pt>
                <c:pt idx="80">
                  <c:v>1.67041E-030</c:v>
                </c:pt>
                <c:pt idx="81">
                  <c:v>1.66944E-030</c:v>
                </c:pt>
                <c:pt idx="82">
                  <c:v>1.66868E-030</c:v>
                </c:pt>
                <c:pt idx="83">
                  <c:v>1.66808E-030</c:v>
                </c:pt>
                <c:pt idx="84">
                  <c:v>1.66761E-030</c:v>
                </c:pt>
                <c:pt idx="85">
                  <c:v>1.66724E-030</c:v>
                </c:pt>
                <c:pt idx="86">
                  <c:v>1.66695E-030</c:v>
                </c:pt>
                <c:pt idx="87">
                  <c:v>1.66672E-030</c:v>
                </c:pt>
                <c:pt idx="88">
                  <c:v>1.66653E-030</c:v>
                </c:pt>
                <c:pt idx="89">
                  <c:v>1.66638E-030</c:v>
                </c:pt>
                <c:pt idx="90">
                  <c:v>1.66627E-030</c:v>
                </c:pt>
                <c:pt idx="91">
                  <c:v>1.66617E-030</c:v>
                </c:pt>
                <c:pt idx="92">
                  <c:v>1.66609E-030</c:v>
                </c:pt>
                <c:pt idx="93">
                  <c:v>1.66603E-030</c:v>
                </c:pt>
                <c:pt idx="94">
                  <c:v>1.66598E-030</c:v>
                </c:pt>
                <c:pt idx="95">
                  <c:v>1.66594E-030</c:v>
                </c:pt>
                <c:pt idx="96">
                  <c:v>1.6659E-030</c:v>
                </c:pt>
                <c:pt idx="97">
                  <c:v>1.66588E-030</c:v>
                </c:pt>
                <c:pt idx="98">
                  <c:v>1.66585E-030</c:v>
                </c:pt>
                <c:pt idx="99">
                  <c:v>1.66584E-030</c:v>
                </c:pt>
                <c:pt idx="100">
                  <c:v>1.66582E-030</c:v>
                </c:pt>
                <c:pt idx="101">
                  <c:v>1.66582E-030</c:v>
                </c:pt>
                <c:pt idx="102">
                  <c:v>1.66582E-030</c:v>
                </c:pt>
                <c:pt idx="103">
                  <c:v>1.66582E-030</c:v>
                </c:pt>
                <c:pt idx="104">
                  <c:v>1.66582E-030</c:v>
                </c:pt>
                <c:pt idx="105">
                  <c:v>1.66582E-030</c:v>
                </c:pt>
                <c:pt idx="106">
                  <c:v>1.66582E-030</c:v>
                </c:pt>
                <c:pt idx="107">
                  <c:v>1.66582E-030</c:v>
                </c:pt>
                <c:pt idx="108">
                  <c:v>1.66582E-030</c:v>
                </c:pt>
                <c:pt idx="109">
                  <c:v>1.66582E-030</c:v>
                </c:pt>
                <c:pt idx="110">
                  <c:v>1.66582E-030</c:v>
                </c:pt>
                <c:pt idx="111">
                  <c:v>1.66582E-030</c:v>
                </c:pt>
                <c:pt idx="112">
                  <c:v>1.66582E-030</c:v>
                </c:pt>
                <c:pt idx="113">
                  <c:v>1.66582E-030</c:v>
                </c:pt>
                <c:pt idx="114">
                  <c:v>1.66582E-030</c:v>
                </c:pt>
                <c:pt idx="115">
                  <c:v>1.66582E-030</c:v>
                </c:pt>
                <c:pt idx="116">
                  <c:v>1.66582E-030</c:v>
                </c:pt>
                <c:pt idx="117">
                  <c:v>1.66582E-030</c:v>
                </c:pt>
                <c:pt idx="118">
                  <c:v>1.66582E-030</c:v>
                </c:pt>
                <c:pt idx="119">
                  <c:v>1.66582E-030</c:v>
                </c:pt>
                <c:pt idx="120">
                  <c:v>1.66582E-030</c:v>
                </c:pt>
                <c:pt idx="121">
                  <c:v>1.66582E-030</c:v>
                </c:pt>
                <c:pt idx="122">
                  <c:v>1.66582E-030</c:v>
                </c:pt>
                <c:pt idx="123">
                  <c:v>1.66582E-030</c:v>
                </c:pt>
                <c:pt idx="124">
                  <c:v>1.66582E-030</c:v>
                </c:pt>
                <c:pt idx="125">
                  <c:v>1.66582E-030</c:v>
                </c:pt>
                <c:pt idx="126">
                  <c:v>1.66582E-030</c:v>
                </c:pt>
                <c:pt idx="127">
                  <c:v>1.66582E-030</c:v>
                </c:pt>
                <c:pt idx="128">
                  <c:v>1.66582E-030</c:v>
                </c:pt>
                <c:pt idx="129">
                  <c:v>1.66582E-030</c:v>
                </c:pt>
                <c:pt idx="130">
                  <c:v>1.66582E-030</c:v>
                </c:pt>
                <c:pt idx="131">
                  <c:v>1.66582E-030</c:v>
                </c:pt>
                <c:pt idx="132">
                  <c:v>1.66582E-030</c:v>
                </c:pt>
                <c:pt idx="133">
                  <c:v>1.66582E-030</c:v>
                </c:pt>
                <c:pt idx="134">
                  <c:v>1.66582E-030</c:v>
                </c:pt>
                <c:pt idx="135">
                  <c:v>1.66582E-030</c:v>
                </c:pt>
                <c:pt idx="136">
                  <c:v>1.66582E-030</c:v>
                </c:pt>
                <c:pt idx="137">
                  <c:v>1.66582E-030</c:v>
                </c:pt>
                <c:pt idx="138">
                  <c:v>1.66582E-030</c:v>
                </c:pt>
                <c:pt idx="139">
                  <c:v>1.66582E-030</c:v>
                </c:pt>
                <c:pt idx="140">
                  <c:v>1.66582E-030</c:v>
                </c:pt>
                <c:pt idx="141">
                  <c:v>1.66582E-030</c:v>
                </c:pt>
                <c:pt idx="142">
                  <c:v>1.66582E-030</c:v>
                </c:pt>
                <c:pt idx="143">
                  <c:v>1.66582E-030</c:v>
                </c:pt>
                <c:pt idx="144">
                  <c:v>1.66582E-030</c:v>
                </c:pt>
                <c:pt idx="145">
                  <c:v>1.66582E-030</c:v>
                </c:pt>
                <c:pt idx="146">
                  <c:v>1.66582E-030</c:v>
                </c:pt>
                <c:pt idx="147">
                  <c:v>1.66582E-030</c:v>
                </c:pt>
                <c:pt idx="148">
                  <c:v>1.66582E-030</c:v>
                </c:pt>
                <c:pt idx="149">
                  <c:v>1.66582E-030</c:v>
                </c:pt>
                <c:pt idx="150">
                  <c:v>1.66582E-030</c:v>
                </c:pt>
                <c:pt idx="151">
                  <c:v>1.66582E-030</c:v>
                </c:pt>
                <c:pt idx="152">
                  <c:v>1.66582E-030</c:v>
                </c:pt>
                <c:pt idx="153">
                  <c:v>1.66582E-030</c:v>
                </c:pt>
                <c:pt idx="154">
                  <c:v>1.66582E-030</c:v>
                </c:pt>
                <c:pt idx="155">
                  <c:v>1.66582E-030</c:v>
                </c:pt>
                <c:pt idx="156">
                  <c:v>1.66582E-030</c:v>
                </c:pt>
                <c:pt idx="157">
                  <c:v>1.66582E-030</c:v>
                </c:pt>
                <c:pt idx="158">
                  <c:v>1.66582E-030</c:v>
                </c:pt>
                <c:pt idx="159">
                  <c:v>1.66582E-030</c:v>
                </c:pt>
                <c:pt idx="160">
                  <c:v>1.66582E-030</c:v>
                </c:pt>
                <c:pt idx="161">
                  <c:v>1.66582E-030</c:v>
                </c:pt>
                <c:pt idx="162">
                  <c:v>1.66582E-030</c:v>
                </c:pt>
                <c:pt idx="163">
                  <c:v>1.66582E-030</c:v>
                </c:pt>
                <c:pt idx="164">
                  <c:v>1.66582E-030</c:v>
                </c:pt>
                <c:pt idx="165">
                  <c:v>1.66582E-030</c:v>
                </c:pt>
                <c:pt idx="166">
                  <c:v>1.66582E-030</c:v>
                </c:pt>
                <c:pt idx="167">
                  <c:v>1.66582E-030</c:v>
                </c:pt>
                <c:pt idx="168">
                  <c:v>1.66582E-030</c:v>
                </c:pt>
                <c:pt idx="169">
                  <c:v>1.66582E-030</c:v>
                </c:pt>
                <c:pt idx="170">
                  <c:v>1.66582E-030</c:v>
                </c:pt>
                <c:pt idx="171">
                  <c:v>1.66582E-030</c:v>
                </c:pt>
                <c:pt idx="172">
                  <c:v>1.66582E-030</c:v>
                </c:pt>
                <c:pt idx="173">
                  <c:v>1.66582E-030</c:v>
                </c:pt>
                <c:pt idx="174">
                  <c:v>1.66582E-030</c:v>
                </c:pt>
                <c:pt idx="175">
                  <c:v>1.66582E-030</c:v>
                </c:pt>
                <c:pt idx="176">
                  <c:v>1.66582E-030</c:v>
                </c:pt>
                <c:pt idx="177">
                  <c:v>1.66582E-030</c:v>
                </c:pt>
                <c:pt idx="178">
                  <c:v>1.66582E-030</c:v>
                </c:pt>
                <c:pt idx="179">
                  <c:v>1.66582E-030</c:v>
                </c:pt>
                <c:pt idx="180">
                  <c:v>1.66582E-030</c:v>
                </c:pt>
                <c:pt idx="181">
                  <c:v>1.66582E-030</c:v>
                </c:pt>
                <c:pt idx="182">
                  <c:v>1.66582E-030</c:v>
                </c:pt>
                <c:pt idx="183">
                  <c:v>1.66582E-030</c:v>
                </c:pt>
                <c:pt idx="184">
                  <c:v>1.66582E-030</c:v>
                </c:pt>
                <c:pt idx="185">
                  <c:v>1.66582E-030</c:v>
                </c:pt>
                <c:pt idx="186">
                  <c:v>1.66582E-030</c:v>
                </c:pt>
                <c:pt idx="187">
                  <c:v>1.66582E-030</c:v>
                </c:pt>
                <c:pt idx="188">
                  <c:v>1.66582E-030</c:v>
                </c:pt>
                <c:pt idx="189">
                  <c:v>1.66582E-030</c:v>
                </c:pt>
                <c:pt idx="190">
                  <c:v>1.66582E-030</c:v>
                </c:pt>
                <c:pt idx="191">
                  <c:v>1.66582E-030</c:v>
                </c:pt>
                <c:pt idx="192">
                  <c:v>1.66582E-030</c:v>
                </c:pt>
                <c:pt idx="193">
                  <c:v>1.66582E-030</c:v>
                </c:pt>
                <c:pt idx="194">
                  <c:v>1.66582E-030</c:v>
                </c:pt>
                <c:pt idx="195">
                  <c:v>1.66582E-030</c:v>
                </c:pt>
                <c:pt idx="196">
                  <c:v>1.66582E-030</c:v>
                </c:pt>
                <c:pt idx="197">
                  <c:v>1.66582E-030</c:v>
                </c:pt>
                <c:pt idx="198">
                  <c:v>1.66582E-030</c:v>
                </c:pt>
                <c:pt idx="199">
                  <c:v>1.66582E-030</c:v>
                </c:pt>
                <c:pt idx="200">
                  <c:v>1.66582E-030</c:v>
                </c:pt>
              </c:numCache>
            </c:numRef>
          </c:val>
          <c:smooth val="0"/>
        </c:ser>
        <c:hiLowLines>
          <c:spPr>
            <a:ln w="0">
              <a:noFill/>
            </a:ln>
          </c:spPr>
        </c:hiLowLines>
        <c:marker val="0"/>
        <c:axId val="49444030"/>
        <c:axId val="57596911"/>
      </c:lineChart>
      <c:catAx>
        <c:axId val="49444030"/>
        <c:scaling>
          <c:orientation val="minMax"/>
        </c:scaling>
        <c:delete val="0"/>
        <c:axPos val="b"/>
        <c:title>
          <c:tx>
            <c:rich>
              <a:bodyPr rot="0"/>
              <a:lstStyle/>
              <a:p>
                <a:pPr>
                  <a:defRPr b="0" lang="en-US" sz="1000" spc="-1" strike="noStrike">
                    <a:solidFill>
                      <a:srgbClr val="000000"/>
                    </a:solidFill>
                    <a:latin typeface="Calibri"/>
                  </a:defRPr>
                </a:pPr>
                <a:r>
                  <a:rPr b="0" lang="en-US" sz="1000" spc="-1" strike="noStrike">
                    <a:solidFill>
                      <a:srgbClr val="000000"/>
                    </a:solidFill>
                    <a:latin typeface="Calibri"/>
                  </a:rPr>
                  <a:t>Temperatura [K]</a:t>
                </a:r>
              </a:p>
            </c:rich>
          </c:tx>
          <c:layout>
            <c:manualLayout>
              <c:xMode val="edge"/>
              <c:yMode val="edge"/>
              <c:x val="0.434298995600564"/>
              <c:y val="0.914932767162067"/>
            </c:manualLayout>
          </c:layout>
          <c:overlay val="0"/>
          <c:spPr>
            <a:noFill/>
            <a:ln w="0">
              <a:noFill/>
            </a:ln>
          </c:spPr>
        </c:title>
        <c:numFmt formatCode="General" sourceLinked="0"/>
        <c:majorTickMark val="none"/>
        <c:minorTickMark val="none"/>
        <c:tickLblPos val="nextTo"/>
        <c:spPr>
          <a:ln w="9360">
            <a:solidFill>
              <a:srgbClr val="000000"/>
            </a:solidFill>
            <a:round/>
          </a:ln>
        </c:spPr>
        <c:txPr>
          <a:bodyPr/>
          <a:lstStyle/>
          <a:p>
            <a:pPr>
              <a:defRPr b="0" sz="900" spc="-1" strike="noStrike">
                <a:solidFill>
                  <a:srgbClr val="000000"/>
                </a:solidFill>
                <a:latin typeface="Calibri"/>
              </a:defRPr>
            </a:pPr>
          </a:p>
        </c:txPr>
        <c:crossAx val="57596911"/>
        <c:crosses val="autoZero"/>
        <c:auto val="1"/>
        <c:lblAlgn val="ctr"/>
        <c:lblOffset val="100"/>
        <c:noMultiLvlLbl val="0"/>
      </c:catAx>
      <c:valAx>
        <c:axId val="57596911"/>
        <c:scaling>
          <c:orientation val="minMax"/>
        </c:scaling>
        <c:delete val="0"/>
        <c:axPos val="l"/>
        <c:majorGridlines>
          <c:spPr>
            <a:ln w="9360">
              <a:solidFill>
                <a:srgbClr val="d9d9d9"/>
              </a:solidFill>
              <a:round/>
            </a:ln>
          </c:spPr>
        </c:majorGridlines>
        <c:title>
          <c:tx>
            <c:rich>
              <a:bodyPr rot="-5400000"/>
              <a:lstStyle/>
              <a:p>
                <a:pPr>
                  <a:defRPr b="0" lang="en-US" sz="1000" spc="-1" strike="noStrike">
                    <a:solidFill>
                      <a:srgbClr val="000000"/>
                    </a:solidFill>
                    <a:latin typeface="Calibri"/>
                  </a:defRPr>
                </a:pPr>
                <a:r>
                  <a:rPr b="0" lang="en-US" sz="1000" spc="-1" strike="noStrike">
                    <a:solidFill>
                      <a:srgbClr val="000000"/>
                    </a:solidFill>
                    <a:latin typeface="Calibri"/>
                  </a:rPr>
                  <a:t>Concentration [%vol.]</a:t>
                </a:r>
              </a:p>
            </c:rich>
          </c:tx>
          <c:overlay val="0"/>
          <c:spPr>
            <a:noFill/>
            <a:ln w="0">
              <a:noFill/>
            </a:ln>
          </c:spPr>
        </c:title>
        <c:numFmt formatCode="General" sourceLinked="0"/>
        <c:majorTickMark val="none"/>
        <c:minorTickMark val="none"/>
        <c:tickLblPos val="nextTo"/>
        <c:spPr>
          <a:ln w="6480">
            <a:noFill/>
          </a:ln>
        </c:spPr>
        <c:txPr>
          <a:bodyPr/>
          <a:lstStyle/>
          <a:p>
            <a:pPr>
              <a:defRPr b="0" sz="900" spc="-1" strike="noStrike">
                <a:solidFill>
                  <a:srgbClr val="000000"/>
                </a:solidFill>
                <a:latin typeface="Calibri"/>
              </a:defRPr>
            </a:pPr>
          </a:p>
        </c:txPr>
        <c:crossAx val="49444030"/>
        <c:crosses val="autoZero"/>
        <c:crossBetween val="between"/>
      </c:valAx>
      <c:spPr>
        <a:noFill/>
        <a:ln w="0">
          <a:solidFill>
            <a:srgbClr val="000000"/>
          </a:solidFill>
        </a:ln>
      </c:spPr>
    </c:plotArea>
    <c:legend>
      <c:legendPos val="b"/>
      <c:layout>
        <c:manualLayout>
          <c:xMode val="edge"/>
          <c:yMode val="edge"/>
          <c:x val="0.4863125"/>
          <c:y val="0.511555555555556"/>
          <c:w val="0.400025001562598"/>
          <c:h val="0.130014446049561"/>
        </c:manualLayout>
      </c:layout>
      <c:overlay val="0"/>
      <c:spPr>
        <a:solidFill>
          <a:srgbClr val="ffffff"/>
        </a:solidFill>
        <a:ln w="0">
          <a:solidFill>
            <a:srgbClr val="000000"/>
          </a:solidFill>
        </a:ln>
      </c:spPr>
      <c:txPr>
        <a:bodyPr/>
        <a:lstStyle/>
        <a:p>
          <a:pPr>
            <a:defRPr b="0" sz="1000" spc="-1" strike="noStrike">
              <a:solidFill>
                <a:srgbClr val="000000"/>
              </a:solidFill>
              <a:latin typeface="Calibri"/>
            </a:defRPr>
          </a:pPr>
        </a:p>
      </c:txPr>
    </c:legend>
    <c:plotVisOnly val="1"/>
    <c:dispBlanksAs val="gap"/>
  </c:chart>
  <c:spPr>
    <a:solidFill>
      <a:srgbClr val="ffffff"/>
    </a:solidFill>
    <a:ln w="9360">
      <a:solidFill>
        <a:srgbClr val="000000"/>
      </a:solidFill>
      <a:round/>
    </a:ln>
  </c:spPr>
</c:chartSpace>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346ED-FEC5-41E0-81EC-156352085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Application>LibreOffice/24.2.7.2$Linux_X86_64 LibreOffice_project/420$Build-2</Application>
  <AppVersion>15.0000</AppVersion>
  <Pages>7</Pages>
  <Words>2519</Words>
  <Characters>14278</Characters>
  <CharactersWithSpaces>16729</CharactersWithSpaces>
  <Paragraphs>142</Paragraphs>
  <Company>KATAK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2026-04-29T18:26:00Z</dcterms:created>
  <dc:creator>fplepore</dc:creator>
  <dc:description/>
  <dc:language>pt-BR</dc:language>
  <cp:lastModifiedBy/>
  <cp:lastPrinted>2018-10-09T19:15:00Z</cp:lastPrinted>
  <dcterms:modified xsi:type="dcterms:W3CDTF">2026-05-04T14:17:43Z</dcterms:modified>
  <cp:revision>17</cp:revision>
  <dc:subject/>
  <dc:title>Turbulent Heat Transfer and Pressure Drop for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7ac32b4b251c4abf5c80e5cf2b509a84cfe35815689f361b251329d9240e217b</vt:lpwstr>
  </property>
</Properties>
</file>