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808080"/>
          <w:sz w:val="17"/>
        </w:rPr>
        <w:t>EQUIPE ALFA  ·  RELATÓRIO DE DESEMPENHO COMERCIAL</w:t>
      </w:r>
    </w:p>
    <w:p>
      <w:pPr>
        <w:spacing w:before="200" w:after="40"/>
      </w:pPr>
      <w:r>
        <w:rPr>
          <w:rFonts w:ascii="Calibri" w:hAnsi="Calibri"/>
          <w:b/>
          <w:color w:val="1F3864"/>
          <w:sz w:val="52"/>
        </w:rPr>
        <w:t>Relatório de Vendas</w:t>
      </w:r>
    </w:p>
    <w:p>
      <w:pPr>
        <w:spacing w:after="280"/>
      </w:pPr>
      <w:r>
        <w:rPr>
          <w:rFonts w:ascii="Calibri" w:hAnsi="Calibri"/>
          <w:color w:val="595959"/>
          <w:sz w:val="26"/>
        </w:rPr>
        <w:t>1º semestre de 2026 — janeiro a junho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AF1F9"/>
          </w:tcPr>
          <w:p>
            <w:pPr>
              <w:spacing w:before="120" w:after="120"/>
            </w:pPr>
            <w:r/>
            <w:r>
              <w:rPr>
                <w:rFonts w:ascii="Calibri" w:hAnsi="Calibri"/>
                <w:color w:val="333333"/>
                <w:sz w:val="18"/>
              </w:rPr>
              <w:t>Documento para a Diretoria   |   Base: vendas_2026.csv (36 registros) e metas.txt   |   Emissão: 27/10/2026   |   Preparado pela Equipe Alfa</w:t>
            </w:r>
          </w:p>
        </w:tc>
      </w:tr>
    </w:tbl>
    <w:p>
      <w:pPr>
        <w:spacing w:after="0"/>
      </w:pPr>
    </w:p>
    <w:p>
      <w:pPr>
        <w:keepNext/>
        <w:spacing w:before="280" w:after="120"/>
        <w:pBdr>
          <w:bottom w:val="single" w:sz="8" w:space="2" w:color="2E75B6"/>
        </w:pBdr>
      </w:pPr>
      <w:r>
        <w:rPr>
          <w:rFonts w:ascii="Calibri" w:hAnsi="Calibri"/>
          <w:b/>
          <w:color w:val="1F3864"/>
          <w:sz w:val="26"/>
        </w:rPr>
        <w:t>1. Resumo executivo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1"/>
        </w:rPr>
        <w:t>No primeiro semestre de 2026 a operação registrou receita de R$ 639.377, com 1.823 unidades vendidas e ticket médio de R$ 351. O resultado equivale a 133,2% da meta semestral de R$ 480.000 — um excedente de R$ 159.377 sobre o planejado.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1"/>
        </w:rPr>
        <w:t>As três regiões superaram suas metas individuais. O Nordeste lidera em percentual de atingimento (169,4%) e o Sul aparece em seguida (141,5%). O Sudeste, que concentra a maior meta absoluta (R$ 200.000), cumpriu o objetivo com a menor margem de segurança: 103,5%.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1"/>
        </w:rPr>
        <w:t>A receita mensal manteve-se entre R$ 101.406 e R$ 115.675, com média de R$ 106.563 por mês. O Plano Pro respondeu por 72,0% da receita (R$ 460.078), contra 28,0% do Plano Básico — confirmando o peso do produto de maior valor agregado na composição do resultado.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rHeight w:val="312"/>
        </w:trPr>
        <w:tc>
          <w:tcPr>
            <w:tcW w:type="dxa" w:w="2353"/>
            <w:shd w:val="clear" w:color="auto" w:fill="2E75B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Receita total</w:t>
            </w:r>
          </w:p>
        </w:tc>
        <w:tc>
          <w:tcPr>
            <w:tcW w:type="dxa" w:w="2353"/>
            <w:shd w:val="clear" w:color="auto" w:fill="2E75B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Meta do semestre</w:t>
            </w:r>
          </w:p>
        </w:tc>
        <w:tc>
          <w:tcPr>
            <w:tcW w:type="dxa" w:w="2353"/>
            <w:shd w:val="clear" w:color="auto" w:fill="2E75B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Atingimento</w:t>
            </w:r>
          </w:p>
        </w:tc>
        <w:tc>
          <w:tcPr>
            <w:tcW w:type="dxa" w:w="2353"/>
            <w:shd w:val="clear" w:color="auto" w:fill="2E75B6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Unidades vendidas</w:t>
            </w:r>
          </w:p>
        </w:tc>
      </w:tr>
      <w:tr>
        <w:trPr>
          <w:trHeight w:val="312"/>
        </w:trPr>
        <w:tc>
          <w:tcPr>
            <w:tcW w:type="dxa" w:w="2353"/>
            <w:shd w:val="clear" w:color="auto" w:fill="F2F6FB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26"/>
              </w:rPr>
              <w:t>R$ 639.377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26"/>
              </w:rPr>
              <w:t>R$ 480.000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26"/>
              </w:rPr>
              <w:t>133,2%</w:t>
            </w:r>
          </w:p>
        </w:tc>
        <w:tc>
          <w:tcPr>
            <w:tcW w:type="dxa" w:w="2353"/>
            <w:shd w:val="clear" w:color="auto" w:fill="F2F6FB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1F3864"/>
                <w:sz w:val="26"/>
              </w:rPr>
              <w:t>1.823</w:t>
            </w:r>
          </w:p>
        </w:tc>
      </w:tr>
    </w:tbl>
    <w:p>
      <w:pPr>
        <w:keepNext/>
        <w:spacing w:before="280" w:after="120"/>
        <w:pBdr>
          <w:bottom w:val="single" w:sz="8" w:space="2" w:color="2E75B6"/>
        </w:pBdr>
      </w:pPr>
      <w:r>
        <w:rPr>
          <w:rFonts w:ascii="Calibri" w:hAnsi="Calibri"/>
          <w:b/>
          <w:color w:val="1F3864"/>
          <w:sz w:val="26"/>
        </w:rPr>
        <w:t>2. Receita por região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1"/>
        </w:rPr>
        <w:t>A tabela abaixo consolida a receita de janeiro a junho por região, a participação de cada praça no total, a meta definida no planejamento e o percentual de atingimento. A média mensal corresponde à receita da região dividida pelos seis meses do período.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701"/>
            <w:shd w:val="clear" w:color="auto" w:fill="1F3864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Região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Receita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Unidades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% do total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Meta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Atingimento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Nordeste</w:t>
            </w:r>
          </w:p>
        </w:tc>
        <w:tc>
          <w:tcPr>
            <w:tcW w:type="dxa" w:w="1928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R$ 220.182</w:t>
            </w:r>
          </w:p>
        </w:tc>
        <w:tc>
          <w:tcPr>
            <w:tcW w:type="dxa" w:w="1247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618</w:t>
            </w:r>
          </w:p>
        </w:tc>
        <w:tc>
          <w:tcPr>
            <w:tcW w:type="dxa" w:w="1304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34,4%</w:t>
            </w:r>
          </w:p>
        </w:tc>
        <w:tc>
          <w:tcPr>
            <w:tcW w:type="dxa" w:w="1814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R$ 130.000</w:t>
            </w:r>
          </w:p>
        </w:tc>
        <w:tc>
          <w:tcPr>
            <w:tcW w:type="dxa" w:w="1417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169,4%</w:t>
            </w:r>
          </w:p>
        </w:tc>
      </w:tr>
      <w:tr>
        <w:tc>
          <w:tcPr>
            <w:tcW w:type="dxa" w:w="1701"/>
            <w:shd w:val="clear" w:color="auto" w:fill="F5F8FC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Sul</w:t>
            </w:r>
          </w:p>
        </w:tc>
        <w:tc>
          <w:tcPr>
            <w:tcW w:type="dxa" w:w="1928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R$ 212.195</w:t>
            </w:r>
          </w:p>
        </w:tc>
        <w:tc>
          <w:tcPr>
            <w:tcW w:type="dxa" w:w="1247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605</w:t>
            </w:r>
          </w:p>
        </w:tc>
        <w:tc>
          <w:tcPr>
            <w:tcW w:type="dxa" w:w="1304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33,2%</w:t>
            </w:r>
          </w:p>
        </w:tc>
        <w:tc>
          <w:tcPr>
            <w:tcW w:type="dxa" w:w="1814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R$ 150.000</w:t>
            </w:r>
          </w:p>
        </w:tc>
        <w:tc>
          <w:tcPr>
            <w:tcW w:type="dxa" w:w="1417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141,5%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Sudeste</w:t>
            </w:r>
          </w:p>
        </w:tc>
        <w:tc>
          <w:tcPr>
            <w:tcW w:type="dxa" w:w="1928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R$ 207.000</w:t>
            </w:r>
          </w:p>
        </w:tc>
        <w:tc>
          <w:tcPr>
            <w:tcW w:type="dxa" w:w="1247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600</w:t>
            </w:r>
          </w:p>
        </w:tc>
        <w:tc>
          <w:tcPr>
            <w:tcW w:type="dxa" w:w="1304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32,4%</w:t>
            </w:r>
          </w:p>
        </w:tc>
        <w:tc>
          <w:tcPr>
            <w:tcW w:type="dxa" w:w="1814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R$ 200.000</w:t>
            </w:r>
          </w:p>
        </w:tc>
        <w:tc>
          <w:tcPr>
            <w:tcW w:type="dxa" w:w="1417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103,5%</w:t>
            </w:r>
          </w:p>
        </w:tc>
      </w:tr>
      <w:tr>
        <w:tc>
          <w:tcPr>
            <w:tcW w:type="dxa" w:w="1701"/>
            <w:shd w:val="clear" w:color="auto" w:fill="DCE7F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Total</w:t>
            </w:r>
          </w:p>
        </w:tc>
        <w:tc>
          <w:tcPr>
            <w:tcW w:type="dxa" w:w="1928"/>
            <w:shd w:val="clear" w:color="auto" w:fill="DCE7F3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sz w:val="19"/>
              </w:rPr>
              <w:t>R$ 639.377</w:t>
            </w:r>
          </w:p>
        </w:tc>
        <w:tc>
          <w:tcPr>
            <w:tcW w:type="dxa" w:w="1247"/>
            <w:shd w:val="clear" w:color="auto" w:fill="DCE7F3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sz w:val="19"/>
              </w:rPr>
              <w:t>1.823</w:t>
            </w:r>
          </w:p>
        </w:tc>
        <w:tc>
          <w:tcPr>
            <w:tcW w:type="dxa" w:w="1304"/>
            <w:shd w:val="clear" w:color="auto" w:fill="DCE7F3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sz w:val="19"/>
              </w:rPr>
              <w:t>100,0%</w:t>
            </w:r>
          </w:p>
        </w:tc>
        <w:tc>
          <w:tcPr>
            <w:tcW w:type="dxa" w:w="1814"/>
            <w:shd w:val="clear" w:color="auto" w:fill="DCE7F3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sz w:val="19"/>
              </w:rPr>
              <w:t>R$ 480.000</w:t>
            </w:r>
          </w:p>
        </w:tc>
        <w:tc>
          <w:tcPr>
            <w:tcW w:type="dxa" w:w="1417"/>
            <w:shd w:val="clear" w:color="auto" w:fill="DCE7F3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133,2%</w:t>
            </w:r>
          </w:p>
        </w:tc>
      </w:tr>
    </w:tbl>
    <w:p>
      <w:pPr>
        <w:spacing w:before="80" w:after="40"/>
      </w:pPr>
      <w:r>
        <w:rPr>
          <w:rFonts w:ascii="Calibri" w:hAnsi="Calibri"/>
          <w:i/>
          <w:color w:val="595959"/>
          <w:sz w:val="16"/>
        </w:rPr>
        <w:t>Valores em reais. Atingimento = receita realizada ÷ meta da região. Fonte: vendas_2026.csv e metas.txt.</w:t>
      </w:r>
    </w:p>
    <w:p>
      <w:pPr>
        <w:spacing w:after="200" w:line="276" w:lineRule="auto"/>
      </w:pPr>
      <w:r>
        <w:rPr>
          <w:rFonts w:ascii="Calibri" w:hAnsi="Calibri"/>
          <w:b w:val="0"/>
          <w:i w:val="0"/>
          <w:sz w:val="21"/>
        </w:rPr>
        <w:t>O Nordeste, que tem a menor meta (R$ 130.000), foi a região que mais superou o objetivo: R$ 90.182 acima da meta. O Sudeste entregou R$ 207.000, o melhor resultado absoluto entre as praças, mas com apenas 3,5% de folga sobre a meta mais ambiciosa do plano. O Sul ficou no meio em receita (R$ 212.195) e com 141,5% de atingimento.</w:t>
      </w:r>
    </w:p>
    <w:p>
      <w:pPr>
        <w:keepNext/>
        <w:spacing w:before="280" w:after="120"/>
        <w:pBdr>
          <w:bottom w:val="single" w:sz="8" w:space="2" w:color="2E75B6"/>
        </w:pBdr>
      </w:pPr>
      <w:r>
        <w:rPr>
          <w:rFonts w:ascii="Calibri" w:hAnsi="Calibri"/>
          <w:b/>
          <w:color w:val="1F3864"/>
          <w:sz w:val="26"/>
        </w:rPr>
        <w:t>3. Evolução mensal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1"/>
        </w:rPr>
        <w:t>O semestre não apresentou tendência de crescimento sustentado: houve pico em março, recuo em abril e maio e recuperação em junho. A média mensal de R$ 106.563 é sustentada por meses de patamar parecido, o que indica estabilidade de demanda, e não expansão.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1F3864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Mês</w:t>
            </w:r>
          </w:p>
        </w:tc>
        <w:tc>
          <w:tcPr>
            <w:tcW w:type="dxa" w:w="188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Receita</w:t>
            </w:r>
          </w:p>
        </w:tc>
        <w:tc>
          <w:tcPr>
            <w:tcW w:type="dxa" w:w="188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Unidades</w:t>
            </w:r>
          </w:p>
        </w:tc>
        <w:tc>
          <w:tcPr>
            <w:tcW w:type="dxa" w:w="188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Ticket médio</w:t>
            </w:r>
          </w:p>
        </w:tc>
        <w:tc>
          <w:tcPr>
            <w:tcW w:type="dxa" w:w="188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Variação vs. mês anterior</w:t>
            </w:r>
          </w:p>
        </w:tc>
      </w:tr>
      <w:tr>
        <w:tc>
          <w:tcPr>
            <w:tcW w:type="dxa" w:w="1882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Jan/2026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R$ 102.413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287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R$ 357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Fev/2026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R$ 105.594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306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R$ 345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color w:val="1E7B34"/>
                <w:sz w:val="19"/>
              </w:rPr>
              <w:t>+3,1%</w:t>
            </w:r>
          </w:p>
        </w:tc>
      </w:tr>
      <w:tr>
        <w:tc>
          <w:tcPr>
            <w:tcW w:type="dxa" w:w="1882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Mar/2026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R$ 115.675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325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R$ 356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color w:val="1E7B34"/>
                <w:sz w:val="19"/>
              </w:rPr>
              <w:t>+9,5%</w:t>
            </w:r>
          </w:p>
        </w:tc>
      </w:tr>
      <w:tr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Abr/2026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R$ 102.802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298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R$ 345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color w:val="B01F1F"/>
                <w:sz w:val="19"/>
              </w:rPr>
              <w:t>-11,1%</w:t>
            </w:r>
          </w:p>
        </w:tc>
      </w:tr>
      <w:tr>
        <w:tc>
          <w:tcPr>
            <w:tcW w:type="dxa" w:w="1882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Mai/2026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R$ 101.406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294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R$ 345</w:t>
            </w:r>
          </w:p>
        </w:tc>
        <w:tc>
          <w:tcPr>
            <w:tcW w:type="dxa" w:w="1882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color w:val="B01F1F"/>
                <w:sz w:val="19"/>
              </w:rPr>
              <w:t>-1,4%</w:t>
            </w:r>
          </w:p>
        </w:tc>
      </w:tr>
      <w:tr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Jun/2026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R$ 111.487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313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sz w:val="19"/>
              </w:rPr>
              <w:t>R$ 356</w:t>
            </w:r>
          </w:p>
        </w:tc>
        <w:tc>
          <w:tcPr>
            <w:tcW w:type="dxa" w:w="1882"/>
            <w:shd w:val="clear" w:color="auto" w:fill="F5F8FC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 w:val="0"/>
                <w:color w:val="1E7B34"/>
                <w:sz w:val="19"/>
              </w:rPr>
              <w:t>+9,9%</w:t>
            </w:r>
          </w:p>
        </w:tc>
      </w:tr>
      <w:tr>
        <w:tc>
          <w:tcPr>
            <w:tcW w:type="dxa" w:w="1882"/>
            <w:shd w:val="clear" w:color="auto" w:fill="DCE7F3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Média mensal</w:t>
            </w:r>
          </w:p>
        </w:tc>
        <w:tc>
          <w:tcPr>
            <w:tcW w:type="dxa" w:w="1882"/>
            <w:shd w:val="clear" w:color="auto" w:fill="DCE7F3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sz w:val="19"/>
              </w:rPr>
              <w:t>R$ 106.563</w:t>
            </w:r>
          </w:p>
        </w:tc>
        <w:tc>
          <w:tcPr>
            <w:tcW w:type="dxa" w:w="1882"/>
            <w:shd w:val="clear" w:color="auto" w:fill="DCE7F3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sz w:val="19"/>
              </w:rPr>
              <w:t>304</w:t>
            </w:r>
          </w:p>
        </w:tc>
        <w:tc>
          <w:tcPr>
            <w:tcW w:type="dxa" w:w="1882"/>
            <w:shd w:val="clear" w:color="auto" w:fill="DCE7F3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sz w:val="19"/>
              </w:rPr>
              <w:t>R$ 351</w:t>
            </w:r>
          </w:p>
        </w:tc>
        <w:tc>
          <w:tcPr>
            <w:tcW w:type="dxa" w:w="1882"/>
            <w:shd w:val="clear" w:color="auto" w:fill="DCE7F3"/>
          </w:tcPr>
          <w:p>
            <w:pPr>
              <w:spacing w:before="60" w:after="60"/>
              <w:jc w:val="right"/>
            </w:pPr>
            <w:r/>
            <w:r>
              <w:rPr>
                <w:rFonts w:ascii="Calibri" w:hAnsi="Calibri"/>
                <w:b/>
                <w:color w:val="1E7B34"/>
                <w:sz w:val="19"/>
              </w:rPr>
              <w:t>8,9%</w:t>
            </w:r>
          </w:p>
        </w:tc>
      </w:tr>
    </w:tbl>
    <w:p>
      <w:pPr>
        <w:keepNext/>
        <w:spacing w:before="280" w:after="120"/>
        <w:pBdr>
          <w:bottom w:val="single" w:sz="8" w:space="2" w:color="2E75B6"/>
        </w:pBdr>
      </w:pPr>
      <w:r>
        <w:rPr>
          <w:rFonts w:ascii="Calibri" w:hAnsi="Calibri"/>
          <w:b/>
          <w:color w:val="1F3864"/>
          <w:sz w:val="26"/>
        </w:rPr>
        <w:t>4. Desempenho por produto</w:t>
      </w:r>
    </w:p>
    <w:p>
      <w:pPr>
        <w:spacing w:after="140" w:line="276" w:lineRule="auto"/>
      </w:pPr>
      <w:r>
        <w:rPr>
          <w:rFonts w:ascii="Calibri" w:hAnsi="Calibri"/>
          <w:b w:val="0"/>
          <w:i w:val="0"/>
          <w:sz w:val="21"/>
        </w:rPr>
        <w:t>O Plano Pro gerou R$ 460.078 com 922 unidades, e o Plano Básico gerou R$ 179.299 com 901 unidades. Apesar de volumes praticamente iguais (diferença de 21 unidades), o Pro fatura 2,6 vezes mais por unidade — é o motor da receita e o principal ponto de alavancagem comercial.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sz w:val="21"/>
        </w:rPr>
        <w:t xml:space="preserve">Plano Pro no Nordeste: </w:t>
      </w:r>
      <w:r>
        <w:rPr>
          <w:rFonts w:ascii="Calibri" w:hAnsi="Calibri"/>
          <w:sz w:val="21"/>
        </w:rPr>
        <w:t>R$ 161.676 — maior combinação produto/região do semestre.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sz w:val="21"/>
        </w:rPr>
        <w:t xml:space="preserve">Plano Básico no Sudeste: </w:t>
      </w:r>
      <w:r>
        <w:rPr>
          <w:rFonts w:ascii="Calibri" w:hAnsi="Calibri"/>
          <w:sz w:val="21"/>
        </w:rPr>
        <w:t>R$ 61.292 — maior volume do Básico, ainda assim com o preço médio mais baixo entre as praças.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sz w:val="21"/>
        </w:rPr>
        <w:t xml:space="preserve">Concentração: </w:t>
      </w:r>
      <w:r>
        <w:rPr>
          <w:rFonts w:ascii="Calibri" w:hAnsi="Calibri"/>
          <w:sz w:val="21"/>
        </w:rPr>
        <w:t>O Plano Básico responde por quase metade das unidades e por pouco mais de um quarto da receita, o que explica a decisão da diretoria de revisar seu preço no Nordeste.</w:t>
      </w:r>
    </w:p>
    <w:p>
      <w:pPr>
        <w:keepNext/>
        <w:spacing w:before="280" w:after="120"/>
        <w:pBdr>
          <w:bottom w:val="single" w:sz="8" w:space="2" w:color="2E75B6"/>
        </w:pBdr>
      </w:pPr>
      <w:r>
        <w:rPr>
          <w:rFonts w:ascii="Calibri" w:hAnsi="Calibri"/>
          <w:b/>
          <w:color w:val="1F3864"/>
          <w:sz w:val="26"/>
        </w:rPr>
        <w:t>5. Conclusões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sz w:val="21"/>
        </w:rPr>
        <w:t xml:space="preserve">Meta batida com folga. </w:t>
      </w:r>
      <w:r>
        <w:rPr>
          <w:rFonts w:ascii="Calibri" w:hAnsi="Calibri"/>
          <w:sz w:val="21"/>
        </w:rPr>
        <w:t>133,2% da meta semestral, com excedente de R$ 159.377. As três regiões cumpriram seus objetivos — o planejamento de metas esteve bem calibrado para o nível de demanda atual.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sz w:val="21"/>
        </w:rPr>
        <w:t xml:space="preserve">Nordeste é o melhor retorno por real de meta. </w:t>
      </w:r>
      <w:r>
        <w:rPr>
          <w:rFonts w:ascii="Calibri" w:hAnsi="Calibri"/>
          <w:sz w:val="21"/>
        </w:rPr>
        <w:t>169,4% de atingimento com a menor meta do plano. É a praça com maior eficiência relativa e a que mais cresceu acima do esperado.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sz w:val="21"/>
        </w:rPr>
        <w:t xml:space="preserve">Sudeste é o risco silencioso. </w:t>
      </w:r>
      <w:r>
        <w:rPr>
          <w:rFonts w:ascii="Calibri" w:hAnsi="Calibri"/>
          <w:sz w:val="21"/>
        </w:rPr>
        <w:t>Maior meta (R$ 200.000) e menor margem (103,5%). Qualquer oscilação de demanda coloca a região abaixo da meta no próximo semestre.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sz w:val="21"/>
        </w:rPr>
        <w:t xml:space="preserve">Receita estável, não crescente. </w:t>
      </w:r>
      <w:r>
        <w:rPr>
          <w:rFonts w:ascii="Calibri" w:hAnsi="Calibri"/>
          <w:sz w:val="21"/>
        </w:rPr>
        <w:t>Seis meses entre R$ 101.406 e R$ 115.675, com pico em março e vale em abril/maio. Sem mudança de patamar, a meta ampliada do 2º semestre exigirá ação comercial, não só manutenção.</w:t>
      </w:r>
    </w:p>
    <w:p>
      <w:pPr>
        <w:pStyle w:val="ListBullet"/>
        <w:spacing w:after="80" w:line="269" w:lineRule="auto"/>
      </w:pPr>
      <w:r>
        <w:rPr>
          <w:rFonts w:ascii="Calibri" w:hAnsi="Calibri"/>
          <w:b/>
          <w:sz w:val="21"/>
        </w:rPr>
        <w:t xml:space="preserve">O Plano Pro sustenta o resultado. </w:t>
      </w:r>
      <w:r>
        <w:rPr>
          <w:rFonts w:ascii="Calibri" w:hAnsi="Calibri"/>
          <w:sz w:val="21"/>
        </w:rPr>
        <w:t>Dois terços da receita vêm do produto premium. Proteger seu preço e ampliar sua penetração é o caminho de menor esforço para crescer.</w:t>
      </w:r>
    </w:p>
    <w:p>
      <w:pPr>
        <w:keepNext/>
        <w:spacing w:before="280" w:after="120"/>
        <w:pBdr>
          <w:bottom w:val="single" w:sz="8" w:space="2" w:color="2E75B6"/>
        </w:pBdr>
      </w:pPr>
      <w:r>
        <w:rPr>
          <w:rFonts w:ascii="Calibri" w:hAnsi="Calibri"/>
          <w:b/>
          <w:color w:val="1F3864"/>
          <w:sz w:val="24"/>
        </w:rPr>
        <w:t>6. Próximos passos sugeridos</w:t>
      </w:r>
    </w:p>
    <w:p>
      <w:pPr>
        <w:spacing w:after="80"/>
        <w:ind w:left="340"/>
      </w:pPr>
      <w:r>
        <w:rPr>
          <w:b/>
          <w:sz w:val="21"/>
        </w:rPr>
        <w:t xml:space="preserve">1. </w:t>
      </w:r>
      <w:r>
        <w:rPr>
          <w:rFonts w:ascii="Calibri" w:hAnsi="Calibri"/>
          <w:sz w:val="21"/>
        </w:rPr>
        <w:t>Revisar o preço do Plano Básico no Nordeste, conforme decisão da reunião de 03/07, com simulação de impacto no volume antes da vigência.</w:t>
      </w:r>
    </w:p>
    <w:p>
      <w:pPr>
        <w:spacing w:after="80"/>
        <w:ind w:left="340"/>
      </w:pPr>
      <w:r>
        <w:rPr>
          <w:b/>
          <w:sz w:val="21"/>
        </w:rPr>
        <w:t xml:space="preserve">2. </w:t>
      </w:r>
      <w:r>
        <w:rPr>
          <w:rFonts w:ascii="Calibri" w:hAnsi="Calibri"/>
          <w:sz w:val="21"/>
        </w:rPr>
        <w:t>Reforçar o Plano Pro no Sudeste, priorizando a carteira de menores tickets para recuperar a margem sobre a meta.</w:t>
      </w:r>
    </w:p>
    <w:p>
      <w:pPr>
        <w:spacing w:after="80"/>
        <w:ind w:left="340"/>
      </w:pPr>
      <w:r>
        <w:rPr>
          <w:b/>
          <w:sz w:val="21"/>
        </w:rPr>
        <w:t xml:space="preserve">3. </w:t>
      </w:r>
      <w:r>
        <w:rPr>
          <w:rFonts w:ascii="Calibri" w:hAnsi="Calibri"/>
          <w:sz w:val="21"/>
        </w:rPr>
        <w:t>Implantar o canal de vendas online no Sul para atacar o vale de abril/maio.</w:t>
      </w:r>
    </w:p>
    <w:p>
      <w:pPr>
        <w:spacing w:after="80"/>
        <w:ind w:left="340"/>
      </w:pPr>
      <w:r>
        <w:rPr>
          <w:b/>
          <w:sz w:val="21"/>
        </w:rPr>
        <w:t xml:space="preserve">4. </w:t>
      </w:r>
      <w:r>
        <w:rPr>
          <w:rFonts w:ascii="Calibri" w:hAnsi="Calibri"/>
          <w:sz w:val="21"/>
        </w:rPr>
        <w:t>Acompanhar mensalmente o atingimento por região em painel único, com as mesmas fórmulas da planilha analise-vendas.xlsx.</w:t>
      </w:r>
    </w:p>
    <w:p>
      <w:pPr>
        <w:spacing w:after="0"/>
      </w:pPr>
    </w:p>
    <w:p>
      <w:pPr>
        <w:spacing w:before="200"/>
      </w:pPr>
      <w:r>
        <w:rPr>
          <w:rFonts w:ascii="Calibri" w:hAnsi="Calibri"/>
          <w:b/>
          <w:color w:val="1F3864"/>
          <w:sz w:val="22"/>
        </w:rPr>
        <w:t>Preparado pela Equipe Alfa</w:t>
      </w:r>
    </w:p>
    <w:p>
      <w:pPr>
        <w:spacing w:after="0"/>
      </w:pPr>
      <w:r>
        <w:rPr>
          <w:rFonts w:ascii="Calibri" w:hAnsi="Calibri"/>
          <w:i/>
          <w:color w:val="595959"/>
          <w:sz w:val="16"/>
        </w:rPr>
        <w:t>Relatório gerado a partir dos arquivos vendas_2026.csv, metas.txt e reuniao-diretoria.md existentes na pasta do projeto. Cálculos reproduzíveis na aba Resumo de analise-vendas.xlsx.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Relatório de Vendas — 1º semestre de 2026   ·   Preparado pela Equipe Alfa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