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de vendas — 1º semestre de 2026</w:t>
      </w:r>
    </w:p>
    <w:p>
      <w:pPr>
        <w:spacing w:after="80"/>
      </w:pPr>
      <w:r>
        <w:rPr>
          <w:color w:val="595959"/>
          <w:sz w:val="28"/>
        </w:rPr>
        <w:t>Diretoria Comercial</w:t>
      </w:r>
    </w:p>
    <w:p>
      <w:r>
        <w:rPr>
          <w:color w:val="7F7F7F"/>
          <w:sz w:val="20"/>
        </w:rPr>
        <w:t>Preparado pela Equipe Alfa · 27/10/2026</w:t>
      </w:r>
    </w:p>
    <w:p>
      <w:pPr>
        <w:spacing w:after="200"/>
        <w:pBdr>
          <w:bottom w:val="single" w:sz="12" w:space="1" w:color="1F4E79"/>
        </w:pBdr>
      </w:pPr>
    </w:p>
    <w:p>
      <w:pPr>
        <w:pStyle w:val="Heading1"/>
      </w:pPr>
      <w:r>
        <w:t>Resumo executivo</w:t>
      </w:r>
    </w:p>
    <w:p>
      <w:pPr>
        <w:keepNext w:val="0"/>
      </w:pPr>
      <w:r>
        <w:rPr>
          <w:b w:val="0"/>
          <w:i w:val="0"/>
        </w:rPr>
        <w:t xml:space="preserve">A receita do período foi de </w:t>
      </w:r>
      <w:r>
        <w:rPr>
          <w:b/>
          <w:i w:val="0"/>
        </w:rPr>
        <w:t>R$ 639.377</w:t>
      </w:r>
      <w:r>
        <w:rPr>
          <w:b w:val="0"/>
          <w:i w:val="0"/>
        </w:rPr>
        <w:t xml:space="preserve">, 133% da meta de R$ 480.000. A região </w:t>
      </w:r>
      <w:r>
        <w:rPr>
          <w:b/>
          <w:i w:val="0"/>
        </w:rPr>
        <w:t>Nordeste</w:t>
      </w:r>
      <w:r>
        <w:rPr>
          <w:b w:val="0"/>
          <w:i w:val="0"/>
        </w:rPr>
        <w:t xml:space="preserve"> responde por 34% do total; a menor receita é a de </w:t>
      </w:r>
      <w:r>
        <w:rPr>
          <w:b/>
          <w:i w:val="0"/>
        </w:rPr>
        <w:t>Sudeste</w:t>
      </w:r>
      <w:r>
        <w:rPr>
          <w:b w:val="0"/>
          <w:i w:val="0"/>
        </w:rPr>
        <w:t xml:space="preserve"> (R$ 207.000).</w:t>
      </w:r>
    </w:p>
    <w:tbl>
      <w:tblPr>
        <w:tblW w:type="auto" w:w="0"/>
        <w:jc w:val="center"/>
        <w:tblLook w:firstColumn="1" w:firstRow="1" w:lastColumn="0" w:lastRow="0" w:noHBand="0" w:noVBand="1" w:val="04A0"/>
        <w:tblCellMar>
          <w:top w:w="100" w:type="dxa"/>
          <w:left w:w="160" w:type="dxa"/>
          <w:bottom w:w="100" w:type="dxa"/>
          <w:right w:w="140" w:type="dxa"/>
        </w:tblCellMar>
      </w:tblPr>
      <w:tblGrid>
        <w:gridCol w:w="9298"/>
      </w:tblGrid>
      <w:tr>
        <w:tc>
          <w:tcPr>
            <w:tcW w:type="dxa" w:w="9298"/>
            <w:shd w:val="clear" w:color="auto" w:fill="E9EDF2"/>
            <w:tcBorders>
              <w:top w:val="nil"/>
              <w:left w:val="single" w:sz="36" w:space="0" w:color="1F4E79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b/>
                <w:i w:val="0"/>
                <w:color w:val="1F4E79"/>
              </w:rPr>
              <w:t>Destaque</w:t>
            </w:r>
          </w:p>
          <w:p>
            <w:pPr>
              <w:spacing w:after="40"/>
            </w:pPr>
            <w:r>
              <w:rPr>
                <w:b w:val="0"/>
                <w:i w:val="0"/>
              </w:rPr>
              <w:t>Todas as regiões que têm meta a atingiram.</w:t>
            </w:r>
          </w:p>
        </w:tc>
      </w:tr>
    </w:tbl>
    <w:p>
      <w:pPr>
        <w:spacing w:after="80"/>
      </w:pPr>
    </w:p>
    <w:p>
      <w:pPr>
        <w:pStyle w:val="Heading1"/>
      </w:pPr>
      <w:r>
        <w:t>Receita por região</w:t>
      </w:r>
    </w:p>
    <w:p>
      <w:pPr>
        <w:pStyle w:val="Caption"/>
      </w:pPr>
      <w:r>
        <w:t>Tabela 1 — Receita, meta e atingimento por região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860"/>
        <w:gridCol w:w="1860"/>
        <w:gridCol w:w="1860"/>
        <w:gridCol w:w="1860"/>
        <w:gridCol w:w="1860"/>
      </w:tblGrid>
      <w:tr>
        <w:trPr>
          <w:cantSplit/>
          <w:tblHeader/>
        </w:trPr>
        <w:tc>
          <w:tcPr>
            <w:tcW w:type="dxa" w:w="1860"/>
            <w:shd w:val="clear" w:color="auto" w:fill="1F4E7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1"/>
              </w:rPr>
              <w:t>Região</w:t>
            </w:r>
          </w:p>
        </w:tc>
        <w:tc>
          <w:tcPr>
            <w:tcW w:type="dxa" w:w="1860"/>
            <w:shd w:val="clear" w:color="auto" w:fill="1F4E7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40" w:lineRule="auto"/>
              <w:jc w:val="right"/>
            </w:pPr>
            <w:r>
              <w:rPr>
                <w:b/>
                <w:color w:val="FFFFFF"/>
                <w:sz w:val="21"/>
              </w:rPr>
              <w:t>Receita</w:t>
            </w:r>
          </w:p>
        </w:tc>
        <w:tc>
          <w:tcPr>
            <w:tcW w:type="dxa" w:w="1860"/>
            <w:shd w:val="clear" w:color="auto" w:fill="1F4E7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40" w:lineRule="auto"/>
              <w:jc w:val="right"/>
            </w:pPr>
            <w:r>
              <w:rPr>
                <w:b/>
                <w:color w:val="FFFFFF"/>
                <w:sz w:val="21"/>
              </w:rPr>
              <w:t>% do total</w:t>
            </w:r>
          </w:p>
        </w:tc>
        <w:tc>
          <w:tcPr>
            <w:tcW w:type="dxa" w:w="1860"/>
            <w:shd w:val="clear" w:color="auto" w:fill="1F4E7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40" w:lineRule="auto"/>
              <w:jc w:val="right"/>
            </w:pPr>
            <w:r>
              <w:rPr>
                <w:b/>
                <w:color w:val="FFFFFF"/>
                <w:sz w:val="21"/>
              </w:rPr>
              <w:t>Meta</w:t>
            </w:r>
          </w:p>
        </w:tc>
        <w:tc>
          <w:tcPr>
            <w:tcW w:type="dxa" w:w="1860"/>
            <w:shd w:val="clear" w:color="auto" w:fill="1F4E7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line="240" w:lineRule="auto"/>
              <w:jc w:val="right"/>
            </w:pPr>
            <w:r>
              <w:rPr>
                <w:b/>
                <w:color w:val="FFFFFF"/>
                <w:sz w:val="21"/>
              </w:rPr>
              <w:t>Atingimento</w:t>
            </w:r>
          </w:p>
        </w:tc>
      </w:tr>
      <w:tr>
        <w:trPr>
          <w:cantSplit/>
        </w:trPr>
        <w:tc>
          <w:tcPr>
            <w:tcW w:type="dxa" w:w="1860"/>
            <w:tcBorders>
              <w:top w:val="nil"/>
              <w:left w:val="nil"/>
              <w:bottom w:val="single" w:sz="4" w:space="0" w:color="D9D9D9"/>
              <w:right w:val="nil"/>
            </w:tcBorders>
          </w:tcPr>
          <w:p>
            <w:pPr>
              <w:spacing w:after="0" w:line="240" w:lineRule="auto"/>
            </w:pPr>
            <w:r>
              <w:rPr>
                <w:sz w:val="21"/>
              </w:rPr>
              <w:t>Nordeste</w:t>
            </w:r>
          </w:p>
        </w:tc>
        <w:tc>
          <w:tcPr>
            <w:tcW w:type="dxa" w:w="1860"/>
            <w:tcBorders>
              <w:top w:val="nil"/>
              <w:left w:val="nil"/>
              <w:bottom w:val="single" w:sz="4" w:space="0" w:color="D9D9D9"/>
              <w:right w:val="nil"/>
            </w:tcBorders>
          </w:tcPr>
          <w:p>
            <w:pPr>
              <w:spacing w:after="0" w:line="240" w:lineRule="auto"/>
              <w:jc w:val="right"/>
            </w:pPr>
            <w:r>
              <w:rPr>
                <w:sz w:val="21"/>
              </w:rPr>
              <w:t>R$ 220.182</w:t>
            </w:r>
          </w:p>
        </w:tc>
        <w:tc>
          <w:tcPr>
            <w:tcW w:type="dxa" w:w="1860"/>
            <w:tcBorders>
              <w:top w:val="nil"/>
              <w:left w:val="nil"/>
              <w:bottom w:val="single" w:sz="4" w:space="0" w:color="D9D9D9"/>
              <w:right w:val="nil"/>
            </w:tcBorders>
          </w:tcPr>
          <w:p>
            <w:pPr>
              <w:spacing w:after="0" w:line="240" w:lineRule="auto"/>
              <w:jc w:val="right"/>
            </w:pPr>
            <w:r>
              <w:rPr>
                <w:sz w:val="21"/>
              </w:rPr>
              <w:t>34,4%</w:t>
            </w:r>
          </w:p>
        </w:tc>
        <w:tc>
          <w:tcPr>
            <w:tcW w:type="dxa" w:w="1860"/>
            <w:tcBorders>
              <w:top w:val="nil"/>
              <w:left w:val="nil"/>
              <w:bottom w:val="single" w:sz="4" w:space="0" w:color="D9D9D9"/>
              <w:right w:val="nil"/>
            </w:tcBorders>
          </w:tcPr>
          <w:p>
            <w:pPr>
              <w:spacing w:after="0" w:line="240" w:lineRule="auto"/>
              <w:jc w:val="right"/>
            </w:pPr>
            <w:r>
              <w:rPr>
                <w:sz w:val="21"/>
              </w:rPr>
              <w:t>R$ 130.000</w:t>
            </w:r>
          </w:p>
        </w:tc>
        <w:tc>
          <w:tcPr>
            <w:tcW w:type="dxa" w:w="1860"/>
            <w:tcBorders>
              <w:top w:val="nil"/>
              <w:left w:val="nil"/>
              <w:bottom w:val="single" w:sz="4" w:space="0" w:color="D9D9D9"/>
              <w:right w:val="nil"/>
            </w:tcBorders>
          </w:tcPr>
          <w:p>
            <w:pPr>
              <w:spacing w:after="0" w:line="240" w:lineRule="auto"/>
              <w:jc w:val="right"/>
            </w:pPr>
            <w:r>
              <w:rPr>
                <w:sz w:val="21"/>
              </w:rPr>
              <w:t>169,4%</w:t>
            </w:r>
          </w:p>
        </w:tc>
      </w:tr>
      <w:tr>
        <w:trPr>
          <w:cantSplit/>
        </w:trPr>
        <w:tc>
          <w:tcPr>
            <w:tcW w:type="dxa" w:w="1860"/>
            <w:shd w:val="clear" w:color="auto" w:fill="EDF1F4"/>
            <w:tcBorders>
              <w:top w:val="nil"/>
              <w:left w:val="nil"/>
              <w:bottom w:val="single" w:sz="4" w:space="0" w:color="D9D9D9"/>
              <w:right w:val="nil"/>
            </w:tcBorders>
          </w:tcPr>
          <w:p>
            <w:pPr>
              <w:spacing w:after="0" w:line="240" w:lineRule="auto"/>
            </w:pPr>
            <w:r>
              <w:rPr>
                <w:sz w:val="21"/>
              </w:rPr>
              <w:t>Sul</w:t>
            </w:r>
          </w:p>
        </w:tc>
        <w:tc>
          <w:tcPr>
            <w:tcW w:type="dxa" w:w="1860"/>
            <w:shd w:val="clear" w:color="auto" w:fill="EDF1F4"/>
            <w:tcBorders>
              <w:top w:val="nil"/>
              <w:left w:val="nil"/>
              <w:bottom w:val="single" w:sz="4" w:space="0" w:color="D9D9D9"/>
              <w:right w:val="nil"/>
            </w:tcBorders>
          </w:tcPr>
          <w:p>
            <w:pPr>
              <w:spacing w:after="0" w:line="240" w:lineRule="auto"/>
              <w:jc w:val="right"/>
            </w:pPr>
            <w:r>
              <w:rPr>
                <w:sz w:val="21"/>
              </w:rPr>
              <w:t>R$ 212.195</w:t>
            </w:r>
          </w:p>
        </w:tc>
        <w:tc>
          <w:tcPr>
            <w:tcW w:type="dxa" w:w="1860"/>
            <w:shd w:val="clear" w:color="auto" w:fill="EDF1F4"/>
            <w:tcBorders>
              <w:top w:val="nil"/>
              <w:left w:val="nil"/>
              <w:bottom w:val="single" w:sz="4" w:space="0" w:color="D9D9D9"/>
              <w:right w:val="nil"/>
            </w:tcBorders>
          </w:tcPr>
          <w:p>
            <w:pPr>
              <w:spacing w:after="0" w:line="240" w:lineRule="auto"/>
              <w:jc w:val="right"/>
            </w:pPr>
            <w:r>
              <w:rPr>
                <w:sz w:val="21"/>
              </w:rPr>
              <w:t>33,2%</w:t>
            </w:r>
          </w:p>
        </w:tc>
        <w:tc>
          <w:tcPr>
            <w:tcW w:type="dxa" w:w="1860"/>
            <w:shd w:val="clear" w:color="auto" w:fill="EDF1F4"/>
            <w:tcBorders>
              <w:top w:val="nil"/>
              <w:left w:val="nil"/>
              <w:bottom w:val="single" w:sz="4" w:space="0" w:color="D9D9D9"/>
              <w:right w:val="nil"/>
            </w:tcBorders>
          </w:tcPr>
          <w:p>
            <w:pPr>
              <w:spacing w:after="0" w:line="240" w:lineRule="auto"/>
              <w:jc w:val="right"/>
            </w:pPr>
            <w:r>
              <w:rPr>
                <w:sz w:val="21"/>
              </w:rPr>
              <w:t>R$ 150.000</w:t>
            </w:r>
          </w:p>
        </w:tc>
        <w:tc>
          <w:tcPr>
            <w:tcW w:type="dxa" w:w="1860"/>
            <w:shd w:val="clear" w:color="auto" w:fill="EDF1F4"/>
            <w:tcBorders>
              <w:top w:val="nil"/>
              <w:left w:val="nil"/>
              <w:bottom w:val="single" w:sz="4" w:space="0" w:color="D9D9D9"/>
              <w:right w:val="nil"/>
            </w:tcBorders>
          </w:tcPr>
          <w:p>
            <w:pPr>
              <w:spacing w:after="0" w:line="240" w:lineRule="auto"/>
              <w:jc w:val="right"/>
            </w:pPr>
            <w:r>
              <w:rPr>
                <w:sz w:val="21"/>
              </w:rPr>
              <w:t>141,5%</w:t>
            </w:r>
          </w:p>
        </w:tc>
      </w:tr>
      <w:tr>
        <w:trPr>
          <w:cantSplit/>
        </w:trPr>
        <w:tc>
          <w:tcPr>
            <w:tcW w:type="dxa" w:w="1860"/>
            <w:tcBorders>
              <w:top w:val="nil"/>
              <w:left w:val="nil"/>
              <w:bottom w:val="single" w:sz="4" w:space="0" w:color="D9D9D9"/>
              <w:right w:val="nil"/>
            </w:tcBorders>
          </w:tcPr>
          <w:p>
            <w:pPr>
              <w:spacing w:after="0" w:line="240" w:lineRule="auto"/>
            </w:pPr>
            <w:r>
              <w:rPr>
                <w:sz w:val="21"/>
              </w:rPr>
              <w:t>Sudeste</w:t>
            </w:r>
          </w:p>
        </w:tc>
        <w:tc>
          <w:tcPr>
            <w:tcW w:type="dxa" w:w="1860"/>
            <w:tcBorders>
              <w:top w:val="nil"/>
              <w:left w:val="nil"/>
              <w:bottom w:val="single" w:sz="4" w:space="0" w:color="D9D9D9"/>
              <w:right w:val="nil"/>
            </w:tcBorders>
          </w:tcPr>
          <w:p>
            <w:pPr>
              <w:spacing w:after="0" w:line="240" w:lineRule="auto"/>
              <w:jc w:val="right"/>
            </w:pPr>
            <w:r>
              <w:rPr>
                <w:sz w:val="21"/>
              </w:rPr>
              <w:t>R$ 207.000</w:t>
            </w:r>
          </w:p>
        </w:tc>
        <w:tc>
          <w:tcPr>
            <w:tcW w:type="dxa" w:w="1860"/>
            <w:tcBorders>
              <w:top w:val="nil"/>
              <w:left w:val="nil"/>
              <w:bottom w:val="single" w:sz="4" w:space="0" w:color="D9D9D9"/>
              <w:right w:val="nil"/>
            </w:tcBorders>
          </w:tcPr>
          <w:p>
            <w:pPr>
              <w:spacing w:after="0" w:line="240" w:lineRule="auto"/>
              <w:jc w:val="right"/>
            </w:pPr>
            <w:r>
              <w:rPr>
                <w:sz w:val="21"/>
              </w:rPr>
              <w:t>32,4%</w:t>
            </w:r>
          </w:p>
        </w:tc>
        <w:tc>
          <w:tcPr>
            <w:tcW w:type="dxa" w:w="1860"/>
            <w:tcBorders>
              <w:top w:val="nil"/>
              <w:left w:val="nil"/>
              <w:bottom w:val="single" w:sz="4" w:space="0" w:color="D9D9D9"/>
              <w:right w:val="nil"/>
            </w:tcBorders>
          </w:tcPr>
          <w:p>
            <w:pPr>
              <w:spacing w:after="0" w:line="240" w:lineRule="auto"/>
              <w:jc w:val="right"/>
            </w:pPr>
            <w:r>
              <w:rPr>
                <w:sz w:val="21"/>
              </w:rPr>
              <w:t>R$ 200.000</w:t>
            </w:r>
          </w:p>
        </w:tc>
        <w:tc>
          <w:tcPr>
            <w:tcW w:type="dxa" w:w="1860"/>
            <w:tcBorders>
              <w:top w:val="nil"/>
              <w:left w:val="nil"/>
              <w:bottom w:val="single" w:sz="4" w:space="0" w:color="D9D9D9"/>
              <w:right w:val="nil"/>
            </w:tcBorders>
          </w:tcPr>
          <w:p>
            <w:pPr>
              <w:spacing w:after="0" w:line="240" w:lineRule="auto"/>
              <w:jc w:val="right"/>
            </w:pPr>
            <w:r>
              <w:rPr>
                <w:sz w:val="21"/>
              </w:rPr>
              <w:t>103,5%</w:t>
            </w:r>
          </w:p>
        </w:tc>
      </w:tr>
      <w:tr>
        <w:trPr>
          <w:cantSplit/>
        </w:trPr>
        <w:tc>
          <w:tcPr>
            <w:tcW w:type="dxa" w:w="1860"/>
            <w:shd w:val="clear" w:color="auto" w:fill="DDE4EB"/>
            <w:tcBorders>
              <w:top w:val="single" w:sz="12" w:space="0" w:color="1F4E79"/>
              <w:left w:val="nil"/>
              <w:bottom w:val="single" w:sz="12" w:space="0" w:color="1F4E79"/>
              <w:right w:val="nil"/>
            </w:tcBorders>
          </w:tcPr>
          <w:p>
            <w:pPr>
              <w:spacing w:after="0" w:line="240" w:lineRule="auto"/>
            </w:pPr>
            <w:r>
              <w:rPr>
                <w:b/>
                <w:sz w:val="21"/>
              </w:rPr>
              <w:t>Total</w:t>
            </w:r>
          </w:p>
        </w:tc>
        <w:tc>
          <w:tcPr>
            <w:tcW w:type="dxa" w:w="1860"/>
            <w:shd w:val="clear" w:color="auto" w:fill="DDE4EB"/>
            <w:tcBorders>
              <w:top w:val="single" w:sz="12" w:space="0" w:color="1F4E79"/>
              <w:left w:val="nil"/>
              <w:bottom w:val="single" w:sz="12" w:space="0" w:color="1F4E79"/>
              <w:right w:val="nil"/>
            </w:tcBorders>
          </w:tcPr>
          <w:p>
            <w:pPr>
              <w:spacing w:after="0" w:line="240" w:lineRule="auto"/>
              <w:jc w:val="right"/>
            </w:pPr>
            <w:r>
              <w:rPr>
                <w:b/>
                <w:sz w:val="21"/>
              </w:rPr>
              <w:t>R$ 639.377</w:t>
            </w:r>
          </w:p>
        </w:tc>
        <w:tc>
          <w:tcPr>
            <w:tcW w:type="dxa" w:w="1860"/>
            <w:shd w:val="clear" w:color="auto" w:fill="DDE4EB"/>
            <w:tcBorders>
              <w:top w:val="single" w:sz="12" w:space="0" w:color="1F4E79"/>
              <w:left w:val="nil"/>
              <w:bottom w:val="single" w:sz="12" w:space="0" w:color="1F4E79"/>
              <w:right w:val="nil"/>
            </w:tcBorders>
          </w:tcPr>
          <w:p>
            <w:pPr>
              <w:spacing w:after="0" w:line="240" w:lineRule="auto"/>
              <w:jc w:val="right"/>
            </w:pPr>
            <w:r>
              <w:rPr>
                <w:b/>
                <w:sz w:val="21"/>
              </w:rPr>
              <w:t>100,0%</w:t>
            </w:r>
          </w:p>
        </w:tc>
        <w:tc>
          <w:tcPr>
            <w:tcW w:type="dxa" w:w="1860"/>
            <w:shd w:val="clear" w:color="auto" w:fill="DDE4EB"/>
            <w:tcBorders>
              <w:top w:val="single" w:sz="12" w:space="0" w:color="1F4E79"/>
              <w:left w:val="nil"/>
              <w:bottom w:val="single" w:sz="12" w:space="0" w:color="1F4E79"/>
              <w:right w:val="nil"/>
            </w:tcBorders>
          </w:tcPr>
          <w:p>
            <w:pPr>
              <w:spacing w:after="0" w:line="240" w:lineRule="auto"/>
              <w:jc w:val="right"/>
            </w:pPr>
            <w:r>
              <w:rPr>
                <w:b/>
                <w:sz w:val="21"/>
              </w:rPr>
              <w:t>R$ 480.000</w:t>
            </w:r>
          </w:p>
        </w:tc>
        <w:tc>
          <w:tcPr>
            <w:tcW w:type="dxa" w:w="1860"/>
            <w:shd w:val="clear" w:color="auto" w:fill="DDE4EB"/>
            <w:tcBorders>
              <w:top w:val="single" w:sz="12" w:space="0" w:color="1F4E79"/>
              <w:left w:val="nil"/>
              <w:bottom w:val="single" w:sz="12" w:space="0" w:color="1F4E79"/>
              <w:right w:val="nil"/>
            </w:tcBorders>
          </w:tcPr>
          <w:p>
            <w:pPr>
              <w:spacing w:after="0" w:line="240" w:lineRule="auto"/>
              <w:jc w:val="right"/>
            </w:pPr>
            <w:r>
              <w:rPr>
                <w:b/>
                <w:sz w:val="21"/>
              </w:rPr>
              <w:t>133,2%</w:t>
            </w:r>
          </w:p>
        </w:tc>
      </w:tr>
    </w:tbl>
    <w:p>
      <w:pPr>
        <w:spacing w:after="1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00000" cy="30436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eita-por-regia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43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t>Receita por região no período</w:t>
      </w:r>
    </w:p>
    <w:p>
      <w:pPr>
        <w:pStyle w:val="Heading1"/>
      </w:pPr>
      <w:r>
        <w:t>Conclusões e recomendações</w:t>
      </w:r>
    </w:p>
    <w:p>
      <w:pPr>
        <w:pStyle w:val="ListBullet"/>
        <w:spacing w:after="60"/>
      </w:pPr>
      <w:r>
        <w:rPr>
          <w:b w:val="0"/>
          <w:i w:val="0"/>
        </w:rPr>
        <w:t>A receita total do 1º semestre de 2026 (R$ 639,4 mil) superou a meta de R$ 480 mil em 33%.</w:t>
      </w:r>
    </w:p>
    <w:p>
      <w:pPr>
        <w:pStyle w:val="ListBullet"/>
        <w:spacing w:after="60"/>
      </w:pPr>
      <w:r>
        <w:rPr>
          <w:b w:val="0"/>
          <w:i w:val="0"/>
        </w:rPr>
        <w:t>O Plano Pro responde por 72% da receita (R$ 460,1 mil) e é o produto a priorizar no Sudeste, conforme decisão da reunião de 03/07.</w:t>
      </w:r>
    </w:p>
    <w:p>
      <w:pPr>
        <w:pStyle w:val="ListBullet"/>
        <w:spacing w:after="60"/>
      </w:pPr>
      <w:r>
        <w:rPr>
          <w:b w:val="0"/>
          <w:i w:val="0"/>
        </w:rPr>
        <w:t>O Nordeste, mais rentável em receita (R$ 220,2 mil), exige revisão do preço do Plano Básico para sustentar o volume.</w:t>
      </w:r>
    </w:p>
    <w:p>
      <w:pPr>
        <w:pStyle w:val="ListBullet"/>
        <w:spacing w:after="160"/>
      </w:pPr>
      <w:r>
        <w:rPr>
          <w:b w:val="0"/>
          <w:i w:val="0"/>
        </w:rPr>
        <w:t>No Sul, abrir o canal de vendas online é a alavanca prevista para acelerar o atingimento: região já bateu a meta em 41%.</w:t>
      </w:r>
    </w:p>
    <w:sectPr w:rsidR="00FC693F" w:rsidRPr="0006063C" w:rsidSect="00034616">
      <w:footerReference w:type="default" r:id="rId9"/>
      <w:pgSz w:w="11906" w:h="16838"/>
      <w:pgMar w:top="1304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680" w:val="clear"/>
        <w:tab w:pos="9298" w:val="right"/>
        <w:tab w:pos="9360" w:val="clear"/>
      </w:tabs>
    </w:pPr>
    <w:r/>
    <w:r>
      <w:rPr>
        <w:color w:val="7F7F7F"/>
        <w:sz w:val="18"/>
      </w:rPr>
      <w:t>Preparado pela Equipe Alfa</w:t>
    </w:r>
    <w:r>
      <w:rPr>
        <w:sz w:val="18"/>
      </w:rPr>
      <w:tab/>
    </w:r>
    <w:r>
      <w:rPr>
        <w:color w:val="7F7F7F"/>
        <w:sz w:val="18"/>
      </w:rPr>
      <w:t xml:space="preserve">Página </w:t>
    </w:r>
    <w:r>
      <w:rPr>
        <w:color w:val="7F7F7F"/>
        <w:sz w:val="18"/>
      </w:rPr>
      <w:fldChar w:fldCharType="begin"/>
    </w:r>
    <w:r>
      <w:rPr>
        <w:color w:val="7F7F7F"/>
        <w:sz w:val="18"/>
      </w:rPr>
      <w:instrText xml:space="preserve"> PAGE </w:instrText>
    </w:r>
    <w:r>
      <w:rPr>
        <w:color w:val="7F7F7F"/>
        <w:sz w:val="18"/>
      </w:rPr>
      <w:fldChar w:fldCharType="separate"/>
    </w:r>
    <w:r>
      <w:rPr>
        <w:color w:val="7F7F7F"/>
        <w:sz w:val="18"/>
      </w:rPr>
      <w:t>1</w:t>
    </w:r>
    <w:r>
      <w:rPr>
        <w:color w:val="7F7F7F"/>
        <w:sz w:val="18"/>
      </w:rPr>
      <w:fldChar w:fldCharType="end"/>
    </w:r>
    <w:r>
      <w:rPr>
        <w:color w:val="7F7F7F"/>
        <w:sz w:val="18"/>
      </w:rPr>
      <w:t xml:space="preserve"> de </w:t>
    </w:r>
    <w:r>
      <w:rPr>
        <w:color w:val="7F7F7F"/>
        <w:sz w:val="18"/>
      </w:rPr>
      <w:fldChar w:fldCharType="begin"/>
    </w:r>
    <w:r>
      <w:rPr>
        <w:color w:val="7F7F7F"/>
        <w:sz w:val="18"/>
      </w:rPr>
      <w:instrText xml:space="preserve"> NUMPAGES </w:instrText>
    </w:r>
    <w:r>
      <w:rPr>
        <w:color w:val="7F7F7F"/>
        <w:sz w:val="18"/>
      </w:rPr>
      <w:fldChar w:fldCharType="separate"/>
    </w:r>
    <w:r>
      <w:rPr>
        <w:color w:val="7F7F7F"/>
        <w:sz w:val="18"/>
      </w:rPr>
      <w:t>1</w:t>
    </w:r>
    <w:r>
      <w:rPr>
        <w:color w:val="7F7F7F"/>
        <w:sz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 w:cs="Calibri"/>
      <w:color w:val="2626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="Calibri" w:hAnsi="Calibri" w:eastAsia="Calibri" w:cs="Calibri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="Calibri" w:hAnsi="Calibri" w:eastAsia="Calibri" w:cs="Calibri"/>
      <w:b/>
      <w:bCs/>
      <w:color w:val="1F4E79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Calibri" w:hAnsi="Calibri" w:eastAsia="Calibri" w:cs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0"/>
      <w:contextualSpacing/>
    </w:pPr>
    <w:rPr>
      <w:rFonts w:ascii="Calibri" w:hAnsi="Calibri" w:eastAsia="Calibri" w:cs="Calibri"/>
      <w:b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after="80"/>
    </w:pPr>
    <w:rPr>
      <w:rFonts w:ascii="Calibri" w:hAnsi="Calibri" w:eastAsia="Calibri" w:cs="Calibri"/>
      <w:b/>
      <w:bCs/>
      <w:i w:val="0"/>
      <w:color w:val="595959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de vendas — 1º semestre de 2026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pt-BR</dc:language>
</cp:coreProperties>
</file>