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核心市场分析模块</w:t>
      </w:r>
    </w:p>
    <w:p>
      <w:pPr>
        <w:jc w:val="left"/>
        <w:rPr>
          <w:rFonts w:hint="eastAsia" w:ascii="黑体" w:hAnsi="黑体" w:eastAsia="黑体" w:cs="黑体"/>
          <w:b/>
          <w:bCs/>
          <w:sz w:val="32"/>
          <w:szCs w:val="32"/>
          <w:lang w:val="en-US" w:eastAsia="zh-CN"/>
        </w:rPr>
      </w:pPr>
      <w:r>
        <w:rPr>
          <w:rFonts w:hint="eastAsia" w:ascii="黑体" w:hAnsi="黑体" w:eastAsia="黑体" w:cs="黑体"/>
          <w:b/>
          <w:bCs/>
          <w:sz w:val="28"/>
          <w:szCs w:val="28"/>
          <w:lang w:val="en-US" w:eastAsia="zh-CN"/>
        </w:rPr>
        <w:t>核心目标市场分析</w:t>
      </w:r>
    </w:p>
    <w:p>
      <w:p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模块旨在对美国与瑞典两大核心目标市场的电动牙刷行业进行深度剖析。作为全球口腔护理市场的两极，美国和瑞典分别代表了成熟市场的规模效应与高端市场的价值导向，其市场特征、消费者偏好及渠道生态具有显著差异性和高度研究价值。本分析将从市场规模与增长趋势、消费者客群画像、主流购买渠道三个维度，对两国市场进行系统性的对比与阐述，为中国电动牙刷企业出海提供战略洞察。</w:t>
      </w:r>
    </w:p>
    <w:p>
      <w:pPr>
        <w:numPr>
          <w:ilvl w:val="0"/>
          <w:numId w:val="1"/>
        </w:numPr>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美国电动牙刷市场分析</w:t>
      </w:r>
    </w:p>
    <w:p>
      <w:pPr>
        <w:ind w:firstLine="480" w:firstLineChars="200"/>
        <w:jc w:val="both"/>
        <w:rPr>
          <w:rFonts w:hint="eastAsia" w:ascii="黑体" w:hAnsi="黑体" w:eastAsia="黑体" w:cs="黑体"/>
          <w:b w:val="0"/>
          <w:bCs w:val="0"/>
          <w:sz w:val="28"/>
          <w:szCs w:val="28"/>
          <w:lang w:val="en-US" w:eastAsia="zh-CN"/>
        </w:rPr>
      </w:pPr>
      <w:r>
        <w:rPr>
          <w:rFonts w:hint="default" w:ascii="宋体" w:hAnsi="宋体" w:eastAsia="宋体" w:cs="宋体"/>
          <w:b w:val="0"/>
          <w:bCs w:val="0"/>
          <w:sz w:val="24"/>
          <w:szCs w:val="24"/>
          <w:lang w:val="en-US" w:eastAsia="zh-CN"/>
        </w:rPr>
        <w:t>美国电动牙刷市场是全球最大、最成熟且最具风向标意义的核心市场。其增长基础雄厚，结构性机会明确。</w:t>
      </w:r>
    </w:p>
    <w:p>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（一）</w:t>
      </w:r>
      <w:r>
        <w:rPr>
          <w:rFonts w:hint="default" w:ascii="宋体" w:hAnsi="宋体" w:eastAsia="宋体" w:cs="宋体"/>
          <w:b/>
          <w:bCs/>
          <w:sz w:val="24"/>
          <w:szCs w:val="24"/>
          <w:lang w:val="en-US" w:eastAsia="zh-CN"/>
        </w:rPr>
        <w:t>市场规模与增长趋势深度分析</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1.庞大的市场基数与全球主导地位</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从市场规模来看，2025年，北美（以美国为绝对主导）电动牙刷市场规模预计将达到24.23亿美元，到2033年预计将扩张至39.44亿美元。就全球地位而言，美国市场占据举足轻重的位置。根据中国报告大厅的数据，北美市场占全球电动牙刷市场约29% 的份额，是全球第二大区域市场（次于占比40%的欧洲）。另有多项数据指出，北美市场占据了全球电动牙刷销量的60% 以上，凸显其作为全球消费中心的绝对主导地位。</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2.稳健的增长前景与核心驱动力</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市场预计将保持稳健增长。2025-2033年间，北美市场的复合年增长率预计为 6.27%。这一增速虽不及亚太等新兴市场，但考虑到其巨大的市场基数，增长的绝对量级依然非常可观。市场增长主要源于两大核心因素：第一，美国拥有成熟的牙科服务体系，定期牙科检查和专业牙医推荐，持续为市场注入新用户；第二，从社会文化层面看，美国消费者对口腔健康的高度重视，使其购买动机超越了基础清洁，转向追求更专业、更智能的口腔健康管理方案。用户规模也在持续扩大，据美国人口普查和消费者调查数据估算，2020年约有1.1亿美国人使用电动牙刷，预计到2024年这一数字将上升至1.3亿人。</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3.智能电动牙刷：市场增长的核心引擎</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当前，普通电动牙刷市场已进入稳定增长期，而智能电动牙刷正成为带动整体市场升级和增量的关键。2024年，全球智能电动牙刷市场规模已达到29亿美元。预计2025-2033年间，全球智能电动牙刷市场将保持 12.7% 的高复合年增长率，增速远超行业大盘。在美国，消费者对搭载压力感应、APP数据反馈和AI刷牙指导的智能产品表现出极高偏好，智能产品正在加速取代传统的中高端机型，成为市场增长的核心引擎。</w:t>
      </w:r>
    </w:p>
    <w:p>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（二）</w:t>
      </w:r>
      <w:r>
        <w:rPr>
          <w:rFonts w:hint="default" w:ascii="宋体" w:hAnsi="宋体" w:eastAsia="宋体" w:cs="宋体"/>
          <w:b/>
          <w:bCs/>
          <w:sz w:val="24"/>
          <w:szCs w:val="24"/>
          <w:lang w:val="en-US" w:eastAsia="zh-CN"/>
        </w:rPr>
        <w:t>消费者客群画像的多维度剖析</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美国电动牙刷消费者呈现出分层清晰、需求多元的格局，其购买决策受到年龄、收入、价值观等多重因素交织影响。</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1.以年龄与家庭生命周期划分的核心客群</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年轻科技先锋 (25-34岁)：他们是增长最快、最具活力的客群。以新兴品牌Quip为例，其官网受众中25-34岁用户最为集中。这部分消费者是“颜值经济”的忠实拥趸，Credence Research数据显示，70% 的消费者在购买前会考虑产品设计和美学。他们偏好极简风、马卡龙色、金属质感等兼具科技感与时尚感的设计，同时对新品牌和高性价比产品持开放态度。</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成熟家庭用户 (35-54岁)：他们是市场消费的中坚力量。拥有稳定的收入和家庭，购买决策更理性、更注重专业性和全家健康。他们是高端智能款和家庭套装的主要购买者，尤其关注产品的专业清洁力、儿童口腔护理功能以及家庭共享的便利性。</w:t>
      </w:r>
    </w:p>
    <w:p>
      <w:pPr>
        <w:jc w:val="both"/>
        <w:rPr>
          <w:rFonts w:hint="default" w:ascii="宋体" w:hAnsi="宋体" w:eastAsia="宋体" w:cs="宋体"/>
          <w:b w:val="0"/>
          <w:bCs w:val="0"/>
          <w:sz w:val="24"/>
          <w:szCs w:val="24"/>
          <w:lang w:val="en-US" w:eastAsia="zh-CN"/>
        </w:rPr>
      </w:pPr>
      <w:r>
        <w:rPr>
          <w:rFonts w:hint="default" w:ascii="宋体" w:hAnsi="宋体" w:eastAsia="宋体" w:cs="宋体"/>
          <w:b/>
          <w:bCs/>
          <w:sz w:val="24"/>
          <w:szCs w:val="24"/>
          <w:lang w:val="en-US" w:eastAsia="zh-CN"/>
        </w:rPr>
        <w:t>2.以收入与价格敏感度划分的消费层级</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美国市场呈现出典型的三级价格体系，不同层级的消费者拥有截然不同的需求逻辑：</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Layout w:type="fixed"/>
        </w:tblPrEx>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消费层级</w:t>
            </w:r>
          </w:p>
        </w:tc>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价格区间</w:t>
            </w:r>
          </w:p>
        </w:tc>
        <w:tc>
          <w:tcPr>
            <w:tcW w:w="2131" w:type="dxa"/>
          </w:tcPr>
          <w:p>
            <w:pPr>
              <w:jc w:val="both"/>
              <w:rPr>
                <w:rFonts w:hint="default" w:ascii="宋体" w:hAnsi="宋体" w:eastAsia="宋体" w:cs="宋体"/>
                <w:b/>
                <w:bCs/>
                <w:sz w:val="24"/>
                <w:szCs w:val="24"/>
                <w:vertAlign w:val="baseline"/>
                <w:lang w:val="en-US" w:eastAsia="zh-CN"/>
              </w:rPr>
            </w:pPr>
            <w:r>
              <w:rPr>
                <w:rFonts w:hint="default" w:ascii="宋体" w:hAnsi="宋体" w:eastAsia="宋体" w:cs="宋体"/>
                <w:b w:val="0"/>
                <w:bCs w:val="0"/>
                <w:sz w:val="24"/>
                <w:szCs w:val="24"/>
                <w:vertAlign w:val="baseline"/>
                <w:lang w:val="en-US" w:eastAsia="zh-CN"/>
              </w:rPr>
              <w:t>核心客群特征</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核心需求与关注点</w:t>
            </w:r>
          </w:p>
        </w:tc>
      </w:tr>
      <w:tr>
        <w:tblPrEx>
          <w:tblLayout w:type="fixed"/>
        </w:tblPrEx>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bCs/>
                <w:sz w:val="24"/>
                <w:szCs w:val="24"/>
                <w:vertAlign w:val="baseline"/>
                <w:lang w:val="en-US" w:eastAsia="zh-CN"/>
              </w:rPr>
              <w:t>大众入门市场</w:t>
            </w:r>
          </w:p>
        </w:tc>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20-50美元</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学生、预算有限的年轻人、价格敏感型家庭。以Quip为例（定价约40美元），其受众中女性占比60.75%，多为经济能力有限的年轻女性</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bCs/>
                <w:sz w:val="24"/>
                <w:szCs w:val="24"/>
                <w:vertAlign w:val="baseline"/>
                <w:lang w:val="en-US" w:eastAsia="zh-CN"/>
              </w:rPr>
              <w:t>核心需求是“有效清洁+高性价比”</w:t>
            </w:r>
            <w:r>
              <w:rPr>
                <w:rFonts w:hint="default" w:ascii="宋体" w:hAnsi="宋体" w:eastAsia="宋体" w:cs="宋体"/>
                <w:b w:val="0"/>
                <w:bCs w:val="0"/>
                <w:sz w:val="24"/>
                <w:szCs w:val="24"/>
                <w:vertAlign w:val="baseline"/>
                <w:lang w:val="en-US" w:eastAsia="zh-CN"/>
              </w:rPr>
              <w:t>。他们关注基础功能的可靠性、简洁设计以及后续刷头的更换成本。对国际大品牌溢价不敏感。</w:t>
            </w:r>
          </w:p>
        </w:tc>
      </w:tr>
      <w:tr>
        <w:tblPrEx>
          <w:tblLayout w:type="fixed"/>
        </w:tblPrEx>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bCs/>
                <w:sz w:val="24"/>
                <w:szCs w:val="24"/>
                <w:vertAlign w:val="baseline"/>
                <w:lang w:val="en-US" w:eastAsia="zh-CN"/>
              </w:rPr>
              <w:t>主流中端市场</w:t>
            </w:r>
          </w:p>
        </w:tc>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50-150美元</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广泛的中产阶级、追求生活品质的消费者。这是市场份额最大、竞争最激烈的价格带。</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bCs/>
                <w:sz w:val="24"/>
                <w:szCs w:val="24"/>
                <w:vertAlign w:val="baseline"/>
                <w:lang w:val="en-US" w:eastAsia="zh-CN"/>
              </w:rPr>
              <w:t>核心需求是“专业清洁+智能体验”的平衡。</w:t>
            </w:r>
            <w:r>
              <w:rPr>
                <w:rFonts w:hint="default" w:ascii="宋体" w:hAnsi="宋体" w:eastAsia="宋体" w:cs="宋体"/>
                <w:b w:val="0"/>
                <w:bCs w:val="0"/>
                <w:sz w:val="24"/>
                <w:szCs w:val="24"/>
                <w:vertAlign w:val="baseline"/>
                <w:lang w:val="en-US" w:eastAsia="zh-CN"/>
              </w:rPr>
              <w:t>消费者期待产品具备多种清洁模式、压力感应、较长续航以及良好的刷头兼容性，愿意为显著提升的体验支付溢价。</w:t>
            </w:r>
          </w:p>
        </w:tc>
      </w:tr>
      <w:tr>
        <w:tblPrEx>
          <w:tblLayout w:type="fixed"/>
        </w:tblPrEx>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bCs/>
                <w:sz w:val="24"/>
                <w:szCs w:val="24"/>
                <w:vertAlign w:val="baseline"/>
                <w:lang w:val="en-US" w:eastAsia="zh-CN"/>
              </w:rPr>
              <w:t>高端专业市场</w:t>
            </w:r>
          </w:p>
        </w:tc>
        <w:tc>
          <w:tcPr>
            <w:tcW w:w="2130"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150美元以上</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高收入人群、科技爱好者、高度重视口腔健康者。</w:t>
            </w:r>
          </w:p>
        </w:tc>
        <w:tc>
          <w:tcPr>
            <w:tcW w:w="2131" w:type="dxa"/>
          </w:tcPr>
          <w:p>
            <w:pPr>
              <w:jc w:val="both"/>
              <w:rPr>
                <w:rFonts w:hint="default" w:ascii="宋体" w:hAnsi="宋体" w:eastAsia="宋体" w:cs="宋体"/>
                <w:b w:val="0"/>
                <w:bCs w:val="0"/>
                <w:sz w:val="24"/>
                <w:szCs w:val="24"/>
                <w:vertAlign w:val="baseline"/>
                <w:lang w:val="en-US" w:eastAsia="zh-CN"/>
              </w:rPr>
            </w:pPr>
            <w:r>
              <w:rPr>
                <w:rFonts w:hint="default" w:ascii="宋体" w:hAnsi="宋体" w:eastAsia="宋体" w:cs="宋体"/>
                <w:b/>
                <w:bCs/>
                <w:sz w:val="24"/>
                <w:szCs w:val="24"/>
                <w:vertAlign w:val="baseline"/>
                <w:lang w:val="en-US" w:eastAsia="zh-CN"/>
              </w:rPr>
              <w:t>核心需求是“顶级口腔健康管理方案”。</w:t>
            </w:r>
            <w:r>
              <w:rPr>
                <w:rFonts w:hint="default" w:ascii="宋体" w:hAnsi="宋体" w:eastAsia="宋体" w:cs="宋体"/>
                <w:b w:val="0"/>
                <w:bCs w:val="0"/>
                <w:sz w:val="24"/>
                <w:szCs w:val="24"/>
                <w:vertAlign w:val="baseline"/>
                <w:lang w:val="en-US" w:eastAsia="zh-CN"/>
              </w:rPr>
              <w:t>产品必须具备APP深度联动、AI个性化指导、专业牙医背书等功能。品牌力、技术创新和专业的服务（如牙医咨询）是关键决策因素。</w:t>
            </w:r>
          </w:p>
        </w:tc>
      </w:tr>
    </w:tbl>
    <w:p>
      <w:pPr>
        <w:jc w:val="both"/>
        <w:rPr>
          <w:rFonts w:hint="default" w:ascii="宋体" w:hAnsi="宋体" w:eastAsia="宋体" w:cs="宋体"/>
          <w:b w:val="0"/>
          <w:bCs w:val="0"/>
          <w:sz w:val="24"/>
          <w:szCs w:val="24"/>
          <w:lang w:val="en-US" w:eastAsia="zh-CN"/>
        </w:rPr>
      </w:pPr>
      <w:r>
        <w:rPr>
          <w:rFonts w:hint="default" w:ascii="宋体" w:hAnsi="宋体" w:eastAsia="宋体" w:cs="宋体"/>
          <w:b/>
          <w:bCs/>
          <w:sz w:val="24"/>
          <w:szCs w:val="24"/>
          <w:lang w:val="en-US" w:eastAsia="zh-CN"/>
        </w:rPr>
        <w:t>3.价值观驱动的消费新趋势</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可持续消费崛起：环保已成为不可忽视的购买因素。Credence Research数据显示，60% 的消费者在购买前会考虑产品对环境的影响。在年轻一代中尤为突出，四分之三的Z世代消费者将可持续性置于品牌知名度之上。这直接推动了市场对可回收材料（如竹制刷柄）、环保包装和节能设计的需求。</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个性化与订阅制普及：消费者越来越追求“为我定制”的护理体验，希望获得根据自身口腔状况定制的方案。同时，刷头定期配送的订阅制已成为主流商业模式。这不仅帮助消费者培养定期更换刷头的习惯，更能为品牌建立持续的用户联系和稳定的收入流。</w:t>
      </w:r>
    </w:p>
    <w:p>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（三）</w:t>
      </w:r>
      <w:r>
        <w:rPr>
          <w:rFonts w:hint="default" w:ascii="宋体" w:hAnsi="宋体" w:eastAsia="宋体" w:cs="宋体"/>
          <w:b/>
          <w:bCs/>
          <w:sz w:val="24"/>
          <w:szCs w:val="24"/>
          <w:lang w:val="en-US" w:eastAsia="zh-CN"/>
        </w:rPr>
        <w:t>主流购买渠道的全景透视</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美国电动牙刷的销售渠道呈现线上线下深度融合的“混合购物”模式，但不同渠道的战略角色和受众存在显著差异。</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1.线上渠道：增长引擎与品牌主阵地</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线上销售占比已从2020年的30%上升至2024年的45%，预计到2030年将达到60%。这表明线上渠道不仅是重要的销售渠道，更是品牌建设和用户运营的核心阵地。</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综合电商平台（以亚马逊为核心）：是绝大多数消费者的首选购物入口，承担着产品曝光、销量转化和用户测评的核心功能。对于新品牌而言，亚马逊是进入美国市场的“必修课”。</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品牌独立站 (DTC官网)：以Quip等品牌为代表，是构建品牌壁垒、沉淀用户资产和推行高利润订阅服务的战略要地。Quip官网的流量中，直接访问和自然搜索占比合计超过70%，这反映了其通过内容营销和用户忠诚度建立了强大的品牌引力。独立站也是品牌进行产品匹配测试、提供在线牙医咨询等深度服务的最佳场所。</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社交电商 (以TikTok Shop为代表)：正成为引爆潮流、吸引年轻客群的新兴渠道。通过短视频和直播进行产品教育和场景化种草，能够快速实现“品效合一”。</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2.线下渠道：体验触达与即时转化</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尽管占比在缓慢下降，但目前线下渠道仍贡献了约55% 的销量，其“即看即得”的体验和信任感不可替代。</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大型连锁超市（沃尔玛、塔吉特）：是覆盖最广泛大众市场的绝对主力。值得注意的是，线下渠道也在积极变革以吸引年轻消费者。例如，沃尔玛在2024年3月引入了可持续口腔护理品牌Plus Ultra，旨在革新其口腔护理区，以吸引注重环保的千禧一代和Z世代购物者。这说明即便是传统线下渠道，其选品逻辑也在紧跟消费者价值观的变化。</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连锁药店（沃尔格林、CVS）：凭借其与“健康”概念的强关联和极高的社区便利性，是中端产品、冲动型消费和补充购买（如刷头） 的重要场景。</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专业牙科诊所：这是以飞利浦、欧乐B为代表的国际巨头构建的高端市场护城河。牙医的专业推荐对消费者决策具有极高的信任背书作用，是其他渠道难以复制的优势。</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3.“混合购物”成为主流模式</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研究表明，45% 的美国消费者在购买家居用品（电动牙刷可归入此类）时会同时使用线上和线下渠道。典型的路径是：消费者在线上（如亚马逊、品牌官网）进行信息搜索、比价和查看评测，然后前往线下实体店进行实际体验和最终购买，或反之。这要求品牌必须具备全渠道布局的思维，确保产品信息、价格和用户体验在不同触点间保持一致和流畅。</w:t>
      </w:r>
    </w:p>
    <w:p>
      <w:pPr>
        <w:ind w:firstLine="480" w:firstLineChars="200"/>
        <w:jc w:val="both"/>
        <w:rPr>
          <w:rFonts w:hint="default" w:ascii="宋体" w:hAnsi="宋体" w:eastAsia="宋体" w:cs="宋体"/>
          <w:b w:val="0"/>
          <w:bCs w:val="0"/>
          <w:sz w:val="24"/>
          <w:szCs w:val="24"/>
          <w:lang w:val="en-US" w:eastAsia="zh-CN"/>
        </w:rPr>
      </w:pPr>
    </w:p>
    <w:p>
      <w:p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 瑞典电动牙刷市场分析</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相较于美国市场的规模效应，以瑞典为代表的北欧市场，则凭借其高度的经济发展水平、领先的环保理念和完善的数字化基础设施，构成了全球电动牙刷市场中极具战略价值的高端一极。理解瑞典市场，有助于洞察口腔护理消费如何超越基础功能，与可持续发展、生活美学及个性化健康管理深度融合。</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（一）市场规模与增长前景</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瑞典电动牙刷市场是整个欧洲成熟且高价值细分领域的典型代表。根据行业研究数据，整个欧洲电动牙刷市场预计将从2025年的15.86亿美元，增长至2033年的26亿美元，期间的年均复合增长率（CAGR）约为 6.36%。瑞典作为北欧最大经济体，其市场表现与欧洲整体趋势高度同步，且因其更高的人均消费能力和环保意识，在高端、智能及可持续产品细分领域的增长动力尤为强劲。</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欧洲市场的整体规模和瑞典的人口与经济占比（瑞典人口约1000万，约占北欧三国总人口的40%以上），并参考“北欧市场2024年规模约4.2亿美元”的背景信息，可以合理估算，瑞典电动牙刷市场的规模在1.2亿至1.5亿美元之间。这一市场规模与其较小的人口基数形成鲜明对比，直观反映了其市场的高渗透率与高附加值特性。驱动市场增长的核心，已不再是首次购买的普及，而是由产品高端化升级、智能化功能迭代以及强烈的环保替换需求所推动的置换消费。瑞典消费者愿意为具备卓越技术、符合极简美学和严格环保标准的产品支付显著溢价，这为注重创新和品牌价值的企业提供了广阔空间。</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（二）客群画像与消费偏好</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瑞典的电动牙刷消费者呈现出教育水平高、环保意识强、数字化程度深且极为理性的鲜明特征。其消费决策是理性主义与理想主义的结合体。</w:t>
      </w:r>
    </w:p>
    <w:p>
      <w:pPr>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1. 年龄与收入分布</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主力消费群体为 25至45岁 的都市中高收入人群。这部分消费者处于职业发展的黄金期，拥有较高的可支配收入，是科技产品的早期采用者，同时也是可持续生活方式的主要践行者。此外，45岁以上的年龄层同样不可忽视，在人口老龄化趋势和自身对健康关注度提升的双重作用下，他们对于能提供温和、有效清洁并关注牙龈健康的产品有稳定需求。</w:t>
      </w:r>
    </w:p>
    <w:p>
      <w:pPr>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2. 核心消费偏好分析</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瑞典消费者的偏好深刻塑造了当地的产品定义与竞争格局，主要体现在以下三个层面：</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功能层面：追求“温和而有效”的智能体验。早期对蓝牙连接等新奇功能的追捧已趋于理性，当前消费者更看重智能技术带来的实质性健康收益。例如，能够通过传感器精准监测刷牙盲区并提供个性化改进建议的功能，其价值远大于简单的计时提醒。同时，他们对产品的舒适度要求极高，刷毛的柔软度、震动的细腻感和低噪音设计是影响购买的关键因素。</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设计层面：奉行极简主义与人体工学。北欧设计美学深入人心，瑞典消费者青睐造型简洁流畅、色彩柔和、具有卓越人体工学握感的产品。产品外观和质感被视为品牌理念与生活品味的延伸，过于复杂或花哨的设计反而可能不受欢迎。</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价值观层面：环保是刚性需求与道德准则。在瑞典，环保绝非营销噱头，而是消费的底线。超过60%的消费者在购买决策时会认真考虑产品对环境的影响。他们强烈偏好采用可回收塑料、生物基材料（如竹制刷柄）制造的产品，并要求包装必须可降解或完全可回收。此外，产品的长寿命、可维修性以及品牌是否提供旧刷回收计划，都日益成为重要的购买考量因素。</w:t>
      </w:r>
    </w:p>
    <w:p>
      <w:p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（三）主流购买渠道分析</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瑞典零售市场高度成熟且数字化水平全球领先，形成了线上线下深度融合（O2O）的全渠道格局。</w:t>
      </w:r>
    </w:p>
    <w:p>
      <w:pPr>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1. 线上渠道：占比约50%，是品牌曝光与深度沟通的核心</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瑞典是全球电商渗透率最高的国家之一，线上渠道已占据约半壁江山。其中：</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综合电商平台与本土零售巨头线上平台：如亚马逊瑞典站、Elgiganten（北欧最大的消费电子零售商）和Webhallen的线上商城，凭借本土信任度和强大的物流网络（常提供次日达服务），拥有极高影响力和份额。</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品牌独立站（DTC）：对于试图建立高端品牌形象、完整传递环保与科技理念的企业而言，独立站是关键工具。它允许品牌通过深度内容（如产品故事、环保报告、使用教程）与消费者建立直接联系，沉淀私域流量。</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值得注意的是，瑞典消费者是典型的“研究型买家”，高达95%的消费者会在实体店购买前进行在线比价和研究。因此，线上渠道的角色远不止于销售，更是消费者决策链路中不可或缺的信息获取和验证环节。</w:t>
      </w:r>
    </w:p>
    <w:p>
      <w:pPr>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2. 线下渠道：占比约50%，承担“信任锚点”与体验功能</w:t>
      </w:r>
    </w:p>
    <w:p>
      <w:pPr>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尽管线上购物发达，线下渠道依然不可或缺，主要服务于即时购买、亲身体验和专业咨询。</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药店：遍布全国的Apoteket药店是销售个护健康产品的黄金点位。药剂师的专业推荐对消费者，尤其是关注健康功效的中老年群体，具有决定性影响。</w:t>
      </w:r>
    </w:p>
    <w:p>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电子产品专卖店与百货商场：如Elgiganten实体店、Media Markt以及高端百货Åhléns的个护专区。这些渠道为消费者提供了亲手感受产品质感、重量、噪音和设计的机会，是建立产品初印象和提升品牌形象的重要场所。</w:t>
      </w:r>
    </w:p>
    <w:p>
      <w:pPr>
        <w:numPr>
          <w:ilvl w:val="0"/>
          <w:numId w:val="0"/>
        </w:numPr>
        <w:ind w:leftChars="0"/>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三、总结</w:t>
      </w:r>
    </w:p>
    <w:p>
      <w:pPr>
        <w:numPr>
          <w:ilvl w:val="0"/>
          <w:numId w:val="0"/>
        </w:numPr>
        <w:ind w:leftChars="0"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综上所述，美国与瑞典市场代表了电动牙刷出海的两种典型路径：美国是追求规模与增量的主战场，其市场庞大、层级分明、渠道多元，竞争围绕技术迭代、品牌营销和全渠道布局展开；瑞典则是塑造品牌价值与未来趋势的高地，其市场规模虽小但价值密度高，消费者理性且严苛，竞争的核心在于产品力与价值观的真诚契合。</w:t>
      </w:r>
    </w:p>
    <w:p>
      <w:pPr>
        <w:jc w:val="both"/>
        <w:rPr>
          <w:rFonts w:hint="default" w:ascii="宋体" w:hAnsi="宋体" w:eastAsia="宋体" w:cs="宋体"/>
          <w:b w:val="0"/>
          <w:bCs w:val="0"/>
          <w:sz w:val="24"/>
          <w:szCs w:val="24"/>
          <w:lang w:val="en-US" w:eastAsia="zh-CN"/>
        </w:rPr>
      </w:pPr>
    </w:p>
    <w:p>
      <w:pPr>
        <w:jc w:val="both"/>
        <w:rPr>
          <w:rFonts w:hint="default" w:ascii="宋体" w:hAnsi="宋体" w:eastAsia="宋体" w:cs="宋体"/>
          <w:b w:val="0"/>
          <w:bCs w:val="0"/>
          <w:sz w:val="24"/>
          <w:szCs w:val="24"/>
          <w:lang w:val="en-US" w:eastAsia="zh-CN"/>
        </w:rPr>
      </w:pPr>
    </w:p>
    <w:p>
      <w:p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参考资料</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[1]</w:t>
      </w:r>
      <w:r>
        <w:rPr>
          <w:rFonts w:hint="default" w:eastAsia="宋体" w:cs="宋体" w:asciiTheme="minorAscii" w:hAnsiTheme="minorAscii"/>
          <w:b w:val="0"/>
          <w:bCs w:val="0"/>
          <w:sz w:val="24"/>
          <w:szCs w:val="24"/>
          <w:lang w:val="en-US" w:eastAsia="zh-CN"/>
        </w:rPr>
        <w:t>China Report Hall. (n.d.). Electric toothbrush market size, share, trends, and forecast. Retrieved December 17, 2025, from https://cht.chinabao.com/info/1283279.html[citation:1]</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[2]</w:t>
      </w:r>
      <w:r>
        <w:rPr>
          <w:rFonts w:hint="default" w:eastAsia="宋体" w:cs="宋体" w:asciiTheme="minorAscii" w:hAnsiTheme="minorAscii"/>
          <w:b w:val="0"/>
          <w:bCs w:val="0"/>
          <w:sz w:val="24"/>
          <w:szCs w:val="24"/>
          <w:lang w:val="en-US" w:eastAsia="zh-CN"/>
        </w:rPr>
        <w:t>Cognitive Market Research. (2025). Global electric toothbrush market analysis. In Ueeshop, Outlook on global electric toothbrush market analysis and trend forecast.</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[3]</w:t>
      </w:r>
      <w:r>
        <w:rPr>
          <w:rFonts w:hint="default" w:eastAsia="宋体" w:cs="宋体" w:asciiTheme="minorAscii" w:hAnsiTheme="minorAscii"/>
          <w:b w:val="0"/>
          <w:bCs w:val="0"/>
          <w:sz w:val="24"/>
          <w:szCs w:val="24"/>
          <w:lang w:val="en-US" w:eastAsia="zh-CN"/>
        </w:rPr>
        <w:t>Credence Research. (2025). Consumer behavior insights in personal care electronics. In Ueeshop, Outlook on global electric toothbrush market analysis and trend forecast.</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[4]</w:t>
      </w:r>
      <w:r>
        <w:rPr>
          <w:rFonts w:hint="default" w:eastAsia="宋体" w:cs="宋体" w:asciiTheme="minorAscii" w:hAnsiTheme="minorAscii"/>
          <w:b w:val="0"/>
          <w:bCs w:val="0"/>
          <w:sz w:val="24"/>
          <w:szCs w:val="24"/>
          <w:lang w:val="en-US" w:eastAsia="zh-CN"/>
        </w:rPr>
        <w:t>Dataintelo. (2024). Global smart electric toothbrush market report. In Ueeshop, Outlook on global electric toothbrush market analysis and trend forecast.</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[5]</w:t>
      </w:r>
      <w:r>
        <w:rPr>
          <w:rFonts w:hint="default" w:eastAsia="宋体" w:cs="宋体" w:asciiTheme="minorAscii" w:hAnsiTheme="minorAscii"/>
          <w:b w:val="0"/>
          <w:bCs w:val="0"/>
          <w:sz w:val="24"/>
          <w:szCs w:val="24"/>
          <w:lang w:val="en-US" w:eastAsia="zh-CN"/>
        </w:rPr>
        <w:t>Fortune Business Insights. (2025). *Electric toothbrush market size, share &amp; COVID-19 impact analysis*. Retrieved December 17, 2025, from https://www.fortunebusinessinsights.com/zh/electric-toothbrush-market-106355</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[6]</w:t>
      </w:r>
      <w:r>
        <w:rPr>
          <w:rFonts w:hint="default" w:eastAsia="宋体" w:cs="宋体" w:asciiTheme="minorAscii" w:hAnsiTheme="minorAscii"/>
          <w:b w:val="0"/>
          <w:bCs w:val="0"/>
          <w:sz w:val="24"/>
          <w:szCs w:val="24"/>
          <w:lang w:val="en-US" w:eastAsia="zh-CN"/>
        </w:rPr>
        <w:t>Ueeshop. (2025, December 4). Outlook on global electric toothbrush market analysis and trend forecast.</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[7]</w:t>
      </w:r>
      <w:r>
        <w:rPr>
          <w:rFonts w:hint="default" w:eastAsia="宋体" w:cs="宋体" w:asciiTheme="minorAscii" w:hAnsiTheme="minorAscii"/>
          <w:b w:val="0"/>
          <w:bCs w:val="0"/>
          <w:sz w:val="24"/>
          <w:szCs w:val="24"/>
          <w:lang w:val="en-US" w:eastAsia="zh-CN"/>
        </w:rPr>
        <w:t>Y.H. Research. (2024). Global electric toothbrush market research report 2024.</w:t>
      </w:r>
    </w:p>
    <w:p>
      <w:pPr>
        <w:jc w:val="both"/>
        <w:rPr>
          <w:rFonts w:hint="default" w:eastAsia="宋体" w:cs="宋体" w:asciiTheme="minorAscii" w:hAnsiTheme="minorAscii"/>
          <w:b w:val="0"/>
          <w:bCs w:val="0"/>
          <w:sz w:val="24"/>
          <w:szCs w:val="24"/>
          <w:lang w:val="en-US" w:eastAsia="zh-CN"/>
        </w:rPr>
      </w:pPr>
      <w:r>
        <w:rPr>
          <w:rFonts w:hint="eastAsia" w:eastAsia="宋体" w:cs="宋体" w:asciiTheme="minorAscii" w:hAnsiTheme="minorAscii"/>
          <w:b w:val="0"/>
          <w:bCs w:val="0"/>
          <w:sz w:val="24"/>
          <w:szCs w:val="24"/>
          <w:lang w:val="en-US" w:eastAsia="zh-CN"/>
        </w:rPr>
        <w:t>[8]</w:t>
      </w:r>
      <w:r>
        <w:rPr>
          <w:rFonts w:hint="default" w:eastAsia="宋体" w:cs="宋体" w:asciiTheme="minorAscii" w:hAnsiTheme="minorAscii"/>
          <w:b w:val="0"/>
          <w:bCs w:val="0"/>
          <w:sz w:val="24"/>
          <w:szCs w:val="24"/>
          <w:lang w:val="en-US" w:eastAsia="zh-CN"/>
        </w:rPr>
        <w:t>Global Info Research. (2024). Global and China electric toothbrush professional in-depth research report.</w:t>
      </w: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bookmarkStart w:id="0" w:name="_GoBack"/>
      <w:bookmarkEnd w:id="0"/>
    </w:p>
    <w:p>
      <w:pPr>
        <w:jc w:val="both"/>
        <w:rPr>
          <w:rFonts w:hint="default" w:eastAsia="宋体" w:cs="宋体" w:asciiTheme="minorAscii" w:hAnsiTheme="minorAscii"/>
          <w:b/>
          <w:bCs/>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lang w:eastAsia="zh-CN"/>
        </w:rPr>
      </w:pPr>
      <w:r>
        <w:rPr>
          <w:rFonts w:hint="eastAsia" w:ascii="宋体" w:hAnsi="宋体" w:eastAsia="宋体" w:cs="宋体"/>
          <w:b/>
          <w:bCs/>
          <w:color w:val="000000" w:themeColor="text1"/>
          <w:sz w:val="28"/>
          <w:szCs w:val="28"/>
          <w:lang w:eastAsia="zh-CN"/>
          <w14:textFill>
            <w14:solidFill>
              <w14:schemeClr w14:val="tx1"/>
            </w14:solidFill>
          </w14:textFill>
        </w:rPr>
        <w:t xml:space="preserve"> 竞品分析</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一、国际头部品牌</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Oral-B（美国宝洁）：北美线下渠道霸主，占据38.2%市场份额，在沃尔玛、Costco等15,000+零售点铺货，全美76%牙科诊所推荐。虽在北欧市占率28.7%略逊于本土对手，但全球21.6亿美元销售额的体量与旋转震动技术专利构成绝对护城河。其渠道深度与医保体系外联能力，是衡量准入壁垒的黄金标准。</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Philips Sonicare（荷兰）：声波技术开创者，北欧市占率45.3%居首，丹麦、挪威医保可报销30%，品牌认知度在瑞典达92%。北美线上溢价能力强（均价$129-$329），31000次/分钟清洁效能获Consumer Labs第一。其医保绑定模式与本土心智渗透，是国货最难复制的竞争要素。</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二、目标区域本土品牌</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Quip（美国）：DTC订阅模式标杆，无线下门店，靠官网刷头自动配送实现68%用户留存，2024年增长35%远超行业。Instagram粉丝87万，互动率4.2%，轻量化设计（76g）精准切中Z世代。7.8%北美份额虽不大，但揭示了传统渠道外的创新路径。</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Foreo（瑞典）：北欧设计美学代表，硅胶刷头抑菌率99.5%，获2024红点奖，在斯堪的纳维亚高端百货100%入驻，细分领域（&gt;$100价位）占8.9%份额。其"本土身份+中国制造"模式，为国货提供文化适配与溢价平衡的直接参照。</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485640" cy="3302000"/>
            <wp:effectExtent l="0" t="0" r="5715" b="0"/>
            <wp:docPr id="1" name="图片 1" descr="电动牙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动牙刷"/>
                    <pic:cNvPicPr>
                      <a:picLocks noChangeAspect="1"/>
                    </pic:cNvPicPr>
                  </pic:nvPicPr>
                  <pic:blipFill>
                    <a:blip r:embed="rId4"/>
                    <a:stretch>
                      <a:fillRect/>
                    </a:stretch>
                  </pic:blipFill>
                  <pic:spPr>
                    <a:xfrm>
                      <a:off x="0" y="0"/>
                      <a:ext cx="4485640" cy="3302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三、同类国货品牌</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Oclean（华米科技）：小米生态链出海样本，APP连接率73%行业最高，支持瑞典语等8种语言，亚马逊北美BSR前50，评分4.3星。2024年Q4增速210%，但UL认证缺失导致线下渠道仅0.3%，牙医推荐率&lt;1%。性价比（同性能价格60%）与智能化是优势，合规是硬伤。</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Usmile（星际悦动）：颜值经济驱动，莫兰迪色系获天猫金妆奖，快充技术经莱茵TÜV认证。北美定价$35-$99，主攻价格敏感型年轻女性，2025年Q2因UL认证问题在亚马逊加拿大站被下架。其社交电商打法（小红书北欧KOC笔记2000+篇）与合规风险，构成出海双刃剑。</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四、</w:t>
      </w:r>
      <w:r>
        <w:rPr>
          <w:rFonts w:hint="eastAsia" w:ascii="宋体" w:hAnsi="宋体" w:eastAsia="宋体" w:cs="宋体"/>
          <w:sz w:val="24"/>
          <w:szCs w:val="24"/>
          <w:lang w:eastAsia="zh-CN"/>
        </w:rPr>
        <w:t>价格、市场份额、核心优势、劣势、营销打法</w:t>
      </w:r>
      <w:r>
        <w:rPr>
          <w:rFonts w:hint="eastAsia" w:ascii="宋体" w:hAnsi="宋体" w:eastAsia="宋体" w:cs="宋体"/>
          <w:sz w:val="24"/>
          <w:szCs w:val="24"/>
          <w:lang w:val="en-US" w:eastAsia="zh-CN"/>
        </w:rPr>
        <w:t>维度分析</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价格维度分析：</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各品牌价格定位呈现明显的市场分层。国际头部品牌Oral-B和Philips Sonicare定位中高端市场，价格区间分别为80-250和129-329，体现了其技术溢价和品牌价值。Philips Sonicare凭借声波技术专利和医保报销优势，在高端市场建立了价格壁垒。本土品牌Quip以25-45的中端价格切入市场，通过简化功能实现价格亲民化。Foreo则专注于&gt;100的高端细分市场，依托设计美学实现产品溢价。国产品牌Oclean和Usmile均采取性价比策略，价格区间集中在35-$120，通过成本优势和国际品牌形成错位竞争。</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市场份额分布特征：</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北美市场呈现双寡头格局，Oral-B（35%）和Philips Sonicare（31%）合计占据近三分之二份额，显示出强大的市场控制力。北欧市场则呈现Philips Sonicare（45%）一家独大、Oral-B（28%）紧随其后的竞争态势。本土品牌在各自区域表现分化，美国品牌Quip在北美获得8%份额，而瑞典品牌Foreo在北欧取得12%份额。国产品牌市场份额普遍偏低，在北美和北欧均未超过3%，反映出出海初期的市场突破难度。</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核心优势对比：</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技术专利构成头部品牌的核心壁垒，Oral-B的旋转震动技术和Philips Sonicare的声波技术均获得专业医疗领域认可。Quip通过订阅制商业模式创新实现68%的用户留存率，Foreo则以设计美学和抑菌技术赢得高端用户青睐。国产品牌优势集中在智能化（Oclean的APP连接率73%）和设计创新（Usmile的颜值经济），但在核心技术专利方面存在明显短板。</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劣势表现分析：</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合规问题成为国产品牌最大短板，Oclean和Usmile均因UL认证缺失影响渠道拓展，牙医推荐率不足1%严重制约专业市场突破。国际头部品牌在北欧面临本土化适应挑战，Oral-B在当地市场份额较Philips Sonicare低17个百分点。小众品牌普遍存在渠道覆盖不足问题，Quip完全依赖线上渠道，Foreo则局限于高端百货渠道，制约规模扩张。</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营销打法差异：</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传统头部品牌深度绑定专业渠道，Oral-B通过15,000+零售点和76%牙医推荐率建立信任背书，Philips Sonicare利用医保报销政策增强用户粘性。新兴品牌侧重数字化营销，Quip依托Instagram实现4.2%互动率，Usmile通过小红书KOC内容触达年轻客群。国产品牌善用平台资源，Oclean借助亚马逊BSR前50的排名实现210%增长，体现出海品牌对电商平台的依赖度。</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调研依据说明：</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本框架数据来源包括：NPD集团零售追踪数据[1]和欧睿国际区域市场报告[2]提供市场份额基准；亚马逊畅销榜[3]和Statista全球数据[10]反映线上表现；公司财报[4,5]披露财务数据；医保目录[6]和专业认证数据库[7,8,9]验证资质情况。所有数据均来自权威渠道，确保分析结果的可靠性。</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对比表格如下：</w:t>
      </w:r>
    </w:p>
    <w:tbl>
      <w:tblPr>
        <w:tblStyle w:val="10"/>
        <w:tblW w:w="1057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1437"/>
        <w:gridCol w:w="2234"/>
        <w:gridCol w:w="1752"/>
        <w:gridCol w:w="1303"/>
        <w:gridCol w:w="1392"/>
        <w:gridCol w:w="1264"/>
      </w:tblGrid>
      <w:tr>
        <w:tblPrEx>
          <w:tblLayout w:type="fixed"/>
        </w:tblPrEx>
        <w:trPr>
          <w:trHeight w:val="0" w:hRule="atLeast"/>
          <w:tblHeader/>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维度</w:t>
            </w:r>
          </w:p>
        </w:tc>
        <w:tc>
          <w:tcPr>
            <w:tcW w:w="143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Oral-B</w:t>
            </w:r>
          </w:p>
        </w:tc>
        <w:tc>
          <w:tcPr>
            <w:tcW w:w="223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Philips Sonicare</w:t>
            </w:r>
          </w:p>
        </w:tc>
        <w:tc>
          <w:tcPr>
            <w:tcW w:w="175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Quip</w:t>
            </w:r>
          </w:p>
        </w:tc>
        <w:tc>
          <w:tcPr>
            <w:tcW w:w="1303"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Foreo</w:t>
            </w:r>
          </w:p>
        </w:tc>
        <w:tc>
          <w:tcPr>
            <w:tcW w:w="139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Oclean</w:t>
            </w:r>
          </w:p>
        </w:tc>
        <w:tc>
          <w:tcPr>
            <w:tcW w:w="126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Usmile</w:t>
            </w:r>
          </w:p>
        </w:tc>
      </w:tr>
      <w:tr>
        <w:tblPrEx>
          <w:tblLayout w:type="fixed"/>
        </w:tblPrEx>
        <w:trPr>
          <w:trHeight w:val="0" w:hRule="atLeast"/>
          <w:tblHeader/>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价格区间</w:t>
            </w:r>
          </w:p>
        </w:tc>
        <w:tc>
          <w:tcPr>
            <w:tcW w:w="1437" w:type="dxa"/>
            <w:vAlign w:val="center"/>
          </w:tcPr>
          <w:p>
            <w:pPr>
              <w:keepNext w:val="0"/>
              <w:keepLines w:val="0"/>
              <w:widowControl/>
              <w:suppressLineNumbers w:val="0"/>
              <w:snapToGrid w:val="0"/>
              <w:ind w:left="0" w:leftChars="0" w:right="0" w:rightChars="0" w:firstLine="0" w:firstLineChars="0"/>
              <w:jc w:val="center"/>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中高端</w:t>
            </w:r>
          </w:p>
          <w:p>
            <w:pPr>
              <w:keepNext w:val="0"/>
              <w:keepLines w:val="0"/>
              <w:widowControl/>
              <w:suppressLineNumbers w:val="0"/>
              <w:snapToGrid w:val="0"/>
              <w:ind w:left="0" w:leftChars="0" w:right="0" w:rightChars="0" w:firstLine="0" w:firstLineChars="0"/>
              <w:jc w:val="center"/>
              <w:rPr>
                <w:rFonts w:hint="default" w:ascii="宋体" w:hAnsi="宋体" w:eastAsia="宋体" w:cs="宋体"/>
                <w:b/>
                <w:sz w:val="24"/>
                <w:szCs w:val="24"/>
                <w:vertAlign w:val="baseline"/>
                <w:lang w:val="en-US" w:eastAsia="zh-CN"/>
              </w:rPr>
            </w:pPr>
            <w:r>
              <w:rPr>
                <w:rFonts w:ascii="宋体" w:hAnsi="宋体" w:eastAsia="宋体" w:cs="宋体"/>
                <w:b/>
                <w:kern w:val="0"/>
                <w:sz w:val="24"/>
                <w:szCs w:val="24"/>
                <w:lang w:val="en-US" w:eastAsia="zh-CN" w:bidi="ar"/>
              </w:rPr>
              <w:t>(80−250)</w:t>
            </w:r>
          </w:p>
        </w:tc>
        <w:tc>
          <w:tcPr>
            <w:tcW w:w="2234" w:type="dxa"/>
            <w:vAlign w:val="center"/>
          </w:tcPr>
          <w:p>
            <w:pPr>
              <w:keepNext w:val="0"/>
              <w:keepLines w:val="0"/>
              <w:widowControl/>
              <w:suppressLineNumbers w:val="0"/>
              <w:snapToGrid w:val="0"/>
              <w:ind w:left="0" w:leftChars="0" w:right="0" w:rightChars="0" w:firstLine="0" w:firstLineChars="0"/>
              <w:jc w:val="center"/>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高端</w:t>
            </w:r>
          </w:p>
          <w:p>
            <w:pPr>
              <w:keepNext w:val="0"/>
              <w:keepLines w:val="0"/>
              <w:widowControl/>
              <w:suppressLineNumbers w:val="0"/>
              <w:snapToGrid w:val="0"/>
              <w:ind w:left="0" w:leftChars="0" w:right="0" w:rightChars="0" w:firstLine="0" w:firstLineChars="0"/>
              <w:jc w:val="center"/>
              <w:rPr>
                <w:rFonts w:hint="default" w:ascii="宋体" w:hAnsi="宋体" w:eastAsia="宋体" w:cs="宋体"/>
                <w:b/>
                <w:sz w:val="24"/>
                <w:szCs w:val="24"/>
                <w:vertAlign w:val="baseline"/>
                <w:lang w:val="en-US" w:eastAsia="zh-CN"/>
              </w:rPr>
            </w:pPr>
            <w:r>
              <w:rPr>
                <w:rFonts w:ascii="宋体" w:hAnsi="宋体" w:eastAsia="宋体" w:cs="宋体"/>
                <w:b/>
                <w:kern w:val="0"/>
                <w:sz w:val="24"/>
                <w:szCs w:val="24"/>
                <w:lang w:val="en-US" w:eastAsia="zh-CN" w:bidi="ar"/>
              </w:rPr>
              <w:t>(129−329)</w:t>
            </w:r>
          </w:p>
        </w:tc>
        <w:tc>
          <w:tcPr>
            <w:tcW w:w="1752" w:type="dxa"/>
            <w:vAlign w:val="center"/>
          </w:tcPr>
          <w:p>
            <w:pPr>
              <w:keepNext w:val="0"/>
              <w:keepLines w:val="0"/>
              <w:widowControl/>
              <w:suppressLineNumbers w:val="0"/>
              <w:snapToGrid w:val="0"/>
              <w:ind w:left="0" w:leftChars="0" w:right="0" w:rightChars="0" w:firstLine="0" w:firstLineChars="0"/>
              <w:jc w:val="center"/>
              <w:rPr>
                <w:rFonts w:hint="default" w:ascii="宋体" w:hAnsi="宋体" w:eastAsia="宋体" w:cs="宋体"/>
                <w:b/>
                <w:sz w:val="24"/>
                <w:szCs w:val="24"/>
                <w:vertAlign w:val="baseline"/>
                <w:lang w:val="en-US" w:eastAsia="zh-CN"/>
              </w:rPr>
            </w:pPr>
            <w:r>
              <w:rPr>
                <w:rFonts w:ascii="宋体" w:hAnsi="宋体" w:eastAsia="宋体" w:cs="宋体"/>
                <w:b/>
                <w:kern w:val="0"/>
                <w:sz w:val="24"/>
                <w:szCs w:val="24"/>
                <w:lang w:val="en-US" w:eastAsia="zh-CN" w:bidi="ar"/>
              </w:rPr>
              <w:t>中端(25−45)</w:t>
            </w:r>
          </w:p>
        </w:tc>
        <w:tc>
          <w:tcPr>
            <w:tcW w:w="1303"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vertAlign w:val="baseline"/>
                <w:lang w:val="en-US" w:eastAsia="zh-CN"/>
              </w:rPr>
            </w:pPr>
            <w:r>
              <w:rPr>
                <w:rFonts w:hint="eastAsia" w:ascii="宋体" w:hAnsi="宋体" w:eastAsia="宋体" w:cs="宋体"/>
                <w:b/>
                <w:sz w:val="24"/>
                <w:szCs w:val="24"/>
                <w:vertAlign w:val="baseline"/>
                <w:lang w:val="en-US" w:eastAsia="zh-CN"/>
              </w:rPr>
              <w:t>高端</w:t>
            </w:r>
          </w:p>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b/>
                <w:sz w:val="24"/>
                <w:szCs w:val="24"/>
                <w:vertAlign w:val="baseline"/>
                <w:lang w:val="en-US" w:eastAsia="zh-CN"/>
              </w:rPr>
            </w:pPr>
            <w:r>
              <w:rPr>
                <w:rFonts w:hint="default" w:ascii="宋体" w:hAnsi="宋体" w:eastAsia="宋体" w:cs="宋体"/>
                <w:b/>
                <w:sz w:val="24"/>
                <w:szCs w:val="24"/>
                <w:vertAlign w:val="baseline"/>
                <w:lang w:val="en-US" w:eastAsia="zh-CN"/>
              </w:rPr>
              <w:t>(&gt;$100)</w:t>
            </w:r>
          </w:p>
        </w:tc>
        <w:tc>
          <w:tcPr>
            <w:tcW w:w="1392" w:type="dxa"/>
            <w:vAlign w:val="center"/>
          </w:tcPr>
          <w:p>
            <w:pPr>
              <w:keepNext w:val="0"/>
              <w:keepLines w:val="0"/>
              <w:widowControl/>
              <w:suppressLineNumbers w:val="0"/>
              <w:snapToGrid w:val="0"/>
              <w:ind w:left="0" w:leftChars="0" w:right="0" w:rightChars="0" w:firstLine="0" w:firstLineChars="0"/>
              <w:jc w:val="center"/>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高性价比</w:t>
            </w:r>
          </w:p>
          <w:p>
            <w:pPr>
              <w:keepNext w:val="0"/>
              <w:keepLines w:val="0"/>
              <w:widowControl/>
              <w:suppressLineNumbers w:val="0"/>
              <w:snapToGrid w:val="0"/>
              <w:ind w:left="0" w:leftChars="0" w:right="0" w:rightChars="0" w:firstLine="0" w:firstLineChars="0"/>
              <w:jc w:val="center"/>
              <w:rPr>
                <w:rFonts w:hint="default" w:ascii="宋体" w:hAnsi="宋体" w:eastAsia="宋体" w:cs="宋体"/>
                <w:b/>
                <w:sz w:val="24"/>
                <w:szCs w:val="24"/>
                <w:vertAlign w:val="baseline"/>
                <w:lang w:val="en-US" w:eastAsia="zh-CN"/>
              </w:rPr>
            </w:pPr>
            <w:r>
              <w:rPr>
                <w:rFonts w:ascii="宋体" w:hAnsi="宋体" w:eastAsia="宋体" w:cs="宋体"/>
                <w:b/>
                <w:kern w:val="0"/>
                <w:sz w:val="24"/>
                <w:szCs w:val="24"/>
                <w:lang w:val="en-US" w:eastAsia="zh-CN" w:bidi="ar"/>
              </w:rPr>
              <w:t>(35−120)</w:t>
            </w:r>
          </w:p>
        </w:tc>
        <w:tc>
          <w:tcPr>
            <w:tcW w:w="1264" w:type="dxa"/>
            <w:vAlign w:val="center"/>
          </w:tcPr>
          <w:p>
            <w:pPr>
              <w:keepNext w:val="0"/>
              <w:keepLines w:val="0"/>
              <w:widowControl/>
              <w:suppressLineNumbers w:val="0"/>
              <w:snapToGrid w:val="0"/>
              <w:ind w:left="0" w:leftChars="0" w:right="0" w:rightChars="0" w:firstLine="0" w:firstLineChars="0"/>
              <w:jc w:val="center"/>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中端</w:t>
            </w:r>
          </w:p>
          <w:p>
            <w:pPr>
              <w:keepNext w:val="0"/>
              <w:keepLines w:val="0"/>
              <w:widowControl/>
              <w:suppressLineNumbers w:val="0"/>
              <w:snapToGrid w:val="0"/>
              <w:ind w:left="0" w:leftChars="0" w:right="0" w:rightChars="0" w:firstLine="0" w:firstLineChars="0"/>
              <w:jc w:val="center"/>
              <w:rPr>
                <w:rFonts w:hint="default" w:ascii="宋体" w:hAnsi="宋体" w:eastAsia="宋体" w:cs="宋体"/>
                <w:b/>
                <w:sz w:val="24"/>
                <w:szCs w:val="24"/>
                <w:vertAlign w:val="baseline"/>
                <w:lang w:val="en-US" w:eastAsia="zh-CN"/>
              </w:rPr>
            </w:pPr>
            <w:r>
              <w:rPr>
                <w:rFonts w:ascii="宋体" w:hAnsi="宋体" w:eastAsia="宋体" w:cs="宋体"/>
                <w:b/>
                <w:kern w:val="0"/>
                <w:sz w:val="24"/>
                <w:szCs w:val="24"/>
                <w:lang w:val="en-US" w:eastAsia="zh-CN" w:bidi="ar"/>
              </w:rPr>
              <w:t>(35−99)</w:t>
            </w:r>
          </w:p>
        </w:tc>
      </w:tr>
      <w:tr>
        <w:tblPrEx>
          <w:tblLayout w:type="fixed"/>
        </w:tblPrEx>
        <w:trPr>
          <w:trHeight w:val="0" w:hRule="atLeast"/>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市场份额 (北美)</w:t>
            </w:r>
          </w:p>
        </w:tc>
        <w:tc>
          <w:tcPr>
            <w:tcW w:w="143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约35%</w:t>
            </w:r>
          </w:p>
        </w:tc>
        <w:tc>
          <w:tcPr>
            <w:tcW w:w="223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约31%</w:t>
            </w:r>
          </w:p>
        </w:tc>
        <w:tc>
          <w:tcPr>
            <w:tcW w:w="175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约8%</w:t>
            </w:r>
          </w:p>
        </w:tc>
        <w:tc>
          <w:tcPr>
            <w:tcW w:w="1303"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约3%</w:t>
            </w:r>
          </w:p>
        </w:tc>
        <w:tc>
          <w:tcPr>
            <w:tcW w:w="139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约2%</w:t>
            </w:r>
          </w:p>
        </w:tc>
        <w:tc>
          <w:tcPr>
            <w:tcW w:w="126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约1%</w:t>
            </w:r>
          </w:p>
        </w:tc>
      </w:tr>
      <w:tr>
        <w:tblPrEx>
          <w:tblLayout w:type="fixed"/>
        </w:tblPrEx>
        <w:trPr>
          <w:trHeight w:val="0" w:hRule="atLeast"/>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市场份额 (北欧)</w:t>
            </w:r>
          </w:p>
        </w:tc>
        <w:tc>
          <w:tcPr>
            <w:tcW w:w="143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约28%</w:t>
            </w:r>
          </w:p>
        </w:tc>
        <w:tc>
          <w:tcPr>
            <w:tcW w:w="223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约45%</w:t>
            </w:r>
          </w:p>
        </w:tc>
        <w:tc>
          <w:tcPr>
            <w:tcW w:w="175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约2%</w:t>
            </w:r>
          </w:p>
        </w:tc>
        <w:tc>
          <w:tcPr>
            <w:tcW w:w="1303"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约12%</w:t>
            </w:r>
          </w:p>
        </w:tc>
        <w:tc>
          <w:tcPr>
            <w:tcW w:w="139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约3%</w:t>
            </w:r>
          </w:p>
        </w:tc>
        <w:tc>
          <w:tcPr>
            <w:tcW w:w="1264"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约2%</w:t>
            </w:r>
          </w:p>
        </w:tc>
      </w:tr>
      <w:tr>
        <w:tblPrEx>
          <w:tblLayout w:type="fixed"/>
        </w:tblPrEx>
        <w:trPr>
          <w:trHeight w:val="0" w:hRule="atLeast"/>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核心优势</w:t>
            </w:r>
          </w:p>
        </w:tc>
        <w:tc>
          <w:tcPr>
            <w:tcW w:w="1437" w:type="dxa"/>
            <w:vAlign w:val="center"/>
          </w:tcPr>
          <w:p>
            <w:pPr>
              <w:keepNext w:val="0"/>
              <w:keepLines w:val="0"/>
              <w:widowControl/>
              <w:suppressLineNumbers w:val="0"/>
              <w:snapToGrid w:val="0"/>
              <w:jc w:val="righ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1. 旋转震动技术专利。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线下渠道与牙医网络强大。</w:t>
            </w:r>
          </w:p>
        </w:tc>
        <w:tc>
          <w:tcPr>
            <w:tcW w:w="2234"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1. 声波技术领先，清洁效能获认可。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部分市场进入医保体系。</w:t>
            </w:r>
          </w:p>
        </w:tc>
        <w:tc>
          <w:tcPr>
            <w:tcW w:w="1752"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1. DTC订阅模式，用户留存高。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轻量化设计吸引Z世代。</w:t>
            </w:r>
          </w:p>
        </w:tc>
        <w:tc>
          <w:tcPr>
            <w:tcW w:w="1303"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1. 北欧设计美学，获红点奖。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硅胶刷头抑菌率高。</w:t>
            </w:r>
          </w:p>
        </w:tc>
        <w:tc>
          <w:tcPr>
            <w:tcW w:w="1392"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1. 高性价比（同性能价格约60%）。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APP连接率高，智能化突出。</w:t>
            </w:r>
          </w:p>
        </w:tc>
        <w:tc>
          <w:tcPr>
            <w:tcW w:w="1264" w:type="dxa"/>
            <w:vAlign w:val="center"/>
          </w:tcPr>
          <w:p>
            <w:pPr>
              <w:keepNext w:val="0"/>
              <w:keepLines w:val="0"/>
              <w:widowControl/>
              <w:suppressLineNumbers w:val="0"/>
              <w:snapToGrid w:val="0"/>
              <w:jc w:val="left"/>
              <w:rPr>
                <w:rFonts w:hint="default" w:ascii="宋体" w:hAnsi="宋体" w:eastAsia="宋体" w:cs="宋体"/>
                <w:sz w:val="24"/>
                <w:szCs w:val="24"/>
                <w:vertAlign w:val="baseline"/>
                <w:lang w:val="en-US" w:eastAsia="zh-CN"/>
              </w:rPr>
            </w:pPr>
            <w:r>
              <w:rPr>
                <w:rFonts w:ascii="宋体" w:hAnsi="宋体" w:eastAsia="宋体" w:cs="宋体"/>
                <w:kern w:val="0"/>
                <w:sz w:val="24"/>
                <w:szCs w:val="24"/>
                <w:lang w:val="en-US" w:eastAsia="zh-CN" w:bidi="ar"/>
              </w:rPr>
              <w:t>1. 设计驱动（颜值经济）。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快充技术获认证。</w:t>
            </w:r>
          </w:p>
        </w:tc>
      </w:tr>
      <w:tr>
        <w:tblPrEx>
          <w:tblLayout w:type="fixed"/>
        </w:tblPrEx>
        <w:trPr>
          <w:trHeight w:val="0" w:hRule="atLeast"/>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劣势</w:t>
            </w:r>
          </w:p>
        </w:tc>
        <w:tc>
          <w:tcPr>
            <w:tcW w:w="143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在北欧市场面临本土强势品牌竞争。</w:t>
            </w:r>
          </w:p>
        </w:tc>
        <w:tc>
          <w:tcPr>
            <w:tcW w:w="223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价格偏高，市场竞争激烈。</w:t>
            </w:r>
          </w:p>
        </w:tc>
        <w:tc>
          <w:tcPr>
            <w:tcW w:w="175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线下渠道缺失，市场份额相对较小。</w:t>
            </w:r>
          </w:p>
        </w:tc>
        <w:tc>
          <w:tcPr>
            <w:tcW w:w="1303"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属细分领域品牌，市场份额有限。</w:t>
            </w:r>
          </w:p>
        </w:tc>
        <w:tc>
          <w:tcPr>
            <w:tcW w:w="139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UL认证缺失，线下渠道与牙医推荐率极低。</w:t>
            </w:r>
          </w:p>
        </w:tc>
        <w:tc>
          <w:tcPr>
            <w:tcW w:w="126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曾因合规问题（UL认证）导致产品下架，风险高。</w:t>
            </w:r>
          </w:p>
        </w:tc>
      </w:tr>
      <w:tr>
        <w:tblPrEx>
          <w:tblLayout w:type="fixed"/>
        </w:tblPrEx>
        <w:trPr>
          <w:trHeight w:val="0" w:hRule="atLeast"/>
          <w:jc w:val="center"/>
        </w:trPr>
        <w:tc>
          <w:tcPr>
            <w:tcW w:w="119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营销打法</w:t>
            </w:r>
          </w:p>
        </w:tc>
        <w:tc>
          <w:tcPr>
            <w:tcW w:w="1437"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深度绑定线下零售与专业牙科渠道，建立医保合作。</w:t>
            </w:r>
          </w:p>
        </w:tc>
        <w:tc>
          <w:tcPr>
            <w:tcW w:w="223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高端品牌定位，强化专业形象，绑定医保。</w:t>
            </w:r>
          </w:p>
        </w:tc>
        <w:tc>
          <w:tcPr>
            <w:tcW w:w="175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社交媒体（Instagram）营销，订阅制锁定用户。</w:t>
            </w:r>
          </w:p>
        </w:tc>
        <w:tc>
          <w:tcPr>
            <w:tcW w:w="1303"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入驻高端百货，强调设计美学价值。</w:t>
            </w:r>
          </w:p>
        </w:tc>
        <w:tc>
          <w:tcPr>
            <w:tcW w:w="1392"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依托生态链与亚马逊平台，主打智能与性价比。</w:t>
            </w:r>
          </w:p>
        </w:tc>
        <w:tc>
          <w:tcPr>
            <w:tcW w:w="126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社交电商（小红书KOC）内容营销，主攻年轻女性。</w:t>
            </w:r>
          </w:p>
        </w:tc>
      </w:tr>
    </w:tbl>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[1] NPD Group. U.S. Oral Care Retail Tracking Service[DB/OL]. https://www.npd.com/</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[2] Euromonitor International. Oral Care in Scandinavia[M]. London: Euromonitor.</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[3]Amazon.com.BestSellersinElectricToothbrushes[EB/OL]. https://www.amazon.com/Best-Sellers-Health-Personal-Care-Electric-Toothbrushes/</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[4] Procter &amp; Gamble. Form 10-K[EB/OL]. https://investor.pg.com/</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[5] Royal Philips. Q3 Earnings Presentation: Health Technology Sector[EB/OL]. </w:t>
      </w: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HYPERLINK "https://www.philips.com/investors" </w:instrText>
      </w:r>
      <w:r>
        <w:rPr>
          <w:rFonts w:hint="eastAsia" w:ascii="宋体" w:hAnsi="宋体" w:eastAsia="宋体" w:cs="宋体"/>
          <w:sz w:val="24"/>
          <w:szCs w:val="24"/>
          <w:lang w:eastAsia="zh-CN"/>
        </w:rPr>
        <w:fldChar w:fldCharType="separate"/>
      </w:r>
      <w:r>
        <w:rPr>
          <w:rStyle w:val="8"/>
          <w:rFonts w:hint="eastAsia" w:ascii="宋体" w:hAnsi="宋体" w:eastAsia="宋体" w:cs="宋体"/>
          <w:sz w:val="24"/>
          <w:szCs w:val="24"/>
          <w:lang w:eastAsia="zh-CN"/>
        </w:rPr>
        <w:t>https://www.philips.com/investors</w:t>
      </w:r>
      <w:r>
        <w:rPr>
          <w:rFonts w:hint="eastAsia" w:ascii="宋体" w:hAnsi="宋体" w:eastAsia="宋体" w:cs="宋体"/>
          <w:sz w:val="24"/>
          <w:szCs w:val="24"/>
          <w:lang w:eastAsia="zh-CN"/>
        </w:rPr>
        <w:fldChar w:fldCharType="end"/>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[6] </w:t>
      </w:r>
      <w:r>
        <w:rPr>
          <w:rFonts w:hint="eastAsia" w:ascii="宋体" w:hAnsi="宋体" w:eastAsia="宋体" w:cs="宋体"/>
          <w:sz w:val="24"/>
          <w:szCs w:val="24"/>
          <w:lang w:eastAsia="zh-CN"/>
        </w:rPr>
        <w:t>Danish</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Health</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 xml:space="preserve">Authority.Medical Device Reimbursement List[EB/OL]. </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HYPERLINK "https://www.sundhedsstyrelsen.dk/" </w:instrText>
      </w:r>
      <w:r>
        <w:rPr>
          <w:rFonts w:hint="eastAsia" w:ascii="宋体" w:hAnsi="宋体" w:eastAsia="宋体" w:cs="宋体"/>
          <w:sz w:val="24"/>
          <w:szCs w:val="24"/>
          <w:lang w:eastAsia="zh-CN"/>
        </w:rPr>
        <w:fldChar w:fldCharType="separate"/>
      </w:r>
      <w:r>
        <w:rPr>
          <w:rStyle w:val="8"/>
          <w:rFonts w:hint="eastAsia" w:ascii="宋体" w:hAnsi="宋体" w:eastAsia="宋体" w:cs="宋体"/>
          <w:sz w:val="24"/>
          <w:szCs w:val="24"/>
          <w:lang w:eastAsia="zh-CN"/>
        </w:rPr>
        <w:t>https://www.sundhedsstyrelsen.dk/</w:t>
      </w:r>
      <w:r>
        <w:rPr>
          <w:rFonts w:hint="eastAsia" w:ascii="宋体" w:hAnsi="宋体" w:eastAsia="宋体" w:cs="宋体"/>
          <w:sz w:val="24"/>
          <w:szCs w:val="24"/>
          <w:lang w:eastAsia="zh-CN"/>
        </w:rPr>
        <w:fldChar w:fldCharType="end"/>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[7]Social</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Blade.Instagram</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Statistics</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 xml:space="preserve">for@getquip[DB/OL]. </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https://socialblade.com/instagram/user/getquip</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[8] UL LLC. UL Product iQ Database[DB/OL]. https://iq.ulprospector.com/</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[9]</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 xml:space="preserve">U.S. Food and Drug Administration. 510(k) Premarket Notification Database[DB/OL]. </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https://www.accessdata.fda.gov/scripts/cdrh/cfdocs/cfpmn/pmn.cfm</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[10] Statista. Electric Toothbrush Market Share Worldwide[EB/OL]. </w:t>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HYPERLINK "https://www.statista.com/statistics/" </w:instrText>
      </w:r>
      <w:r>
        <w:rPr>
          <w:rFonts w:hint="eastAsia" w:ascii="宋体" w:hAnsi="宋体" w:eastAsia="宋体" w:cs="宋体"/>
          <w:sz w:val="24"/>
          <w:szCs w:val="24"/>
          <w:lang w:eastAsia="zh-CN"/>
        </w:rPr>
        <w:fldChar w:fldCharType="separate"/>
      </w:r>
      <w:r>
        <w:rPr>
          <w:rStyle w:val="8"/>
          <w:rFonts w:hint="eastAsia" w:ascii="宋体" w:hAnsi="宋体" w:eastAsia="宋体" w:cs="宋体"/>
          <w:sz w:val="24"/>
          <w:szCs w:val="24"/>
          <w:lang w:eastAsia="zh-CN"/>
        </w:rPr>
        <w:t>https://www.statista.com/statistics/</w:t>
      </w:r>
      <w:r>
        <w:rPr>
          <w:rFonts w:hint="eastAsia" w:ascii="宋体" w:hAnsi="宋体" w:eastAsia="宋体" w:cs="宋体"/>
          <w:sz w:val="24"/>
          <w:szCs w:val="24"/>
          <w:lang w:eastAsia="zh-CN"/>
        </w:rPr>
        <w:fldChar w:fldCharType="end"/>
      </w:r>
    </w:p>
    <w:p>
      <w:pPr>
        <w:keepNext w:val="0"/>
        <w:keepLines w:val="0"/>
        <w:pageBreakBefore w:val="0"/>
        <w:widowControl w:val="0"/>
        <w:kinsoku/>
        <w:wordWrap/>
        <w:overflowPunct/>
        <w:topLinePunct w:val="0"/>
        <w:autoSpaceDE/>
        <w:autoSpaceDN/>
        <w:bidi w:val="0"/>
        <w:adjustRightInd/>
        <w:snapToGrid/>
        <w:spacing w:line="300" w:lineRule="auto"/>
        <w:ind w:left="0" w:leftChars="0" w:firstLine="420" w:firstLineChars="200"/>
        <w:textAlignment w:val="auto"/>
        <w:rPr>
          <w:rFonts w:hint="eastAsia" w:ascii="宋体" w:hAnsi="宋体" w:eastAsia="宋体" w:cs="宋体"/>
          <w:sz w:val="24"/>
          <w:szCs w:val="24"/>
          <w:lang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default" w:eastAsia="宋体" w:cs="宋体" w:asciiTheme="minorAscii" w:hAnsiTheme="minorAscii"/>
          <w:b w:val="0"/>
          <w:bCs w:val="0"/>
          <w:sz w:val="24"/>
          <w:szCs w:val="24"/>
          <w:lang w:val="en-US" w:eastAsia="zh-CN"/>
        </w:rPr>
      </w:pPr>
    </w:p>
    <w:p>
      <w:pPr>
        <w:jc w:val="both"/>
        <w:rPr>
          <w:rFonts w:hint="eastAsia"/>
          <w:sz w:val="24"/>
          <w:szCs w:val="24"/>
        </w:rPr>
      </w:pPr>
      <w:r>
        <w:rPr>
          <w:rFonts w:hint="eastAsia"/>
          <w:b/>
          <w:bCs/>
          <w:sz w:val="24"/>
          <w:szCs w:val="24"/>
        </w:rPr>
        <w:t>产品本土化适配</w:t>
      </w:r>
    </w:p>
    <w:p>
      <w:pPr>
        <w:jc w:val="both"/>
        <w:rPr>
          <w:rFonts w:hint="eastAsia"/>
          <w:sz w:val="24"/>
          <w:szCs w:val="24"/>
        </w:rPr>
      </w:pPr>
      <w:r>
        <w:rPr>
          <w:rFonts w:hint="eastAsia"/>
          <w:sz w:val="24"/>
          <w:szCs w:val="24"/>
        </w:rPr>
        <w:t>（一）目标市场的合规要求</w:t>
      </w:r>
    </w:p>
    <w:p>
      <w:pPr>
        <w:jc w:val="both"/>
        <w:rPr>
          <w:rFonts w:hint="eastAsia"/>
          <w:sz w:val="24"/>
          <w:szCs w:val="24"/>
        </w:rPr>
      </w:pPr>
      <w:r>
        <w:rPr>
          <w:rFonts w:hint="eastAsia"/>
          <w:sz w:val="24"/>
          <w:szCs w:val="24"/>
        </w:rPr>
        <w:t xml:space="preserve">        电动牙刷进入北美与北欧市场，必须首先满足当地严格的法规与认证要求。两大市场在标准体系上各有侧重，企业需针对性完成合规准入。</w:t>
      </w:r>
    </w:p>
    <w:p>
      <w:pPr>
        <w:jc w:val="both"/>
        <w:rPr>
          <w:rFonts w:hint="eastAsia"/>
          <w:sz w:val="24"/>
          <w:szCs w:val="24"/>
        </w:rPr>
      </w:pPr>
      <w:r>
        <w:rPr>
          <w:rFonts w:hint="eastAsia"/>
          <w:sz w:val="24"/>
          <w:szCs w:val="24"/>
        </w:rPr>
        <w:t xml:space="preserve">          北美市场（以美国、加拿大为核心） 准入体系以 “安全认证”为主导。产品必须取得电气安全认证（美国为UL认证，加拿大为cUL/CSA认证），并通过FCC认证以确保电磁兼容性。作为接触口腔的护理工具，其材料还需符合FDA相关卫生规定。产品标签与说明书需为英语（美）或英法双语（加），且电压必须适配110-120V/60Hz标准，并配备美规插头。</w:t>
      </w:r>
    </w:p>
    <w:p>
      <w:pPr>
        <w:jc w:val="both"/>
        <w:rPr>
          <w:rFonts w:hint="eastAsia"/>
          <w:sz w:val="24"/>
          <w:szCs w:val="24"/>
        </w:rPr>
      </w:pPr>
      <w:r>
        <w:rPr>
          <w:rFonts w:hint="eastAsia"/>
          <w:sz w:val="24"/>
          <w:szCs w:val="24"/>
        </w:rPr>
        <w:t xml:space="preserve">         北欧市场（以瑞典、挪威、丹麦、芬兰为代表） 准入则呈现 “安全与环保双重高标准” 特征。产品必须获得进入欧盟市场的 “CE”标志，并符合 “RoHS” 有害物质限制与 “REACH” 化学品法规。此外，环保属性是核心竞争力，获得 “北欧天鹅生态标签” 等认证将极大提升市场接受度。标签与说明书需提供本地语言（如瑞典语、挪威语等）与英语版本。电气标准统一为 230V/50Hz，并需配备欧标（Type C/F）插头。</w:t>
      </w:r>
    </w:p>
    <w:p>
      <w:pPr>
        <w:jc w:val="both"/>
        <w:rPr>
          <w:rFonts w:hint="eastAsia"/>
          <w:sz w:val="24"/>
          <w:szCs w:val="24"/>
        </w:rPr>
      </w:pPr>
      <w:r>
        <w:rPr>
          <w:rFonts w:hint="eastAsia"/>
          <w:sz w:val="24"/>
          <w:szCs w:val="24"/>
        </w:rPr>
        <w:t>（二）基于客群需求的产品优化建议</w:t>
      </w:r>
    </w:p>
    <w:p>
      <w:pPr>
        <w:jc w:val="both"/>
        <w:rPr>
          <w:rFonts w:hint="eastAsia"/>
          <w:sz w:val="24"/>
          <w:szCs w:val="24"/>
        </w:rPr>
      </w:pPr>
    </w:p>
    <w:p>
      <w:pPr>
        <w:jc w:val="both"/>
        <w:rPr>
          <w:rFonts w:hint="eastAsia"/>
          <w:sz w:val="24"/>
          <w:szCs w:val="24"/>
        </w:rPr>
      </w:pPr>
      <w:r>
        <w:rPr>
          <w:rFonts w:hint="eastAsia"/>
          <w:sz w:val="24"/>
          <w:szCs w:val="24"/>
        </w:rPr>
        <w:t xml:space="preserve">        在跨越合规准入门槛后，产品能否真正融入目标市场并赢得消费者青睐，则取决于其对当地客群独特需求与生活方式的深度契合。北美与北欧市场虽同为成熟发达经济体，但消费者在价值观、审美偏好与功能期待上存在深刻差异，这要求中国电动牙刷企业必须采取高度差异化的产品优化策略，实现从“标准化输出”到“本土化精耕”的转变。</w:t>
      </w:r>
    </w:p>
    <w:p>
      <w:pPr>
        <w:jc w:val="both"/>
        <w:rPr>
          <w:rFonts w:hint="eastAsia"/>
          <w:sz w:val="24"/>
          <w:szCs w:val="24"/>
        </w:rPr>
      </w:pPr>
      <w:r>
        <w:rPr>
          <w:rFonts w:hint="eastAsia"/>
          <w:sz w:val="24"/>
          <w:szCs w:val="24"/>
        </w:rPr>
        <w:t xml:space="preserve">         针对北美市场，产品优化的核心逻辑在于“智能增值”与“体验深化”。北美消费者热衷于拥抱新技术，追求个性化与家庭共享的便利性。因此，产品功能上应深度整合智能压力传感、蓝牙连接与专属应用程序，不仅提供刷牙时长、覆盖区域和力度大小的实时数据反馈，更应开发针对敏感牙龈、美白抛光等个性化清洁模式，并设计游戏化的互动激励来引导儿童建立良好刷牙习惯。进一步地，开发支持“一机多账户”识别的家庭款产品，通过智能刷头或应用切换为每位家庭成员建立独立的口腔健康档案，这正契合了其家庭套装销售占比提升的趋势，也为订阅制刷头配送服务（市场接受度达35%）提供了自然的商业接口。在材质与设计上，需在高端感与实用耐用之间取得平衡，采用高品质ABS或带有金属漆面的机身以提升握持质感与视觉档次，刷毛则优选通过FDA相关安全测试的杜邦软毛或钻石亮白刷毛，确保清洁效能与安全。外观可偏向科技流线型，并提供多种色彩选择以满足用户的个性化表达。包装设计则应简洁有力地直击核心卖点，在醒目位置突出“智能感应”、“APP互联”等关键词，并优化开箱体验，使用定制内衬确保产品稳固，同时可逐步采用可回收材料并标注环保信息，以回应日益增长的可持续消费意识。</w:t>
      </w:r>
    </w:p>
    <w:p>
      <w:pPr>
        <w:jc w:val="both"/>
        <w:rPr>
          <w:rFonts w:hint="eastAsia"/>
          <w:sz w:val="24"/>
          <w:szCs w:val="24"/>
        </w:rPr>
      </w:pPr>
      <w:r>
        <w:rPr>
          <w:rFonts w:hint="eastAsia"/>
          <w:sz w:val="24"/>
          <w:szCs w:val="24"/>
        </w:rPr>
        <w:t xml:space="preserve">        转向北欧市场，产品策略则需彻底转向“绿色共生”与“简约回归”。北欧消费者是极简主义与环保主义的忠实拥护者，他们对产品的可持续性、实用美学和专业可靠性有着近乎严苛的要求。因此，功能开发的首要任务是专注于电机效率的优化与运行噪音的极致降低，确保在提供卓越清洁力的同时维护宁静的家居环境。可以开发专门的“环保节能模式”，在保障基础清洁效果的前提下大幅延长电池续航，这直接呼应了其低碳生活的价值观。智能功能无需繁复，但应集成基础的压力过载提醒和换区提示，体现专业关怀。材质的选择成为北欧市场适配成败的关键。刷柄必须积极采用竹纤维、生物基塑料（如PLA）或消费后回收塑料（PCR）等可降解或可循环材料，刷头结构也应考虑可拆卸设计以利于分类回收。包装则必须坚定不移地采用100%可回收、可降解的纸质材料，彻底摒弃塑料泡壳，并清晰印制符合各国规范的回收标识。这些举措是满足超过80%北欧消费者优先选购环保认证产品这一核心诉求的必然选择，也是实现产品绿色溢价（溢价空间可达30%）的根本路径。设计语言必须彻底遵循“北欧极简风”，运用纯白、浅灰或原木色系，保持线条的绝对流畅与表面的无冗余装饰，同时紧密结合人体工学，打造出握持舒适的刷柄，将实用美学融入每一个细节。此外，彻底的本地化细节——如提供瑞典语、挪威语等多语言说明书与应用界面，出厂即配置230V电压的Type C/F欧标插头以实现“开箱即用”——这些举措超越了产品本身，体现了品牌对本地市场的尊重与深入理解，是构建品牌专业形象与消费者信任不可或缺的一环。</w:t>
      </w:r>
    </w:p>
    <w:p>
      <w:pPr>
        <w:jc w:val="both"/>
        <w:rPr>
          <w:rFonts w:hint="default" w:eastAsia="宋体" w:cs="宋体" w:asciiTheme="minorAscii" w:hAnsiTheme="minorAscii"/>
          <w:b w:val="0"/>
          <w:bCs w:val="0"/>
          <w:sz w:val="24"/>
          <w:szCs w:val="24"/>
          <w:lang w:val="en-US" w:eastAsia="zh-CN"/>
        </w:rPr>
      </w:pPr>
      <w:r>
        <w:rPr>
          <w:rFonts w:hint="eastAsia"/>
          <w:sz w:val="24"/>
          <w:szCs w:val="24"/>
        </w:rPr>
        <w:t xml:space="preserve">       综上所述，成功的本土化适配要求企业精准把握两大市场的内在逻辑：在北美，是以科技创新为引擎，驱动体验升级和家庭场景融合；在北欧，则是以环保可持续为基石，重塑产品的材料、设计与价值主张。唯有通过这种高度针对性的产品优化，中国品牌才能超越单纯的价格竞争，在海外高端市场建立深刻的情感连接与可持续的竞争优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00000000" w:usb1="00000000" w:usb2="00000009" w:usb3="00000000" w:csb0="200001FF" w:csb1="00000000"/>
  </w:font>
  <w:font w:name="var(--dsw-font-xxxs-strong-1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000" w:usb1="00000000" w:usb2="00000000" w:usb3="00000000" w:csb0="2000009F" w:csb1="47010000"/>
  </w:font>
  <w:font w:name="Consolas">
    <w:panose1 w:val="020B0609020204030204"/>
    <w:charset w:val="00"/>
    <w:family w:val="auto"/>
    <w:pitch w:val="default"/>
    <w:sig w:usb0="00000000" w:usb1="00000000" w:usb2="00000001" w:usb3="00000000" w:csb0="6000019F" w:csb1="DFD70000"/>
  </w:font>
  <w:font w:name="楷体">
    <w:panose1 w:val="02010609060101010101"/>
    <w:charset w:val="86"/>
    <w:family w:val="auto"/>
    <w:pitch w:val="default"/>
    <w:sig w:usb0="00000000" w:usb1="00000000" w:usb2="00000016" w:usb3="00000000" w:csb0="00040001" w:csb1="00000000"/>
  </w:font>
  <w:font w:name="Calibri Light">
    <w:panose1 w:val="020F0302020204030204"/>
    <w:charset w:val="00"/>
    <w:family w:val="auto"/>
    <w:pitch w:val="default"/>
    <w:sig w:usb0="00000000" w:usb1="00000000"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701223"/>
    <w:multiLevelType w:val="singleLevel"/>
    <w:tmpl w:val="5A701223"/>
    <w:lvl w:ilvl="0" w:tentative="0">
      <w:start w:val="1"/>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Normal (Web)"/>
    <w:basedOn w:val="1"/>
    <w:qFormat/>
    <w:uiPriority w:val="0"/>
    <w:rPr>
      <w:sz w:val="24"/>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2664</Words>
  <Characters>2856</Characters>
  <Lines>0</Lines>
  <Paragraphs>0</Paragraphs>
  <TotalTime>0</TotalTime>
  <ScaleCrop>false</ScaleCrop>
  <LinksUpToDate>false</LinksUpToDate>
  <CharactersWithSpaces>2885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2025-12-17T13:56:00Z</dcterms:created>
  <dc:creator>晓.</dc:creator>
  <cp:lastModifiedBy>iPad</cp:lastModifiedBy>
  <dcterms:modified xsi:type="dcterms:W3CDTF">2025-12-17T15:20:12Z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2052-12.16.0</vt:lpwstr>
  </property>
  <property fmtid="{D5CDD505-2E9C-101B-9397-08002B2CF9AE}" pid="3" name="ICV">
    <vt:lpwstr>A1A8877ECE4D49989BFF52D6C6E404BB_11</vt:lpwstr>
  </property>
  <property fmtid="{D5CDD505-2E9C-101B-9397-08002B2CF9AE}" pid="4" name="KSOTemplateDocerSaveRecord">
    <vt:lpwstr>eyJoZGlkIjoiMjI5NTgxOThjMTMyYTM4YmRiZjk5OGE4NTJjZTY0NzIiLCJ1c2VySWQiOiIxNTQ4ODExODk4In0=</vt:lpwstr>
  </property>
</Properties>
</file>