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3687F">
      <w:pPr>
        <w:pStyle w:val="9"/>
      </w:pPr>
      <w:r>
        <w:t>电动牙刷海外市场分析报告——</w:t>
      </w:r>
      <w:r>
        <w:rPr>
          <w:rFonts w:hint="eastAsia"/>
        </w:rPr>
        <w:t>开场 &amp; 市场基础模块</w:t>
      </w:r>
    </w:p>
    <w:p w14:paraId="552CCACB">
      <w:pPr>
        <w:pStyle w:val="4"/>
      </w:pPr>
      <w:r>
        <w:t>一、调研商品选题核心依据</w:t>
      </w:r>
    </w:p>
    <w:p w14:paraId="326CB4D9">
      <w:pPr>
        <w:pStyle w:val="5"/>
      </w:pPr>
      <w:r>
        <w:t>1. 近 3 年海外销量 / 增速</w:t>
      </w:r>
    </w:p>
    <w:p w14:paraId="0F62C047">
      <w:pPr>
        <w:pStyle w:val="18"/>
      </w:pPr>
      <w:r>
        <w:t>电动牙刷作为个人护理家电领域的核心增长品类，近 3 年全球市场保持高速扩张态势：2022 年全球销量达 1.6 亿台，2023 年增至 1.9 亿台，2024 年进一步突破 2.2 亿台，近 3 年年复合增长率（CAGR）达</w:t>
      </w:r>
      <w:r>
        <w:rPr>
          <w:b/>
          <w:bCs/>
        </w:rPr>
        <w:t>15%</w:t>
      </w:r>
      <w:r>
        <w:t>（来源：行业研究报告《2020-2024 年全球电动牙刷市场销量及品牌竞争格局》）。从市场规模来看，2024 年全球市场规模约为 55 亿美元，预计 2030 年将增长至 83 亿美元，2024-2030 年复合年增长率维持在</w:t>
      </w:r>
      <w:r>
        <w:rPr>
          <w:b/>
          <w:bCs/>
        </w:rPr>
        <w:t>5.3%</w:t>
      </w:r>
      <w:r>
        <w:t>（来源：阿里巴巴国际站行业数据）。其中，智能电动牙刷成为增长引擎，2024 年市场规模达 29 亿美元，预计 2025-2033 年复合增长率高达</w:t>
      </w:r>
      <w:r>
        <w:rPr>
          <w:b/>
          <w:bCs/>
        </w:rPr>
        <w:t>12.7%</w:t>
      </w:r>
      <w:r>
        <w:t>（来源：Ueeshop《全球电动牙刷市场分析及趋势预测》）。</w:t>
      </w:r>
    </w:p>
    <w:p w14:paraId="5A77164B">
      <w:pPr>
        <w:pStyle w:val="18"/>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968875" cy="2795270"/>
            <wp:effectExtent l="0" t="0" r="3175" b="508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4"/>
                    <a:stretch>
                      <a:fillRect/>
                    </a:stretch>
                  </pic:blipFill>
                  <pic:spPr>
                    <a:xfrm>
                      <a:off x="0" y="0"/>
                      <a:ext cx="4968875" cy="2795270"/>
                    </a:xfrm>
                    <a:prstGeom prst="rect">
                      <a:avLst/>
                    </a:prstGeom>
                    <a:noFill/>
                    <a:ln w="9525">
                      <a:noFill/>
                    </a:ln>
                  </pic:spPr>
                </pic:pic>
              </a:graphicData>
            </a:graphic>
          </wp:inline>
        </w:drawing>
      </w:r>
    </w:p>
    <w:p w14:paraId="259F256C">
      <w:pPr>
        <w:pStyle w:val="18"/>
        <w:jc w:val="center"/>
        <w:rPr>
          <w:rFonts w:hint="eastAsia" w:ascii="宋体" w:hAnsi="宋体" w:eastAsia="宋体" w:cs="宋体"/>
          <w:sz w:val="24"/>
          <w:szCs w:val="24"/>
        </w:rPr>
      </w:pPr>
      <w:r>
        <w:rPr>
          <w:rFonts w:hint="eastAsia" w:ascii="宋体" w:hAnsi="宋体" w:eastAsia="宋体" w:cs="宋体"/>
          <w:sz w:val="24"/>
          <w:szCs w:val="24"/>
        </w:rPr>
        <w:t>电动牙刷全球市场规模</w:t>
      </w:r>
    </w:p>
    <w:p w14:paraId="656B6278">
      <w:pPr>
        <w:pStyle w:val="5"/>
      </w:pPr>
      <w:r>
        <w:t>2. 目标区域需求数据</w:t>
      </w:r>
    </w:p>
    <w:p w14:paraId="63AD854F">
      <w:pPr>
        <w:pStyle w:val="18"/>
        <w:numPr>
          <w:ilvl w:val="0"/>
          <w:numId w:val="1"/>
        </w:numPr>
      </w:pPr>
      <w:r>
        <w:rPr>
          <w:b/>
          <w:bCs/>
        </w:rPr>
        <w:t>北美市场</w:t>
      </w:r>
      <w:r>
        <w:t>：2025 年市场规模预计达 24.23 亿美元，占全球市场份额超 40%，消费者对压力传感、APP 反馈等高端功能需求突出，市场渗透率已超 40%（来源：Cognitive Market Research）。</w:t>
      </w:r>
    </w:p>
    <w:p w14:paraId="12E0213C">
      <w:pPr>
        <w:pStyle w:val="18"/>
        <w:jc w:val="center"/>
      </w:pPr>
      <w:r>
        <w:rPr>
          <w:rFonts w:hint="eastAsia"/>
        </w:rPr>
        <w:drawing>
          <wp:inline distT="0" distB="0" distL="114300" distR="114300">
            <wp:extent cx="5008880" cy="2492375"/>
            <wp:effectExtent l="0" t="0" r="1270" b="317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5"/>
                    <a:stretch>
                      <a:fillRect/>
                    </a:stretch>
                  </pic:blipFill>
                  <pic:spPr>
                    <a:xfrm>
                      <a:off x="0" y="0"/>
                      <a:ext cx="5008880" cy="2492375"/>
                    </a:xfrm>
                    <a:prstGeom prst="rect">
                      <a:avLst/>
                    </a:prstGeom>
                  </pic:spPr>
                </pic:pic>
              </a:graphicData>
            </a:graphic>
          </wp:inline>
        </w:drawing>
      </w:r>
    </w:p>
    <w:p w14:paraId="3B67C61A">
      <w:pPr>
        <w:pStyle w:val="18"/>
        <w:jc w:val="center"/>
      </w:pPr>
      <w:r>
        <w:rPr>
          <w:rFonts w:hint="eastAsia"/>
        </w:rPr>
        <w:t>2019-2032年北美电子牙刷市场规模</w:t>
      </w:r>
    </w:p>
    <w:p w14:paraId="17279BFB">
      <w:pPr>
        <w:pStyle w:val="18"/>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709285" cy="3445510"/>
            <wp:effectExtent l="0" t="0" r="5715"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709285" cy="3445510"/>
                    </a:xfrm>
                    <a:prstGeom prst="rect">
                      <a:avLst/>
                    </a:prstGeom>
                    <a:noFill/>
                    <a:ln w="9525">
                      <a:noFill/>
                    </a:ln>
                  </pic:spPr>
                </pic:pic>
              </a:graphicData>
            </a:graphic>
          </wp:inline>
        </w:drawing>
      </w:r>
    </w:p>
    <w:p w14:paraId="65979910">
      <w:pPr>
        <w:pStyle w:val="18"/>
        <w:jc w:val="center"/>
        <w:rPr>
          <w:rFonts w:hint="eastAsia" w:ascii="宋体" w:hAnsi="宋体" w:eastAsia="宋体" w:cs="宋体"/>
          <w:sz w:val="24"/>
          <w:szCs w:val="24"/>
        </w:rPr>
      </w:pPr>
      <w:r>
        <w:rPr>
          <w:rFonts w:ascii="宋体" w:hAnsi="宋体" w:eastAsia="宋体" w:cs="宋体"/>
          <w:sz w:val="24"/>
          <w:szCs w:val="24"/>
        </w:rPr>
        <w:t>电动牙刷市场在2025-2032年期间将以4.55%的复合年</w:t>
      </w:r>
      <w:r>
        <w:rPr>
          <w:rFonts w:hint="eastAsia" w:ascii="宋体" w:hAnsi="宋体" w:eastAsia="宋体" w:cs="宋体"/>
          <w:sz w:val="24"/>
          <w:szCs w:val="24"/>
        </w:rPr>
        <w:t>增长率增长，2023年北美地区市场规模：11.7亿美元，2024年12.2亿美元</w:t>
      </w:r>
    </w:p>
    <w:p w14:paraId="03D7F373">
      <w:pPr>
        <w:pStyle w:val="16"/>
        <w:numPr>
          <w:ilvl w:val="0"/>
          <w:numId w:val="1"/>
        </w:numPr>
        <w:rPr>
          <w:rFonts w:ascii="Arial" w:hAnsi="Arial" w:eastAsia="等线" w:cs="Arial"/>
          <w:sz w:val="22"/>
          <w:szCs w:val="22"/>
        </w:rPr>
      </w:pPr>
      <w:r>
        <w:rPr>
          <w:rFonts w:hint="eastAsia" w:ascii="Arial" w:hAnsi="Arial" w:eastAsia="等线" w:cs="Arial"/>
          <w:b/>
          <w:bCs/>
          <w:sz w:val="22"/>
          <w:szCs w:val="22"/>
        </w:rPr>
        <w:t>北欧市场</w:t>
      </w:r>
      <w:r>
        <w:rPr>
          <w:rFonts w:hint="eastAsia" w:ascii="Arial" w:hAnsi="Arial" w:eastAsia="等线" w:cs="Arial"/>
          <w:sz w:val="22"/>
          <w:szCs w:val="22"/>
        </w:rPr>
        <w:t>：作为欧洲高端消费代表区域，2024 年电动牙刷市场规模约 4.2 亿美元，年复合增长率达 7.1%，消费者对环保材质、节能设计及极简美学的偏好显著，80% 以上的消费者在购买时会优先选择通过欧盟环保认证（ECOCERT）的产品，可更换刷头、低功耗模式的产品市场接受度超 70%（来源：Credence Research、北欧消费品行业报告）。</w:t>
      </w:r>
    </w:p>
    <w:p w14:paraId="6CB09E32">
      <w:pPr>
        <w:pStyle w:val="4"/>
      </w:pPr>
      <w:r>
        <w:t>二、研究背景</w:t>
      </w:r>
    </w:p>
    <w:p w14:paraId="4EB1E0B2">
      <w:pPr>
        <w:pStyle w:val="18"/>
      </w:pPr>
      <w:r>
        <w:t>全球口腔健康意识觉醒与消费升级趋势，推动电动牙刷从 “可选品” 转变为 “必需品”，海外市场呈现多维度增长驱动特征：</w:t>
      </w:r>
    </w:p>
    <w:p w14:paraId="1905E24F">
      <w:pPr>
        <w:pStyle w:val="18"/>
        <w:numPr>
          <w:ilvl w:val="0"/>
          <w:numId w:val="2"/>
        </w:numPr>
        <w:tabs>
          <w:tab w:val="left" w:pos="720"/>
        </w:tabs>
      </w:pPr>
      <w:r>
        <w:rPr>
          <w:b/>
          <w:bCs/>
        </w:rPr>
        <w:t>需求端爆发</w:t>
      </w:r>
      <w:r>
        <w:t>：现代生活方式导致口腔健康问题频发，电动牙刷在清洁效率上较手动牙刷提升 30% 以上，叠加全球老龄化加剧，家庭护理需求持续扩张。</w:t>
      </w:r>
      <w:r>
        <w:rPr>
          <w:rFonts w:hint="eastAsia"/>
        </w:rPr>
        <w:t>北美市场消费者已形成稳定使用习惯，而北欧地区凭借高健康意识和高消费能力，成为全球电动牙刷渗透率增速最快的区域之一，进口需求年均增速超 18%</w:t>
      </w:r>
      <w:r>
        <w:t>（来源：阿里巴巴国际站）。</w:t>
      </w:r>
    </w:p>
    <w:p w14:paraId="367B9B48">
      <w:pPr>
        <w:pStyle w:val="18"/>
        <w:numPr>
          <w:ilvl w:val="0"/>
          <w:numId w:val="2"/>
        </w:numPr>
        <w:tabs>
          <w:tab w:val="left" w:pos="720"/>
        </w:tabs>
      </w:pPr>
      <w:r>
        <w:rPr>
          <w:b/>
          <w:bCs/>
        </w:rPr>
        <w:t>供应链与渠道支撑</w:t>
      </w:r>
      <w:r>
        <w:t>：中国作为全球电动牙刷主要生产基地，凭借供应链优势占据全球 70% 以上产能，珠三角、长三角企业实现柔性生产，可快速响应海外市场定制化需求。跨境电商渠道发力，2024 年全球 B 端采购平台电动牙刷询盘量同比增长 13%，线上销售占比已达 60%（来源：阿里巴巴国际站、eMarketer）。</w:t>
      </w:r>
    </w:p>
    <w:p w14:paraId="3F00F8C4">
      <w:pPr>
        <w:pStyle w:val="18"/>
        <w:numPr>
          <w:ilvl w:val="0"/>
          <w:numId w:val="2"/>
        </w:numPr>
        <w:tabs>
          <w:tab w:val="left" w:pos="720"/>
        </w:tabs>
      </w:pPr>
      <w:r>
        <w:rPr>
          <w:b/>
          <w:bCs/>
        </w:rPr>
        <w:t>政策与环保导向</w:t>
      </w:r>
      <w:r>
        <w:t>：</w:t>
      </w:r>
      <w:r>
        <w:rPr>
          <w:rFonts w:hint="eastAsia"/>
        </w:rPr>
        <w:t>北美（FCC 认证）、北欧（欧盟 CE 认证延伸）等地区出台严格的产品安全认证与环保标准，北欧更是提出 2030 年消费品可循环率达 90% 的目标，推动可降解材料、节能设计成为行业趋势，绿色产品在目标区域高端市场溢价空间达 30%</w:t>
      </w:r>
      <w:r>
        <w:t>（来源：Ueeshop）。</w:t>
      </w:r>
    </w:p>
    <w:p w14:paraId="2354485A">
      <w:pPr>
        <w:pStyle w:val="4"/>
      </w:pPr>
      <w:r>
        <w:t>三、研究意义</w:t>
      </w:r>
    </w:p>
    <w:p w14:paraId="736873AB">
      <w:pPr>
        <w:pStyle w:val="18"/>
        <w:numPr>
          <w:ilvl w:val="0"/>
          <w:numId w:val="3"/>
        </w:numPr>
        <w:tabs>
          <w:tab w:val="left" w:pos="720"/>
        </w:tabs>
      </w:pPr>
      <w:r>
        <w:rPr>
          <w:b/>
          <w:bCs/>
        </w:rPr>
        <w:t>产业价值</w:t>
      </w:r>
      <w:r>
        <w:t>：电动牙刷是中国个人护理家电 “出海” 的核心品类，2024 年相关出口额占全球供给的 70% 以上，研究其海外市场规律，可指导企业优化产品结构、突破技术壁垒，应对国际贸易合规要求（来源：原创力文档）。当前行业虽由飞利浦、欧乐 B 等国际品牌主导（合计市占率 65%），但中国本土品牌凭借高性价比和快速迭代能力，在新兴市场市占率逐年提升，研究可为本土品牌国际化提供路径参考。</w:t>
      </w:r>
    </w:p>
    <w:p w14:paraId="092A5233">
      <w:pPr>
        <w:pStyle w:val="18"/>
        <w:numPr>
          <w:ilvl w:val="0"/>
          <w:numId w:val="3"/>
        </w:numPr>
        <w:tabs>
          <w:tab w:val="left" w:pos="720"/>
        </w:tabs>
      </w:pPr>
      <w:r>
        <w:rPr>
          <w:b/>
          <w:bCs/>
        </w:rPr>
        <w:t>市场价值</w:t>
      </w:r>
      <w:r>
        <w:t>：</w:t>
      </w:r>
      <w:r>
        <w:rPr>
          <w:rFonts w:hint="eastAsia"/>
        </w:rPr>
        <w:t>北美、北欧市场呈现差异化特征，北美偏好智能高端款与家庭共享功能，北欧侧重环保属性、极简设计与专业化护理，研究两大区域需求差异，可挖掘细分市场机会（如北美智能互联款、北欧环保便携款）。同时，订阅制（刷头定期配送）在北美、北欧的接受度分别达 35% 和 42%，家庭套装销售占比逐年提升，这项研究可为企业拓展新兴商业模式提供数据支撑</w:t>
      </w:r>
      <w:r>
        <w:t>。</w:t>
      </w:r>
    </w:p>
    <w:p w14:paraId="37A0115F">
      <w:pPr>
        <w:pStyle w:val="18"/>
        <w:numPr>
          <w:ilvl w:val="0"/>
          <w:numId w:val="3"/>
        </w:numPr>
        <w:tabs>
          <w:tab w:val="left" w:pos="720"/>
        </w:tabs>
      </w:pPr>
      <w:r>
        <w:rPr>
          <w:b/>
          <w:bCs/>
        </w:rPr>
        <w:t>实践价值</w:t>
      </w:r>
      <w:r>
        <w:t>：结合近 3 年销量增速、区域偏好及技术趋势数据，可明确企业产品研发重点（如智能功能、环保材料）、渠道布局策略（跨境电商与本地仓储结合），帮助企业降低海外拓展风险，提升市场响应效率（来源：阿里巴巴国际站半托管服务案例）。</w:t>
      </w:r>
    </w:p>
    <w:p w14:paraId="12C72EC0">
      <w:pPr>
        <w:pStyle w:val="4"/>
      </w:pPr>
      <w:r>
        <w:t>四、研究目标</w:t>
      </w:r>
    </w:p>
    <w:p w14:paraId="7E5928EE">
      <w:pPr>
        <w:pStyle w:val="18"/>
        <w:numPr>
          <w:ilvl w:val="0"/>
          <w:numId w:val="4"/>
        </w:numPr>
        <w:tabs>
          <w:tab w:val="left" w:pos="720"/>
        </w:tabs>
      </w:pPr>
      <w:r>
        <w:t>厘清 2022-2024 年电动牙刷海外市场的</w:t>
      </w:r>
      <w:r>
        <w:rPr>
          <w:b/>
          <w:bCs/>
        </w:rPr>
        <w:t>规模、增速及区域分布特征</w:t>
      </w:r>
      <w:r>
        <w:t>，明确核心增长区域与潜力市场。</w:t>
      </w:r>
    </w:p>
    <w:p w14:paraId="3D84209B">
      <w:pPr>
        <w:pStyle w:val="18"/>
        <w:numPr>
          <w:ilvl w:val="0"/>
          <w:numId w:val="4"/>
        </w:numPr>
        <w:tabs>
          <w:tab w:val="left" w:pos="720"/>
        </w:tabs>
      </w:pPr>
      <w:r>
        <w:rPr>
          <w:rFonts w:hint="eastAsia"/>
        </w:rPr>
        <w:t>分析北美、北欧市场的需求驱动因素（健康意识、消费能力等）、消费偏好差异（功能、设计、环保等）及政策合规要求（认证、关税等），识别各区域的核心竞争力要素</w:t>
      </w:r>
      <w:r>
        <w:t>。</w:t>
      </w:r>
    </w:p>
    <w:p w14:paraId="10E3B4C0">
      <w:pPr>
        <w:pStyle w:val="18"/>
        <w:numPr>
          <w:ilvl w:val="0"/>
          <w:numId w:val="4"/>
        </w:numPr>
        <w:tabs>
          <w:tab w:val="left" w:pos="720"/>
        </w:tabs>
      </w:pPr>
      <w:r>
        <w:t>基于市场分析，提出中国电动牙刷企业拓展海外市场的</w:t>
      </w:r>
      <w:r>
        <w:rPr>
          <w:b/>
          <w:bCs/>
        </w:rPr>
        <w:t>产品定制化方案、渠道优化策略及品牌建设路径</w:t>
      </w:r>
      <w:r>
        <w:t>。</w:t>
      </w:r>
    </w:p>
    <w:p w14:paraId="0A99E672">
      <w:pPr>
        <w:pStyle w:val="4"/>
      </w:pPr>
      <w:r>
        <w:t>五、研究框架</w:t>
      </w:r>
    </w:p>
    <w:p w14:paraId="67561D52">
      <w:pPr>
        <w:rPr>
          <w:rFonts w:hint="eastAsia" w:ascii="Arial" w:hAnsi="Arial" w:eastAsia="等线" w:cs="Arial"/>
          <w:sz w:val="22"/>
          <w:szCs w:val="22"/>
        </w:rPr>
      </w:pPr>
      <w:r>
        <w:rPr>
          <w:rFonts w:hint="eastAsia" w:ascii="Arial" w:hAnsi="Arial" w:eastAsia="等线" w:cs="Arial"/>
          <w:sz w:val="22"/>
          <w:szCs w:val="22"/>
        </w:rPr>
        <w:t>1.引言（研究背景、研究意义、研究目标）</w:t>
      </w:r>
    </w:p>
    <w:p w14:paraId="6DAFB8EA">
      <w:pPr>
        <w:rPr>
          <w:rFonts w:hint="eastAsia" w:ascii="Arial" w:hAnsi="Arial" w:eastAsia="等线" w:cs="Arial"/>
          <w:sz w:val="22"/>
          <w:szCs w:val="22"/>
        </w:rPr>
      </w:pPr>
      <w:r>
        <w:rPr>
          <w:rFonts w:hint="eastAsia" w:ascii="Arial" w:hAnsi="Arial" w:eastAsia="等线" w:cs="Arial"/>
          <w:sz w:val="22"/>
          <w:szCs w:val="22"/>
        </w:rPr>
        <w:t>2.全球电动牙刷海外市场现状（2022-2024）：规模与增速、产品结构、区域分布</w:t>
      </w:r>
    </w:p>
    <w:p w14:paraId="0955D8F4">
      <w:pPr>
        <w:rPr>
          <w:rFonts w:hint="eastAsia" w:ascii="Arial" w:hAnsi="Arial" w:eastAsia="等线" w:cs="Arial"/>
          <w:sz w:val="22"/>
          <w:szCs w:val="22"/>
        </w:rPr>
      </w:pPr>
      <w:r>
        <w:rPr>
          <w:rFonts w:hint="eastAsia" w:ascii="Arial" w:hAnsi="Arial" w:eastAsia="等线" w:cs="Arial"/>
          <w:sz w:val="22"/>
          <w:szCs w:val="22"/>
        </w:rPr>
        <w:t>3.核心区域市场分析：需求特征、竞争格局、政策要求、偏好差异</w:t>
      </w:r>
    </w:p>
    <w:p w14:paraId="1A2AE013">
      <w:pPr>
        <w:rPr>
          <w:rFonts w:hint="eastAsia" w:ascii="Arial" w:hAnsi="Arial" w:eastAsia="等线" w:cs="Arial"/>
          <w:sz w:val="22"/>
          <w:szCs w:val="22"/>
        </w:rPr>
      </w:pPr>
      <w:r>
        <w:rPr>
          <w:rFonts w:hint="eastAsia" w:ascii="Arial" w:hAnsi="Arial" w:eastAsia="等线" w:cs="Arial"/>
          <w:sz w:val="22"/>
          <w:szCs w:val="22"/>
        </w:rPr>
        <w:t>4.中国企业海外市场拓展策略：产品研发、渠道布局、品牌建设</w:t>
      </w:r>
    </w:p>
    <w:p w14:paraId="64D11822">
      <w:pPr>
        <w:rPr>
          <w:rFonts w:hint="eastAsia" w:ascii="Arial" w:hAnsi="Arial" w:eastAsia="等线" w:cs="Arial"/>
          <w:sz w:val="22"/>
          <w:szCs w:val="22"/>
        </w:rPr>
      </w:pPr>
    </w:p>
    <w:p w14:paraId="74F04C5C">
      <w:pPr>
        <w:rPr>
          <w:rFonts w:hint="eastAsia" w:ascii="Arial" w:hAnsi="Arial" w:eastAsia="等线" w:cs="Arial"/>
          <w:sz w:val="22"/>
          <w:szCs w:val="22"/>
        </w:rPr>
      </w:pPr>
    </w:p>
    <w:p w14:paraId="5ADE1C3E">
      <w:pPr>
        <w:rPr>
          <w:rFonts w:hint="eastAsia" w:ascii="Arial" w:hAnsi="Arial" w:eastAsia="等线" w:cs="Arial"/>
          <w:sz w:val="22"/>
          <w:szCs w:val="22"/>
        </w:rPr>
      </w:pPr>
    </w:p>
    <w:p w14:paraId="5431C6B6">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"https://www.gminsights.com/industry-analysis/electric-toothbrush-market" </w:instrText>
      </w:r>
      <w:r>
        <w:rPr>
          <w:rFonts w:hint="eastAsia" w:ascii="Arial" w:hAnsi="Arial" w:eastAsia="等线" w:cs="Arial"/>
          <w:sz w:val="22"/>
          <w:szCs w:val="22"/>
        </w:rPr>
        <w:fldChar w:fldCharType="separate"/>
      </w:r>
      <w:r>
        <w:rPr>
          <w:rStyle w:val="13"/>
          <w:rFonts w:hint="eastAsia" w:ascii="Arial" w:hAnsi="Arial" w:eastAsia="等线" w:cs="Arial"/>
          <w:sz w:val="22"/>
          <w:szCs w:val="22"/>
        </w:rPr>
        <w:t>https://www.gminsights.com/industry-analysis/electric-toothbrush-market</w:t>
      </w:r>
      <w:r>
        <w:rPr>
          <w:rFonts w:hint="eastAsia" w:ascii="Arial" w:hAnsi="Arial" w:eastAsia="等线" w:cs="Arial"/>
          <w:sz w:val="22"/>
          <w:szCs w:val="22"/>
        </w:rPr>
        <w:fldChar w:fldCharType="end"/>
      </w:r>
    </w:p>
    <w:p w14:paraId="05D085AC">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"https://www.fortunebusinessinsights.com/zh/electric-toothbrush-market-106355" </w:instrText>
      </w:r>
      <w:r>
        <w:rPr>
          <w:rFonts w:hint="eastAsia" w:ascii="Arial" w:hAnsi="Arial" w:eastAsia="等线" w:cs="Arial"/>
          <w:sz w:val="22"/>
          <w:szCs w:val="22"/>
        </w:rPr>
        <w:fldChar w:fldCharType="separate"/>
      </w:r>
      <w:r>
        <w:rPr>
          <w:rStyle w:val="13"/>
          <w:rFonts w:hint="eastAsia" w:ascii="Arial" w:hAnsi="Arial" w:eastAsia="等线" w:cs="Arial"/>
          <w:sz w:val="22"/>
          <w:szCs w:val="22"/>
        </w:rPr>
        <w:t>https://www.fortunebusinessinsights.com/zh/electric-toothbrush-market-106355</w:t>
      </w:r>
      <w:r>
        <w:rPr>
          <w:rFonts w:hint="eastAsia" w:ascii="Arial" w:hAnsi="Arial" w:eastAsia="等线" w:cs="Arial"/>
          <w:sz w:val="22"/>
          <w:szCs w:val="22"/>
        </w:rPr>
        <w:fldChar w:fldCharType="end"/>
      </w:r>
    </w:p>
    <w:p w14:paraId="2206622F">
      <w:pPr>
        <w:rPr>
          <w:rFonts w:hint="eastAsia" w:ascii="Arial" w:hAnsi="Arial" w:eastAsia="等线" w:cs="Arial"/>
          <w:sz w:val="22"/>
          <w:szCs w:val="22"/>
        </w:rPr>
      </w:pPr>
    </w:p>
    <w:p w14:paraId="7B6350CC">
      <w:pPr>
        <w:rPr>
          <w:rFonts w:hint="eastAsia" w:ascii="Arial" w:hAnsi="Arial" w:eastAsia="等线" w:cs="Arial"/>
          <w:sz w:val="22"/>
          <w:szCs w:val="22"/>
        </w:rPr>
      </w:pPr>
    </w:p>
    <w:p w14:paraId="206220B7">
      <w:pPr>
        <w:rPr>
          <w:rFonts w:hint="eastAsia" w:ascii="Arial" w:hAnsi="Arial" w:eastAsia="等线" w:cs="Arial"/>
          <w:sz w:val="22"/>
          <w:szCs w:val="22"/>
        </w:rPr>
      </w:pPr>
    </w:p>
    <w:p w14:paraId="0E0372A4">
      <w:pPr>
        <w:rPr>
          <w:rFonts w:hint="eastAsia" w:ascii="Arial" w:hAnsi="Arial" w:eastAsia="等线" w:cs="Arial"/>
          <w:sz w:val="22"/>
          <w:szCs w:val="22"/>
        </w:rPr>
      </w:pPr>
    </w:p>
    <w:p w14:paraId="720AD0F9">
      <w:pPr>
        <w:rPr>
          <w:rFonts w:hint="eastAsia" w:ascii="Arial" w:hAnsi="Arial" w:eastAsia="等线" w:cs="Arial"/>
          <w:sz w:val="22"/>
          <w:szCs w:val="22"/>
        </w:rPr>
      </w:pPr>
    </w:p>
    <w:p w14:paraId="49251743">
      <w:pPr>
        <w:rPr>
          <w:rFonts w:hint="eastAsia" w:ascii="Arial" w:hAnsi="Arial" w:eastAsia="等线" w:cs="Arial"/>
          <w:sz w:val="22"/>
          <w:szCs w:val="22"/>
        </w:rPr>
      </w:pPr>
    </w:p>
    <w:p w14:paraId="133CE092">
      <w:pPr>
        <w:rPr>
          <w:rFonts w:hint="eastAsia" w:ascii="Arial" w:hAnsi="Arial" w:eastAsia="等线" w:cs="Arial"/>
          <w:sz w:val="22"/>
          <w:szCs w:val="22"/>
        </w:rPr>
      </w:pPr>
    </w:p>
    <w:p w14:paraId="3115E992">
      <w:pPr>
        <w:rPr>
          <w:rFonts w:hint="eastAsia" w:ascii="Arial" w:hAnsi="Arial" w:eastAsia="等线" w:cs="Arial"/>
          <w:sz w:val="22"/>
          <w:szCs w:val="22"/>
        </w:rPr>
      </w:pPr>
    </w:p>
    <w:p w14:paraId="32C95387">
      <w:pPr>
        <w:rPr>
          <w:rFonts w:hint="eastAsia" w:ascii="Arial" w:hAnsi="Arial" w:eastAsia="等线" w:cs="Arial"/>
          <w:sz w:val="22"/>
          <w:szCs w:val="22"/>
        </w:rPr>
      </w:pPr>
      <w:bookmarkStart w:id="0" w:name="_GoBack"/>
      <w:bookmarkEnd w:id="0"/>
    </w:p>
    <w:p w14:paraId="3503918F">
      <w:pPr>
        <w:rPr>
          <w:rFonts w:hint="eastAsia" w:ascii="Arial" w:hAnsi="Arial" w:eastAsia="等线" w:cs="Arial"/>
          <w:sz w:val="22"/>
          <w:szCs w:val="22"/>
        </w:rPr>
      </w:pPr>
    </w:p>
    <w:p w14:paraId="1E5E1F50">
      <w:pPr>
        <w:rPr>
          <w:rFonts w:hint="eastAsia" w:ascii="Arial" w:hAnsi="Arial" w:eastAsia="等线" w:cs="Arial"/>
          <w:sz w:val="22"/>
          <w:szCs w:val="22"/>
        </w:rPr>
      </w:pPr>
    </w:p>
    <w:p w14:paraId="52F0E21C">
      <w:pPr>
        <w:rPr>
          <w:rFonts w:hint="eastAsia" w:ascii="Arial" w:hAnsi="Arial" w:eastAsia="等线" w:cs="Arial"/>
          <w:sz w:val="22"/>
          <w:szCs w:val="22"/>
        </w:rPr>
      </w:pPr>
    </w:p>
    <w:p w14:paraId="52ACD0D1">
      <w:pPr>
        <w:rPr>
          <w:rFonts w:hint="eastAsia" w:ascii="Arial" w:hAnsi="Arial" w:eastAsia="等线" w:cs="Arial"/>
          <w:sz w:val="22"/>
          <w:szCs w:val="22"/>
        </w:rPr>
      </w:pPr>
    </w:p>
    <w:p w14:paraId="171A66A2">
      <w:pPr>
        <w:rPr>
          <w:rFonts w:hint="eastAsia" w:ascii="Arial" w:hAnsi="Arial" w:eastAsia="等线" w:cs="Arial"/>
          <w:sz w:val="22"/>
          <w:szCs w:val="22"/>
        </w:rPr>
      </w:pPr>
    </w:p>
    <w:p w14:paraId="7D166653">
      <w:pPr>
        <w:rPr>
          <w:rFonts w:hint="eastAsia" w:ascii="Arial" w:hAnsi="Arial" w:eastAsia="等线" w:cs="Arial"/>
          <w:sz w:val="22"/>
          <w:szCs w:val="22"/>
        </w:rPr>
      </w:pPr>
    </w:p>
    <w:p w14:paraId="63044FC2">
      <w:pPr>
        <w:rPr>
          <w:rFonts w:hint="eastAsia" w:ascii="Arial" w:hAnsi="Arial" w:eastAsia="等线" w:cs="Arial"/>
          <w:sz w:val="22"/>
          <w:szCs w:val="22"/>
        </w:rPr>
      </w:pPr>
    </w:p>
    <w:p w14:paraId="3ED77979">
      <w:pPr>
        <w:rPr>
          <w:rFonts w:hint="eastAsia" w:ascii="Arial" w:hAnsi="Arial" w:eastAsia="等线" w:cs="Arial"/>
          <w:sz w:val="22"/>
          <w:szCs w:val="22"/>
        </w:rPr>
      </w:pPr>
    </w:p>
    <w:p w14:paraId="3222FD74">
      <w:pPr>
        <w:rPr>
          <w:rFonts w:hint="eastAsia" w:ascii="Arial" w:hAnsi="Arial" w:eastAsia="等线" w:cs="Arial"/>
          <w:sz w:val="22"/>
          <w:szCs w:val="22"/>
        </w:rPr>
      </w:pPr>
    </w:p>
    <w:p w14:paraId="063CB487">
      <w:pPr>
        <w:rPr>
          <w:rFonts w:hint="eastAsia" w:ascii="Arial" w:hAnsi="Arial" w:eastAsia="等线" w:cs="Arial"/>
          <w:sz w:val="22"/>
          <w:szCs w:val="22"/>
        </w:rPr>
      </w:pPr>
    </w:p>
    <w:p w14:paraId="7DC4ADDD">
      <w:pPr>
        <w:rPr>
          <w:rFonts w:hint="eastAsia" w:ascii="Arial" w:hAnsi="Arial" w:eastAsia="等线" w:cs="Arial"/>
          <w:sz w:val="22"/>
          <w:szCs w:val="22"/>
        </w:rPr>
      </w:pPr>
    </w:p>
    <w:p w14:paraId="11EF4C5C">
      <w:pPr>
        <w:rPr>
          <w:rFonts w:hint="eastAsia" w:ascii="Arial" w:hAnsi="Arial" w:eastAsia="等线" w:cs="Arial"/>
          <w:sz w:val="22"/>
          <w:szCs w:val="22"/>
        </w:rPr>
      </w:pPr>
    </w:p>
    <w:p w14:paraId="74F9E31D">
      <w:pPr>
        <w:rPr>
          <w:rFonts w:hint="eastAsia" w:ascii="Arial" w:hAnsi="Arial" w:eastAsia="等线" w:cs="Arial"/>
          <w:sz w:val="22"/>
          <w:szCs w:val="22"/>
        </w:rPr>
      </w:pPr>
    </w:p>
    <w:p w14:paraId="54EBF78E">
      <w:pPr>
        <w:rPr>
          <w:rFonts w:hint="eastAsia" w:ascii="Arial" w:hAnsi="Arial" w:eastAsia="等线" w:cs="Arial"/>
          <w:sz w:val="22"/>
          <w:szCs w:val="22"/>
        </w:rPr>
      </w:pPr>
    </w:p>
    <w:p w14:paraId="4A3BF36B">
      <w:pPr>
        <w:rPr>
          <w:rFonts w:hint="eastAsia" w:ascii="Arial" w:hAnsi="Arial" w:eastAsia="等线" w:cs="Arial"/>
          <w:sz w:val="22"/>
          <w:szCs w:val="22"/>
        </w:rPr>
      </w:pPr>
    </w:p>
    <w:p w14:paraId="21AA5F0D">
      <w:pPr>
        <w:rPr>
          <w:rFonts w:hint="eastAsia" w:ascii="Arial" w:hAnsi="Arial" w:eastAsia="等线" w:cs="Arial"/>
          <w:sz w:val="22"/>
          <w:szCs w:val="22"/>
        </w:rPr>
      </w:pPr>
    </w:p>
    <w:p w14:paraId="79FC3EA5">
      <w:pPr>
        <w:rPr>
          <w:rFonts w:hint="eastAsia" w:ascii="Arial" w:hAnsi="Arial" w:eastAsia="等线" w:cs="Arial"/>
          <w:sz w:val="22"/>
          <w:szCs w:val="22"/>
        </w:rPr>
      </w:pPr>
    </w:p>
    <w:p w14:paraId="23AF46DC">
      <w:pPr>
        <w:rPr>
          <w:rFonts w:hint="eastAsia" w:ascii="Arial" w:hAnsi="Arial" w:eastAsia="等线" w:cs="Arial"/>
          <w:sz w:val="22"/>
          <w:szCs w:val="22"/>
        </w:rPr>
      </w:pPr>
    </w:p>
    <w:p w14:paraId="702FC5D8">
      <w:pPr>
        <w:rPr>
          <w:rFonts w:hint="eastAsia" w:ascii="Arial" w:hAnsi="Arial" w:eastAsia="等线" w:cs="Arial"/>
          <w:sz w:val="22"/>
          <w:szCs w:val="22"/>
        </w:rPr>
      </w:pPr>
    </w:p>
    <w:p w14:paraId="3AE3A94B">
      <w:pPr>
        <w:rPr>
          <w:rFonts w:hint="eastAsia" w:ascii="Arial" w:hAnsi="Arial" w:eastAsia="等线" w:cs="Arial"/>
          <w:sz w:val="22"/>
          <w:szCs w:val="22"/>
        </w:rPr>
      </w:pPr>
    </w:p>
    <w:p w14:paraId="3D1D2949">
      <w:pPr>
        <w:rPr>
          <w:rFonts w:hint="eastAsia" w:ascii="Arial" w:hAnsi="Arial" w:eastAsia="等线" w:cs="Arial"/>
          <w:sz w:val="22"/>
          <w:szCs w:val="22"/>
        </w:rPr>
      </w:pPr>
    </w:p>
    <w:p w14:paraId="6E6A9A1E">
      <w:pPr>
        <w:rPr>
          <w:rFonts w:hint="eastAsia" w:ascii="Arial" w:hAnsi="Arial" w:eastAsia="等线" w:cs="Arial"/>
          <w:sz w:val="22"/>
          <w:szCs w:val="22"/>
        </w:rPr>
      </w:pPr>
    </w:p>
    <w:p w14:paraId="44E7686D">
      <w:pPr>
        <w:rPr>
          <w:rFonts w:hint="eastAsia" w:ascii="Arial" w:hAnsi="Arial" w:eastAsia="等线" w:cs="Arial"/>
          <w:sz w:val="22"/>
          <w:szCs w:val="22"/>
        </w:rPr>
      </w:pPr>
    </w:p>
    <w:p w14:paraId="7907D034">
      <w:pPr>
        <w:rPr>
          <w:rFonts w:hint="eastAsia" w:ascii="Arial" w:hAnsi="Arial" w:eastAsia="等线" w:cs="Arial"/>
          <w:sz w:val="22"/>
          <w:szCs w:val="22"/>
        </w:rPr>
      </w:pPr>
    </w:p>
    <w:p w14:paraId="77DF60FA">
      <w:pPr>
        <w:rPr>
          <w:rFonts w:hint="eastAsia" w:ascii="Arial" w:hAnsi="Arial" w:eastAsia="等线" w:cs="Arial"/>
          <w:sz w:val="22"/>
          <w:szCs w:val="22"/>
        </w:rPr>
      </w:pPr>
    </w:p>
    <w:p w14:paraId="339D0ADB">
      <w:pPr>
        <w:rPr>
          <w:rFonts w:hint="eastAsia" w:ascii="Arial" w:hAnsi="Arial" w:eastAsia="等线" w:cs="Arial"/>
          <w:sz w:val="22"/>
          <w:szCs w:val="22"/>
        </w:rPr>
      </w:pPr>
    </w:p>
    <w:p w14:paraId="170D8BE6">
      <w:pPr>
        <w:rPr>
          <w:rFonts w:hint="eastAsia" w:ascii="Arial" w:hAnsi="Arial" w:eastAsia="等线" w:cs="Arial"/>
          <w:sz w:val="22"/>
          <w:szCs w:val="22"/>
        </w:rPr>
      </w:pPr>
    </w:p>
    <w:p w14:paraId="1055F308">
      <w:pPr>
        <w:rPr>
          <w:rFonts w:hint="eastAsia" w:ascii="Arial" w:hAnsi="Arial" w:eastAsia="等线" w:cs="Arial"/>
          <w:sz w:val="22"/>
          <w:szCs w:val="22"/>
        </w:rPr>
      </w:pPr>
    </w:p>
    <w:p w14:paraId="394D8DC0">
      <w:pPr>
        <w:rPr>
          <w:rFonts w:hint="eastAsia" w:ascii="Arial" w:hAnsi="Arial" w:eastAsia="等线" w:cs="Arial"/>
          <w:sz w:val="22"/>
          <w:szCs w:val="22"/>
        </w:rPr>
      </w:pPr>
    </w:p>
    <w:p w14:paraId="11949588">
      <w:pPr>
        <w:rPr>
          <w:rFonts w:hint="eastAsia" w:ascii="Arial" w:hAnsi="Arial" w:eastAsia="等线" w:cs="Arial"/>
          <w:sz w:val="22"/>
          <w:szCs w:val="22"/>
        </w:rPr>
      </w:pPr>
    </w:p>
    <w:p w14:paraId="68704183">
      <w:pPr>
        <w:pStyle w:val="4"/>
        <w:rPr>
          <w:rFonts w:ascii="Arial" w:hAnsi="Arial" w:cs="Arial"/>
        </w:rPr>
      </w:pPr>
      <w:r>
        <w:rPr>
          <w:rFonts w:hint="eastAsia" w:ascii="Arial" w:hAnsi="Arial" w:cs="Arial"/>
        </w:rPr>
        <w:t>行业与区域背景分析</w:t>
      </w:r>
    </w:p>
    <w:p w14:paraId="54AF11CC">
      <w:pPr>
        <w:pStyle w:val="4"/>
        <w:rPr>
          <w:rFonts w:hint="eastAsia" w:ascii="Arial" w:hAnsi="Arial" w:cs="Arial"/>
        </w:rPr>
      </w:pPr>
      <w:r>
        <w:rPr>
          <w:rFonts w:hint="eastAsia" w:ascii="Arial" w:hAnsi="Arial" w:cs="Arial"/>
        </w:rPr>
        <w:t>全球行业趋势：</w:t>
      </w:r>
    </w:p>
    <w:p w14:paraId="295811CB">
      <w:pPr>
        <w:pStyle w:val="16"/>
        <w:numPr>
          <w:ilvl w:val="0"/>
          <w:numId w:val="5"/>
        </w:numPr>
        <w:ind w:firstLineChars="0"/>
      </w:pPr>
      <w:r>
        <w:rPr>
          <w:rFonts w:hint="eastAsia"/>
        </w:rPr>
        <w:t>市场规模与增速</w:t>
      </w:r>
    </w:p>
    <w:p w14:paraId="1E3A2C90">
      <w:pPr>
        <w:ind w:firstLine="420"/>
        <w:rPr>
          <w:rFonts w:ascii="宋体" w:hAnsi="宋体" w:eastAsia="宋体"/>
          <w:sz w:val="28"/>
          <w:szCs w:val="28"/>
        </w:rPr>
      </w:pPr>
      <w:r>
        <w:rPr>
          <w:rFonts w:hint="eastAsia"/>
        </w:rPr>
        <w:t>截至</w:t>
      </w:r>
      <w:r>
        <w:t>2024年，全球电动牙刷市场的销售额已经达到160亿美元，相较于2020年的110亿美元，实现了45%的显著增长。消费者对口腔健康的重视不断提升，促使电动牙刷在全球范围内的需求持续攀升。数据显示，北美和欧洲市场占据了60%的全球销量，这些地区的消费者注重高质量的口腔护理，推动着该行业的持续增长。</w:t>
      </w:r>
      <w:r>
        <w:rPr>
          <w:rFonts w:hint="eastAsia"/>
        </w:rPr>
        <w:t>其中北美是全球第二大区域市场，占比约</w:t>
      </w:r>
      <w:r>
        <w:t>29%</w:t>
      </w:r>
      <w:r>
        <w:rPr>
          <w:rFonts w:hint="eastAsia"/>
        </w:rPr>
        <w:t>，而欧洲市场作为核心增长极，贡献显著，2025年欧洲电动牙刷市场规模为15.86亿美元</w:t>
      </w:r>
      <w:r>
        <w:t>，预计2033年将达到</w:t>
      </w:r>
      <w:r>
        <w:rPr>
          <w:rFonts w:hint="eastAsia"/>
        </w:rPr>
        <w:t>26</w:t>
      </w:r>
      <w:r>
        <w:t>亿美元，年均增长率约为</w:t>
      </w:r>
      <w:r>
        <w:rPr>
          <w:rFonts w:hint="eastAsia"/>
        </w:rPr>
        <w:t>6.36</w:t>
      </w:r>
      <w:r>
        <w:t>%，占全球市场份额超</w:t>
      </w:r>
      <w:r>
        <w:rPr>
          <w:rFonts w:hint="eastAsia"/>
        </w:rPr>
        <w:t>26.89</w:t>
      </w:r>
      <w:r>
        <w:t>%。</w:t>
      </w:r>
      <w:r>
        <w:rPr>
          <w:rFonts w:hint="eastAsia"/>
        </w:rPr>
        <w:t>（数据来源：</w:t>
      </w:r>
      <w:r>
        <w:t>Cognitive Market Research</w:t>
      </w:r>
      <w:r>
        <w:rPr>
          <w:rFonts w:hint="eastAsia"/>
        </w:rPr>
        <w:t>）</w:t>
      </w:r>
      <w:r>
        <w:rPr>
          <w:rFonts w:hint="eastAsia" w:ascii="MS Gothic" w:hAnsi="MS Gothic" w:eastAsia="MS Gothic" w:cs="MS Gothic"/>
        </w:rPr>
        <w:t>​</w:t>
      </w:r>
    </w:p>
    <w:tbl>
      <w:tblPr>
        <w:tblStyle w:val="10"/>
        <w:tblW w:w="8728" w:type="dxa"/>
        <w:tblInd w:w="0" w:type="dxa"/>
        <w:tblLayout w:type="autofit"/>
        <w:tblCellMar>
          <w:top w:w="0" w:type="dxa"/>
          <w:left w:w="108" w:type="dxa"/>
          <w:bottom w:w="0" w:type="dxa"/>
          <w:right w:w="108" w:type="dxa"/>
        </w:tblCellMar>
      </w:tblPr>
      <w:tblGrid>
        <w:gridCol w:w="1873"/>
        <w:gridCol w:w="2188"/>
        <w:gridCol w:w="2709"/>
        <w:gridCol w:w="1958"/>
      </w:tblGrid>
      <w:tr w14:paraId="13D1C196">
        <w:tblPrEx>
          <w:tblCellMar>
            <w:top w:w="0" w:type="dxa"/>
            <w:left w:w="108" w:type="dxa"/>
            <w:bottom w:w="0" w:type="dxa"/>
            <w:right w:w="108" w:type="dxa"/>
          </w:tblCellMar>
        </w:tblPrEx>
        <w:trPr>
          <w:trHeight w:val="1216" w:hRule="atLeast"/>
        </w:trPr>
        <w:tc>
          <w:tcPr>
            <w:tcW w:w="1873" w:type="dxa"/>
            <w:tcBorders>
              <w:top w:val="single" w:color="auto" w:sz="4" w:space="0"/>
              <w:left w:val="single" w:color="auto" w:sz="4" w:space="0"/>
              <w:bottom w:val="single" w:color="auto" w:sz="4" w:space="0"/>
              <w:right w:val="single" w:color="auto" w:sz="4" w:space="0"/>
            </w:tcBorders>
            <w:shd w:val="clear" w:color="000000" w:fill="FFFFFF"/>
            <w:vAlign w:val="center"/>
          </w:tcPr>
          <w:p w14:paraId="5A5DF2D4">
            <w:pPr>
              <w:widowControl/>
              <w:jc w:val="left"/>
              <w:rPr>
                <w:sz w:val="22"/>
                <w:szCs w:val="24"/>
              </w:rPr>
            </w:pPr>
            <w:r>
              <w:rPr>
                <w:sz w:val="22"/>
                <w:szCs w:val="24"/>
              </w:rPr>
              <w:t>数据维度</w:t>
            </w:r>
          </w:p>
        </w:tc>
        <w:tc>
          <w:tcPr>
            <w:tcW w:w="2188" w:type="dxa"/>
            <w:tcBorders>
              <w:top w:val="single" w:color="auto" w:sz="4" w:space="0"/>
              <w:left w:val="nil"/>
              <w:bottom w:val="single" w:color="auto" w:sz="4" w:space="0"/>
              <w:right w:val="single" w:color="auto" w:sz="4" w:space="0"/>
            </w:tcBorders>
            <w:shd w:val="clear" w:color="000000" w:fill="FFFFFF"/>
            <w:vAlign w:val="center"/>
          </w:tcPr>
          <w:p w14:paraId="546EAB46">
            <w:pPr>
              <w:widowControl/>
              <w:jc w:val="left"/>
              <w:rPr>
                <w:sz w:val="22"/>
                <w:szCs w:val="24"/>
              </w:rPr>
            </w:pPr>
            <w:r>
              <w:rPr>
                <w:sz w:val="22"/>
                <w:szCs w:val="24"/>
              </w:rPr>
              <w:t>具体数据</w:t>
            </w:r>
          </w:p>
        </w:tc>
        <w:tc>
          <w:tcPr>
            <w:tcW w:w="2709" w:type="dxa"/>
            <w:tcBorders>
              <w:top w:val="single" w:color="auto" w:sz="4" w:space="0"/>
              <w:left w:val="nil"/>
              <w:bottom w:val="single" w:color="auto" w:sz="4" w:space="0"/>
              <w:right w:val="single" w:color="auto" w:sz="4" w:space="0"/>
            </w:tcBorders>
            <w:shd w:val="clear" w:color="000000" w:fill="FFFFFF"/>
            <w:vAlign w:val="center"/>
          </w:tcPr>
          <w:p w14:paraId="3DF6B82E">
            <w:pPr>
              <w:widowControl/>
              <w:jc w:val="left"/>
              <w:rPr>
                <w:sz w:val="22"/>
                <w:szCs w:val="24"/>
              </w:rPr>
            </w:pPr>
            <w:r>
              <w:rPr>
                <w:sz w:val="22"/>
                <w:szCs w:val="24"/>
              </w:rPr>
              <w:t>数据来源/报告期</w:t>
            </w:r>
          </w:p>
        </w:tc>
        <w:tc>
          <w:tcPr>
            <w:tcW w:w="1958" w:type="dxa"/>
            <w:tcBorders>
              <w:top w:val="single" w:color="auto" w:sz="4" w:space="0"/>
              <w:left w:val="nil"/>
              <w:bottom w:val="single" w:color="auto" w:sz="4" w:space="0"/>
              <w:right w:val="single" w:color="auto" w:sz="4" w:space="0"/>
            </w:tcBorders>
            <w:shd w:val="clear" w:color="000000" w:fill="FFFFFF"/>
            <w:vAlign w:val="center"/>
          </w:tcPr>
          <w:p w14:paraId="55748BF4">
            <w:pPr>
              <w:widowControl/>
              <w:jc w:val="left"/>
              <w:rPr>
                <w:sz w:val="22"/>
                <w:szCs w:val="24"/>
              </w:rPr>
            </w:pPr>
            <w:r>
              <w:rPr>
                <w:sz w:val="22"/>
                <w:szCs w:val="24"/>
              </w:rPr>
              <w:t>备注</w:t>
            </w:r>
          </w:p>
        </w:tc>
      </w:tr>
      <w:tr w14:paraId="0A8B1CE1">
        <w:tblPrEx>
          <w:tblCellMar>
            <w:top w:w="0" w:type="dxa"/>
            <w:left w:w="108" w:type="dxa"/>
            <w:bottom w:w="0" w:type="dxa"/>
            <w:right w:w="108" w:type="dxa"/>
          </w:tblCellMar>
        </w:tblPrEx>
        <w:trPr>
          <w:trHeight w:val="1216" w:hRule="atLeast"/>
        </w:trPr>
        <w:tc>
          <w:tcPr>
            <w:tcW w:w="1873" w:type="dxa"/>
            <w:tcBorders>
              <w:top w:val="nil"/>
              <w:left w:val="single" w:color="auto" w:sz="4" w:space="0"/>
              <w:bottom w:val="single" w:color="auto" w:sz="4" w:space="0"/>
              <w:right w:val="single" w:color="auto" w:sz="4" w:space="0"/>
            </w:tcBorders>
            <w:shd w:val="clear" w:color="000000" w:fill="FFFFFF"/>
            <w:vAlign w:val="center"/>
          </w:tcPr>
          <w:p w14:paraId="7077C11B">
            <w:pPr>
              <w:widowControl/>
              <w:jc w:val="left"/>
              <w:rPr>
                <w:sz w:val="22"/>
                <w:szCs w:val="24"/>
              </w:rPr>
            </w:pPr>
            <w:r>
              <w:rPr>
                <w:sz w:val="22"/>
                <w:szCs w:val="24"/>
              </w:rPr>
              <w:t>2024年全球市场规模 (收入)</w:t>
            </w:r>
          </w:p>
        </w:tc>
        <w:tc>
          <w:tcPr>
            <w:tcW w:w="2188" w:type="dxa"/>
            <w:tcBorders>
              <w:top w:val="nil"/>
              <w:left w:val="nil"/>
              <w:bottom w:val="single" w:color="auto" w:sz="4" w:space="0"/>
              <w:right w:val="single" w:color="auto" w:sz="4" w:space="0"/>
            </w:tcBorders>
            <w:shd w:val="clear" w:color="000000" w:fill="FFFFFF"/>
            <w:vAlign w:val="center"/>
          </w:tcPr>
          <w:p w14:paraId="0F6EE5F5">
            <w:pPr>
              <w:widowControl/>
              <w:jc w:val="left"/>
              <w:rPr>
                <w:sz w:val="22"/>
                <w:szCs w:val="24"/>
              </w:rPr>
            </w:pPr>
            <w:r>
              <w:rPr>
                <w:sz w:val="22"/>
                <w:szCs w:val="24"/>
              </w:rPr>
              <w:t>约 132.3亿元 (人民币)</w:t>
            </w:r>
          </w:p>
        </w:tc>
        <w:tc>
          <w:tcPr>
            <w:tcW w:w="2709" w:type="dxa"/>
            <w:tcBorders>
              <w:top w:val="nil"/>
              <w:left w:val="nil"/>
              <w:bottom w:val="single" w:color="auto" w:sz="4" w:space="0"/>
              <w:right w:val="single" w:color="auto" w:sz="4" w:space="0"/>
            </w:tcBorders>
            <w:shd w:val="clear" w:color="000000" w:fill="FFFFFF"/>
            <w:vAlign w:val="center"/>
          </w:tcPr>
          <w:p w14:paraId="30C1EE89">
            <w:pPr>
              <w:widowControl/>
              <w:jc w:val="left"/>
              <w:rPr>
                <w:sz w:val="22"/>
                <w:szCs w:val="24"/>
              </w:rPr>
            </w:pPr>
            <w:r>
              <w:fldChar w:fldCharType="begin"/>
            </w:r>
            <w:r>
              <w:instrText xml:space="preserve"> HYPERLINK "https://dxpress.gelonghui.com/p/3294502" \t "_blank" </w:instrText>
            </w:r>
            <w:r>
              <w:fldChar w:fldCharType="separate"/>
            </w:r>
            <w:r>
              <w:rPr>
                <w:rFonts w:hint="eastAsia"/>
                <w:sz w:val="22"/>
                <w:szCs w:val="24"/>
              </w:rPr>
              <w:t>恒州诚思(YH Research), 2024年</w:t>
            </w:r>
            <w:r>
              <w:rPr>
                <w:rFonts w:hint="eastAsia"/>
                <w:sz w:val="22"/>
                <w:szCs w:val="24"/>
              </w:rPr>
              <w:fldChar w:fldCharType="end"/>
            </w:r>
          </w:p>
        </w:tc>
        <w:tc>
          <w:tcPr>
            <w:tcW w:w="1958" w:type="dxa"/>
            <w:tcBorders>
              <w:top w:val="nil"/>
              <w:left w:val="nil"/>
              <w:bottom w:val="single" w:color="auto" w:sz="4" w:space="0"/>
              <w:right w:val="single" w:color="auto" w:sz="4" w:space="0"/>
            </w:tcBorders>
            <w:shd w:val="clear" w:color="000000" w:fill="FFFFFF"/>
            <w:vAlign w:val="center"/>
          </w:tcPr>
          <w:p w14:paraId="28653BF9">
            <w:pPr>
              <w:widowControl/>
              <w:jc w:val="left"/>
              <w:rPr>
                <w:rFonts w:hint="eastAsia"/>
                <w:sz w:val="22"/>
                <w:szCs w:val="24"/>
              </w:rPr>
            </w:pPr>
            <w:r>
              <w:fldChar w:fldCharType="begin"/>
            </w:r>
            <w:r>
              <w:instrText xml:space="preserve"> HYPERLINK "https://dxpress.gelonghui.com/p/3294502" \t "_blank" </w:instrText>
            </w:r>
            <w:r>
              <w:fldChar w:fldCharType="separate"/>
            </w:r>
            <w:r>
              <w:rPr>
                <w:rFonts w:hint="eastAsia"/>
                <w:sz w:val="22"/>
                <w:szCs w:val="24"/>
              </w:rPr>
              <w:t>预测2025-2031年CAGR为5.4%，2031年达190.2亿元</w:t>
            </w:r>
            <w:r>
              <w:rPr>
                <w:rFonts w:hint="eastAsia"/>
                <w:sz w:val="22"/>
                <w:szCs w:val="24"/>
              </w:rPr>
              <w:fldChar w:fldCharType="end"/>
            </w:r>
          </w:p>
        </w:tc>
      </w:tr>
      <w:tr w14:paraId="0C3AD5A9">
        <w:tblPrEx>
          <w:tblCellMar>
            <w:top w:w="0" w:type="dxa"/>
            <w:left w:w="108" w:type="dxa"/>
            <w:bottom w:w="0" w:type="dxa"/>
            <w:right w:w="108" w:type="dxa"/>
          </w:tblCellMar>
        </w:tblPrEx>
        <w:trPr>
          <w:trHeight w:val="1216" w:hRule="atLeast"/>
        </w:trPr>
        <w:tc>
          <w:tcPr>
            <w:tcW w:w="1873" w:type="dxa"/>
            <w:tcBorders>
              <w:top w:val="nil"/>
              <w:left w:val="single" w:color="auto" w:sz="4" w:space="0"/>
              <w:bottom w:val="single" w:color="auto" w:sz="4" w:space="0"/>
              <w:right w:val="single" w:color="auto" w:sz="4" w:space="0"/>
            </w:tcBorders>
            <w:shd w:val="clear" w:color="000000" w:fill="FFFFFF"/>
            <w:vAlign w:val="center"/>
          </w:tcPr>
          <w:p w14:paraId="732CDD33">
            <w:pPr>
              <w:widowControl/>
              <w:jc w:val="left"/>
              <w:rPr>
                <w:rFonts w:hint="eastAsia"/>
                <w:sz w:val="22"/>
                <w:szCs w:val="24"/>
              </w:rPr>
            </w:pPr>
            <w:r>
              <w:rPr>
                <w:sz w:val="22"/>
                <w:szCs w:val="24"/>
              </w:rPr>
              <w:t>2024年全球市场规模 (收入)</w:t>
            </w:r>
          </w:p>
        </w:tc>
        <w:tc>
          <w:tcPr>
            <w:tcW w:w="2188" w:type="dxa"/>
            <w:tcBorders>
              <w:top w:val="nil"/>
              <w:left w:val="nil"/>
              <w:bottom w:val="single" w:color="auto" w:sz="4" w:space="0"/>
              <w:right w:val="single" w:color="auto" w:sz="4" w:space="0"/>
            </w:tcBorders>
            <w:shd w:val="clear" w:color="000000" w:fill="FFFFFF"/>
            <w:vAlign w:val="center"/>
          </w:tcPr>
          <w:p w14:paraId="74ADB35E">
            <w:pPr>
              <w:widowControl/>
              <w:jc w:val="left"/>
              <w:rPr>
                <w:sz w:val="22"/>
                <w:szCs w:val="24"/>
              </w:rPr>
            </w:pPr>
            <w:r>
              <w:rPr>
                <w:sz w:val="22"/>
                <w:szCs w:val="24"/>
              </w:rPr>
              <w:t>37亿美元</w:t>
            </w:r>
          </w:p>
        </w:tc>
        <w:tc>
          <w:tcPr>
            <w:tcW w:w="2709" w:type="dxa"/>
            <w:tcBorders>
              <w:top w:val="nil"/>
              <w:left w:val="nil"/>
              <w:bottom w:val="single" w:color="auto" w:sz="4" w:space="0"/>
              <w:right w:val="single" w:color="auto" w:sz="4" w:space="0"/>
            </w:tcBorders>
            <w:shd w:val="clear" w:color="000000" w:fill="FFFFFF"/>
            <w:vAlign w:val="center"/>
          </w:tcPr>
          <w:p w14:paraId="7176821F">
            <w:pPr>
              <w:widowControl/>
              <w:jc w:val="left"/>
              <w:rPr>
                <w:sz w:val="22"/>
                <w:szCs w:val="24"/>
              </w:rPr>
            </w:pPr>
            <w:r>
              <w:fldChar w:fldCharType="begin"/>
            </w:r>
            <w:r>
              <w:instrText xml:space="preserve"> HYPERLINK "https://cht.chinabgao.com/info/1283279.html" \t "_blank" </w:instrText>
            </w:r>
            <w:r>
              <w:fldChar w:fldCharType="separate"/>
            </w:r>
            <w:r>
              <w:rPr>
                <w:rFonts w:hint="eastAsia"/>
                <w:sz w:val="22"/>
                <w:szCs w:val="24"/>
              </w:rPr>
              <w:t>中国报告大厅, 2024年</w:t>
            </w:r>
            <w:r>
              <w:rPr>
                <w:rFonts w:hint="eastAsia"/>
                <w:sz w:val="22"/>
                <w:szCs w:val="24"/>
              </w:rPr>
              <w:fldChar w:fldCharType="end"/>
            </w:r>
          </w:p>
        </w:tc>
        <w:tc>
          <w:tcPr>
            <w:tcW w:w="1958" w:type="dxa"/>
            <w:tcBorders>
              <w:top w:val="nil"/>
              <w:left w:val="nil"/>
              <w:bottom w:val="single" w:color="auto" w:sz="4" w:space="0"/>
              <w:right w:val="single" w:color="auto" w:sz="4" w:space="0"/>
            </w:tcBorders>
            <w:shd w:val="clear" w:color="000000" w:fill="FFFFFF"/>
            <w:vAlign w:val="center"/>
          </w:tcPr>
          <w:p w14:paraId="29D89488">
            <w:pPr>
              <w:widowControl/>
              <w:jc w:val="left"/>
              <w:rPr>
                <w:rFonts w:hint="eastAsia"/>
                <w:sz w:val="22"/>
                <w:szCs w:val="24"/>
              </w:rPr>
            </w:pPr>
            <w:r>
              <w:fldChar w:fldCharType="begin"/>
            </w:r>
            <w:r>
              <w:instrText xml:space="preserve"> HYPERLINK "https://cht.chinabgao.com/info/1283279.html" \t "_blank" </w:instrText>
            </w:r>
            <w:r>
              <w:fldChar w:fldCharType="separate"/>
            </w:r>
            <w:r>
              <w:rPr>
                <w:rFonts w:hint="eastAsia"/>
                <w:sz w:val="22"/>
                <w:szCs w:val="24"/>
              </w:rPr>
              <w:t>预测到2029年达约84亿美元</w:t>
            </w:r>
            <w:r>
              <w:rPr>
                <w:rFonts w:hint="eastAsia"/>
                <w:sz w:val="22"/>
                <w:szCs w:val="24"/>
              </w:rPr>
              <w:fldChar w:fldCharType="end"/>
            </w:r>
          </w:p>
        </w:tc>
      </w:tr>
      <w:tr w14:paraId="6F884C24">
        <w:tblPrEx>
          <w:tblCellMar>
            <w:top w:w="0" w:type="dxa"/>
            <w:left w:w="108" w:type="dxa"/>
            <w:bottom w:w="0" w:type="dxa"/>
            <w:right w:w="108" w:type="dxa"/>
          </w:tblCellMar>
        </w:tblPrEx>
        <w:trPr>
          <w:trHeight w:val="1216" w:hRule="atLeast"/>
        </w:trPr>
        <w:tc>
          <w:tcPr>
            <w:tcW w:w="1873" w:type="dxa"/>
            <w:tcBorders>
              <w:top w:val="nil"/>
              <w:left w:val="single" w:color="auto" w:sz="4" w:space="0"/>
              <w:bottom w:val="single" w:color="auto" w:sz="4" w:space="0"/>
              <w:right w:val="single" w:color="auto" w:sz="4" w:space="0"/>
            </w:tcBorders>
            <w:shd w:val="clear" w:color="000000" w:fill="FFFFFF"/>
            <w:vAlign w:val="center"/>
          </w:tcPr>
          <w:p w14:paraId="4B08C11F">
            <w:pPr>
              <w:widowControl/>
              <w:jc w:val="left"/>
              <w:rPr>
                <w:rFonts w:hint="eastAsia"/>
                <w:sz w:val="22"/>
                <w:szCs w:val="24"/>
              </w:rPr>
            </w:pPr>
            <w:r>
              <w:rPr>
                <w:sz w:val="22"/>
                <w:szCs w:val="24"/>
              </w:rPr>
              <w:t>2025年全球市场规模 (预测)</w:t>
            </w:r>
          </w:p>
        </w:tc>
        <w:tc>
          <w:tcPr>
            <w:tcW w:w="2188" w:type="dxa"/>
            <w:tcBorders>
              <w:top w:val="nil"/>
              <w:left w:val="nil"/>
              <w:bottom w:val="single" w:color="auto" w:sz="4" w:space="0"/>
              <w:right w:val="single" w:color="auto" w:sz="4" w:space="0"/>
            </w:tcBorders>
            <w:shd w:val="clear" w:color="000000" w:fill="FFFFFF"/>
            <w:vAlign w:val="center"/>
          </w:tcPr>
          <w:p w14:paraId="432F94A1">
            <w:pPr>
              <w:widowControl/>
              <w:jc w:val="left"/>
              <w:rPr>
                <w:sz w:val="22"/>
                <w:szCs w:val="24"/>
              </w:rPr>
            </w:pPr>
            <w:r>
              <w:rPr>
                <w:sz w:val="22"/>
                <w:szCs w:val="24"/>
              </w:rPr>
              <w:t>58.99亿美元</w:t>
            </w:r>
          </w:p>
        </w:tc>
        <w:tc>
          <w:tcPr>
            <w:tcW w:w="2709" w:type="dxa"/>
            <w:tcBorders>
              <w:top w:val="nil"/>
              <w:left w:val="nil"/>
              <w:bottom w:val="single" w:color="auto" w:sz="4" w:space="0"/>
              <w:right w:val="single" w:color="auto" w:sz="4" w:space="0"/>
            </w:tcBorders>
            <w:shd w:val="clear" w:color="000000" w:fill="FFFFFF"/>
            <w:vAlign w:val="center"/>
          </w:tcPr>
          <w:p w14:paraId="0FEE47B8">
            <w:pPr>
              <w:widowControl/>
              <w:jc w:val="left"/>
              <w:rPr>
                <w:sz w:val="22"/>
                <w:szCs w:val="24"/>
              </w:rPr>
            </w:pPr>
            <w:r>
              <w:fldChar w:fldCharType="begin"/>
            </w:r>
            <w:r>
              <w:instrText xml:space="preserve"> HYPERLINK "https://www.cifnews.com/article/181449" \t "_blank" </w:instrText>
            </w:r>
            <w:r>
              <w:fldChar w:fldCharType="separate"/>
            </w:r>
            <w:r>
              <w:rPr>
                <w:rFonts w:hint="eastAsia"/>
                <w:sz w:val="22"/>
                <w:szCs w:val="24"/>
              </w:rPr>
              <w:t>Cognitive Market Research, 预测</w:t>
            </w:r>
            <w:r>
              <w:rPr>
                <w:rFonts w:hint="eastAsia"/>
                <w:sz w:val="22"/>
                <w:szCs w:val="24"/>
              </w:rPr>
              <w:fldChar w:fldCharType="end"/>
            </w:r>
          </w:p>
        </w:tc>
        <w:tc>
          <w:tcPr>
            <w:tcW w:w="1958" w:type="dxa"/>
            <w:tcBorders>
              <w:top w:val="nil"/>
              <w:left w:val="nil"/>
              <w:bottom w:val="single" w:color="auto" w:sz="4" w:space="0"/>
              <w:right w:val="single" w:color="auto" w:sz="4" w:space="0"/>
            </w:tcBorders>
            <w:shd w:val="clear" w:color="000000" w:fill="FFFFFF"/>
            <w:vAlign w:val="center"/>
          </w:tcPr>
          <w:p w14:paraId="4B9C66D5">
            <w:pPr>
              <w:widowControl/>
              <w:jc w:val="left"/>
              <w:rPr>
                <w:rFonts w:hint="eastAsia"/>
                <w:sz w:val="22"/>
                <w:szCs w:val="24"/>
              </w:rPr>
            </w:pPr>
            <w:r>
              <w:fldChar w:fldCharType="begin"/>
            </w:r>
            <w:r>
              <w:instrText xml:space="preserve"> HYPERLINK "https://www.cifnews.com/article/181449" \t "_blank" </w:instrText>
            </w:r>
            <w:r>
              <w:fldChar w:fldCharType="separate"/>
            </w:r>
            <w:r>
              <w:rPr>
                <w:rFonts w:hint="eastAsia"/>
                <w:sz w:val="22"/>
                <w:szCs w:val="24"/>
              </w:rPr>
              <w:t>预测至2033年CAGR约6.72%</w:t>
            </w:r>
            <w:r>
              <w:rPr>
                <w:rFonts w:hint="eastAsia"/>
                <w:sz w:val="22"/>
                <w:szCs w:val="24"/>
              </w:rPr>
              <w:fldChar w:fldCharType="end"/>
            </w:r>
          </w:p>
        </w:tc>
      </w:tr>
      <w:tr w14:paraId="2DE958F9">
        <w:tblPrEx>
          <w:tblCellMar>
            <w:top w:w="0" w:type="dxa"/>
            <w:left w:w="108" w:type="dxa"/>
            <w:bottom w:w="0" w:type="dxa"/>
            <w:right w:w="108" w:type="dxa"/>
          </w:tblCellMar>
        </w:tblPrEx>
        <w:trPr>
          <w:trHeight w:val="1216" w:hRule="atLeast"/>
        </w:trPr>
        <w:tc>
          <w:tcPr>
            <w:tcW w:w="1873" w:type="dxa"/>
            <w:tcBorders>
              <w:top w:val="nil"/>
              <w:left w:val="single" w:color="auto" w:sz="4" w:space="0"/>
              <w:bottom w:val="single" w:color="auto" w:sz="4" w:space="0"/>
              <w:right w:val="single" w:color="auto" w:sz="4" w:space="0"/>
            </w:tcBorders>
            <w:shd w:val="clear" w:color="000000" w:fill="FFFFFF"/>
            <w:vAlign w:val="center"/>
          </w:tcPr>
          <w:p w14:paraId="6FC1FF63">
            <w:pPr>
              <w:widowControl/>
              <w:jc w:val="left"/>
              <w:rPr>
                <w:rFonts w:hint="eastAsia"/>
                <w:sz w:val="22"/>
                <w:szCs w:val="24"/>
              </w:rPr>
            </w:pPr>
            <w:r>
              <w:rPr>
                <w:sz w:val="22"/>
                <w:szCs w:val="24"/>
              </w:rPr>
              <w:t>区域份额 (2024年)</w:t>
            </w:r>
          </w:p>
        </w:tc>
        <w:tc>
          <w:tcPr>
            <w:tcW w:w="2188" w:type="dxa"/>
            <w:tcBorders>
              <w:top w:val="nil"/>
              <w:left w:val="nil"/>
              <w:bottom w:val="single" w:color="auto" w:sz="4" w:space="0"/>
              <w:right w:val="single" w:color="auto" w:sz="4" w:space="0"/>
            </w:tcBorders>
            <w:shd w:val="clear" w:color="000000" w:fill="FFFFFF"/>
            <w:vAlign w:val="center"/>
          </w:tcPr>
          <w:p w14:paraId="1C21B5C5">
            <w:pPr>
              <w:widowControl/>
              <w:jc w:val="left"/>
              <w:rPr>
                <w:sz w:val="22"/>
                <w:szCs w:val="24"/>
              </w:rPr>
            </w:pPr>
            <w:r>
              <w:fldChar w:fldCharType="begin"/>
            </w:r>
            <w:r>
              <w:instrText xml:space="preserve"> HYPERLINK "https://cht.chinabgao.com/info/1283279.html" \t "_blank" </w:instrText>
            </w:r>
            <w:r>
              <w:fldChar w:fldCharType="separate"/>
            </w:r>
            <w:r>
              <w:rPr>
                <w:rFonts w:hint="eastAsia"/>
                <w:sz w:val="22"/>
                <w:szCs w:val="24"/>
              </w:rPr>
              <w:t>欧洲(40%)、北美(29%)、亚太(19%)</w:t>
            </w:r>
            <w:r>
              <w:rPr>
                <w:rFonts w:hint="eastAsia"/>
                <w:sz w:val="22"/>
                <w:szCs w:val="24"/>
              </w:rPr>
              <w:fldChar w:fldCharType="end"/>
            </w:r>
          </w:p>
        </w:tc>
        <w:tc>
          <w:tcPr>
            <w:tcW w:w="2709" w:type="dxa"/>
            <w:tcBorders>
              <w:top w:val="nil"/>
              <w:left w:val="nil"/>
              <w:bottom w:val="single" w:color="auto" w:sz="4" w:space="0"/>
              <w:right w:val="single" w:color="auto" w:sz="4" w:space="0"/>
            </w:tcBorders>
            <w:shd w:val="clear" w:color="000000" w:fill="FFFFFF"/>
            <w:vAlign w:val="center"/>
          </w:tcPr>
          <w:p w14:paraId="62E47408">
            <w:pPr>
              <w:widowControl/>
              <w:jc w:val="left"/>
              <w:rPr>
                <w:rFonts w:hint="eastAsia"/>
                <w:sz w:val="22"/>
                <w:szCs w:val="24"/>
              </w:rPr>
            </w:pPr>
            <w:r>
              <w:fldChar w:fldCharType="begin"/>
            </w:r>
            <w:r>
              <w:instrText xml:space="preserve"> HYPERLINK "https://cht.chinabgao.com/info/1283279.html" \t "_blank" </w:instrText>
            </w:r>
            <w:r>
              <w:fldChar w:fldCharType="separate"/>
            </w:r>
            <w:r>
              <w:rPr>
                <w:rFonts w:hint="eastAsia"/>
                <w:sz w:val="22"/>
                <w:szCs w:val="24"/>
              </w:rPr>
              <w:t>中国报告大厅</w:t>
            </w:r>
            <w:r>
              <w:rPr>
                <w:rFonts w:hint="eastAsia"/>
                <w:sz w:val="22"/>
                <w:szCs w:val="24"/>
              </w:rPr>
              <w:fldChar w:fldCharType="end"/>
            </w:r>
          </w:p>
        </w:tc>
        <w:tc>
          <w:tcPr>
            <w:tcW w:w="1958" w:type="dxa"/>
            <w:tcBorders>
              <w:top w:val="nil"/>
              <w:left w:val="nil"/>
              <w:bottom w:val="single" w:color="auto" w:sz="4" w:space="0"/>
              <w:right w:val="single" w:color="auto" w:sz="4" w:space="0"/>
            </w:tcBorders>
            <w:shd w:val="clear" w:color="000000" w:fill="FFFFFF"/>
            <w:vAlign w:val="center"/>
          </w:tcPr>
          <w:p w14:paraId="2FDE85E3">
            <w:pPr>
              <w:widowControl/>
              <w:jc w:val="left"/>
              <w:rPr>
                <w:rFonts w:hint="eastAsia"/>
                <w:sz w:val="22"/>
                <w:szCs w:val="24"/>
              </w:rPr>
            </w:pPr>
            <w:r>
              <w:rPr>
                <w:sz w:val="22"/>
                <w:szCs w:val="24"/>
              </w:rPr>
              <w:t>欧美为成熟市场，亚太为增长引擎</w:t>
            </w:r>
          </w:p>
        </w:tc>
      </w:tr>
    </w:tbl>
    <w:p w14:paraId="75B8C163">
      <w:pPr>
        <w:ind w:firstLine="420"/>
        <w:jc w:val="center"/>
        <w:rPr>
          <w:rFonts w:hint="eastAsia" w:ascii="宋体" w:hAnsi="宋体" w:eastAsia="宋体"/>
          <w:sz w:val="28"/>
          <w:szCs w:val="28"/>
        </w:rPr>
      </w:pPr>
      <w:r>
        <w:rPr>
          <w:rFonts w:hint="eastAsia" w:ascii="宋体" w:hAnsi="宋体" w:eastAsia="宋体"/>
          <w:sz w:val="28"/>
          <w:szCs w:val="28"/>
        </w:rPr>
        <w:t>表1相关数据</w:t>
      </w:r>
    </w:p>
    <w:p w14:paraId="6821DBE9">
      <w:pPr>
        <w:pStyle w:val="16"/>
        <w:numPr>
          <w:ilvl w:val="0"/>
          <w:numId w:val="5"/>
        </w:numPr>
        <w:ind w:firstLineChars="0"/>
      </w:pPr>
      <w:r>
        <w:rPr>
          <w:rFonts w:hint="eastAsia"/>
        </w:rPr>
        <w:t>核心驱动因素：</w:t>
      </w:r>
    </w:p>
    <w:p w14:paraId="53A8E612">
      <w:pPr>
        <w:ind w:firstLine="420"/>
        <w:rPr>
          <w:rFonts w:hint="eastAsia"/>
        </w:rPr>
      </w:pPr>
      <w:r>
        <w:rPr>
          <w:rFonts w:hint="eastAsia"/>
        </w:rPr>
        <w:t>健康意识提升：</w:t>
      </w:r>
      <w:r>
        <w:t xml:space="preserve"> 消费者对口腔健康和牙齿护理的关注持续增加，尤其是对牙龈疾病和牙齿美白的关注。</w:t>
      </w:r>
    </w:p>
    <w:p w14:paraId="0843B6F4">
      <w:pPr>
        <w:ind w:firstLine="420"/>
        <w:rPr>
          <w:rFonts w:hint="eastAsia"/>
        </w:rPr>
      </w:pPr>
      <w:r>
        <w:rPr>
          <w:rFonts w:hint="eastAsia"/>
        </w:rPr>
        <w:t>技术创新：</w:t>
      </w:r>
      <w:r>
        <w:t xml:space="preserve"> 电动牙刷不断引入新技术，如智能感应、蓝牙连接、App监控等，吸引消费者购买。</w:t>
      </w:r>
    </w:p>
    <w:p w14:paraId="4F1B7CF5">
      <w:pPr>
        <w:ind w:firstLine="420"/>
        <w:rPr>
          <w:rFonts w:hint="eastAsia"/>
        </w:rPr>
      </w:pPr>
      <w:r>
        <w:rPr>
          <w:rFonts w:hint="eastAsia"/>
        </w:rPr>
        <w:t>品牌化与广告宣传：</w:t>
      </w:r>
      <w:r>
        <w:t xml:space="preserve"> 企业在品牌建设和市场推广上的投入增加，尤其是在社交媒体和KOL的推动下，产品的市场认知度不断提高。</w:t>
      </w:r>
    </w:p>
    <w:p w14:paraId="085C6C1D">
      <w:pPr>
        <w:ind w:firstLine="420"/>
      </w:pPr>
      <w:r>
        <w:rPr>
          <w:rFonts w:hint="eastAsia"/>
        </w:rPr>
        <w:t>生活品质提升：</w:t>
      </w:r>
      <w:r>
        <w:t xml:space="preserve"> 现代消费者对高品质生活的追求推动了健康和个人护理产品的需求，电动牙刷作为生活品质提升的代表产品之一，市场需求旺盛。</w:t>
      </w:r>
    </w:p>
    <w:p w14:paraId="05964CBF">
      <w:pPr>
        <w:ind w:firstLine="420"/>
        <w:jc w:val="center"/>
        <w:rPr>
          <w:rFonts w:hint="eastAsia" w:ascii="宋体" w:hAnsi="宋体" w:eastAsia="宋体"/>
          <w:sz w:val="28"/>
          <w:szCs w:val="28"/>
        </w:rPr>
      </w:pPr>
    </w:p>
    <w:p w14:paraId="638C3480">
      <w:pPr>
        <w:ind w:firstLine="420"/>
        <w:jc w:val="center"/>
        <w:rPr>
          <w:rFonts w:hint="eastAsia" w:ascii="宋体" w:hAnsi="宋体" w:eastAsia="宋体"/>
          <w:sz w:val="28"/>
          <w:szCs w:val="28"/>
        </w:rPr>
      </w:pPr>
    </w:p>
    <w:p w14:paraId="0DB6239E">
      <w:pPr>
        <w:ind w:firstLine="420"/>
        <w:jc w:val="center"/>
        <w:rPr>
          <w:rFonts w:hint="eastAsia" w:ascii="宋体" w:hAnsi="宋体" w:eastAsia="宋体"/>
          <w:sz w:val="28"/>
          <w:szCs w:val="28"/>
        </w:rPr>
      </w:pPr>
    </w:p>
    <w:p w14:paraId="161194BF">
      <w:pPr>
        <w:ind w:firstLine="420"/>
        <w:jc w:val="center"/>
        <w:rPr>
          <w:rFonts w:hint="eastAsia" w:ascii="宋体" w:hAnsi="宋体" w:eastAsia="宋体"/>
          <w:sz w:val="28"/>
          <w:szCs w:val="28"/>
        </w:rPr>
      </w:pPr>
    </w:p>
    <w:p w14:paraId="72AE478D">
      <w:pPr>
        <w:ind w:firstLine="420"/>
        <w:jc w:val="center"/>
        <w:rPr>
          <w:rFonts w:hint="eastAsia" w:ascii="宋体" w:hAnsi="宋体" w:eastAsia="宋体"/>
          <w:sz w:val="28"/>
          <w:szCs w:val="28"/>
        </w:rPr>
      </w:pPr>
    </w:p>
    <w:p w14:paraId="764A1382">
      <w:pPr>
        <w:pStyle w:val="16"/>
        <w:numPr>
          <w:ilvl w:val="0"/>
          <w:numId w:val="6"/>
        </w:numPr>
        <w:ind w:firstLineChars="0"/>
        <w:rPr>
          <w:rFonts w:ascii="宋体" w:hAnsi="宋体" w:eastAsia="宋体"/>
          <w:sz w:val="28"/>
          <w:szCs w:val="28"/>
        </w:rPr>
      </w:pPr>
      <w:r>
        <w:rPr>
          <w:rFonts w:hint="eastAsia" w:ascii="宋体" w:hAnsi="宋体" w:eastAsia="宋体"/>
          <w:sz w:val="28"/>
          <w:szCs w:val="28"/>
        </w:rPr>
        <w:t>北美区域行业背景分析：</w:t>
      </w:r>
    </w:p>
    <w:p w14:paraId="76E3E73C">
      <w:pPr>
        <w:pStyle w:val="16"/>
        <w:numPr>
          <w:ilvl w:val="0"/>
          <w:numId w:val="7"/>
        </w:numPr>
        <w:ind w:firstLineChars="0"/>
      </w:pPr>
      <w:r>
        <w:rPr>
          <w:rFonts w:hint="eastAsia"/>
          <w:sz w:val="22"/>
          <w:szCs w:val="22"/>
        </w:rPr>
        <w:t>贸易政策（关税</w:t>
      </w:r>
      <w:r>
        <w:rPr>
          <w:sz w:val="22"/>
          <w:szCs w:val="22"/>
        </w:rPr>
        <w:t>/壁垒）</w:t>
      </w:r>
      <w:r>
        <w:t>：</w:t>
      </w:r>
    </w:p>
    <w:p w14:paraId="693A25F2">
      <w:pPr>
        <w:ind w:firstLine="420"/>
        <w:rPr>
          <w:rFonts w:hint="eastAsia"/>
        </w:rPr>
      </w:pPr>
      <w:r>
        <w:rPr>
          <w:rFonts w:hint="eastAsia"/>
        </w:rPr>
        <w:t>关税方面：</w:t>
      </w:r>
      <w:r>
        <w:t xml:space="preserve"> 美国和加拿大对进口电动牙刷通常征收一定的进口关税。根据2021年的贸易政策，电动牙刷作为电子消费品的一部分，在美国的关税率约为 0%-3% 之间。</w:t>
      </w:r>
    </w:p>
    <w:p w14:paraId="47FC228E">
      <w:pPr>
        <w:ind w:firstLine="420"/>
        <w:rPr>
          <w:rFonts w:hint="eastAsia"/>
        </w:rPr>
      </w:pPr>
      <w:r>
        <w:rPr>
          <w:rFonts w:hint="eastAsia"/>
        </w:rPr>
        <w:t>技术标准：</w:t>
      </w:r>
      <w:r>
        <w:t xml:space="preserve"> 美国和加拿大对于电动牙刷产品的安全性和质量要求严格。对于电动牙刷的电池、充电设备和电气安全等方面，要求符合国际电气安全标准（例如UL认证）。</w:t>
      </w:r>
    </w:p>
    <w:p w14:paraId="5DE00EB8">
      <w:pPr>
        <w:ind w:firstLine="420"/>
        <w:rPr>
          <w:rFonts w:hint="eastAsia"/>
        </w:rPr>
      </w:pPr>
      <w:r>
        <w:rPr>
          <w:rFonts w:hint="eastAsia"/>
        </w:rPr>
        <w:t>市场准入壁垒：</w:t>
      </w:r>
      <w:r>
        <w:t xml:space="preserve"> 美国市场上，进口商必须确保符合FDA（食品和药品管理局）的规定，特别是在涉及牙科用品和卫生产品方面。此外，部分品牌需要遵守环保要求（例如RoHS指令、CE认证）以及其他地方的地方性法规。</w:t>
      </w:r>
    </w:p>
    <w:p w14:paraId="783E2E78">
      <w:pPr>
        <w:pStyle w:val="16"/>
        <w:numPr>
          <w:ilvl w:val="0"/>
          <w:numId w:val="7"/>
        </w:numPr>
        <w:ind w:firstLineChars="0"/>
        <w:rPr>
          <w:rFonts w:hint="eastAsia"/>
          <w:sz w:val="22"/>
          <w:szCs w:val="22"/>
        </w:rPr>
      </w:pPr>
      <w:r>
        <w:rPr>
          <w:rFonts w:hint="eastAsia"/>
          <w:sz w:val="22"/>
          <w:szCs w:val="22"/>
        </w:rPr>
        <w:t>消费能力（人均支出）：</w:t>
      </w:r>
    </w:p>
    <w:p w14:paraId="2370D350">
      <w:pPr>
        <w:ind w:firstLine="420"/>
        <w:rPr>
          <w:rFonts w:hint="eastAsia"/>
        </w:rPr>
      </w:pPr>
      <w:r>
        <w:rPr>
          <w:rFonts w:hint="eastAsia"/>
        </w:rPr>
        <w:t>北美地区，尤其是美国，是电动牙刷消费的最大市场之一。根据统计，美国成年人中约有</w:t>
      </w:r>
      <w:r>
        <w:t xml:space="preserve"> 40% 至 50% 使用电动牙刷。</w:t>
      </w:r>
    </w:p>
    <w:p w14:paraId="76164C6A">
      <w:pPr>
        <w:ind w:firstLine="420"/>
        <w:rPr>
          <w:rFonts w:hint="eastAsia"/>
        </w:rPr>
      </w:pPr>
      <w:r>
        <w:rPr>
          <w:rFonts w:hint="eastAsia"/>
        </w:rPr>
        <w:t>人均支出：</w:t>
      </w:r>
      <w:r>
        <w:t xml:space="preserve"> 美国消费者在口腔护理产品上的支出较高。2022年数据表明，美国消费者在口腔护理产品上的年均支出大约为50-100美元，其中包括牙刷、牙膏以及其他护理用品。</w:t>
      </w:r>
    </w:p>
    <w:p w14:paraId="7BC2F1E6">
      <w:pPr>
        <w:ind w:firstLine="420"/>
      </w:pPr>
      <w:r>
        <w:rPr>
          <w:rFonts w:hint="eastAsia"/>
        </w:rPr>
        <w:t>市场分布：</w:t>
      </w:r>
      <w:r>
        <w:t xml:space="preserve"> 高收入群体在电动牙刷市场中占据较大比例，而中低收入家庭的市场渗透率相对较低。然而，随着各大品牌推出性价比更高的产品，低端市场的潜力逐渐显现。</w:t>
      </w:r>
    </w:p>
    <w:p w14:paraId="7DDDC4F8">
      <w:pPr>
        <w:ind w:firstLine="420"/>
        <w:rPr>
          <w:rFonts w:hint="eastAsia" w:ascii="宋体" w:hAnsi="宋体" w:eastAsia="宋体"/>
          <w:sz w:val="28"/>
          <w:szCs w:val="28"/>
        </w:rPr>
      </w:pPr>
    </w:p>
    <w:tbl>
      <w:tblPr>
        <w:tblStyle w:val="10"/>
        <w:tblW w:w="8098" w:type="dxa"/>
        <w:jc w:val="center"/>
        <w:tblLayout w:type="autofit"/>
        <w:tblCellMar>
          <w:top w:w="0" w:type="dxa"/>
          <w:left w:w="108" w:type="dxa"/>
          <w:bottom w:w="0" w:type="dxa"/>
          <w:right w:w="108" w:type="dxa"/>
        </w:tblCellMar>
      </w:tblPr>
      <w:tblGrid>
        <w:gridCol w:w="4049"/>
        <w:gridCol w:w="4049"/>
      </w:tblGrid>
      <w:tr w14:paraId="68390B88">
        <w:tblPrEx>
          <w:tblCellMar>
            <w:top w:w="0" w:type="dxa"/>
            <w:left w:w="108" w:type="dxa"/>
            <w:bottom w:w="0" w:type="dxa"/>
            <w:right w:w="108" w:type="dxa"/>
          </w:tblCellMar>
        </w:tblPrEx>
        <w:trPr>
          <w:trHeight w:val="705" w:hRule="atLeast"/>
          <w:jc w:val="center"/>
        </w:trPr>
        <w:tc>
          <w:tcPr>
            <w:tcW w:w="4049" w:type="dxa"/>
            <w:tcBorders>
              <w:top w:val="single" w:color="auto" w:sz="4" w:space="0"/>
              <w:left w:val="single" w:color="auto" w:sz="4" w:space="0"/>
              <w:bottom w:val="single" w:color="auto" w:sz="4" w:space="0"/>
              <w:right w:val="single" w:color="auto" w:sz="4" w:space="0"/>
            </w:tcBorders>
            <w:shd w:val="clear" w:color="auto" w:fill="auto"/>
            <w:vAlign w:val="center"/>
          </w:tcPr>
          <w:p w14:paraId="2A50EFD3">
            <w:pPr>
              <w:rPr>
                <w:sz w:val="22"/>
                <w:szCs w:val="24"/>
              </w:rPr>
            </w:pPr>
            <w:r>
              <w:rPr>
                <w:rFonts w:hint="eastAsia"/>
                <w:sz w:val="22"/>
                <w:szCs w:val="24"/>
              </w:rPr>
              <w:t>类别</w:t>
            </w:r>
          </w:p>
        </w:tc>
        <w:tc>
          <w:tcPr>
            <w:tcW w:w="4049" w:type="dxa"/>
            <w:tcBorders>
              <w:top w:val="single" w:color="auto" w:sz="4" w:space="0"/>
              <w:left w:val="nil"/>
              <w:bottom w:val="single" w:color="auto" w:sz="4" w:space="0"/>
              <w:right w:val="single" w:color="auto" w:sz="4" w:space="0"/>
            </w:tcBorders>
            <w:shd w:val="clear" w:color="auto" w:fill="auto"/>
            <w:vAlign w:val="center"/>
          </w:tcPr>
          <w:p w14:paraId="2373C9E3">
            <w:pPr>
              <w:rPr>
                <w:rFonts w:hint="eastAsia"/>
                <w:sz w:val="22"/>
                <w:szCs w:val="24"/>
              </w:rPr>
            </w:pPr>
            <w:r>
              <w:rPr>
                <w:rFonts w:hint="eastAsia"/>
                <w:sz w:val="22"/>
                <w:szCs w:val="24"/>
              </w:rPr>
              <w:t>数据</w:t>
            </w:r>
          </w:p>
        </w:tc>
      </w:tr>
      <w:tr w14:paraId="6CCA4D44">
        <w:tblPrEx>
          <w:tblCellMar>
            <w:top w:w="0" w:type="dxa"/>
            <w:left w:w="108" w:type="dxa"/>
            <w:bottom w:w="0" w:type="dxa"/>
            <w:right w:w="108" w:type="dxa"/>
          </w:tblCellMar>
        </w:tblPrEx>
        <w:trPr>
          <w:trHeight w:val="705" w:hRule="atLeast"/>
          <w:jc w:val="center"/>
        </w:trPr>
        <w:tc>
          <w:tcPr>
            <w:tcW w:w="4049" w:type="dxa"/>
            <w:tcBorders>
              <w:top w:val="nil"/>
              <w:left w:val="single" w:color="auto" w:sz="4" w:space="0"/>
              <w:bottom w:val="single" w:color="auto" w:sz="4" w:space="0"/>
              <w:right w:val="single" w:color="auto" w:sz="4" w:space="0"/>
            </w:tcBorders>
            <w:shd w:val="clear" w:color="auto" w:fill="auto"/>
            <w:vAlign w:val="center"/>
          </w:tcPr>
          <w:p w14:paraId="6538D8C8">
            <w:pPr>
              <w:rPr>
                <w:rFonts w:hint="eastAsia"/>
                <w:sz w:val="22"/>
                <w:szCs w:val="24"/>
              </w:rPr>
            </w:pPr>
            <w:r>
              <w:rPr>
                <w:rFonts w:hint="eastAsia"/>
                <w:sz w:val="22"/>
                <w:szCs w:val="24"/>
              </w:rPr>
              <w:t>电动牙刷使用率（成年人）</w:t>
            </w:r>
          </w:p>
        </w:tc>
        <w:tc>
          <w:tcPr>
            <w:tcW w:w="4049" w:type="dxa"/>
            <w:tcBorders>
              <w:top w:val="nil"/>
              <w:left w:val="nil"/>
              <w:bottom w:val="single" w:color="auto" w:sz="4" w:space="0"/>
              <w:right w:val="single" w:color="auto" w:sz="4" w:space="0"/>
            </w:tcBorders>
            <w:shd w:val="clear" w:color="auto" w:fill="auto"/>
            <w:vAlign w:val="center"/>
          </w:tcPr>
          <w:p w14:paraId="3C257CC9">
            <w:pPr>
              <w:rPr>
                <w:rFonts w:hint="eastAsia"/>
                <w:sz w:val="22"/>
                <w:szCs w:val="24"/>
              </w:rPr>
            </w:pPr>
            <w:r>
              <w:rPr>
                <w:rFonts w:hint="eastAsia"/>
                <w:sz w:val="22"/>
                <w:szCs w:val="24"/>
              </w:rPr>
              <w:t>40% 至 50%（美国成年人使用电动牙刷的比例）</w:t>
            </w:r>
          </w:p>
        </w:tc>
      </w:tr>
      <w:tr w14:paraId="59F15B23">
        <w:tblPrEx>
          <w:tblCellMar>
            <w:top w:w="0" w:type="dxa"/>
            <w:left w:w="108" w:type="dxa"/>
            <w:bottom w:w="0" w:type="dxa"/>
            <w:right w:w="108" w:type="dxa"/>
          </w:tblCellMar>
        </w:tblPrEx>
        <w:trPr>
          <w:trHeight w:val="705" w:hRule="atLeast"/>
          <w:jc w:val="center"/>
        </w:trPr>
        <w:tc>
          <w:tcPr>
            <w:tcW w:w="4049" w:type="dxa"/>
            <w:tcBorders>
              <w:top w:val="nil"/>
              <w:left w:val="single" w:color="auto" w:sz="4" w:space="0"/>
              <w:bottom w:val="single" w:color="auto" w:sz="4" w:space="0"/>
              <w:right w:val="single" w:color="auto" w:sz="4" w:space="0"/>
            </w:tcBorders>
            <w:shd w:val="clear" w:color="auto" w:fill="auto"/>
            <w:vAlign w:val="center"/>
          </w:tcPr>
          <w:p w14:paraId="5A7B7C4F">
            <w:pPr>
              <w:rPr>
                <w:rFonts w:hint="eastAsia"/>
                <w:sz w:val="22"/>
                <w:szCs w:val="24"/>
              </w:rPr>
            </w:pPr>
            <w:r>
              <w:rPr>
                <w:rFonts w:hint="eastAsia"/>
                <w:sz w:val="22"/>
                <w:szCs w:val="24"/>
              </w:rPr>
              <w:t>年均支出（口腔护理产品）</w:t>
            </w:r>
          </w:p>
        </w:tc>
        <w:tc>
          <w:tcPr>
            <w:tcW w:w="4049" w:type="dxa"/>
            <w:tcBorders>
              <w:top w:val="nil"/>
              <w:left w:val="nil"/>
              <w:bottom w:val="single" w:color="auto" w:sz="4" w:space="0"/>
              <w:right w:val="single" w:color="auto" w:sz="4" w:space="0"/>
            </w:tcBorders>
            <w:shd w:val="clear" w:color="auto" w:fill="auto"/>
            <w:vAlign w:val="center"/>
          </w:tcPr>
          <w:p w14:paraId="2B859878">
            <w:pPr>
              <w:rPr>
                <w:rFonts w:hint="eastAsia"/>
                <w:sz w:val="22"/>
                <w:szCs w:val="24"/>
              </w:rPr>
            </w:pPr>
            <w:r>
              <w:rPr>
                <w:rFonts w:hint="eastAsia"/>
                <w:sz w:val="22"/>
                <w:szCs w:val="24"/>
              </w:rPr>
              <w:t>50 - 100 美元（包括电动牙刷、牙膏等口腔护理产品）</w:t>
            </w:r>
          </w:p>
        </w:tc>
      </w:tr>
      <w:tr w14:paraId="4657E6EE">
        <w:tblPrEx>
          <w:tblCellMar>
            <w:top w:w="0" w:type="dxa"/>
            <w:left w:w="108" w:type="dxa"/>
            <w:bottom w:w="0" w:type="dxa"/>
            <w:right w:w="108" w:type="dxa"/>
          </w:tblCellMar>
        </w:tblPrEx>
        <w:trPr>
          <w:trHeight w:val="705" w:hRule="atLeast"/>
          <w:jc w:val="center"/>
        </w:trPr>
        <w:tc>
          <w:tcPr>
            <w:tcW w:w="4049" w:type="dxa"/>
            <w:tcBorders>
              <w:top w:val="nil"/>
              <w:left w:val="single" w:color="auto" w:sz="4" w:space="0"/>
              <w:bottom w:val="single" w:color="auto" w:sz="4" w:space="0"/>
              <w:right w:val="single" w:color="auto" w:sz="4" w:space="0"/>
            </w:tcBorders>
            <w:shd w:val="clear" w:color="auto" w:fill="auto"/>
            <w:vAlign w:val="center"/>
          </w:tcPr>
          <w:p w14:paraId="5555A4E6">
            <w:pPr>
              <w:rPr>
                <w:rFonts w:hint="eastAsia"/>
                <w:sz w:val="22"/>
                <w:szCs w:val="24"/>
              </w:rPr>
            </w:pPr>
            <w:r>
              <w:rPr>
                <w:rFonts w:hint="eastAsia"/>
                <w:sz w:val="22"/>
                <w:szCs w:val="24"/>
              </w:rPr>
              <w:t>高收入群体市场占比</w:t>
            </w:r>
          </w:p>
        </w:tc>
        <w:tc>
          <w:tcPr>
            <w:tcW w:w="4049" w:type="dxa"/>
            <w:tcBorders>
              <w:top w:val="nil"/>
              <w:left w:val="nil"/>
              <w:bottom w:val="single" w:color="auto" w:sz="4" w:space="0"/>
              <w:right w:val="single" w:color="auto" w:sz="4" w:space="0"/>
            </w:tcBorders>
            <w:shd w:val="clear" w:color="auto" w:fill="auto"/>
            <w:vAlign w:val="center"/>
          </w:tcPr>
          <w:p w14:paraId="739534ED">
            <w:pPr>
              <w:rPr>
                <w:rFonts w:hint="eastAsia"/>
                <w:sz w:val="22"/>
                <w:szCs w:val="24"/>
              </w:rPr>
            </w:pPr>
            <w:r>
              <w:rPr>
                <w:rFonts w:hint="eastAsia"/>
                <w:sz w:val="22"/>
                <w:szCs w:val="24"/>
              </w:rPr>
              <w:t>高收入群体在电动牙刷市场中的占比较大</w:t>
            </w:r>
          </w:p>
        </w:tc>
      </w:tr>
      <w:tr w14:paraId="45496F6D">
        <w:tblPrEx>
          <w:tblCellMar>
            <w:top w:w="0" w:type="dxa"/>
            <w:left w:w="108" w:type="dxa"/>
            <w:bottom w:w="0" w:type="dxa"/>
            <w:right w:w="108" w:type="dxa"/>
          </w:tblCellMar>
        </w:tblPrEx>
        <w:trPr>
          <w:trHeight w:val="705" w:hRule="atLeast"/>
          <w:jc w:val="center"/>
        </w:trPr>
        <w:tc>
          <w:tcPr>
            <w:tcW w:w="4049" w:type="dxa"/>
            <w:tcBorders>
              <w:top w:val="nil"/>
              <w:left w:val="single" w:color="auto" w:sz="4" w:space="0"/>
              <w:bottom w:val="single" w:color="auto" w:sz="4" w:space="0"/>
              <w:right w:val="single" w:color="auto" w:sz="4" w:space="0"/>
            </w:tcBorders>
            <w:shd w:val="clear" w:color="auto" w:fill="auto"/>
            <w:vAlign w:val="center"/>
          </w:tcPr>
          <w:p w14:paraId="1380D390">
            <w:pPr>
              <w:rPr>
                <w:rFonts w:hint="eastAsia"/>
                <w:sz w:val="22"/>
                <w:szCs w:val="24"/>
              </w:rPr>
            </w:pPr>
            <w:r>
              <w:rPr>
                <w:rFonts w:hint="eastAsia"/>
                <w:sz w:val="22"/>
                <w:szCs w:val="24"/>
              </w:rPr>
              <w:t>中低收入群体市场占比</w:t>
            </w:r>
          </w:p>
        </w:tc>
        <w:tc>
          <w:tcPr>
            <w:tcW w:w="4049" w:type="dxa"/>
            <w:tcBorders>
              <w:top w:val="nil"/>
              <w:left w:val="nil"/>
              <w:bottom w:val="single" w:color="auto" w:sz="4" w:space="0"/>
              <w:right w:val="single" w:color="auto" w:sz="4" w:space="0"/>
            </w:tcBorders>
            <w:shd w:val="clear" w:color="auto" w:fill="auto"/>
            <w:vAlign w:val="center"/>
          </w:tcPr>
          <w:p w14:paraId="0C32CEF6">
            <w:pPr>
              <w:rPr>
                <w:rFonts w:hint="eastAsia"/>
                <w:sz w:val="22"/>
                <w:szCs w:val="24"/>
              </w:rPr>
            </w:pPr>
            <w:r>
              <w:rPr>
                <w:rFonts w:hint="eastAsia"/>
                <w:sz w:val="22"/>
                <w:szCs w:val="24"/>
              </w:rPr>
              <w:t>中低收入家庭的市场渗透率相对较低，但随着价格亲民产品的推出，逐渐增长</w:t>
            </w:r>
          </w:p>
        </w:tc>
      </w:tr>
      <w:tr w14:paraId="0B8339FF">
        <w:tblPrEx>
          <w:tblCellMar>
            <w:top w:w="0" w:type="dxa"/>
            <w:left w:w="108" w:type="dxa"/>
            <w:bottom w:w="0" w:type="dxa"/>
            <w:right w:w="108" w:type="dxa"/>
          </w:tblCellMar>
        </w:tblPrEx>
        <w:trPr>
          <w:trHeight w:val="705" w:hRule="atLeast"/>
          <w:jc w:val="center"/>
        </w:trPr>
        <w:tc>
          <w:tcPr>
            <w:tcW w:w="4049" w:type="dxa"/>
            <w:tcBorders>
              <w:top w:val="nil"/>
              <w:left w:val="single" w:color="auto" w:sz="4" w:space="0"/>
              <w:bottom w:val="single" w:color="auto" w:sz="4" w:space="0"/>
              <w:right w:val="single" w:color="auto" w:sz="4" w:space="0"/>
            </w:tcBorders>
            <w:shd w:val="clear" w:color="auto" w:fill="auto"/>
            <w:vAlign w:val="center"/>
          </w:tcPr>
          <w:p w14:paraId="6DC3AA43">
            <w:pPr>
              <w:rPr>
                <w:rFonts w:hint="eastAsia"/>
                <w:sz w:val="22"/>
                <w:szCs w:val="24"/>
              </w:rPr>
            </w:pPr>
            <w:r>
              <w:rPr>
                <w:rFonts w:hint="eastAsia"/>
                <w:sz w:val="22"/>
                <w:szCs w:val="24"/>
              </w:rPr>
              <w:t>低端市场潜力</w:t>
            </w:r>
          </w:p>
        </w:tc>
        <w:tc>
          <w:tcPr>
            <w:tcW w:w="4049" w:type="dxa"/>
            <w:tcBorders>
              <w:top w:val="nil"/>
              <w:left w:val="nil"/>
              <w:bottom w:val="single" w:color="auto" w:sz="4" w:space="0"/>
              <w:right w:val="single" w:color="auto" w:sz="4" w:space="0"/>
            </w:tcBorders>
            <w:shd w:val="clear" w:color="auto" w:fill="auto"/>
            <w:vAlign w:val="center"/>
          </w:tcPr>
          <w:p w14:paraId="46A07054">
            <w:pPr>
              <w:rPr>
                <w:rFonts w:hint="eastAsia"/>
                <w:sz w:val="22"/>
                <w:szCs w:val="24"/>
              </w:rPr>
            </w:pPr>
            <w:r>
              <w:rPr>
                <w:rFonts w:hint="eastAsia"/>
                <w:sz w:val="22"/>
                <w:szCs w:val="24"/>
              </w:rPr>
              <w:t>随着性价比高的产品进入市场，低端市场逐渐显现增长潜力</w:t>
            </w:r>
          </w:p>
        </w:tc>
      </w:tr>
    </w:tbl>
    <w:p w14:paraId="3CF48BC3">
      <w:pPr>
        <w:widowControl/>
        <w:jc w:val="center"/>
        <w:rPr>
          <w:rFonts w:ascii="宋体" w:hAnsi="宋体" w:eastAsia="宋体" w:cs="宋体"/>
          <w:color w:val="000000"/>
          <w:kern w:val="0"/>
          <w:szCs w:val="21"/>
          <w14:ligatures w14:val="none"/>
        </w:rPr>
      </w:pPr>
      <w:r>
        <w:rPr>
          <w:rFonts w:hint="eastAsia" w:ascii="宋体" w:hAnsi="宋体" w:eastAsia="宋体" w:cs="宋体"/>
          <w:color w:val="000000"/>
          <w:kern w:val="0"/>
          <w:szCs w:val="21"/>
          <w14:ligatures w14:val="none"/>
        </w:rPr>
        <w:t>表2</w:t>
      </w:r>
      <w:r>
        <w:rPr>
          <w:rFonts w:ascii="宋体" w:hAnsi="宋体" w:eastAsia="宋体" w:cs="宋体"/>
          <w:color w:val="000000"/>
          <w:kern w:val="0"/>
          <w:szCs w:val="21"/>
          <w14:ligatures w14:val="none"/>
        </w:rPr>
        <w:t xml:space="preserve"> </w:t>
      </w:r>
      <w:r>
        <w:rPr>
          <w:rFonts w:ascii="宋体" w:hAnsi="宋体" w:eastAsia="宋体" w:cs="宋体"/>
          <w:b/>
          <w:bCs/>
          <w:color w:val="000000"/>
          <w:kern w:val="0"/>
          <w:szCs w:val="21"/>
          <w14:ligatures w14:val="none"/>
        </w:rPr>
        <w:t>美国电动牙刷市场</w:t>
      </w:r>
      <w:r>
        <w:rPr>
          <w:rFonts w:ascii="宋体" w:hAnsi="宋体" w:eastAsia="宋体" w:cs="宋体"/>
          <w:color w:val="000000"/>
          <w:kern w:val="0"/>
          <w:szCs w:val="21"/>
          <w14:ligatures w14:val="none"/>
        </w:rPr>
        <w:t>的消费能力和人均支出相关数据</w:t>
      </w:r>
    </w:p>
    <w:p w14:paraId="312A6359">
      <w:pPr>
        <w:pStyle w:val="16"/>
        <w:numPr>
          <w:ilvl w:val="0"/>
          <w:numId w:val="7"/>
        </w:numPr>
        <w:ind w:firstLineChars="0"/>
        <w:rPr>
          <w:rFonts w:hint="eastAsia"/>
          <w:sz w:val="22"/>
          <w:szCs w:val="22"/>
        </w:rPr>
      </w:pPr>
      <w:r>
        <w:rPr>
          <w:rFonts w:hint="eastAsia"/>
          <w:sz w:val="22"/>
          <w:szCs w:val="22"/>
        </w:rPr>
        <w:t>市场环境：</w:t>
      </w:r>
    </w:p>
    <w:p w14:paraId="2417D5D7">
      <w:pPr>
        <w:ind w:firstLine="420"/>
        <w:rPr>
          <w:rFonts w:hint="eastAsia"/>
        </w:rPr>
      </w:pPr>
      <w:r>
        <w:rPr>
          <w:rFonts w:hint="eastAsia"/>
        </w:rPr>
        <w:t>在北美市场，电动牙刷的竞争异常激烈，主要品牌如飞利浦、欧乐</w:t>
      </w:r>
      <w:r>
        <w:t>B、松下、雷明顿等在市场上占据主导地位。飞利浦通过其Sonicare系列，凭借声波技术的优势，成为高端市场的领导者；欧乐B则通过创新功能，如蓝牙连接、智能反馈等，与飞利浦竞争，尤其是通过智能手机应用追踪刷牙数据，吸引了注重个性化护理的消费者。其他如松下、雷明顿等品牌则更多地集中在中低端市场，提供性价比高的产品，吸引预算有限的消费者。新兴品牌如秀科（Shark）则借助简洁高效且价格亲民的产品，迅速占领低端市场，满足价格敏感型消费者的需求。品牌之间的竞争</w:t>
      </w:r>
      <w:r>
        <w:rPr>
          <w:rFonts w:hint="eastAsia"/>
        </w:rPr>
        <w:t>不仅仅体现在基础清洁功能上，还通过创新的附加功能，如智能感应、定时提醒、压力感应等技术提升用户体验，进一步吸引消费者。</w:t>
      </w:r>
    </w:p>
    <w:p w14:paraId="0D957F94">
      <w:pPr>
        <w:ind w:firstLine="420"/>
        <w:rPr>
          <w:rFonts w:hint="eastAsia"/>
        </w:rPr>
      </w:pPr>
      <w:r>
        <w:rPr>
          <w:rFonts w:hint="eastAsia"/>
        </w:rPr>
        <w:t>消费者对于电动牙刷的需求已经不仅仅停留在基本的清洁功能上，越来越多的消费者开始注重产品的附加功能，如智能反馈、蓝牙连接等。智能化的电动牙刷能够通过手机应用跟踪刷牙进度和效果，甚至根据个人刷牙习惯提供改进建议，这种个性化的体验吸引了大量消费者，尤其是在追求更高生活品质的中高端群体中。另外，随着环保意识的提升，消费者对电动牙刷的材质和可持续性也更加关注。许多品牌开始推出使用环保材料的电动牙刷，如可回收包装和无塑料设计，以吸引注重环保的年轻消费者。与此同时，市场上对低价高效的电动牙刷需求也在增长，特别是一些低收入家庭和学生群体，他们更倾向于购买价格亲民、功能简单的电动牙刷。</w:t>
      </w:r>
    </w:p>
    <w:p w14:paraId="07F322A2">
      <w:pPr>
        <w:ind w:firstLine="420"/>
        <w:rPr>
          <w:rFonts w:hint="eastAsia"/>
        </w:rPr>
      </w:pPr>
      <w:r>
        <w:rPr>
          <w:rFonts w:hint="eastAsia"/>
        </w:rPr>
        <w:t>线上零售成为电动牙刷的重要销售渠道，尤其是在</w:t>
      </w:r>
      <w:r>
        <w:t>COVID-19大流行之后，更多消费者转向亚马逊、沃尔玛等电商平台购买电动牙刷。电商平台不仅提供了便捷的购物方式，还通过促销和优惠活动吸引了大量消费者，进一步推动了电动牙刷市场的线上渗透。消费者反馈表明，电动牙刷的清洁效果、舒适性和智能功能成为他们购买的主要考虑因素。许多人表示，智能功能提升了刷牙的互动性和科学性，虽然高端智能电动牙刷的价格较高，但消费者对其额外价值的认可也让其成为市场中的主流产品。</w:t>
      </w:r>
    </w:p>
    <w:p w14:paraId="1314685D">
      <w:pPr>
        <w:ind w:firstLine="420"/>
      </w:pPr>
      <w:r>
        <w:rPr>
          <w:rFonts w:hint="eastAsia"/>
        </w:rPr>
        <w:t>总的来说，电动牙刷市场在北美区域呈现出竞争激烈、功能多样化、价格层次分明的特点，品牌通过不断创新和细分市场满足消费者日益增长的需求，同时线上零售的增长使得更多消费者能够方便地购买到符合自身需求的产品。</w:t>
      </w:r>
    </w:p>
    <w:p w14:paraId="7514815A">
      <w:pPr>
        <w:rPr>
          <w:rFonts w:ascii="宋体" w:hAnsi="宋体" w:eastAsia="宋体"/>
          <w:sz w:val="28"/>
          <w:szCs w:val="28"/>
        </w:rPr>
      </w:pPr>
    </w:p>
    <w:p w14:paraId="61275799">
      <w:pPr>
        <w:rPr>
          <w:rFonts w:ascii="宋体" w:hAnsi="宋体" w:eastAsia="宋体"/>
          <w:sz w:val="28"/>
          <w:szCs w:val="28"/>
        </w:rPr>
      </w:pPr>
    </w:p>
    <w:p w14:paraId="3711026F">
      <w:pPr>
        <w:rPr>
          <w:rFonts w:ascii="宋体" w:hAnsi="宋体" w:eastAsia="宋体"/>
          <w:sz w:val="28"/>
          <w:szCs w:val="28"/>
        </w:rPr>
      </w:pPr>
    </w:p>
    <w:p w14:paraId="6BF6BA9C">
      <w:pPr>
        <w:pStyle w:val="16"/>
        <w:numPr>
          <w:ilvl w:val="0"/>
          <w:numId w:val="6"/>
        </w:numPr>
        <w:ind w:firstLineChars="0"/>
        <w:rPr>
          <w:rFonts w:ascii="宋体" w:hAnsi="宋体" w:eastAsia="宋体"/>
          <w:sz w:val="28"/>
          <w:szCs w:val="28"/>
        </w:rPr>
      </w:pPr>
      <w:r>
        <w:rPr>
          <w:rFonts w:hint="eastAsia" w:ascii="宋体" w:hAnsi="宋体" w:eastAsia="宋体"/>
          <w:sz w:val="28"/>
          <w:szCs w:val="28"/>
        </w:rPr>
        <w:t>北欧区域行业背景分析：</w:t>
      </w:r>
    </w:p>
    <w:p w14:paraId="4B51BAC0">
      <w:pPr>
        <w:pStyle w:val="16"/>
        <w:numPr>
          <w:ilvl w:val="0"/>
          <w:numId w:val="8"/>
        </w:numPr>
        <w:ind w:firstLineChars="0"/>
        <w:rPr>
          <w:rFonts w:hint="eastAsia"/>
        </w:rPr>
      </w:pPr>
      <w:r>
        <w:rPr>
          <w:rFonts w:hint="eastAsia"/>
        </w:rPr>
        <w:t>贸易政策（关税</w:t>
      </w:r>
      <w:r>
        <w:t>/壁垒）：</w:t>
      </w:r>
    </w:p>
    <w:p w14:paraId="2ECD4E7D">
      <w:pPr>
        <w:ind w:firstLine="400" w:firstLineChars="200"/>
      </w:pPr>
      <w:r>
        <w:rPr>
          <w:rFonts w:hint="eastAsia"/>
        </w:rPr>
        <w:t>北欧市场凭借强大的消费能力、完善的电商基础设施及鲜明的消费偏好，成为电动牙刷出海的优质目的地，但也存在严格的政策规范与独特的市场适配要求。</w:t>
      </w:r>
    </w:p>
    <w:p w14:paraId="22391E0E">
      <w:pPr>
        <w:ind w:firstLine="400" w:firstLineChars="200"/>
      </w:pPr>
      <w:r>
        <w:rPr>
          <w:rFonts w:hint="eastAsia"/>
        </w:rPr>
        <w:t>贸易政策与合规环境严格，是进入北欧市场的首要门槛。北欧各国均属于欧盟单一市场，需严格遵循欧盟相关法规，同时部分国家有特殊要求.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32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72B05F6">
            <w:pPr>
              <w:rPr>
                <w:sz w:val="22"/>
                <w:szCs w:val="24"/>
              </w:rPr>
            </w:pPr>
          </w:p>
        </w:tc>
        <w:tc>
          <w:tcPr>
            <w:tcW w:w="2074" w:type="dxa"/>
          </w:tcPr>
          <w:p w14:paraId="3193E2A2">
            <w:pPr>
              <w:rPr>
                <w:sz w:val="22"/>
                <w:szCs w:val="24"/>
              </w:rPr>
            </w:pPr>
            <w:r>
              <w:rPr>
                <w:rFonts w:hint="eastAsia"/>
                <w:sz w:val="22"/>
                <w:szCs w:val="24"/>
              </w:rPr>
              <w:t>关税</w:t>
            </w:r>
          </w:p>
        </w:tc>
        <w:tc>
          <w:tcPr>
            <w:tcW w:w="2074" w:type="dxa"/>
          </w:tcPr>
          <w:p w14:paraId="6808F0B2">
            <w:pPr>
              <w:rPr>
                <w:sz w:val="22"/>
                <w:szCs w:val="24"/>
              </w:rPr>
            </w:pPr>
            <w:r>
              <w:rPr>
                <w:rFonts w:hint="eastAsia"/>
                <w:sz w:val="22"/>
                <w:szCs w:val="24"/>
              </w:rPr>
              <w:t>VAT</w:t>
            </w:r>
          </w:p>
        </w:tc>
        <w:tc>
          <w:tcPr>
            <w:tcW w:w="2074" w:type="dxa"/>
          </w:tcPr>
          <w:p w14:paraId="28E32A09">
            <w:pPr>
              <w:rPr>
                <w:sz w:val="22"/>
                <w:szCs w:val="24"/>
              </w:rPr>
            </w:pPr>
            <w:r>
              <w:rPr>
                <w:rFonts w:hint="eastAsia"/>
                <w:sz w:val="22"/>
                <w:szCs w:val="24"/>
              </w:rPr>
              <w:t>CE+ROSH认证</w:t>
            </w:r>
          </w:p>
        </w:tc>
      </w:tr>
      <w:tr w14:paraId="30B5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1BA63FD">
            <w:pPr>
              <w:rPr>
                <w:sz w:val="22"/>
                <w:szCs w:val="24"/>
              </w:rPr>
            </w:pPr>
            <w:r>
              <w:rPr>
                <w:rFonts w:hint="eastAsia"/>
                <w:sz w:val="22"/>
                <w:szCs w:val="24"/>
              </w:rPr>
              <w:t>瑞典</w:t>
            </w:r>
          </w:p>
        </w:tc>
        <w:tc>
          <w:tcPr>
            <w:tcW w:w="2074" w:type="dxa"/>
          </w:tcPr>
          <w:p w14:paraId="5B6E439F">
            <w:pPr>
              <w:rPr>
                <w:sz w:val="22"/>
                <w:szCs w:val="24"/>
              </w:rPr>
            </w:pPr>
            <w:r>
              <w:rPr>
                <w:rFonts w:hint="eastAsia"/>
                <w:sz w:val="22"/>
                <w:szCs w:val="24"/>
              </w:rPr>
              <w:t>0%</w:t>
            </w:r>
          </w:p>
        </w:tc>
        <w:tc>
          <w:tcPr>
            <w:tcW w:w="2074" w:type="dxa"/>
          </w:tcPr>
          <w:p w14:paraId="6531F556">
            <w:pPr>
              <w:rPr>
                <w:sz w:val="22"/>
                <w:szCs w:val="24"/>
              </w:rPr>
            </w:pPr>
            <w:r>
              <w:rPr>
                <w:rFonts w:hint="eastAsia"/>
                <w:sz w:val="22"/>
                <w:szCs w:val="24"/>
              </w:rPr>
              <w:t>25%</w:t>
            </w:r>
          </w:p>
        </w:tc>
        <w:tc>
          <w:tcPr>
            <w:tcW w:w="2074" w:type="dxa"/>
          </w:tcPr>
          <w:p w14:paraId="0CDDF4BD">
            <w:pPr>
              <w:rPr>
                <w:sz w:val="22"/>
                <w:szCs w:val="24"/>
              </w:rPr>
            </w:pPr>
            <w:r>
              <w:rPr>
                <w:rFonts w:hint="eastAsia"/>
                <w:sz w:val="22"/>
                <w:szCs w:val="24"/>
              </w:rPr>
              <w:t>是</w:t>
            </w:r>
          </w:p>
        </w:tc>
      </w:tr>
      <w:tr w14:paraId="142C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E2AD93F">
            <w:pPr>
              <w:rPr>
                <w:sz w:val="22"/>
                <w:szCs w:val="24"/>
              </w:rPr>
            </w:pPr>
            <w:r>
              <w:rPr>
                <w:rFonts w:hint="eastAsia"/>
                <w:sz w:val="22"/>
                <w:szCs w:val="24"/>
              </w:rPr>
              <w:t>挪威</w:t>
            </w:r>
          </w:p>
        </w:tc>
        <w:tc>
          <w:tcPr>
            <w:tcW w:w="2074" w:type="dxa"/>
          </w:tcPr>
          <w:p w14:paraId="7E158BC3">
            <w:pPr>
              <w:rPr>
                <w:sz w:val="22"/>
                <w:szCs w:val="24"/>
              </w:rPr>
            </w:pPr>
            <w:r>
              <w:rPr>
                <w:rFonts w:hint="eastAsia"/>
                <w:sz w:val="22"/>
                <w:szCs w:val="24"/>
              </w:rPr>
              <w:t>起征点28欧元</w:t>
            </w:r>
          </w:p>
        </w:tc>
        <w:tc>
          <w:tcPr>
            <w:tcW w:w="2074" w:type="dxa"/>
          </w:tcPr>
          <w:p w14:paraId="79E4355C">
            <w:pPr>
              <w:rPr>
                <w:sz w:val="22"/>
                <w:szCs w:val="24"/>
              </w:rPr>
            </w:pPr>
            <w:r>
              <w:rPr>
                <w:rFonts w:hint="eastAsia"/>
                <w:sz w:val="22"/>
                <w:szCs w:val="24"/>
              </w:rPr>
              <w:t>25%</w:t>
            </w:r>
          </w:p>
        </w:tc>
        <w:tc>
          <w:tcPr>
            <w:tcW w:w="2074" w:type="dxa"/>
          </w:tcPr>
          <w:p w14:paraId="2A116DDB">
            <w:pPr>
              <w:rPr>
                <w:sz w:val="22"/>
                <w:szCs w:val="24"/>
              </w:rPr>
            </w:pPr>
            <w:r>
              <w:rPr>
                <w:rFonts w:hint="eastAsia"/>
                <w:sz w:val="22"/>
                <w:szCs w:val="24"/>
              </w:rPr>
              <w:t>是</w:t>
            </w:r>
          </w:p>
        </w:tc>
      </w:tr>
      <w:tr w14:paraId="72C6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387032">
            <w:pPr>
              <w:rPr>
                <w:sz w:val="22"/>
                <w:szCs w:val="24"/>
              </w:rPr>
            </w:pPr>
            <w:r>
              <w:rPr>
                <w:rFonts w:hint="eastAsia"/>
                <w:sz w:val="22"/>
                <w:szCs w:val="24"/>
              </w:rPr>
              <w:t>丹麦</w:t>
            </w:r>
          </w:p>
        </w:tc>
        <w:tc>
          <w:tcPr>
            <w:tcW w:w="2074" w:type="dxa"/>
          </w:tcPr>
          <w:p w14:paraId="2D046789">
            <w:pPr>
              <w:rPr>
                <w:sz w:val="22"/>
                <w:szCs w:val="24"/>
              </w:rPr>
            </w:pPr>
            <w:r>
              <w:rPr>
                <w:rFonts w:hint="eastAsia"/>
                <w:sz w:val="22"/>
                <w:szCs w:val="24"/>
              </w:rPr>
              <w:t>0%</w:t>
            </w:r>
          </w:p>
        </w:tc>
        <w:tc>
          <w:tcPr>
            <w:tcW w:w="2074" w:type="dxa"/>
          </w:tcPr>
          <w:p w14:paraId="1FDADB9F">
            <w:pPr>
              <w:rPr>
                <w:sz w:val="22"/>
                <w:szCs w:val="24"/>
              </w:rPr>
            </w:pPr>
            <w:r>
              <w:rPr>
                <w:rFonts w:hint="eastAsia"/>
                <w:sz w:val="22"/>
                <w:szCs w:val="24"/>
              </w:rPr>
              <w:t>25%</w:t>
            </w:r>
          </w:p>
        </w:tc>
        <w:tc>
          <w:tcPr>
            <w:tcW w:w="2074" w:type="dxa"/>
          </w:tcPr>
          <w:p w14:paraId="6BA1823C">
            <w:pPr>
              <w:rPr>
                <w:sz w:val="22"/>
                <w:szCs w:val="24"/>
              </w:rPr>
            </w:pPr>
            <w:r>
              <w:rPr>
                <w:rFonts w:hint="eastAsia"/>
                <w:sz w:val="22"/>
                <w:szCs w:val="24"/>
              </w:rPr>
              <w:t>是</w:t>
            </w:r>
          </w:p>
        </w:tc>
      </w:tr>
      <w:tr w14:paraId="2D56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99F41D">
            <w:pPr>
              <w:rPr>
                <w:sz w:val="22"/>
                <w:szCs w:val="24"/>
              </w:rPr>
            </w:pPr>
            <w:r>
              <w:rPr>
                <w:rFonts w:hint="eastAsia"/>
                <w:sz w:val="22"/>
                <w:szCs w:val="24"/>
              </w:rPr>
              <w:t>芬兰</w:t>
            </w:r>
          </w:p>
        </w:tc>
        <w:tc>
          <w:tcPr>
            <w:tcW w:w="2074" w:type="dxa"/>
          </w:tcPr>
          <w:p w14:paraId="5D7C36A3">
            <w:pPr>
              <w:rPr>
                <w:sz w:val="22"/>
                <w:szCs w:val="24"/>
              </w:rPr>
            </w:pPr>
            <w:r>
              <w:rPr>
                <w:rFonts w:hint="eastAsia"/>
                <w:sz w:val="22"/>
                <w:szCs w:val="24"/>
              </w:rPr>
              <w:t>0%</w:t>
            </w:r>
          </w:p>
        </w:tc>
        <w:tc>
          <w:tcPr>
            <w:tcW w:w="2074" w:type="dxa"/>
          </w:tcPr>
          <w:p w14:paraId="0BBA1F20">
            <w:pPr>
              <w:rPr>
                <w:sz w:val="22"/>
                <w:szCs w:val="24"/>
              </w:rPr>
            </w:pPr>
            <w:r>
              <w:rPr>
                <w:rFonts w:hint="eastAsia"/>
                <w:sz w:val="22"/>
                <w:szCs w:val="24"/>
              </w:rPr>
              <w:t>24%</w:t>
            </w:r>
          </w:p>
        </w:tc>
        <w:tc>
          <w:tcPr>
            <w:tcW w:w="2074" w:type="dxa"/>
          </w:tcPr>
          <w:p w14:paraId="262563C2">
            <w:pPr>
              <w:rPr>
                <w:sz w:val="22"/>
                <w:szCs w:val="24"/>
              </w:rPr>
            </w:pPr>
            <w:r>
              <w:rPr>
                <w:rFonts w:hint="eastAsia"/>
                <w:sz w:val="22"/>
                <w:szCs w:val="24"/>
              </w:rPr>
              <w:t>是</w:t>
            </w:r>
          </w:p>
        </w:tc>
      </w:tr>
    </w:tbl>
    <w:p w14:paraId="50B1D5D5">
      <w:pPr>
        <w:ind w:firstLine="400" w:firstLineChars="200"/>
      </w:pPr>
    </w:p>
    <w:p w14:paraId="315C8EAF">
      <w:pPr>
        <w:ind w:firstLine="400" w:firstLineChars="200"/>
      </w:pPr>
      <w:r>
        <w:rPr>
          <w:rFonts w:hint="eastAsia"/>
        </w:rPr>
        <w:t>其中，挪威虽非欧盟成员国，但需遵循欧盟多数产品安全标准，且有独立的环保认证体系。（数据来源：</w:t>
      </w:r>
      <w:r>
        <w:t>时必达跨境物流</w:t>
      </w:r>
      <w:r>
        <w:rPr>
          <w:rFonts w:hint="eastAsia"/>
        </w:rPr>
        <w:t>）</w:t>
      </w:r>
    </w:p>
    <w:p w14:paraId="1D461DB5">
      <w:pPr>
        <w:ind w:firstLine="400" w:firstLineChars="200"/>
        <w:rPr>
          <w:rFonts w:hint="eastAsia"/>
        </w:rPr>
      </w:pPr>
    </w:p>
    <w:p w14:paraId="12929594">
      <w:pPr>
        <w:pStyle w:val="16"/>
        <w:numPr>
          <w:ilvl w:val="0"/>
          <w:numId w:val="8"/>
        </w:numPr>
        <w:ind w:firstLineChars="0"/>
        <w:rPr>
          <w:rFonts w:hint="eastAsia"/>
        </w:rPr>
      </w:pPr>
      <w:r>
        <w:rPr>
          <w:rFonts w:hint="eastAsia"/>
        </w:rPr>
        <w:t>消费能力（人均支出）：</w:t>
      </w:r>
    </w:p>
    <w:p w14:paraId="77E75ACC">
      <w:pPr>
        <w:ind w:firstLine="400" w:firstLineChars="200"/>
      </w:pPr>
      <w:r>
        <w:rPr>
          <w:rFonts w:hint="eastAsia"/>
        </w:rPr>
        <w:t xml:space="preserve"> 北欧各国人均可支配收入位居全球前列，2024年瑞典、挪威、丹麦人均可支配收入分别为55279欧元，92383欧元和51615欧元。对应到口腔护理领域，人均年支出达280欧元（</w:t>
      </w:r>
      <w:r>
        <w:t>参考冰岛家庭月支出25欧元（年300欧元）推算</w:t>
      </w:r>
      <w:r>
        <w:rPr>
          <w:rFonts w:hint="eastAsia"/>
        </w:rPr>
        <w:t>），远高于全球平均水平，且超过60%的消费者愿意为环保型口腔护理产品支付溢价。（数据来源：世界银行）。</w:t>
      </w:r>
    </w:p>
    <w:p w14:paraId="7774E2FC">
      <w:pPr>
        <w:ind w:firstLine="400" w:firstLineChars="200"/>
      </w:pPr>
      <w:r>
        <w:rPr>
          <w:rFonts w:hint="eastAsia"/>
        </w:rPr>
        <w:t>同时，北欧跨境电商市场规模增长迅猛，2024年已达120亿欧元，年复合增长率超8.8%，线上购物占比超45%，移动电商交易额占比达58%，为电动牙刷线上布局提供了广阔空间。（数据来源：</w:t>
      </w:r>
      <w:r>
        <w:t>Euromonitor）</w:t>
      </w:r>
      <w:r>
        <w:rPr>
          <w:rFonts w:hint="eastAsia"/>
        </w:rPr>
        <w:t>。</w:t>
      </w:r>
    </w:p>
    <w:p w14:paraId="36602123">
      <w:pPr>
        <w:ind w:firstLine="400" w:firstLineChars="200"/>
        <w:rPr>
          <w:rFonts w:hint="eastAsia"/>
        </w:rPr>
      </w:pPr>
    </w:p>
    <w:p w14:paraId="6E3BD829">
      <w:pPr>
        <w:pStyle w:val="16"/>
        <w:numPr>
          <w:ilvl w:val="0"/>
          <w:numId w:val="8"/>
        </w:numPr>
        <w:ind w:firstLineChars="0"/>
        <w:rPr>
          <w:rFonts w:hint="eastAsia" w:ascii="宋体" w:hAnsi="宋体" w:eastAsia="宋体"/>
          <w:sz w:val="28"/>
          <w:szCs w:val="28"/>
        </w:rPr>
      </w:pPr>
      <w:r>
        <w:rPr>
          <w:rFonts w:hint="eastAsia"/>
        </w:rPr>
        <w:t>市场环境</w:t>
      </w:r>
      <w:r>
        <w:rPr>
          <w:rFonts w:hint="eastAsia" w:ascii="宋体" w:hAnsi="宋体" w:eastAsia="宋体"/>
          <w:sz w:val="28"/>
          <w:szCs w:val="28"/>
        </w:rPr>
        <w:t>：</w:t>
      </w:r>
    </w:p>
    <w:p w14:paraId="3C3CC236">
      <w:pPr>
        <w:ind w:firstLine="400" w:firstLineChars="200"/>
      </w:pPr>
      <w:r>
        <w:rPr>
          <w:rFonts w:hint="eastAsia"/>
        </w:rPr>
        <w:t>市场环境凸显环保与极简主义导向。北欧各国环保意识极强，政府出台多项政策推动绿色产业发展，如芬兰《2025-2030年国家绿色技术创新计划》明确支持电动牙刷等家电的智能化与节能化研发。消费者在选购时，除关注产品功能外，还高度重视环保包装、可回收结构及极简设计风格，极简人体工学设计的产品更易获得市场认可。此外，北欧电商基础设施完善，物流效率高，多数跨境电商平台可实现次日达服务，这对产品的仓储与配送时效提出了较高要求。</w:t>
      </w:r>
    </w:p>
    <w:p w14:paraId="05072683">
      <w:pPr>
        <w:ind w:firstLine="400" w:firstLineChars="200"/>
      </w:pPr>
      <w:r>
        <w:rPr>
          <w:rFonts w:hint="eastAsia"/>
        </w:rPr>
        <w:t>存在特殊的本地化适配要求。语言方面，需在产品标签、说明书及营销材料中提供瑞典语、挪威语、丹麦语、芬兰语及英语多语言版本；包装方面，需严格遵循各国包装回收政策，采用可降解或可回收材料，标注清晰的回收标识；电压方面，北欧统一采用230V/50Hz电压标准，需配备Type C/F插头，确保产品适配本地使用环境。</w:t>
      </w:r>
    </w:p>
    <w:p w14:paraId="43206C65">
      <w:pPr>
        <w:pStyle w:val="16"/>
        <w:ind w:left="0" w:leftChars="0" w:firstLine="400" w:firstLineChars="200"/>
        <w:rPr>
          <w:rFonts w:hint="eastAsia"/>
        </w:rPr>
      </w:pPr>
    </w:p>
    <w:p w14:paraId="563117F5">
      <w:pPr>
        <w:pStyle w:val="16"/>
        <w:ind w:left="0" w:leftChars="0" w:firstLine="400" w:firstLineChars="200"/>
        <w:rPr>
          <w:rFonts w:hint="eastAsia"/>
        </w:rPr>
      </w:pPr>
    </w:p>
    <w:p w14:paraId="59F88F25">
      <w:pPr>
        <w:pStyle w:val="16"/>
        <w:ind w:left="0" w:leftChars="0" w:firstLine="400" w:firstLineChars="200"/>
        <w:rPr>
          <w:rFonts w:hint="eastAsia"/>
        </w:rPr>
      </w:pPr>
    </w:p>
    <w:p w14:paraId="6E10F1A8">
      <w:pPr>
        <w:pStyle w:val="16"/>
        <w:ind w:left="0" w:leftChars="0" w:firstLine="400" w:firstLineChars="200"/>
        <w:rPr>
          <w:rFonts w:hint="eastAsia"/>
        </w:rPr>
      </w:pPr>
    </w:p>
    <w:p w14:paraId="6E0123A4">
      <w:pPr>
        <w:pStyle w:val="16"/>
        <w:ind w:left="0" w:leftChars="0" w:firstLine="400" w:firstLineChars="200"/>
        <w:rPr>
          <w:rFonts w:hint="eastAsia"/>
        </w:rPr>
      </w:pPr>
    </w:p>
    <w:p w14:paraId="46399AE7">
      <w:pPr>
        <w:pStyle w:val="16"/>
        <w:ind w:left="0" w:leftChars="0" w:firstLine="400" w:firstLineChars="200"/>
        <w:rPr>
          <w:rFonts w:hint="eastAsia"/>
        </w:rPr>
      </w:pPr>
    </w:p>
    <w:p w14:paraId="3A4631C6">
      <w:pPr>
        <w:pStyle w:val="16"/>
        <w:ind w:firstLine="400" w:firstLineChars="200"/>
      </w:pPr>
    </w:p>
    <w:p w14:paraId="3AA286E4">
      <w:pPr>
        <w:pStyle w:val="16"/>
        <w:ind w:firstLine="400" w:firstLineChars="200"/>
      </w:pPr>
      <w:r>
        <w:rPr>
          <w:rFonts w:hint="eastAsia"/>
        </w:rPr>
        <w:t>欧洲市场作为核心增长极，贡献显著，2025年欧洲电动牙刷市场规模为15.86亿美元</w:t>
      </w:r>
      <w:r>
        <w:t>，预计2033年将达到</w:t>
      </w:r>
      <w:r>
        <w:rPr>
          <w:rFonts w:hint="eastAsia"/>
        </w:rPr>
        <w:t>26</w:t>
      </w:r>
      <w:r>
        <w:t>亿美元，年均增长率约为</w:t>
      </w:r>
      <w:r>
        <w:rPr>
          <w:rFonts w:hint="eastAsia"/>
        </w:rPr>
        <w:t>6.36</w:t>
      </w:r>
      <w:r>
        <w:t>%，占全球市场份额超</w:t>
      </w:r>
      <w:r>
        <w:rPr>
          <w:rFonts w:hint="eastAsia"/>
        </w:rPr>
        <w:t>26.89</w:t>
      </w:r>
      <w:r>
        <w:t>%。</w:t>
      </w:r>
      <w:r>
        <w:rPr>
          <w:rFonts w:hint="eastAsia"/>
        </w:rPr>
        <w:t>（数据来源：</w:t>
      </w:r>
      <w:r>
        <w:t>Cognitive Market Research</w:t>
      </w:r>
      <w:r>
        <w:rPr>
          <w:rFonts w:hint="eastAsia"/>
        </w:rPr>
        <w:t>）</w:t>
      </w:r>
      <w:r>
        <w:rPr>
          <w:rFonts w:ascii="Times New Roman" w:hAnsi="Times New Roman" w:cs="Times New Roman"/>
        </w:rPr>
        <w:t>​</w:t>
      </w:r>
    </w:p>
    <w:p w14:paraId="26D18F6D">
      <w:pPr>
        <w:pStyle w:val="16"/>
        <w:ind w:firstLine="400" w:firstLineChars="200"/>
      </w:pPr>
      <w:r>
        <w:rPr>
          <w:rFonts w:hint="eastAsia"/>
        </w:rPr>
        <w:t>技术迭代方面，电动牙刷正朝着智能化、高效化与环保化方向深度演进。智能感应技术、APP互联功能及口腔健康监测模块成为高端产品核心配置，部分品牌已集成AI语音助手，可实时反馈刷牙习惯并提供个性化护理建议。电机效率与电池续航能力持续升级，无线充电技术应用愈发广泛，大幅提升用户体验。</w:t>
      </w:r>
    </w:p>
    <w:p w14:paraId="658247D0">
      <w:pPr>
        <w:pStyle w:val="16"/>
        <w:ind w:firstLine="400" w:firstLineChars="200"/>
      </w:pPr>
      <w:r>
        <w:rPr>
          <w:rFonts w:hint="eastAsia"/>
        </w:rPr>
        <w:t>同时，环保材料研发加速，可降解塑料、生物基材料及竹制刷头的应用率不断提高，欧盟环保指令推动下，欧洲市场可降解刷柄材料应用率已从2021年的19%升至2025年的41%。产品结构上，声波式与智能电动牙刷增长迅猛，2025年全球市场中旋转式占比</w:t>
      </w:r>
      <w:r>
        <w:t>60%、声波式25%、智能款15%，预计2030年将演变为旋转式50%、声波式30%、智能款20%的格局，北欧市场因消费者对科技感与静音体验的偏好，智能款与声波款增长潜力更突出。</w:t>
      </w:r>
      <w:r>
        <w:rPr>
          <w:rFonts w:ascii="Times New Roman" w:hAnsi="Times New Roman" w:cs="Times New Roman"/>
        </w:rPr>
        <w:t>​</w:t>
      </w:r>
    </w:p>
    <w:p w14:paraId="741E32E0">
      <w:pPr>
        <w:pStyle w:val="16"/>
        <w:rPr>
          <w:rFonts w:hint="eastAsia"/>
        </w:rPr>
      </w:pPr>
      <w:r>
        <w:rPr>
          <w:rFonts w:hint="eastAsia"/>
        </w:rPr>
        <w:t>电商渠道成为行业增长核心引擎，尤其在北欧地区，数字化消费习惯成熟，线上零售渗透率远高于全球平均水平，为电动牙刷跨境销售提供了良好基础。</w:t>
      </w:r>
    </w:p>
    <w:p w14:paraId="09678AB1">
      <w:pPr>
        <w:pStyle w:val="16"/>
        <w:rPr>
          <w:rFonts w:hint="eastAsia"/>
        </w:rPr>
      </w:pPr>
    </w:p>
    <w:p w14:paraId="4D9264BB">
      <w:pPr>
        <w:rPr>
          <w:rFonts w:hint="eastAsia" w:ascii="Arial" w:hAnsi="Arial" w:eastAsia="等线" w:cs="Arial"/>
          <w:sz w:val="22"/>
          <w:szCs w:val="22"/>
        </w:rPr>
      </w:pPr>
    </w:p>
    <w:p w14:paraId="2DD66006">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"https://www.grandviewresearch.com/industry-analysis/electric-toothbrush-market" </w:instrText>
      </w:r>
      <w:r>
        <w:rPr>
          <w:rFonts w:hint="eastAsia" w:ascii="Arial" w:hAnsi="Arial" w:eastAsia="等线" w:cs="Arial"/>
          <w:sz w:val="22"/>
          <w:szCs w:val="22"/>
        </w:rPr>
        <w:fldChar w:fldCharType="separate"/>
      </w:r>
      <w:r>
        <w:rPr>
          <w:rFonts w:hint="eastAsia" w:ascii="Arial" w:hAnsi="Arial" w:eastAsia="等线" w:cs="Arial"/>
          <w:sz w:val="22"/>
          <w:szCs w:val="22"/>
        </w:rPr>
        <w:t>https://www.grandviewresearch.com/industry-analysis/electric-toothbrush-market</w:t>
      </w:r>
      <w:r>
        <w:rPr>
          <w:rFonts w:hint="eastAsia" w:ascii="Arial" w:hAnsi="Arial" w:eastAsia="等线" w:cs="Arial"/>
          <w:sz w:val="22"/>
          <w:szCs w:val="22"/>
        </w:rPr>
        <w:fldChar w:fldCharType="end"/>
      </w:r>
    </w:p>
    <w:p w14:paraId="44C130CA">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"https://supplier.alibaba.com/trade/domestic/PX002C9MD.htm" </w:instrText>
      </w:r>
      <w:r>
        <w:rPr>
          <w:rFonts w:hint="eastAsia" w:ascii="Arial" w:hAnsi="Arial" w:eastAsia="等线" w:cs="Arial"/>
          <w:sz w:val="22"/>
          <w:szCs w:val="22"/>
        </w:rPr>
        <w:fldChar w:fldCharType="separate"/>
      </w:r>
      <w:r>
        <w:rPr>
          <w:rFonts w:hint="eastAsia" w:ascii="Arial" w:hAnsi="Arial" w:eastAsia="等线" w:cs="Arial"/>
          <w:sz w:val="22"/>
          <w:szCs w:val="22"/>
        </w:rPr>
        <w:t>https://supplier.alibaba.com/trade/domestic/PX002C9MD.htm</w:t>
      </w:r>
      <w:r>
        <w:rPr>
          <w:rFonts w:hint="eastAsia" w:ascii="Arial" w:hAnsi="Arial" w:eastAsia="等线" w:cs="Arial"/>
          <w:sz w:val="22"/>
          <w:szCs w:val="22"/>
        </w:rPr>
        <w:fldChar w:fldCharType="end"/>
      </w:r>
    </w:p>
    <w:p w14:paraId="73B0F0DF">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"https://dxpress.gelonghui.com/p/3294502" </w:instrText>
      </w:r>
      <w:r>
        <w:rPr>
          <w:rFonts w:hint="eastAsia" w:ascii="Arial" w:hAnsi="Arial" w:eastAsia="等线" w:cs="Arial"/>
          <w:sz w:val="22"/>
          <w:szCs w:val="22"/>
        </w:rPr>
        <w:fldChar w:fldCharType="separate"/>
      </w:r>
      <w:r>
        <w:rPr>
          <w:rFonts w:hint="eastAsia" w:ascii="Arial" w:hAnsi="Arial" w:eastAsia="等线" w:cs="Arial"/>
          <w:sz w:val="22"/>
          <w:szCs w:val="22"/>
        </w:rPr>
        <w:t>https://dxpress.gelonghui.com/p/3294502</w:t>
      </w:r>
      <w:r>
        <w:rPr>
          <w:rFonts w:hint="eastAsia" w:ascii="Arial" w:hAnsi="Arial" w:eastAsia="等线" w:cs="Arial"/>
          <w:sz w:val="22"/>
          <w:szCs w:val="22"/>
        </w:rPr>
        <w:fldChar w:fldCharType="end"/>
      </w:r>
    </w:p>
    <w:p w14:paraId="2C731B32">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"https://dtc.ueeshop.com/news-4322.html?f=&amp;k=-&amp;InfoId=4322" </w:instrText>
      </w:r>
      <w:r>
        <w:rPr>
          <w:rFonts w:hint="eastAsia" w:ascii="Arial" w:hAnsi="Arial" w:eastAsia="等线" w:cs="Arial"/>
          <w:sz w:val="22"/>
          <w:szCs w:val="22"/>
        </w:rPr>
        <w:fldChar w:fldCharType="separate"/>
      </w:r>
      <w:r>
        <w:rPr>
          <w:rFonts w:hint="eastAsia" w:ascii="Arial" w:hAnsi="Arial" w:eastAsia="等线" w:cs="Arial"/>
          <w:sz w:val="22"/>
          <w:szCs w:val="22"/>
        </w:rPr>
        <w:t>https://dtc.ueeshop.com/news-4322.html?f=&amp;k=-&amp;InfoId=4322</w:t>
      </w:r>
      <w:r>
        <w:rPr>
          <w:rFonts w:hint="eastAsia" w:ascii="Arial" w:hAnsi="Arial" w:eastAsia="等线" w:cs="Arial"/>
          <w:sz w:val="22"/>
          <w:szCs w:val="22"/>
        </w:rPr>
        <w:fldChar w:fldCharType="end"/>
      </w:r>
    </w:p>
    <w:p w14:paraId="4BA069B1">
      <w:pPr>
        <w:rPr>
          <w:rFonts w:hint="eastAsia" w:ascii="Arial" w:hAnsi="Arial" w:eastAsia="等线" w:cs="Arial"/>
          <w:sz w:val="22"/>
          <w:szCs w:val="22"/>
        </w:rPr>
      </w:pPr>
      <w:r>
        <w:rPr>
          <w:rFonts w:hint="eastAsia" w:ascii="Arial" w:hAnsi="Arial" w:eastAsia="等线" w:cs="Arial"/>
          <w:sz w:val="22"/>
          <w:szCs w:val="22"/>
        </w:rPr>
        <w:fldChar w:fldCharType="begin"/>
      </w:r>
      <w:r>
        <w:rPr>
          <w:rFonts w:hint="eastAsia" w:ascii="Arial" w:hAnsi="Arial" w:eastAsia="等线" w:cs="Arial"/>
          <w:sz w:val="22"/>
          <w:szCs w:val="22"/>
        </w:rPr>
        <w:instrText xml:space="preserve"> HYPERLINK "https://news.cheaa.com/2025/1128/651314.shtml" </w:instrText>
      </w:r>
      <w:r>
        <w:rPr>
          <w:rFonts w:hint="eastAsia" w:ascii="Arial" w:hAnsi="Arial" w:eastAsia="等线" w:cs="Arial"/>
          <w:sz w:val="22"/>
          <w:szCs w:val="22"/>
        </w:rPr>
        <w:fldChar w:fldCharType="separate"/>
      </w:r>
      <w:r>
        <w:rPr>
          <w:rFonts w:hint="eastAsia" w:ascii="Arial" w:hAnsi="Arial" w:eastAsia="等线" w:cs="Arial"/>
          <w:sz w:val="22"/>
          <w:szCs w:val="22"/>
        </w:rPr>
        <w:t>https://news.cheaa.com/2025/1128/651314.shtml</w:t>
      </w:r>
      <w:r>
        <w:rPr>
          <w:rFonts w:hint="eastAsia" w:ascii="Arial" w:hAnsi="Arial" w:eastAsia="等线" w:cs="Arial"/>
          <w:sz w:val="22"/>
          <w:szCs w:val="22"/>
        </w:rPr>
        <w:fldChar w:fldCharType="end"/>
      </w:r>
    </w:p>
    <w:p w14:paraId="1AD43F38">
      <w:pPr>
        <w:rPr>
          <w:rFonts w:hint="eastAsia" w:ascii="Arial" w:hAnsi="Arial" w:eastAsia="等线" w:cs="Arial"/>
          <w:sz w:val="22"/>
          <w:szCs w:val="22"/>
        </w:rPr>
      </w:pPr>
      <w:r>
        <w:rPr>
          <w:rFonts w:hint="eastAsia" w:ascii="Arial" w:hAnsi="Arial" w:eastAsia="等线" w:cs="Arial"/>
          <w:sz w:val="22"/>
          <w:szCs w:val="22"/>
        </w:rPr>
        <w:t>https://www.fortunebusinessinsights.com/zh/electric-toothbrush-market-106355</w:t>
      </w:r>
    </w:p>
    <w:p w14:paraId="3A734A76">
      <w:pPr>
        <w:rPr>
          <w:rFonts w:hint="eastAsia" w:ascii="Arial" w:hAnsi="Arial" w:eastAsia="等线" w:cs="Arial"/>
          <w:sz w:val="22"/>
          <w:szCs w:val="22"/>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048F4"/>
    <w:multiLevelType w:val="multilevel"/>
    <w:tmpl w:val="018048F4"/>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04AD103E"/>
    <w:multiLevelType w:val="multilevel"/>
    <w:tmpl w:val="04AD103E"/>
    <w:lvl w:ilvl="0" w:tentative="0">
      <w:start w:val="1"/>
      <w:numFmt w:val="japaneseCounting"/>
      <w:lvlText w:val="%1、"/>
      <w:lvlJc w:val="left"/>
      <w:pPr>
        <w:ind w:left="72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37113EC4"/>
    <w:multiLevelType w:val="multilevel"/>
    <w:tmpl w:val="37113EC4"/>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57F759A5"/>
    <w:multiLevelType w:val="multilevel"/>
    <w:tmpl w:val="57F759A5"/>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6CEF6D63"/>
    <w:multiLevelType w:val="multilevel"/>
    <w:tmpl w:val="6CEF6D63"/>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A3C"/>
    <w:rsid w:val="001B05CF"/>
    <w:rsid w:val="0093148F"/>
    <w:rsid w:val="009958A8"/>
    <w:rsid w:val="009D39B9"/>
    <w:rsid w:val="00A3024C"/>
    <w:rsid w:val="00B315EC"/>
    <w:rsid w:val="00BC445B"/>
    <w:rsid w:val="00D25A3C"/>
    <w:rsid w:val="24961A8B"/>
    <w:rsid w:val="3638132D"/>
    <w:rsid w:val="476F764D"/>
    <w:rsid w:val="5C8400C2"/>
    <w:rsid w:val="678D07F2"/>
    <w:rsid w:val="6B2D5908"/>
    <w:rsid w:val="7D650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lang w:val="en-US" w:eastAsia="zh-CN" w:bidi="ar-SA"/>
    </w:rPr>
  </w:style>
  <w:style w:type="paragraph" w:styleId="2">
    <w:name w:val="heading 1"/>
    <w:qFormat/>
    <w:uiPriority w:val="9"/>
    <w:pPr>
      <w:spacing w:before="380" w:after="140" w:line="288" w:lineRule="auto"/>
      <w:outlineLvl w:val="0"/>
    </w:pPr>
    <w:rPr>
      <w:rFonts w:ascii="Arial" w:hAnsi="Arial" w:eastAsia="等线" w:cs="Arial"/>
      <w:b/>
      <w:bCs/>
      <w:sz w:val="36"/>
      <w:szCs w:val="36"/>
      <w:lang w:val="en-US" w:eastAsia="zh-CN" w:bidi="ar-SA"/>
    </w:rPr>
  </w:style>
  <w:style w:type="paragraph" w:styleId="3">
    <w:name w:val="heading 2"/>
    <w:unhideWhenUsed/>
    <w:qFormat/>
    <w:uiPriority w:val="9"/>
    <w:pPr>
      <w:spacing w:before="320" w:after="120" w:line="288" w:lineRule="auto"/>
      <w:outlineLvl w:val="1"/>
    </w:pPr>
    <w:rPr>
      <w:rFonts w:ascii="Arial" w:hAnsi="Arial" w:eastAsia="等线" w:cs="Arial"/>
      <w:b/>
      <w:bCs/>
      <w:sz w:val="32"/>
      <w:szCs w:val="32"/>
      <w:lang w:val="en-US" w:eastAsia="zh-CN" w:bidi="ar-SA"/>
    </w:rPr>
  </w:style>
  <w:style w:type="paragraph" w:styleId="4">
    <w:name w:val="heading 3"/>
    <w:unhideWhenUsed/>
    <w:qFormat/>
    <w:uiPriority w:val="9"/>
    <w:pPr>
      <w:spacing w:before="300" w:after="120" w:line="288" w:lineRule="auto"/>
      <w:outlineLvl w:val="2"/>
    </w:pPr>
    <w:rPr>
      <w:rFonts w:ascii="Arial" w:hAnsi="Arial" w:eastAsia="等线" w:cs="Arial"/>
      <w:b/>
      <w:bCs/>
      <w:sz w:val="30"/>
      <w:szCs w:val="30"/>
      <w:lang w:val="en-US" w:eastAsia="zh-CN" w:bidi="ar-SA"/>
    </w:rPr>
  </w:style>
  <w:style w:type="paragraph" w:styleId="5">
    <w:name w:val="heading 4"/>
    <w:unhideWhenUsed/>
    <w:qFormat/>
    <w:uiPriority w:val="9"/>
    <w:pPr>
      <w:spacing w:before="260" w:after="120" w:line="288" w:lineRule="auto"/>
      <w:outlineLvl w:val="3"/>
    </w:pPr>
    <w:rPr>
      <w:rFonts w:ascii="Arial" w:hAnsi="Arial" w:eastAsia="等线" w:cs="Arial"/>
      <w:b/>
      <w:bCs/>
      <w:sz w:val="28"/>
      <w:szCs w:val="28"/>
      <w:lang w:val="en-US" w:eastAsia="zh-CN" w:bidi="ar-SA"/>
    </w:rPr>
  </w:style>
  <w:style w:type="paragraph" w:styleId="6">
    <w:name w:val="heading 5"/>
    <w:semiHidden/>
    <w:unhideWhenUsed/>
    <w:qFormat/>
    <w:uiPriority w:val="9"/>
    <w:pPr>
      <w:spacing w:before="240" w:after="120" w:line="288" w:lineRule="auto"/>
      <w:outlineLvl w:val="4"/>
    </w:pPr>
    <w:rPr>
      <w:rFonts w:ascii="Arial" w:hAnsi="Arial" w:eastAsia="等线" w:cs="Arial"/>
      <w:b/>
      <w:bCs/>
      <w:sz w:val="24"/>
      <w:szCs w:val="24"/>
      <w:lang w:val="en-US" w:eastAsia="zh-CN" w:bidi="ar-SA"/>
    </w:rPr>
  </w:style>
  <w:style w:type="paragraph" w:styleId="7">
    <w:name w:val="heading 6"/>
    <w:semiHidden/>
    <w:unhideWhenUsed/>
    <w:qFormat/>
    <w:uiPriority w:val="9"/>
    <w:pPr>
      <w:spacing w:before="240" w:after="120" w:line="288" w:lineRule="auto"/>
      <w:outlineLvl w:val="5"/>
    </w:pPr>
    <w:rPr>
      <w:rFonts w:ascii="Arial" w:hAnsi="Arial" w:eastAsia="等线" w:cs="Arial"/>
      <w:b/>
      <w:bCs/>
      <w:sz w:val="24"/>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note text"/>
    <w:link w:val="17"/>
    <w:semiHidden/>
    <w:unhideWhenUsed/>
    <w:qFormat/>
    <w:uiPriority w:val="99"/>
    <w:rPr>
      <w:rFonts w:ascii="Times New Roman" w:hAnsi="Times New Roman" w:cs="Times New Roman" w:eastAsiaTheme="minorEastAsia"/>
      <w:lang w:val="en-US" w:eastAsia="zh-CN" w:bidi="ar-SA"/>
    </w:rPr>
  </w:style>
  <w:style w:type="paragraph" w:styleId="9">
    <w:name w:val="Title"/>
    <w:qFormat/>
    <w:uiPriority w:val="10"/>
    <w:pPr>
      <w:spacing w:before="480" w:after="480" w:line="288" w:lineRule="auto"/>
    </w:pPr>
    <w:rPr>
      <w:rFonts w:ascii="Arial" w:hAnsi="Arial" w:eastAsia="等线" w:cs="Arial"/>
      <w:b/>
      <w:bCs/>
      <w:sz w:val="52"/>
      <w:szCs w:val="52"/>
      <w:lang w:val="en-US" w:eastAsia="zh-CN" w:bidi="ar-SA"/>
    </w:rPr>
  </w:style>
  <w:style w:type="table" w:styleId="11">
    <w:name w:val="Table Grid"/>
    <w:basedOn w:val="10"/>
    <w:qFormat/>
    <w:uiPriority w:val="39"/>
    <w:rPr>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uiPriority w:val="99"/>
    <w:rPr>
      <w:color w:val="0563C1"/>
      <w:u w:val="single"/>
    </w:rPr>
  </w:style>
  <w:style w:type="character" w:styleId="14">
    <w:name w:val="footnote reference"/>
    <w:semiHidden/>
    <w:unhideWhenUsed/>
    <w:uiPriority w:val="99"/>
    <w:rPr>
      <w:vertAlign w:val="superscript"/>
    </w:rPr>
  </w:style>
  <w:style w:type="paragraph" w:customStyle="1" w:styleId="15">
    <w:name w:val="要点1"/>
    <w:qFormat/>
    <w:uiPriority w:val="0"/>
    <w:rPr>
      <w:rFonts w:ascii="Times New Roman" w:hAnsi="Times New Roman" w:cs="Times New Roman" w:eastAsiaTheme="minorEastAsia"/>
      <w:b/>
      <w:bCs/>
      <w:lang w:val="en-US" w:eastAsia="zh-CN" w:bidi="ar-SA"/>
    </w:rPr>
  </w:style>
  <w:style w:type="paragraph" w:styleId="16">
    <w:name w:val="List Paragraph"/>
    <w:basedOn w:val="1"/>
    <w:qFormat/>
    <w:uiPriority w:val="0"/>
    <w:rPr>
      <w:rFonts w:ascii="Times New Roman" w:hAnsi="Times New Roman" w:cs="Times New Roman" w:eastAsiaTheme="minorEastAsia"/>
      <w:lang w:val="en-US" w:eastAsia="zh-CN" w:bidi="ar-SA"/>
    </w:rPr>
  </w:style>
  <w:style w:type="character" w:customStyle="1" w:styleId="17">
    <w:name w:val="脚注文本 字符"/>
    <w:link w:val="8"/>
    <w:semiHidden/>
    <w:unhideWhenUsed/>
    <w:uiPriority w:val="99"/>
    <w:rPr>
      <w:sz w:val="20"/>
      <w:szCs w:val="20"/>
    </w:rPr>
  </w:style>
  <w:style w:type="paragraph" w:customStyle="1" w:styleId="18">
    <w:name w:val="2"/>
    <w:uiPriority w:val="0"/>
    <w:pPr>
      <w:spacing w:before="120" w:after="120" w:line="288" w:lineRule="auto"/>
    </w:pPr>
    <w:rPr>
      <w:rFonts w:ascii="Arial" w:hAnsi="Arial" w:eastAsia="等线" w:cs="Arial"/>
      <w:sz w:val="22"/>
      <w:szCs w:val="22"/>
      <w:lang w:val="en-US" w:eastAsia="zh-CN" w:bidi="ar-SA"/>
    </w:rPr>
  </w:style>
  <w:style w:type="paragraph" w:customStyle="1" w:styleId="19">
    <w:name w:val="1"/>
    <w:uiPriority w:val="0"/>
    <w:pPr>
      <w:spacing w:before="120" w:after="120" w:line="288" w:lineRule="auto"/>
    </w:pPr>
    <w:rPr>
      <w:rFonts w:ascii="Arial" w:hAnsi="Arial" w:eastAsia="等线" w:cs="Arial"/>
      <w:color w:val="8F959E"/>
      <w:sz w:val="22"/>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1808</Words>
  <Characters>2051</Characters>
  <Lines>41</Lines>
  <Paragraphs>32</Paragraphs>
  <TotalTime>6</TotalTime>
  <ScaleCrop>false</ScaleCrop>
  <LinksUpToDate>false</LinksUpToDate>
  <CharactersWithSpaces>2139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2025-12-16T16:16:00Z</dcterms:created>
  <dc:creator>Un-named</dc:creator>
  <cp:lastModifiedBy>Y(^_^)Y</cp:lastModifiedBy>
  <dcterms:modified xsi:type="dcterms:W3CDTF">2025-12-17T02:49:11Z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eyJoZGlkIjoiNTg4NTFmYmNhOGMzNjA1MTljZWFiODQyZDBhN2U1N2IiLCJ1c2VySWQiOiIxNTQ1MzMzNjg2In0=</vt:lpwstr>
  </property>
  <property fmtid="{D5CDD505-2E9C-101B-9397-08002B2CF9AE}" pid="3" name="KSOProductBuildVer">
    <vt:lpwstr>2052-12.1.0.24034</vt:lpwstr>
  </property>
  <property fmtid="{D5CDD505-2E9C-101B-9397-08002B2CF9AE}" pid="4" name="ICV">
    <vt:lpwstr>6CBACFFE983D441D99A7669D0995079C_13</vt:lpwstr>
  </property>
</Properties>
</file>