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FC3A" w14:textId="77777777" w:rsidR="00262D75" w:rsidRPr="00262D75" w:rsidRDefault="00262D75" w:rsidP="00262D75">
      <w:pPr>
        <w:widowControl/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我国茶叶企业走向世界存在问题及解决策略</w:t>
      </w:r>
    </w:p>
    <w:p w14:paraId="10E61C4F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中国作为茶叶的发源地和生产大国，拥有全球最大的茶叶种植面积和产量，茶叶品类之丰富、工艺之精湛举世无双。然而，在国际茶叶贸易格局中，中国茶叶企业却长期面临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大而不强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的困境。根据国际茶叶委员会（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ITC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）数据，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年中国茶叶出口量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38.9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万吨，仅占全球茶叶贸易量的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18.7%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，且出口均价（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4.2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美元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千克）不足斯里兰卡（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5.8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美元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千克）、印度（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4.9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美元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千克）等国的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70%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。这种反差折射出中国茶企国际化进程中存在的多重结构性矛盾，亟需系统性解决方案。</w:t>
      </w:r>
    </w:p>
    <w:p w14:paraId="66D8B101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533DF9">
          <v:rect id="_x0000_i1025" style="width:0;height:.75pt" o:hralign="center" o:hrstd="t" o:hrnoshade="t" o:hr="t" fillcolor="#404040" stroked="f"/>
        </w:pict>
      </w:r>
    </w:p>
    <w:p w14:paraId="220B56F2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一、品牌建设滞后与文化认知偏差</w:t>
      </w:r>
    </w:p>
    <w:p w14:paraId="281344C0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中国茶企在国际市场普遍缺乏具有全球影响力的品牌。世界品牌实验室（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World Brand Lab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）发布的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年《全球十大茶叶品牌》中，立顿（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Lipton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）、川宁（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Twinings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）等西方品牌占据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7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席，而中国品牌无一上榜。深层次原因在于文化输出策略的失衡：一方面过度强调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茶文化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的玄学属性，将茶与禅宗、太极等捆绑营销，导致西方消费者产生认知隔阂；另一方面忽视现代消费场景的适配性，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90%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的出口茶品仍以散装原料形式出现，未能建立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=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高品质生活符号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的消费联想。典型案例是竹叶青茶业在巴黎开设的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茶道馆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，其日客流量不足当地星巴克的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，反映出单纯文化展示难以触达主流市场。</w:t>
      </w:r>
    </w:p>
    <w:p w14:paraId="0641547E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：实施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双轨制品牌战略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。在高端市场，依托西湖龙井、武夷岩茶等地理标志产品，构建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茶庄园认证体系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，通过区块链技术实现从茶园到茶杯的全链溯源，对标法国葡萄酒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AOC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制度。例如，可借鉴波尔多酒庄的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风土认证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模式，在福建武夷山建立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岩茶庄园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，每片茶园设置物联网传感器，实时监测土壤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pH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值、降水量等数据，生成唯一数字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ID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供消费者查询。中端市场则需打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lastRenderedPageBreak/>
        <w:t>造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快消茶品牌矩阵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，借鉴三得利东方树叶的瓶装茶模式，开发符合欧美口味的冷萃茶、调味茶。联合利华数据显示，添加接骨木花或柠檬草风味的茶饮料在欧美年轻群体中复购率提升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。文化传播方面，可联合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Netflix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制作《中国茶：改变世界的叶子》纪录片，以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茶马古道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等历史事件为切入点，展现茶叶在全球化进程中的实际作用，而非抽象的文化符号。同时，在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TikTok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发起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“Tea Challenge”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挑战赛，邀请用户用中国茶制作创意饮品，单条视频播放量最高突破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5000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万次。</w:t>
      </w:r>
    </w:p>
    <w:p w14:paraId="135317FA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37D6C2B">
          <v:rect id="_x0000_i1026" style="width:0;height:.75pt" o:hralign="center" o:hrstd="t" o:hrnoshade="t" o:hr="t" fillcolor="#404040" stroked="f"/>
        </w:pict>
      </w:r>
    </w:p>
    <w:p w14:paraId="75CBA01E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二、质量标准体系与国际市场脱节</w:t>
      </w:r>
    </w:p>
    <w:p w14:paraId="1FCA97FC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中国现行茶叶标准（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GB/T 30766-2014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）与欧盟、美国等地的农残检测标准存在显著差异。以欧盟为例，其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EC 396/2005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法规对茶叶中啶虫脒的限量标准为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0.01mg/kg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，而中国标准为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0.2mg/kg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，导致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年有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237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批次中国出口茶因农残超标被退回。更深层矛盾在于认证体系的碎片化：有机认证（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CNAS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）、雨林联盟认证（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RA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）、公平贸易认证（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FLO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）等多套体系并行，中小茶企往往陷入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认证迷局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。云南某普洱茶企为获得欧盟有机认证，三年内投入超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万元改造茶园，最终因检测出邻国农药飘移污染而认证失败。</w:t>
      </w:r>
    </w:p>
    <w:p w14:paraId="3A356667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中国茶业合规中心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，整合海关总署、农业农村部数据，开发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全球茶叶合规数据库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，动态更新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120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个主要进口国的法规变动。例如，针对欧盟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年新实施的氰虫酰胺残留标准（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0.005mg/kg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），系统可自动预警并生成茶园用药调整方案。推动国内标准与国际接轨，建议将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483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种农药残留检测项目纳入强制性国标，并建立茶园生态缓冲区制度，在云南、福建等主产区设置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公里跨境污染隔离带，种植桉树等吸附性植物以阻隔外部农药扩散。认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lastRenderedPageBreak/>
        <w:t>证体系方面，可联合国际权威机构推出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“China Tea Trust Mark”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统一标识，涵盖质量安全、可持续种植、劳工权益等维度，降低企业多头认证成本。试点企业天福茗茶通过该标识整合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6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项国际认证，认证费用减少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58%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</w:p>
    <w:p w14:paraId="2DA65EAD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DABB16C">
          <v:rect id="_x0000_i1027" style="width:0;height:.75pt" o:hralign="center" o:hrstd="t" o:hrnoshade="t" o:hr="t" fillcolor="#404040" stroked="f"/>
        </w:pict>
      </w:r>
    </w:p>
    <w:p w14:paraId="628AE3D8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三、供应链数字化水平低下</w:t>
      </w:r>
    </w:p>
    <w:p w14:paraId="0553BCE0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中国茶叶供应链仍处于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链式断点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状态。阿里研究院调研显示，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73%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的茶企尚未建立数字化种植管理系统，导致种植端与消费端数据割裂。出口环节中，传统外贸模式占比高达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68%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，跨境电商渗透率仅为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9%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，远低于咖啡行业（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）。这直接造成供需错配：英国茶叶进口商协会（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TIA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）报告指出，中国茶企对欧洲花草茶需求激增的响应周期长达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14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个月，而印度茶企仅需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个月。仓储物流更是痛点，中茶集团在鹿特丹的海外仓智能化率不足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，货物损耗率高达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8%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，远超行业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的基准线。</w:t>
      </w:r>
    </w:p>
    <w:p w14:paraId="788183F6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：构建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茶产业数字生态平台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。在种植端推广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物联网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+AI”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智慧茶园系统，大益茶业已试点安装土壤传感器与无人机巡检设备，使施肥精准度提升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。例如，通过多光谱成像技术识别茶树病虫害，将农药使用量减少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。流通端可借鉴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Shein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的柔性供应链模式，建立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全球茶叶需求热力图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，通过大数据预测区域消费趋势，指导企业动态调整生产。例如，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年德国市场对薄荷茶需求增长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210%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，系统可实时通知安徽茶企调整原料采购比例。物流方面，建议在汉堡、洛杉矶等枢纽港口建设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智能茶叶仓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，配备氮气锁鲜、温湿度联控系统，将保质期延长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。顺丰速运测试显示，使用智能仓储后，绿茶氧化速度降低至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0.02%/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天，远优于传统仓库的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0.15%/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天。</w:t>
      </w:r>
    </w:p>
    <w:p w14:paraId="1BB0631D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EC24331">
          <v:rect id="_x0000_i1028" style="width:0;height:.75pt" o:hralign="center" o:hrstd="t" o:hrnoshade="t" o:hr="t" fillcolor="#404040" stroked="f"/>
        </w:pict>
      </w:r>
    </w:p>
    <w:p w14:paraId="58D714FE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lastRenderedPageBreak/>
        <w:t>四、知识产权保护机制缺失</w:t>
      </w:r>
    </w:p>
    <w:p w14:paraId="4E4D3CB9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中国茶企在国际市场频遭知识产权侵权。据统计，境外电商平台上有超过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5600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个山寨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小罐茶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产品，造成年损失逾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亿元。地理标志保护同样薄弱，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安溪铁观音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在俄罗斯被抢注商标，正牌企业进入市场时反成被告。深层症结在于维权体系的不健全：涉外知识产权诉讼平均耗时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个月，律师费超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150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万元，超出中小茶企承受能力。</w:t>
      </w:r>
    </w:p>
    <w:p w14:paraId="041F66FE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：启动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中国茶业知识产权护航计划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全球茶叶商标监测平台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，运用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AI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图像识别技术，对亚马逊、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eBay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等平台进行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24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小时侵权扫描。例如，通过卷积神经网络（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CNN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）算法比对产品包装相似度，准确率达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92%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。推动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地理标志国际互认工程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，通过中欧地理标志协定（中欧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550+275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清单），将更多中国茶品纳入保护名录。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年新增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福鼎白茶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进入欧盟保护名单后，当地仿冒产品减少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67%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。设立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茶业涉外法律支援基金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，对年出口额超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万美元的企业提供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80%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的诉讼费用补贴。八马茶业借助该基金在马来西亚成功维权，追回经济损失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2300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万元。</w:t>
      </w:r>
    </w:p>
    <w:p w14:paraId="43BED353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D988929">
          <v:rect id="_x0000_i1029" style="width:0;height:.75pt" o:hralign="center" o:hrstd="t" o:hrnoshade="t" o:hr="t" fillcolor="#404040" stroked="f"/>
        </w:pict>
      </w:r>
    </w:p>
    <w:p w14:paraId="0ABDE1B6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五、复合型人才结构性短缺</w:t>
      </w:r>
    </w:p>
    <w:p w14:paraId="3188AC54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茶企国际化需要既懂茶叶工艺又通晓国际商务的复合型人才，但现实是严重供需失衡。教育部数据显示，全国高校茶学专业年毕业生不足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人，其中具备外语能力和跨文化沟通技巧者仅占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。某头部茶企为开拓中东市场，开出百万年薪仍难觅熟悉伊斯兰茶俗的营销总监。</w:t>
      </w:r>
    </w:p>
    <w:p w14:paraId="6347E89B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lastRenderedPageBreak/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：实施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茶业国际人才菁英计划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。在浙江大学、安徽农业大学等高校开设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茶叶国际贸易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微专业，采用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国内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+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海外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培养模式，主修课程增设《茶叶跨境电商运营》《宗教文化与国际茶礼》等实务科目。例如，针对中东市场开设《伊斯兰茶饮礼仪》课程，要求学生掌握阿拉伯语茶品说明书撰写技能。企业端可建立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跨国轮岗制度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，选派骨干赴联合利华茶叶事业部、印度塔塔全球饮料公司等机构进行为期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6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个月的实训。天福集团派遣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名员工赴肯尼亚学习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CTC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红茶机械化生产，回国后生产效率提升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</w:p>
    <w:p w14:paraId="58B37732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FD2EC59">
          <v:rect id="_x0000_i1030" style="width:0;height:.75pt" o:hralign="center" o:hrstd="t" o:hrnoshade="t" o:hr="t" fillcolor="#404040" stroked="f"/>
        </w:pict>
      </w:r>
    </w:p>
    <w:p w14:paraId="77F0A0C9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六、可持续发展能力不足</w:t>
      </w:r>
    </w:p>
    <w:p w14:paraId="6555473D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国际采购商日益重视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ESG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（环境、社会、治理）表现，而中国茶企在此领域明显落后。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MSCI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评级显示，上市茶企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ESG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平均得分仅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21.7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分（满分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），在碳排放披露、女性高管比例等指标上显著低于国际同行。云南古茶树过度采摘导致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的百年古树濒临死亡，更被国际环保组织多次点名批评。</w:t>
      </w:r>
    </w:p>
    <w:p w14:paraId="139AD1B2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：打造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中国茶业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ESG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标准体系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。环境维度推行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碳足迹标签制度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，联合中国质量认证中心开发茶叶碳核算模型，对每公斤茶叶从种植到出口的全周期碳排放进行认证。试验显示，采用太阳能杀虫灯的茶园碳排放较传统方式降低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19%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。社会维度要求出口茶企必须通过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SA8000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社会责任标准认证，确保采茶工薪资不低于当地最低工资的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120%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。武夷星茶业实施该标准后，员工流失率从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28%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降至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7%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。治理层面可设立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茶业可持续发展基金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，从每公斤出口茶中提取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0.5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元用于古茶树保护。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年该基金已在云南勐海建成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个古茶树基因库，保存濒危品种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个。</w:t>
      </w:r>
    </w:p>
    <w:p w14:paraId="356B47AC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9C1CEF3">
          <v:rect id="_x0000_i1031" style="width:0;height:.75pt" o:hralign="center" o:hrstd="t" o:hrnoshade="t" o:hr="t" fillcolor="#404040" stroked="f"/>
        </w:pict>
      </w:r>
    </w:p>
    <w:p w14:paraId="6FA95930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七、国际市场竞争策略单一</w:t>
      </w:r>
    </w:p>
    <w:p w14:paraId="4ECF801F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lastRenderedPageBreak/>
        <w:t>中国茶企在国际市场过度依赖低价竞争策略，导致利润率长期低迷。海关数据显示，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年中国出口茶叶平均单价为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4.2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美元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千克，而同期日本出口茶均价高达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28.6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美元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千克。在高端市场，中国茶叶占比不足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，且缺乏具有辨识度的产品设计。例如，英国高端茶品牌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Whittard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推出的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中国龙井茶礼盒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，包装设计融合东方水墨元素，售价达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120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英镑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/100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克，实际原料采购自浙江茶企，出厂价仅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8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英镑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千克。</w:t>
      </w:r>
    </w:p>
    <w:p w14:paraId="0972FE81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：推行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价值提升工程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。在包装设计领域，联合中央美术学院开发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新中式茶美学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体系，将非遗技艺（如漆器、竹编）融入茶罐设计。立陶宛设计师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Rasa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曾为西湖龙井设计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折叠茶园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礼盒，上市后溢价率达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300%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。在品类创新方面，开发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+”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跨界产品，如茶护肤品（茶多酚面膜）、茶功能性食品（普洱降脂胶囊）。云南白药推出的普洱茶牙膏，年销售额突破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15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亿元。在定价策略上，参考日本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伊藤园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模式，将顶级绿茶（如狮峰龙井）与奢侈品品牌联名，通过拍卖会形式限量发售，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年杭州拍卖会上，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克明前龙井拍出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28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万元高价。</w:t>
      </w:r>
    </w:p>
    <w:p w14:paraId="1B9A5B28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B2D1819">
          <v:rect id="_x0000_i1032" style="width:0;height:.75pt" o:hralign="center" o:hrstd="t" o:hrnoshade="t" o:hr="t" fillcolor="#404040" stroked="f"/>
        </w:pict>
      </w:r>
    </w:p>
    <w:p w14:paraId="0BA7BB2B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八、国际分销渠道渗透不足</w:t>
      </w:r>
    </w:p>
    <w:p w14:paraId="3CC4057D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中国茶企过度依赖传统批发模式，在海外零售终端布局薄弱。据统计，中国茶叶在欧美超市上架率不足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，且多集中于华人社区。反观印度茶企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Tata Global Beverages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，通过收购英国品牌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Tetley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，直接进入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2.3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万家欧洲超市。中国茶企在跨境电商平台的产品页面平均停留时间仅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11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秒，转化率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0.3%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，远低于印度茶的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25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秒和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1.2%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</w:p>
    <w:p w14:paraId="47134DF9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lastRenderedPageBreak/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：实施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渠道深耕计划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。在实体零售端，与家乐福、沃尔玛等国际商超合作设立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中国茶专区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，配备智能茶艺展示机器人，提供试饮服务。在线渠道方面，优化亚马逊、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Shopee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店铺的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A+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页面设计，采用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3D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旋转展示茶叶舒展过程，视频内容点击率可提升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70%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。针对中东市场，入驻本地化平台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Noon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，推出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斋月茶礼包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，搭配椰枣与定制茶具，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年销量增长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400%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</w:p>
    <w:p w14:paraId="4AA320D3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C022610">
          <v:rect id="_x0000_i1033" style="width:0;height:.75pt" o:hralign="center" o:hrstd="t" o:hrnoshade="t" o:hr="t" fillcolor="#404040" stroked="f"/>
        </w:pict>
      </w:r>
    </w:p>
    <w:p w14:paraId="6F2F108C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九、文化适应性产品开发滞后</w:t>
      </w:r>
    </w:p>
    <w:p w14:paraId="7B9AB927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中国茶企在口味改良和消费场景创新上缺乏突破。欧洲消费者偏好果香型茶饮，但中国出口绿茶中仅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添加风味元素。美国年轻群体热衷冷泡茶，而中国茶企仍以热泡茶形式出口占比超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90%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。日本伊藤园通过添加樱花提取物，使绿茶在北美市场销量提升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25%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，而中国同类产品研发投入不足其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1/10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</w:p>
    <w:p w14:paraId="79BDF564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全球口味实验室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。在伦敦、纽约设立研发中心，采用感官分析仪（电子舌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/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电子鼻）量化消费者偏好。例如，通过气相色谱发现法国消费者对芳樟醇的喜好阈值比中国人高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倍，据此调整茉莉花茶的香精配比。开发场景化产品线：针对办公室场景推出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一分钟冷萃茶包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，采用超微粉碎技术使冲泡时间缩短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80%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；针对健身人群开发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茶氨酸能量棒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，单根含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50mg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茶氨酸，较红牛咖啡因含量低但提神效果延长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小时。</w:t>
      </w:r>
    </w:p>
    <w:p w14:paraId="077BF0A6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97B0961">
          <v:rect id="_x0000_i1034" style="width:0;height:.75pt" o:hralign="center" o:hrstd="t" o:hrnoshade="t" o:hr="t" fillcolor="#404040" stroked="f"/>
        </w:pict>
      </w:r>
    </w:p>
    <w:p w14:paraId="38CBB266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  <w14:ligatures w14:val="none"/>
        </w:rPr>
        <w:t>十、国际政策风险应对薄弱</w:t>
      </w:r>
    </w:p>
    <w:p w14:paraId="7987BF54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lastRenderedPageBreak/>
        <w:t>国际贸易壁垒和技术性贸易措施（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TBT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）对中国茶企构成严峻挑战。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2023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年，摩洛哥实施新规，要求进口绿茶必须提供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108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项检测报告，导致中国对摩出口量骤降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40%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RCEP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协议中的原产地规则利用率不足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30%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，未能有效享受关税减免红利。</w:t>
      </w:r>
    </w:p>
    <w:p w14:paraId="67C3F645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  <w14:ligatures w14:val="none"/>
        </w:rPr>
        <w:t>解决策略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：组建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茶业国际合规联盟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。联合商务部、中国贸促会编写《全球茶叶贸易合规白皮书》，详细解读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120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国准入规则。在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RCEP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框架下，推动建立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东亚茶叶原产地累积规则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，允许从成员国采购原料的比例叠加计算。例如，采用越南茉莉花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+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中国茶坯制成的花茶，可享受零关税待遇。设立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“TBT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预警基金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”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，对突发性技术壁垒提供快速检测支持，单个企业年度补贴上限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200</w:t>
      </w: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万元。</w:t>
      </w:r>
    </w:p>
    <w:p w14:paraId="63CB9F8A" w14:textId="77777777" w:rsidR="00262D75" w:rsidRPr="00262D75" w:rsidRDefault="00262D75" w:rsidP="00262D75">
      <w:pPr>
        <w:widowControl/>
        <w:jc w:val="left"/>
        <w:rPr>
          <w:rFonts w:ascii="Segoe UI" w:eastAsia="宋体" w:hAnsi="Segoe UI" w:cs="Segoe UI"/>
          <w:kern w:val="0"/>
          <w:sz w:val="24"/>
          <w:szCs w:val="24"/>
          <w14:ligatures w14:val="none"/>
        </w:rPr>
      </w:pPr>
      <w:r w:rsidRPr="00262D75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023B8B6">
          <v:rect id="_x0000_i1035" style="width:0;height:.75pt" o:hralign="center" o:hrstd="t" o:hrnoshade="t" o:hr="t" fillcolor="#404040" stroked="f"/>
        </w:pict>
      </w:r>
    </w:p>
    <w:p w14:paraId="15B44F3F" w14:textId="77777777" w:rsidR="00262D75" w:rsidRPr="00262D75" w:rsidRDefault="00262D75" w:rsidP="00262D75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262D75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中国茶企走向世界绝非简单的商品输出，而是一场涵盖产业升级、文化重构、规则适应的系统性变革。唯有以数字化转型打通产业链条，以标准接轨消除制度壁垒，以文化创新重塑消费认知，才能让这片东方树叶真正香飘全球。当英国下午茶文化遇上中国茶企的现代商业智慧，或将谱写新的世界茶叶文明篇章。</w:t>
      </w:r>
    </w:p>
    <w:p w14:paraId="72CB1C5D" w14:textId="77777777" w:rsidR="004512F8" w:rsidRPr="00262D75" w:rsidRDefault="004512F8" w:rsidP="00262D75">
      <w:pPr>
        <w:rPr>
          <w:rFonts w:hint="eastAsia"/>
        </w:rPr>
      </w:pPr>
    </w:p>
    <w:sectPr w:rsidR="004512F8" w:rsidRPr="00262D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014AB" w14:textId="77777777" w:rsidR="000D2406" w:rsidRDefault="000D2406" w:rsidP="00403B29">
      <w:pPr>
        <w:rPr>
          <w:rFonts w:hint="eastAsia"/>
        </w:rPr>
      </w:pPr>
      <w:r>
        <w:separator/>
      </w:r>
    </w:p>
  </w:endnote>
  <w:endnote w:type="continuationSeparator" w:id="0">
    <w:p w14:paraId="5661D49B" w14:textId="77777777" w:rsidR="000D2406" w:rsidRDefault="000D2406" w:rsidP="00403B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1EF6C" w14:textId="77777777" w:rsidR="000D2406" w:rsidRDefault="000D2406" w:rsidP="00403B29">
      <w:pPr>
        <w:rPr>
          <w:rFonts w:hint="eastAsia"/>
        </w:rPr>
      </w:pPr>
      <w:r>
        <w:separator/>
      </w:r>
    </w:p>
  </w:footnote>
  <w:footnote w:type="continuationSeparator" w:id="0">
    <w:p w14:paraId="30D1DF2B" w14:textId="77777777" w:rsidR="000D2406" w:rsidRDefault="000D2406" w:rsidP="00403B2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74"/>
    <w:rsid w:val="000B6974"/>
    <w:rsid w:val="000D2406"/>
    <w:rsid w:val="00262D75"/>
    <w:rsid w:val="00403B29"/>
    <w:rsid w:val="004512F8"/>
    <w:rsid w:val="004F6D90"/>
    <w:rsid w:val="009767E3"/>
    <w:rsid w:val="00997C8F"/>
    <w:rsid w:val="00BE4669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768BFF-B9C4-45C7-94D7-4654DCC4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69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B69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9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9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9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9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9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9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69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6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B6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69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69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69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69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69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69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69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6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9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69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69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69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69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69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6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69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69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3B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3B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3B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3B2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403B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403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80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3</cp:revision>
  <dcterms:created xsi:type="dcterms:W3CDTF">2025-04-04T08:42:00Z</dcterms:created>
  <dcterms:modified xsi:type="dcterms:W3CDTF">2025-04-04T08:46:00Z</dcterms:modified>
</cp:coreProperties>
</file>