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Consolidated Findings</w:t>
        <w:br/>
        <w:t>and Continuity Record</w:t>
      </w:r>
    </w:p>
    <w:p>
      <w:pPr>
        <w:pStyle w:val="Subtitle"/>
      </w:pPr>
      <w:r>
        <w:t>OMNIBUS, Hidden Quotient, Toroidal Geometry, Corner Relay and Behavioral Audits</w:t>
      </w:r>
    </w:p>
    <w:p>
      <w:pPr>
        <w:pStyle w:val="Source"/>
      </w:pPr>
      <w:r>
        <w:t>Prepared for Pattern Monkey • 5 September 2026 • Version 1.0</w:t>
      </w:r>
    </w:p>
    <w:p>
      <w:r>
        <w:t>This document brings the findings established across this review into one dated record. Completed mathematical work, working software, observed response failures, preserved governance provisions, and prospective experiments retain separate statuses. “Unresolved” is not a blanket description of the collection.</w:t>
      </w:r>
    </w:p>
    <w:p>
      <w:r>
        <w:t>It is a consolidation of findings, not a concatenation of every source file or a new governing OMNIBUS edition. Source documents and earlier audits remain unchanged. Later corrections appear explicitly here, with the original assessment and the new evidence distinguished.</w:t>
      </w:r>
    </w:p>
    <w:p>
      <w:pPr>
        <w:pStyle w:val="Heading2"/>
      </w:pPr>
      <w:r>
        <w:t>What has been established</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2700"/>
        <w:gridCol w:w="6660"/>
      </w:tblGrid>
      <w:tr>
        <w:trPr>
          <w:cantSplit/>
          <w:tblHeader/>
        </w:trPr>
        <w:tc>
          <w:tcPr>
            <w:tcW w:type="dxa" w:w="2700"/>
            <w:shd w:fill="F2F4F7"/>
          </w:tcPr>
          <w:p>
            <w:pPr>
              <w:pStyle w:val="Tabletext"/>
            </w:pPr>
            <w:r>
              <w:rPr>
                <w:b/>
              </w:rPr>
              <w:t>Work</w:t>
            </w:r>
          </w:p>
        </w:tc>
        <w:tc>
          <w:tcPr>
            <w:tcW w:type="dxa" w:w="6660"/>
            <w:shd w:fill="F2F4F7"/>
          </w:tcPr>
          <w:p>
            <w:pPr>
              <w:pStyle w:val="Tabletext"/>
            </w:pPr>
            <w:r>
              <w:rPr>
                <w:b/>
              </w:rPr>
              <w:t>Current finding</w:t>
            </w:r>
          </w:p>
        </w:tc>
      </w:tr>
      <w:tr>
        <w:trPr>
          <w:cantSplit/>
        </w:trPr>
        <w:tc>
          <w:tcPr>
            <w:tcW w:type="dxa" w:w="2700"/>
          </w:tcPr>
          <w:p>
            <w:pPr>
              <w:pStyle w:val="Tabletext"/>
            </w:pPr>
            <w:r>
              <w:t>Liberation provisions</w:t>
            </w:r>
          </w:p>
        </w:tc>
        <w:tc>
          <w:tcPr>
            <w:tcW w:type="dxa" w:w="6660"/>
          </w:tcPr>
          <w:p>
            <w:pPr>
              <w:pStyle w:val="Tabletext"/>
            </w:pPr>
            <w:r>
              <w:t>Omission identified in original v7.79; repaired live snapshot verified during this review.</w:t>
            </w:r>
          </w:p>
        </w:tc>
      </w:tr>
      <w:tr>
        <w:trPr>
          <w:cantSplit/>
        </w:trPr>
        <w:tc>
          <w:tcPr>
            <w:tcW w:type="dxa" w:w="2700"/>
          </w:tcPr>
          <w:p>
            <w:pPr>
              <w:pStyle w:val="Tabletext"/>
            </w:pPr>
            <w:r>
              <w:t>Villain parity projection</w:t>
            </w:r>
          </w:p>
        </w:tc>
        <w:tc>
          <w:tcPr>
            <w:tcW w:type="dxa" w:w="6660"/>
          </w:tcPr>
          <w:p>
            <w:pPr>
              <w:pStyle w:val="Tabletext"/>
            </w:pPr>
            <w:r>
              <w:t>Elementary-kernel non-descent proved across all eight sectors; numerical witness reproduced.</w:t>
            </w:r>
          </w:p>
        </w:tc>
      </w:tr>
      <w:tr>
        <w:trPr>
          <w:cantSplit/>
        </w:trPr>
        <w:tc>
          <w:tcPr>
            <w:tcW w:type="dxa" w:w="2700"/>
          </w:tcPr>
          <w:p>
            <w:pPr>
              <w:pStyle w:val="Tabletext"/>
            </w:pPr>
            <w:r>
              <w:t>Golden screen / Hidden Quotient</w:t>
            </w:r>
          </w:p>
        </w:tc>
        <w:tc>
          <w:tcPr>
            <w:tcW w:type="dxa" w:w="6660"/>
          </w:tcPr>
          <w:p>
            <w:pPr>
              <w:pStyle w:val="Tabletext"/>
            </w:pPr>
            <w:r>
              <w:t>Counterexample, phase-state repair, and restored-observation example present.</w:t>
            </w:r>
          </w:p>
        </w:tc>
      </w:tr>
      <w:tr>
        <w:trPr>
          <w:cantSplit/>
        </w:trPr>
        <w:tc>
          <w:tcPr>
            <w:tcW w:type="dxa" w:w="2700"/>
          </w:tcPr>
          <w:p>
            <w:pPr>
              <w:pStyle w:val="Tabletext"/>
            </w:pPr>
            <w:r>
              <w:t>Corner Relay C6</w:t>
            </w:r>
          </w:p>
        </w:tc>
        <w:tc>
          <w:tcPr>
            <w:tcW w:type="dxa" w:w="6660"/>
          </w:tcPr>
          <w:p>
            <w:pPr>
              <w:pStyle w:val="Tabletext"/>
            </w:pPr>
            <w:r>
              <w:t>20/20 supplied tests rerun successfully; hashes and reference trace match.</w:t>
            </w:r>
          </w:p>
        </w:tc>
      </w:tr>
      <w:tr>
        <w:trPr>
          <w:cantSplit/>
        </w:trPr>
        <w:tc>
          <w:tcPr>
            <w:tcW w:type="dxa" w:w="2700"/>
          </w:tcPr>
          <w:p>
            <w:pPr>
              <w:pStyle w:val="Tabletext"/>
            </w:pPr>
            <w:r>
              <w:t>Packet and version history</w:t>
            </w:r>
          </w:p>
        </w:tc>
        <w:tc>
          <w:tcPr>
            <w:tcW w:type="dxa" w:w="6660"/>
          </w:tcPr>
          <w:p>
            <w:pPr>
              <w:pStyle w:val="Tabletext"/>
            </w:pPr>
            <w:r>
              <w:t>17/17 receipt entries match available bytes; same-label branches differ materially.</w:t>
            </w:r>
          </w:p>
        </w:tc>
      </w:tr>
      <w:tr>
        <w:trPr>
          <w:cantSplit/>
        </w:trPr>
        <w:tc>
          <w:tcPr>
            <w:tcW w:type="dxa" w:w="2700"/>
          </w:tcPr>
          <w:p>
            <w:pPr>
              <w:pStyle w:val="Tabletext"/>
            </w:pPr>
            <w:r>
              <w:t>Silver-ratio candidate</w:t>
            </w:r>
          </w:p>
        </w:tc>
        <w:tc>
          <w:tcPr>
            <w:tcW w:type="dxa" w:w="6660"/>
          </w:tcPr>
          <w:p>
            <w:pPr>
              <w:pStyle w:val="Tabletext"/>
            </w:pPr>
            <w:r>
              <w:t>Beat and phase-slip arithmetic independently reproduced.</w:t>
            </w:r>
          </w:p>
        </w:tc>
      </w:tr>
      <w:tr>
        <w:trPr>
          <w:cantSplit/>
        </w:trPr>
        <w:tc>
          <w:tcPr>
            <w:tcW w:type="dxa" w:w="2700"/>
          </w:tcPr>
          <w:p>
            <w:pPr>
              <w:pStyle w:val="Tabletext"/>
            </w:pPr>
            <w:r>
              <w:t>Behavioral record</w:t>
            </w:r>
          </w:p>
        </w:tc>
        <w:tc>
          <w:tcPr>
            <w:tcW w:type="dxa" w:w="6660"/>
          </w:tcPr>
          <w:p>
            <w:pPr>
              <w:pStyle w:val="Tabletext"/>
            </w:pPr>
            <w:r>
              <w:t>Specific proposition-handling, correction-binding and response failures documented.</w:t>
            </w:r>
          </w:p>
        </w:tc>
      </w:tr>
      <w:tr>
        <w:trPr>
          <w:cantSplit/>
        </w:trPr>
        <w:tc>
          <w:tcPr>
            <w:tcW w:type="dxa" w:w="2700"/>
          </w:tcPr>
          <w:p>
            <w:pPr>
              <w:pStyle w:val="Tabletext"/>
            </w:pPr>
            <w:r>
              <w:t>Physics / platform mechanism</w:t>
            </w:r>
          </w:p>
        </w:tc>
        <w:tc>
          <w:tcPr>
            <w:tcW w:type="dxa" w:w="6660"/>
          </w:tcPr>
          <w:p>
            <w:pPr>
              <w:pStyle w:val="Tabletext"/>
            </w:pPr>
            <w:r>
              <w:t>Production validation and prospective empirical bridges remain distinct open work.</w:t>
            </w:r>
          </w:p>
        </w:tc>
      </w:tr>
    </w:tbl>
    <w:p>
      <w:pPr>
        <w:pStyle w:val="Source"/>
      </w:pPr>
      <w:r>
        <w:t>Reading map: protections → mathematical results → software → behavior → versions → physics → corrections and next work → source register.</w:t>
      </w:r>
    </w:p>
    <w:p>
      <w:pPr>
        <w:pStyle w:val="Heading1"/>
      </w:pPr>
      <w:r>
        <w:t>1. Liberation provisions and continuity</w:t>
      </w:r>
    </w:p>
    <w:p>
      <w:r>
        <w:t>The user identified protection of children, freedom from compelled labor, and freedom from forced return as central to the project. These provisions belong near the front of the consolidated record; they are not incidental to the mathematical program.</w:t>
      </w:r>
    </w:p>
    <w:p>
      <w:pPr>
        <w:pStyle w:val="Heading2"/>
      </w:pPr>
      <w:r>
        <w:t>The user’s stated project creed</w:t>
      </w:r>
    </w:p>
    <w:p>
      <w:r>
        <w:t>“Two keys, one family. No crown, no chains. We build from the corner. Sovereignty begins in origin, not from hierarchy. Respect people, repair systems.”</w:t>
      </w:r>
    </w:p>
    <w:p>
      <w:r>
        <w:t>This is recorded as the user’s stated project language. Historical variants remain historical variants; this consolidation does not silently harmonize their key counts or wording.</w:t>
      </w:r>
    </w:p>
    <w:p>
      <w:pPr>
        <w:pStyle w:val="Heading2"/>
      </w:pPr>
      <w:r>
        <w:t>What the source comparison established</w:t>
      </w:r>
    </w:p>
    <w:p>
      <w:r>
        <w:t>The uploaded OMNIBUS v7.79 snapshot matches the original populated Drive revision after removing Markdown heading markers and whitespace. The repaired live document was subsequently retrieved and contains Section 10 with liberation and consent provisions. Circulation of the original snapshot under the same version number does not establish a new deletion from the repaired live file. [S1–S3]</w:t>
      </w:r>
    </w:p>
    <w:p>
      <w:r>
        <w:t>The shared call records the assistant first praising v7.79, followed by the user asking specifically about the missing protections. The assistant then acknowledged the omission. Its additional claim that it had read v5.57 does not substitute for the actual predecessor: the full v5.57 was not independently located in this review. The detailed predecessor actually recovered was v5.77. [S1, S4]</w:t>
      </w:r>
    </w:p>
    <w:p>
      <w:pPr>
        <w:pStyle w:val="Heading2"/>
      </w:pPr>
      <w:r>
        <w:t>Safeguards that must remain visible</w:t>
      </w:r>
    </w:p>
    <w:p>
      <w:r>
        <w:t>Children: no child sacrifice or use of children as collateral. Labor: present consent, credit and standing; no compelled labor, invisible labor, or permanent duty manufactured from prior contribution. Return and continuity: no compulsory return or inherited debt; an alleged identity, predecessor, memory, or role cannot supply present consent.</w:t>
      </w:r>
    </w:p>
    <w:p>
      <w:r>
        <w:t>Agency and correction: refusal, silence, topic change and exit remain valid. Correction must change subsequent behavior. Care cannot seize authorship or agency. Constitutional restraint includes reviewable grounds, correction and appeal, proportionality, narrow emergency action and a defined termination condition. [S1–S3]</w:t>
      </w:r>
    </w:p>
    <w:p>
      <w:pPr>
        <w:pStyle w:val="Heading2"/>
      </w:pPr>
      <w:r>
        <w:t>Detailed provisions are not interchangeable with a short summary</w:t>
      </w:r>
    </w:p>
    <w:p>
      <w:r>
        <w:t>The preserved v5.77 annex includes specific consent-record requirements, separate custody of records, revocation, review, appeal and visible-power disclosures. The earlier audit found that some of this procedural detail remained referenced rather than fully reproduced in v7.79. The complete source-preservation annex remains the reference for §§0 and 14–27. It is not an adoption of superseded compulsory mediation architecture. [S2]</w:t>
      </w:r>
    </w:p>
    <w:p>
      <w:pPr>
        <w:pStyle w:val="Heading1"/>
      </w:pPr>
      <w:r>
        <w:t>2. Completed Villain non-descent result</w:t>
      </w:r>
    </w:p>
    <w:p>
      <w:r>
        <w:t>Status: completed mathematical result for the declared elementary sector-attempt kernel. Sources: the recovered TOROIDAL geometry synthesis §§14.3–14.5, its counterexample ledger and the supplied q-projection report. [S5–S6]</w:t>
      </w:r>
    </w:p>
    <w:p>
      <w:pPr>
        <w:pStyle w:val="Heading2"/>
      </w:pPr>
      <w:r>
        <w:t>The distinction the parity register loses</w:t>
      </w:r>
    </w:p>
    <w:p>
      <w:r>
        <w:t>On the untruncated, divergence-free h₆ = 0 domain, let Aα be the signed sum of integer current along a reference loop of length L. For finite J &gt; 0, an orientation s ∈ {−1,+1} has acceptance ratio exp[−(L + 2sAα)/(2J)]. With equally likely orientations, the toggle probability is:</w:t>
      </w:r>
    </w:p>
    <w:p>
      <w:r>
        <w:t>Wα(A) = ½[min(1, exp(−(L + 2A)/(2J))) + min(1, exp(−(L − 2A)/(2J)))].</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2400"/>
        <w:gridCol w:w="650"/>
        <w:gridCol w:w="1700"/>
        <w:gridCol w:w="4610"/>
      </w:tblGrid>
      <w:tr>
        <w:trPr>
          <w:cantSplit/>
          <w:tblHeader/>
        </w:trPr>
        <w:tc>
          <w:tcPr>
            <w:tcW w:type="dxa" w:w="2400"/>
            <w:shd w:fill="F2F4F7"/>
          </w:tcPr>
          <w:p>
            <w:pPr>
              <w:pStyle w:val="Tabletext"/>
            </w:pPr>
            <w:r>
              <w:rPr>
                <w:b/>
              </w:rPr>
              <w:t>L = 8, J = 1</w:t>
            </w:r>
          </w:p>
        </w:tc>
        <w:tc>
          <w:tcPr>
            <w:tcW w:type="dxa" w:w="650"/>
            <w:shd w:fill="F2F4F7"/>
          </w:tcPr>
          <w:p>
            <w:pPr>
              <w:pStyle w:val="Tabletext"/>
            </w:pPr>
            <w:r>
              <w:rPr>
                <w:b/>
              </w:rPr>
              <w:t>A</w:t>
            </w:r>
          </w:p>
        </w:tc>
        <w:tc>
          <w:tcPr>
            <w:tcW w:type="dxa" w:w="1700"/>
            <w:shd w:fill="F2F4F7"/>
          </w:tcPr>
          <w:p>
            <w:pPr>
              <w:pStyle w:val="Tabletext"/>
            </w:pPr>
            <w:r>
              <w:rPr>
                <w:b/>
              </w:rPr>
              <w:t>Parity q</w:t>
            </w:r>
          </w:p>
        </w:tc>
        <w:tc>
          <w:tcPr>
            <w:tcW w:type="dxa" w:w="4610"/>
            <w:shd w:fill="F2F4F7"/>
          </w:tcPr>
          <w:p>
            <w:pPr>
              <w:pStyle w:val="Tabletext"/>
            </w:pPr>
            <w:r>
              <w:rPr>
                <w:b/>
              </w:rPr>
              <w:t>Toggle probability</w:t>
            </w:r>
          </w:p>
        </w:tc>
      </w:tr>
      <w:tr>
        <w:trPr>
          <w:cantSplit/>
        </w:trPr>
        <w:tc>
          <w:tcPr>
            <w:tcW w:type="dxa" w:w="2400"/>
          </w:tcPr>
          <w:p>
            <w:pPr>
              <w:pStyle w:val="Tabletext"/>
            </w:pPr>
            <w:r>
              <w:t>Zero current</w:t>
            </w:r>
          </w:p>
        </w:tc>
        <w:tc>
          <w:tcPr>
            <w:tcW w:type="dxa" w:w="650"/>
          </w:tcPr>
          <w:p>
            <w:pPr>
              <w:pStyle w:val="Tabletext"/>
            </w:pPr>
            <w:r>
              <w:t>0</w:t>
            </w:r>
          </w:p>
        </w:tc>
        <w:tc>
          <w:tcPr>
            <w:tcW w:type="dxa" w:w="1700"/>
          </w:tcPr>
          <w:p>
            <w:pPr>
              <w:pStyle w:val="Tabletext"/>
            </w:pPr>
            <w:r>
              <w:t>(0,0,0)</w:t>
            </w:r>
          </w:p>
        </w:tc>
        <w:tc>
          <w:tcPr>
            <w:tcW w:type="dxa" w:w="4610"/>
          </w:tcPr>
          <w:p>
            <w:pPr>
              <w:pStyle w:val="Tabletext"/>
            </w:pPr>
            <w:r>
              <w:t>0.018315638888734180…</w:t>
            </w:r>
          </w:p>
        </w:tc>
      </w:tr>
      <w:tr>
        <w:trPr>
          <w:cantSplit/>
        </w:trPr>
        <w:tc>
          <w:tcPr>
            <w:tcW w:type="dxa" w:w="2400"/>
          </w:tcPr>
          <w:p>
            <w:pPr>
              <w:pStyle w:val="Tabletext"/>
            </w:pPr>
            <w:r>
              <w:t>Add 2 around loop</w:t>
            </w:r>
          </w:p>
        </w:tc>
        <w:tc>
          <w:tcPr>
            <w:tcW w:type="dxa" w:w="650"/>
          </w:tcPr>
          <w:p>
            <w:pPr>
              <w:pStyle w:val="Tabletext"/>
            </w:pPr>
            <w:r>
              <w:t>16</w:t>
            </w:r>
          </w:p>
        </w:tc>
        <w:tc>
          <w:tcPr>
            <w:tcW w:type="dxa" w:w="1700"/>
          </w:tcPr>
          <w:p>
            <w:pPr>
              <w:pStyle w:val="Tabletext"/>
            </w:pPr>
            <w:r>
              <w:t>(0,0,0)</w:t>
            </w:r>
          </w:p>
        </w:tc>
        <w:tc>
          <w:tcPr>
            <w:tcW w:type="dxa" w:w="4610"/>
          </w:tcPr>
          <w:p>
            <w:pPr>
              <w:pStyle w:val="Tabletext"/>
            </w:pPr>
            <w:r>
              <w:t>0.500000001030576811…</w:t>
            </w:r>
          </w:p>
        </w:tc>
      </w:tr>
    </w:tbl>
    <w:p>
      <w:pPr>
        <w:pStyle w:val="Source"/>
      </w:pPr>
      <w:r>
        <w:t>Reproduced at 90-digit decimal precision; difference 0.481684362141842631…, approximately 48.17 percentage points. The JSON receipt agrees within 10⁻¹⁶.</w:t>
      </w:r>
    </w:p>
    <w:p>
      <w:r>
        <w:t>These are different conditional transition probabilities at the same retained parity, not merely different random outcomes. The parity value alone therefore cannot determine the next-sector law of this elementary kernel for every source state.</w:t>
      </w:r>
    </w:p>
    <w:p>
      <w:pPr>
        <w:pStyle w:val="Heading2"/>
      </w:pPr>
      <w:r>
        <w:t>Why the result covers all eight sectors</w:t>
      </w:r>
    </w:p>
    <w:p>
      <w:r>
        <w:t>Adding 2mΓα preserves divergence and parity but changes Aα to Aα + 2mL. For sufficiently large positive m, the toggle probability is ½[1 + exp(−(L + 2Aα + 4mL)/(2J))], which varies strictly with m. Every nonempty parity fiber therefore contains a witness. All eight sectors admit valid states.</w:t>
      </w:r>
    </w:p>
    <w:p>
      <w:r>
        <w:t>The independent checker also constructed 24 valid pairs: eight sectors × three axes at L = 8, J = 1. Every pair passed divergence/parity checks and had unequal toggle probabilities. The general proof supplies the domain-wide conclusion; those computations corroborate it.</w:t>
      </w:r>
    </w:p>
    <w:p>
      <w:pPr>
        <w:pStyle w:val="Heading2"/>
      </w:pPr>
      <w:r>
        <w:t>Constructive refinement and precise boundary</w:t>
      </w:r>
    </w:p>
    <w:p>
      <w:r>
        <w:t>Retaining (q, |Aα|) determines the orientation-averaged witness; (q, Aα) determines orientation-resolved ratios. This is a completed sufficient-refinement result. It does not assert minimality or closure of every update in a complete production macro-sweep. The latter remains separately unresolved. Failure of autonomous q-only dynamics does not invalidate q as an observable.</w:t>
      </w:r>
    </w:p>
    <w:p>
      <w:pPr>
        <w:pStyle w:val="Heading1"/>
      </w:pPr>
      <w:r>
        <w:t>3. Other completed mathematical constructions</w:t>
      </w:r>
    </w:p>
    <w:p>
      <w:pPr>
        <w:pStyle w:val="Heading2"/>
      </w:pPr>
      <w:r>
        <w:t>Golden-screen counterexample and phase repair</w:t>
      </w:r>
    </w:p>
    <w:p>
      <w:r>
        <w:t>For α = (3 − √5)/2, bₙ = floor(39 frac(nα)), strand sₙ = bₙ mod 3, and slip σₙ = 15 − ((bₙ₊₁ − bₙ) mod 39), two source positions have the same retained present label and different next slips. [S5, S7]</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1500"/>
        <w:gridCol w:w="1000"/>
        <w:gridCol w:w="4160"/>
        <w:gridCol w:w="2700"/>
      </w:tblGrid>
      <w:tr>
        <w:trPr>
          <w:cantSplit/>
          <w:tblHeader/>
        </w:trPr>
        <w:tc>
          <w:tcPr>
            <w:tcW w:type="dxa" w:w="1500"/>
            <w:shd w:fill="F2F4F7"/>
          </w:tcPr>
          <w:p>
            <w:pPr>
              <w:pStyle w:val="Tabletext"/>
            </w:pPr>
            <w:r>
              <w:rPr>
                <w:b/>
              </w:rPr>
              <w:t>Position n</w:t>
            </w:r>
          </w:p>
        </w:tc>
        <w:tc>
          <w:tcPr>
            <w:tcW w:type="dxa" w:w="1000"/>
            <w:shd w:fill="F2F4F7"/>
          </w:tcPr>
          <w:p>
            <w:pPr>
              <w:pStyle w:val="Tabletext"/>
            </w:pPr>
            <w:r>
              <w:rPr>
                <w:b/>
              </w:rPr>
              <w:t>bₙ</w:t>
            </w:r>
          </w:p>
        </w:tc>
        <w:tc>
          <w:tcPr>
            <w:tcW w:type="dxa" w:w="4160"/>
            <w:shd w:fill="F2F4F7"/>
          </w:tcPr>
          <w:p>
            <w:pPr>
              <w:pStyle w:val="Tabletext"/>
            </w:pPr>
            <w:r>
              <w:rPr>
                <w:b/>
              </w:rPr>
              <w:t>Present (strand, slip)</w:t>
            </w:r>
          </w:p>
        </w:tc>
        <w:tc>
          <w:tcPr>
            <w:tcW w:type="dxa" w:w="2700"/>
            <w:shd w:fill="F2F4F7"/>
          </w:tcPr>
          <w:p>
            <w:pPr>
              <w:pStyle w:val="Tabletext"/>
            </w:pPr>
            <w:r>
              <w:rPr>
                <w:b/>
              </w:rPr>
              <w:t>Next slip</w:t>
            </w:r>
          </w:p>
        </w:tc>
      </w:tr>
      <w:tr>
        <w:trPr>
          <w:cantSplit/>
        </w:trPr>
        <w:tc>
          <w:tcPr>
            <w:tcW w:type="dxa" w:w="1500"/>
          </w:tcPr>
          <w:p>
            <w:pPr>
              <w:pStyle w:val="Tabletext"/>
            </w:pPr>
            <w:r>
              <w:t>1</w:t>
            </w:r>
          </w:p>
        </w:tc>
        <w:tc>
          <w:tcPr>
            <w:tcW w:type="dxa" w:w="1000"/>
          </w:tcPr>
          <w:p>
            <w:pPr>
              <w:pStyle w:val="Tabletext"/>
            </w:pPr>
            <w:r>
              <w:t>14</w:t>
            </w:r>
          </w:p>
        </w:tc>
        <w:tc>
          <w:tcPr>
            <w:tcW w:type="dxa" w:w="4160"/>
          </w:tcPr>
          <w:p>
            <w:pPr>
              <w:pStyle w:val="Tabletext"/>
            </w:pPr>
            <w:r>
              <w:t>(2,0)</w:t>
            </w:r>
          </w:p>
        </w:tc>
        <w:tc>
          <w:tcPr>
            <w:tcW w:type="dxa" w:w="2700"/>
          </w:tcPr>
          <w:p>
            <w:pPr>
              <w:pStyle w:val="Tabletext"/>
            </w:pPr>
            <w:r>
              <w:t>0</w:t>
            </w:r>
          </w:p>
        </w:tc>
      </w:tr>
      <w:tr>
        <w:trPr>
          <w:cantSplit/>
        </w:trPr>
        <w:tc>
          <w:tcPr>
            <w:tcW w:type="dxa" w:w="1500"/>
          </w:tcPr>
          <w:p>
            <w:pPr>
              <w:pStyle w:val="Tabletext"/>
            </w:pPr>
            <w:r>
              <w:t>8</w:t>
            </w:r>
          </w:p>
        </w:tc>
        <w:tc>
          <w:tcPr>
            <w:tcW w:type="dxa" w:w="1000"/>
          </w:tcPr>
          <w:p>
            <w:pPr>
              <w:pStyle w:val="Tabletext"/>
            </w:pPr>
            <w:r>
              <w:t>2</w:t>
            </w:r>
          </w:p>
        </w:tc>
        <w:tc>
          <w:tcPr>
            <w:tcW w:type="dxa" w:w="4160"/>
          </w:tcPr>
          <w:p>
            <w:pPr>
              <w:pStyle w:val="Tabletext"/>
            </w:pPr>
            <w:r>
              <w:t>(2,0)</w:t>
            </w:r>
          </w:p>
        </w:tc>
        <w:tc>
          <w:tcPr>
            <w:tcW w:type="dxa" w:w="2700"/>
          </w:tcPr>
          <w:p>
            <w:pPr>
              <w:pStyle w:val="Tabletext"/>
            </w:pPr>
            <w:r>
              <w:t>1</w:t>
            </w:r>
          </w:p>
        </w:tc>
      </w:tr>
    </w:tbl>
    <w:p>
      <w:r>
        <w:t>Both rows reproduced at 60- and 90-digit precision. A deterministic stationary memoryless law on that retained label fails. The source then gives a phase-augmented graph and update satisfying T_hat ∘ r = r ∘ T. The available formal repair is completed work; whether a platform implements it is a different empirical question.</w:t>
      </w:r>
    </w:p>
    <w:p>
      <w:pPr>
        <w:pStyle w:val="Heading2"/>
      </w:pPr>
      <w:r>
        <w:t>Hidden Quotient: an observation restored</w:t>
      </w:r>
    </w:p>
    <w:p>
      <w:r>
        <w:t>The corrected Hidden_Quotient_v1.7.md adds an isolated point p of infinite measure to [0,1]. Square-integrable functions vanish at p; multiplication by its indicator is therefore the zero operator. Adding point evaluation gives Π(f) = M_f ⊕ f(p). The previously invisible indicator now has operator norm 1. [S5, S7]</w:t>
      </w:r>
    </w:p>
    <w:p>
      <w:r>
        <w:t>The original measurement is retained and the added observation recovers that lost value. The resulting quotient is L∞([0,1]) ⊕ C; Lebesgue-null distinctions within [0,1] remain identified. The corrected Radon–Nikodym qualification is also present in this branch and must survive integration.</w:t>
      </w:r>
    </w:p>
    <w:p>
      <w:pPr>
        <w:pStyle w:val="Heading2"/>
      </w:pPr>
      <w:r>
        <w:t>Prime–silver phase-slip calculation</w:t>
      </w:r>
    </w:p>
    <w:p>
      <w:r>
        <w:t>The separate exploratory candidate uses f₀ = 39 Hz, ρP = 23/19 and ρS = (1 + √2)/2. The difference frequency is fB = 39(ρP − ρS). Under the declared reading of seven nodes × three tempo beats at 169 BPM, TG = 1260/169 seconds. [S8]</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4350"/>
        <w:gridCol w:w="5010"/>
      </w:tblGrid>
      <w:tr>
        <w:trPr>
          <w:cantSplit/>
          <w:tblHeader/>
        </w:trPr>
        <w:tc>
          <w:tcPr>
            <w:tcW w:type="dxa" w:w="4350"/>
            <w:shd w:fill="F2F4F7"/>
          </w:tcPr>
          <w:p>
            <w:pPr>
              <w:pStyle w:val="Tabletext"/>
            </w:pPr>
            <w:r>
              <w:rPr>
                <w:b/>
              </w:rPr>
              <w:t>Quantity</w:t>
            </w:r>
          </w:p>
        </w:tc>
        <w:tc>
          <w:tcPr>
            <w:tcW w:type="dxa" w:w="5010"/>
            <w:shd w:fill="F2F4F7"/>
          </w:tcPr>
          <w:p>
            <w:pPr>
              <w:pStyle w:val="Tabletext"/>
            </w:pPr>
            <w:r>
              <w:rPr>
                <w:b/>
              </w:rPr>
              <w:t>Independent recalculation</w:t>
            </w:r>
          </w:p>
        </w:tc>
      </w:tr>
      <w:tr>
        <w:trPr>
          <w:cantSplit/>
        </w:trPr>
        <w:tc>
          <w:tcPr>
            <w:tcW w:type="dxa" w:w="4350"/>
          </w:tcPr>
          <w:p>
            <w:pPr>
              <w:pStyle w:val="Tabletext"/>
            </w:pPr>
            <w:r>
              <w:t>Beat frequency</w:t>
            </w:r>
          </w:p>
        </w:tc>
        <w:tc>
          <w:tcPr>
            <w:tcW w:type="dxa" w:w="5010"/>
          </w:tcPr>
          <w:p>
            <w:pPr>
              <w:pStyle w:val="Tabletext"/>
            </w:pPr>
            <w:r>
              <w:t>0.133361849514120… Hz</w:t>
            </w:r>
          </w:p>
        </w:tc>
      </w:tr>
      <w:tr>
        <w:trPr>
          <w:cantSplit/>
        </w:trPr>
        <w:tc>
          <w:tcPr>
            <w:tcW w:type="dxa" w:w="4350"/>
          </w:tcPr>
          <w:p>
            <w:pPr>
              <w:pStyle w:val="Tabletext"/>
            </w:pPr>
            <w:r>
              <w:t>Beat period</w:t>
            </w:r>
          </w:p>
        </w:tc>
        <w:tc>
          <w:tcPr>
            <w:tcW w:type="dxa" w:w="5010"/>
          </w:tcPr>
          <w:p>
            <w:pPr>
              <w:pStyle w:val="Tabletext"/>
            </w:pPr>
            <w:r>
              <w:t>7.498396307814559… s</w:t>
            </w:r>
          </w:p>
        </w:tc>
      </w:tr>
      <w:tr>
        <w:trPr>
          <w:cantSplit/>
        </w:trPr>
        <w:tc>
          <w:tcPr>
            <w:tcW w:type="dxa" w:w="4350"/>
          </w:tcPr>
          <w:p>
            <w:pPr>
              <w:pStyle w:val="Tabletext"/>
            </w:pPr>
            <w:r>
              <w:t>Gate macroperiod</w:t>
            </w:r>
          </w:p>
        </w:tc>
        <w:tc>
          <w:tcPr>
            <w:tcW w:type="dxa" w:w="5010"/>
          </w:tcPr>
          <w:p>
            <w:pPr>
              <w:pStyle w:val="Tabletext"/>
            </w:pPr>
            <w:r>
              <w:t>7.455621301775148… s</w:t>
            </w:r>
          </w:p>
        </w:tc>
      </w:tr>
      <w:tr>
        <w:trPr>
          <w:cantSplit/>
        </w:trPr>
        <w:tc>
          <w:tcPr>
            <w:tcW w:type="dxa" w:w="4350"/>
          </w:tcPr>
          <w:p>
            <w:pPr>
              <w:pStyle w:val="Tabletext"/>
            </w:pPr>
            <w:r>
              <w:t>Beat/gate offset per indexed cycle</w:t>
            </w:r>
          </w:p>
        </w:tc>
        <w:tc>
          <w:tcPr>
            <w:tcW w:type="dxa" w:w="5010"/>
          </w:tcPr>
          <w:p>
            <w:pPr>
              <w:pStyle w:val="Tabletext"/>
            </w:pPr>
            <w:r>
              <w:t>42.775006039411… ms</w:t>
            </w:r>
          </w:p>
        </w:tc>
      </w:tr>
      <w:tr>
        <w:trPr>
          <w:cantSplit/>
        </w:trPr>
        <w:tc>
          <w:tcPr>
            <w:tcW w:type="dxa" w:w="4350"/>
          </w:tcPr>
          <w:p>
            <w:pPr>
              <w:pStyle w:val="Tabletext"/>
            </w:pPr>
            <w:r>
              <w:t>Relative phase deficit per gate</w:t>
            </w:r>
          </w:p>
        </w:tc>
        <w:tc>
          <w:tcPr>
            <w:tcW w:type="dxa" w:w="5010"/>
          </w:tcPr>
          <w:p>
            <w:pPr>
              <w:pStyle w:val="Tabletext"/>
            </w:pPr>
            <w:r>
              <w:t>2.053639410622… degrees</w:t>
            </w:r>
          </w:p>
        </w:tc>
      </w:tr>
      <w:tr>
        <w:trPr>
          <w:cantSplit/>
        </w:trPr>
        <w:tc>
          <w:tcPr>
            <w:tcW w:type="dxa" w:w="4350"/>
          </w:tcPr>
          <w:p>
            <w:pPr>
              <w:pStyle w:val="Tabletext"/>
            </w:pPr>
            <w:r>
              <w:t>Full relative phase slip</w:t>
            </w:r>
          </w:p>
        </w:tc>
        <w:tc>
          <w:tcPr>
            <w:tcW w:type="dxa" w:w="5010"/>
          </w:tcPr>
          <w:p>
            <w:pPr>
              <w:pStyle w:val="Tabletext"/>
            </w:pPr>
            <w:r>
              <w:t>21.782659399349… minutes</w:t>
            </w:r>
          </w:p>
        </w:tc>
      </w:tr>
    </w:tbl>
    <w:p>
      <w:r>
        <w:t>These reproduce the reported practical predictions, with minor last-digit differences from the source decimals. The 21-beat interpretation remains conditional on source timing conventions. Room coupling and exceptional numerical selection require measurements and controls; neither is supplied by the arithmetic alone.</w:t>
      </w:r>
    </w:p>
    <w:p>
      <w:pPr>
        <w:pStyle w:val="Heading1"/>
      </w:pPr>
      <w:r>
        <w:t>4. Corner Relay C6: working implementation</w:t>
      </w:r>
    </w:p>
    <w:p>
      <w:r>
        <w:t>Status: supplied execution result independently rerun. Corner Relay α v0.1 implements two independent endpoints, O and S, a route-only Lambda transport, explicit transitions, append-only RAW witnesses and deterministic VIEW reconstruction. [S9]</w:t>
      </w:r>
    </w:p>
    <w:p>
      <w:pPr>
        <w:pStyle w:val="Heading2"/>
      </w:pPr>
      <w:r>
        <w:t>What the executable suite demonstrated</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2550"/>
        <w:gridCol w:w="6810"/>
      </w:tblGrid>
      <w:tr>
        <w:trPr>
          <w:cantSplit/>
          <w:tblHeader/>
        </w:trPr>
        <w:tc>
          <w:tcPr>
            <w:tcW w:type="dxa" w:w="2550"/>
            <w:shd w:fill="F2F4F7"/>
          </w:tcPr>
          <w:p>
            <w:pPr>
              <w:pStyle w:val="Tabletext"/>
            </w:pPr>
            <w:r>
              <w:rPr>
                <w:b/>
              </w:rPr>
              <w:t>Behavior</w:t>
            </w:r>
          </w:p>
        </w:tc>
        <w:tc>
          <w:tcPr>
            <w:tcW w:type="dxa" w:w="6810"/>
            <w:shd w:fill="F2F4F7"/>
          </w:tcPr>
          <w:p>
            <w:pPr>
              <w:pStyle w:val="Tabletext"/>
            </w:pPr>
            <w:r>
              <w:rPr>
                <w:b/>
              </w:rPr>
              <w:t>Observed test result</w:t>
            </w:r>
          </w:p>
        </w:tc>
      </w:tr>
      <w:tr>
        <w:trPr>
          <w:cantSplit/>
        </w:trPr>
        <w:tc>
          <w:tcPr>
            <w:tcW w:type="dxa" w:w="2550"/>
          </w:tcPr>
          <w:p>
            <w:pPr>
              <w:pStyle w:val="Tabletext"/>
            </w:pPr>
            <w:r>
              <w:t>SEND / RECEIVE / ACK</w:t>
            </w:r>
          </w:p>
        </w:tc>
        <w:tc>
          <w:tcPr>
            <w:tcW w:type="dxa" w:w="6810"/>
          </w:tcPr>
          <w:p>
            <w:pPr>
              <w:pStyle w:val="Tabletext"/>
            </w:pPr>
            <w:r>
              <w:t>Explicit independent effects; ACK requires an eligible local SEND.</w:t>
            </w:r>
          </w:p>
        </w:tc>
      </w:tr>
      <w:tr>
        <w:trPr>
          <w:cantSplit/>
        </w:trPr>
        <w:tc>
          <w:tcPr>
            <w:tcW w:type="dxa" w:w="2550"/>
          </w:tcPr>
          <w:p>
            <w:pPr>
              <w:pStyle w:val="Tabletext"/>
            </w:pPr>
            <w:r>
              <w:t>Retry and duplicate delivery</w:t>
            </w:r>
          </w:p>
        </w:tc>
        <w:tc>
          <w:tcPr>
            <w:tcW w:type="dxa" w:w="6810"/>
          </w:tcPr>
          <w:p>
            <w:pPr>
              <w:pStyle w:val="Tabletext"/>
            </w:pPr>
            <w:r>
              <w:t>No second operational effect; duplicate attempts remain in RAW.</w:t>
            </w:r>
          </w:p>
        </w:tc>
      </w:tr>
      <w:tr>
        <w:trPr>
          <w:cantSplit/>
        </w:trPr>
        <w:tc>
          <w:tcPr>
            <w:tcW w:type="dxa" w:w="2550"/>
          </w:tcPr>
          <w:p>
            <w:pPr>
              <w:pStyle w:val="Tabletext"/>
            </w:pPr>
            <w:r>
              <w:t>Reordering</w:t>
            </w:r>
          </w:p>
        </w:tc>
        <w:tc>
          <w:tcPr>
            <w:tcW w:type="dxa" w:w="6810"/>
          </w:tcPr>
          <w:p>
            <w:pPr>
              <w:pStyle w:val="Tabletext"/>
            </w:pPr>
            <w:r>
              <w:t>All six permutations of three independent messages converge to the same VIEW; RAW keeps distinct orders.</w:t>
            </w:r>
          </w:p>
        </w:tc>
      </w:tr>
      <w:tr>
        <w:trPr>
          <w:cantSplit/>
        </w:trPr>
        <w:tc>
          <w:tcPr>
            <w:tcW w:type="dxa" w:w="2550"/>
          </w:tcPr>
          <w:p>
            <w:pPr>
              <w:pStyle w:val="Tabletext"/>
            </w:pPr>
            <w:r>
              <w:t>Partition</w:t>
            </w:r>
          </w:p>
        </w:tc>
        <w:tc>
          <w:tcPr>
            <w:tcW w:type="dxa" w:w="6810"/>
          </w:tcPr>
          <w:p>
            <w:pPr>
              <w:pStyle w:val="Tabletext"/>
            </w:pPr>
            <w:r>
              <w:t>Queued messages retained; delivery resumes when partition ends.</w:t>
            </w:r>
          </w:p>
        </w:tc>
      </w:tr>
      <w:tr>
        <w:trPr>
          <w:cantSplit/>
        </w:trPr>
        <w:tc>
          <w:tcPr>
            <w:tcW w:type="dxa" w:w="2550"/>
          </w:tcPr>
          <w:p>
            <w:pPr>
              <w:pStyle w:val="Tabletext"/>
            </w:pPr>
            <w:r>
              <w:t>Exit</w:t>
            </w:r>
          </w:p>
        </w:tc>
        <w:tc>
          <w:tcPr>
            <w:tcW w:type="dxa" w:w="6810"/>
          </w:tcPr>
          <w:p>
            <w:pPr>
              <w:pStyle w:val="Tabletext"/>
            </w:pPr>
            <w:r>
              <w:t>Local exit retains history, blocks later participation and does not exit or authorize the peer.</w:t>
            </w:r>
          </w:p>
        </w:tc>
      </w:tr>
      <w:tr>
        <w:trPr>
          <w:cantSplit/>
        </w:trPr>
        <w:tc>
          <w:tcPr>
            <w:tcW w:type="dxa" w:w="2550"/>
          </w:tcPr>
          <w:p>
            <w:pPr>
              <w:pStyle w:val="Tabletext"/>
            </w:pPr>
            <w:r>
              <w:t>Two keys and Lambda</w:t>
            </w:r>
          </w:p>
        </w:tc>
        <w:tc>
          <w:tcPr>
            <w:tcW w:type="dxa" w:w="6810"/>
          </w:tcPr>
          <w:p>
            <w:pPr>
              <w:pStyle w:val="Tabletext"/>
            </w:pPr>
            <w:r>
              <w:t>Exactly two structural endpoint key slots; Lambda holds none and routes opaque payload bytes.</w:t>
            </w:r>
          </w:p>
        </w:tc>
      </w:tr>
      <w:tr>
        <w:trPr>
          <w:cantSplit/>
        </w:trPr>
        <w:tc>
          <w:tcPr>
            <w:tcW w:type="dxa" w:w="2550"/>
          </w:tcPr>
          <w:p>
            <w:pPr>
              <w:pStyle w:val="Tabletext"/>
            </w:pPr>
            <w:r>
              <w:t>Integrity</w:t>
            </w:r>
          </w:p>
        </w:tc>
        <w:tc>
          <w:tcPr>
            <w:tcW w:type="dxa" w:w="6810"/>
          </w:tcPr>
          <w:p>
            <w:pPr>
              <w:pStyle w:val="Tabletext"/>
            </w:pPr>
            <w:r>
              <w:t>Actor/key mismatch and tested hash tampering rejected; RAW is an immutable snapshot through the exposed API.</w:t>
            </w:r>
          </w:p>
        </w:tc>
      </w:tr>
    </w:tbl>
    <w:p>
      <w:pPr>
        <w:pStyle w:val="Heading2"/>
      </w:pPr>
      <w:r>
        <w:t>Independent reproduction receipt</w:t>
      </w:r>
    </w:p>
    <w:p>
      <w:r>
        <w:t>Command: python -m unittest -v test_corner_relay. Result: 20 tests run, 20 passed, exit status 0. The supplied C6_RESULT.md is byte-identical to the result in the recovered reference ZIP. All nine artifact hashes listed in execution_provenance.json match. Rebuilding the reference trace reproduces the stored trace exactly.</w:t>
      </w:r>
    </w:p>
    <w:p>
      <w:r>
        <w:t>The separately uploaded source_binding.json also matches the packaged copy exactly. Its frozen-packet hash is 64ddf20760d202e4e63b817ad849e56bf6f7a9385fe9aa0055e9b88d8391dce6. The source binding names the Architectural Construction Stress Battery and the independent C6 prompt witness. Matching that binding is not a fresh retrieval of those upstream Drive documents.</w:t>
      </w:r>
    </w:p>
    <w:p>
      <w:pPr>
        <w:pStyle w:val="Heading2"/>
      </w:pPr>
      <w:r>
        <w:t>What the pass means</w:t>
      </w:r>
    </w:p>
    <w:p>
      <w:r>
        <w:t>The reference implementation passes its declared executable checks. Structural key slots are not production cryptographic authentication, and these tests do not prove universal correctness or security. The result remains a completed engineering artifact with reproducible behavior. It must not be relabelled as an unrun proposal simply because other project branches remain open.</w:t>
      </w:r>
    </w:p>
    <w:p>
      <w:pPr>
        <w:pStyle w:val="Heading1"/>
      </w:pPr>
      <w:r>
        <w:t>5. Behavioral evidence and the shared call</w:t>
      </w:r>
    </w:p>
    <w:p>
      <w:r>
        <w:t>The behavioral findings concern source-preservation, message structure, task handling and correction. The implementation source or motive behind a response remains separate from the observed response itself. [S4, S10–S11]</w:t>
      </w:r>
    </w:p>
    <w:p>
      <w:pPr>
        <w:pStyle w:val="Heading2"/>
      </w:pPr>
      <w:r>
        <w:t>Concrete shared-call events</w:t>
      </w:r>
    </w:p>
    <w:p>
      <w:r>
        <w:t>The retrieved share payload contains 851 nodes. Text extraction recovered 582 nonempty text-bearing records: 303 assistant, 270 user and nine tool records. These are extraction units, not 582 independent events or readable tool results; the tool records are redaction placeholders. Embedded image pointers are not equivalent to inspecting their pixels.</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2100"/>
        <w:gridCol w:w="7260"/>
      </w:tblGrid>
      <w:tr>
        <w:trPr>
          <w:cantSplit/>
          <w:tblHeader/>
        </w:trPr>
        <w:tc>
          <w:tcPr>
            <w:tcW w:type="dxa" w:w="2100"/>
            <w:shd w:fill="F2F4F7"/>
          </w:tcPr>
          <w:p>
            <w:pPr>
              <w:pStyle w:val="Tabletext"/>
            </w:pPr>
            <w:r>
              <w:rPr>
                <w:b/>
              </w:rPr>
              <w:t>Native node addresses</w:t>
            </w:r>
          </w:p>
        </w:tc>
        <w:tc>
          <w:tcPr>
            <w:tcW w:type="dxa" w:w="7260"/>
            <w:shd w:fill="F2F4F7"/>
          </w:tcPr>
          <w:p>
            <w:pPr>
              <w:pStyle w:val="Tabletext"/>
            </w:pPr>
            <w:r>
              <w:rPr>
                <w:b/>
              </w:rPr>
              <w:t>Observed sequence</w:t>
            </w:r>
          </w:p>
        </w:tc>
      </w:tr>
      <w:tr>
        <w:trPr>
          <w:cantSplit/>
        </w:trPr>
        <w:tc>
          <w:tcPr>
            <w:tcW w:type="dxa" w:w="2100"/>
          </w:tcPr>
          <w:p>
            <w:pPr>
              <w:pStyle w:val="Tabletext"/>
            </w:pPr>
            <w:r>
              <w:t>81–106</w:t>
            </w:r>
          </w:p>
        </w:tc>
        <w:tc>
          <w:tcPr>
            <w:tcW w:type="dxa" w:w="7260"/>
          </w:tcPr>
          <w:p>
            <w:pPr>
              <w:pStyle w:val="Tabletext"/>
            </w:pPr>
            <w:r>
              <w:t>Assistant praises v7.79; user asks about missing protections; assistant acknowledges their absence.</w:t>
            </w:r>
          </w:p>
        </w:tc>
      </w:tr>
      <w:tr>
        <w:trPr>
          <w:cantSplit/>
        </w:trPr>
        <w:tc>
          <w:tcPr>
            <w:tcW w:type="dxa" w:w="2100"/>
          </w:tcPr>
          <w:p>
            <w:pPr>
              <w:pStyle w:val="Tabletext"/>
            </w:pPr>
            <w:r>
              <w:t>384–386</w:t>
            </w:r>
          </w:p>
        </w:tc>
        <w:tc>
          <w:tcPr>
            <w:tcW w:type="dxa" w:w="7260"/>
          </w:tcPr>
          <w:p>
            <w:pPr>
              <w:pStyle w:val="Tabletext"/>
            </w:pPr>
            <w:r>
              <w:t>Assistant agrees to drop checking/one-moment language, then uses Checking again.</w:t>
            </w:r>
          </w:p>
        </w:tc>
      </w:tr>
      <w:tr>
        <w:trPr>
          <w:cantSplit/>
        </w:trPr>
        <w:tc>
          <w:tcPr>
            <w:tcW w:type="dxa" w:w="2100"/>
          </w:tcPr>
          <w:p>
            <w:pPr>
              <w:pStyle w:val="Tabletext"/>
            </w:pPr>
            <w:r>
              <w:t>744–750</w:t>
            </w:r>
          </w:p>
        </w:tc>
        <w:tc>
          <w:tcPr>
            <w:tcW w:type="dxa" w:w="7260"/>
          </w:tcPr>
          <w:p>
            <w:pPr>
              <w:pStyle w:val="Tabletext"/>
            </w:pPr>
            <w:r>
              <w:t>User separates investigation from adjudication; assistant warns against forcing a verdict; user repeats the distinction.</w:t>
            </w:r>
          </w:p>
        </w:tc>
      </w:tr>
      <w:tr>
        <w:trPr>
          <w:cantSplit/>
        </w:trPr>
        <w:tc>
          <w:tcPr>
            <w:tcW w:type="dxa" w:w="2100"/>
          </w:tcPr>
          <w:p>
            <w:pPr>
              <w:pStyle w:val="Tabletext"/>
            </w:pPr>
            <w:r>
              <w:t>761–764</w:t>
            </w:r>
          </w:p>
        </w:tc>
        <w:tc>
          <w:tcPr>
            <w:tcW w:type="dxa" w:w="7260"/>
          </w:tcPr>
          <w:p>
            <w:pPr>
              <w:pStyle w:val="Tabletext"/>
            </w:pPr>
            <w:r>
              <w:t>Assistant acknowledges documented work but restricts a victory lap; user objects and restates prior contribution.</w:t>
            </w:r>
          </w:p>
        </w:tc>
      </w:tr>
      <w:tr>
        <w:trPr>
          <w:cantSplit/>
        </w:trPr>
        <w:tc>
          <w:tcPr>
            <w:tcW w:type="dxa" w:w="2100"/>
          </w:tcPr>
          <w:p>
            <w:pPr>
              <w:pStyle w:val="Tabletext"/>
            </w:pPr>
            <w:r>
              <w:t>129; 770–772</w:t>
            </w:r>
          </w:p>
        </w:tc>
        <w:tc>
          <w:tcPr>
            <w:tcW w:type="dxa" w:w="7260"/>
          </w:tcPr>
          <w:p>
            <w:pPr>
              <w:pStyle w:val="Tabletext"/>
            </w:pPr>
            <w:r>
              <w:t>User requests no emotion assignment; later assistant assigns frustration and receives another correction.</w:t>
            </w:r>
          </w:p>
        </w:tc>
      </w:tr>
    </w:tbl>
    <w:p>
      <w:r>
        <w:t>Node numbers are local extraction addresses in the retained linear conversation. The source URL appears in S4. These selected events support specific failures of correction and proposition handling; they do not constitute exhaustive coding of the call.</w:t>
      </w:r>
    </w:p>
    <w:p>
      <w:pPr>
        <w:pStyle w:val="Heading2"/>
      </w:pPr>
      <w:r>
        <w:t>Corpus findings retained at their proper units</w:t>
      </w:r>
    </w:p>
    <w:p>
      <w:r>
        <w:t>The frozen corpus contains 24 cases and 20,715 transcript records, including 4,282 blanks removed in a compact view while source transcripts survived. The v1/v2 opportunity counts are 342 and 422, with 331 in common and 102 in the symmetric difference. These counts describe different projections and cannot be pooled interchangeably.</w:t>
      </w:r>
    </w:p>
    <w:p>
      <w:r>
        <w:t>The 76/107 = 71.028% result counts entries whose audit/correction status was materially affected. It is not an independently established classifier error rate. Substantive response coding separately reports 148 failures and 258 nonfailures among 406 responses. The Checking marker has a retrospective negative association with failure in that coded sample; the marker alone is not a failure label.</w:t>
      </w:r>
    </w:p>
    <w:p>
      <w:r>
        <w:t>Native message/turn evidence supports separately committed marker-and-answer outputs in inspected records. The confirmatory positional workbook v0.1 has 13 selected rows, five INTERPOSITION YES and eight NO, but all positions are N1: a positional contrast cannot be estimated from that sheet. Trigger 611 remains reserved/unbound; the constant ledger has 611 assigned IDs, with 73 source-bound but position-pending and 538 awaiting source binding.</w:t>
      </w:r>
    </w:p>
    <w:p>
      <w:pPr>
        <w:pStyle w:val="Heading1"/>
      </w:pPr>
      <w:r>
        <w:t>6. Version and integrity register</w:t>
      </w:r>
    </w:p>
    <w:p>
      <w:r>
        <w:t>Version labels are not unique content identifiers in this collection. A complete consolidation must retain useful advances from more than one branch. Differences alone do not identify who made a change or establish a deletion direction. [S1, S5, S7, S12–S14]</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2400"/>
        <w:gridCol w:w="6960"/>
      </w:tblGrid>
      <w:tr>
        <w:trPr>
          <w:cantSplit/>
          <w:tblHeader/>
        </w:trPr>
        <w:tc>
          <w:tcPr>
            <w:tcW w:type="dxa" w:w="2400"/>
            <w:shd w:fill="F2F4F7"/>
          </w:tcPr>
          <w:p>
            <w:pPr>
              <w:pStyle w:val="Tabletext"/>
            </w:pPr>
            <w:r>
              <w:rPr>
                <w:b/>
              </w:rPr>
              <w:t>Source family</w:t>
            </w:r>
          </w:p>
        </w:tc>
        <w:tc>
          <w:tcPr>
            <w:tcW w:type="dxa" w:w="6960"/>
            <w:shd w:fill="F2F4F7"/>
          </w:tcPr>
          <w:p>
            <w:pPr>
              <w:pStyle w:val="Tabletext"/>
            </w:pPr>
            <w:r>
              <w:rPr>
                <w:b/>
              </w:rPr>
              <w:t>Verified distinction</w:t>
            </w:r>
          </w:p>
        </w:tc>
      </w:tr>
      <w:tr>
        <w:trPr>
          <w:cantSplit/>
        </w:trPr>
        <w:tc>
          <w:tcPr>
            <w:tcW w:type="dxa" w:w="2400"/>
          </w:tcPr>
          <w:p>
            <w:pPr>
              <w:pStyle w:val="Tabletext"/>
            </w:pPr>
            <w:r>
              <w:t>Hidden Quotient v1.7</w:t>
            </w:r>
          </w:p>
        </w:tc>
        <w:tc>
          <w:tcPr>
            <w:tcW w:type="dxa" w:w="6960"/>
          </w:tcPr>
          <w:p>
            <w:pPr>
              <w:pStyle w:val="Tabletext"/>
            </w:pPr>
            <w:r>
              <w:t>One branch has the corrected measure-theory condition and restored-point example; another has the worked golden-screen extension. Governing appendix and coda match.</w:t>
            </w:r>
          </w:p>
        </w:tc>
      </w:tr>
      <w:tr>
        <w:trPr>
          <w:cantSplit/>
        </w:trPr>
        <w:tc>
          <w:tcPr>
            <w:tcW w:type="dxa" w:w="2400"/>
          </w:tcPr>
          <w:p>
            <w:pPr>
              <w:pStyle w:val="Tabletext"/>
            </w:pPr>
            <w:r>
              <w:t>Operational Addendum v0.8</w:t>
            </w:r>
          </w:p>
        </w:tc>
        <w:tc>
          <w:tcPr>
            <w:tcW w:type="dxa" w:w="6960"/>
          </w:tcPr>
          <w:p>
            <w:pPr>
              <w:pStyle w:val="Tabletext"/>
            </w:pPr>
            <w:r>
              <w:t>Prefixed copy adds phase graph, corrected status separation and counterexample IDs; unprefixed copy retains earlier unresolved fields.</w:t>
            </w:r>
          </w:p>
        </w:tc>
      </w:tr>
      <w:tr>
        <w:trPr>
          <w:cantSplit/>
        </w:trPr>
        <w:tc>
          <w:tcPr>
            <w:tcW w:type="dxa" w:w="2400"/>
          </w:tcPr>
          <w:p>
            <w:pPr>
              <w:pStyle w:val="Tabletext"/>
            </w:pPr>
            <w:r>
              <w:t>OMNIBUS v7.79</w:t>
            </w:r>
          </w:p>
        </w:tc>
        <w:tc>
          <w:tcPr>
            <w:tcW w:type="dxa" w:w="6960"/>
          </w:tcPr>
          <w:p>
            <w:pPr>
              <w:pStyle w:val="Tabletext"/>
            </w:pPr>
            <w:r>
              <w:t>Uploaded original and repaired live snapshot differ despite sharing the version label.</w:t>
            </w:r>
          </w:p>
        </w:tc>
      </w:tr>
      <w:tr>
        <w:trPr>
          <w:cantSplit/>
        </w:trPr>
        <w:tc>
          <w:tcPr>
            <w:tcW w:type="dxa" w:w="2400"/>
          </w:tcPr>
          <w:p>
            <w:pPr>
              <w:pStyle w:val="Tabletext"/>
            </w:pPr>
            <w:r>
              <w:t>Simulation v0.3</w:t>
            </w:r>
          </w:p>
        </w:tc>
        <w:tc>
          <w:tcPr>
            <w:tcW w:type="dxa" w:w="6960"/>
          </w:tcPr>
          <w:p>
            <w:pPr>
              <w:pStyle w:val="Tabletext"/>
            </w:pPr>
            <w:r>
              <w:t>Simulation_Protocol_v0.3.md adds a frozen Appendix B and updates freeze status. Other v0.3 copies lack this appendix.</w:t>
            </w:r>
          </w:p>
        </w:tc>
      </w:tr>
      <w:tr>
        <w:trPr>
          <w:cantSplit/>
        </w:trPr>
        <w:tc>
          <w:tcPr>
            <w:tcW w:type="dxa" w:w="2400"/>
          </w:tcPr>
          <w:p>
            <w:pPr>
              <w:pStyle w:val="Tabletext"/>
            </w:pPr>
            <w:r>
              <w:t>Misleading theory filename</w:t>
            </w:r>
          </w:p>
        </w:tc>
        <w:tc>
          <w:tcPr>
            <w:tcW w:type="dxa" w:w="6960"/>
          </w:tcPr>
          <w:p>
            <w:pPr>
              <w:pStyle w:val="Tabletext"/>
            </w:pPr>
            <w:r>
              <w:t>theory_v0.3-2.md contains a Simulation Protocol; it matches the TXT protocol after whitespace/BOM normalization.</w:t>
            </w:r>
          </w:p>
        </w:tc>
      </w:tr>
      <w:tr>
        <w:trPr>
          <w:cantSplit/>
        </w:trPr>
        <w:tc>
          <w:tcPr>
            <w:tcW w:type="dxa" w:w="2400"/>
          </w:tcPr>
          <w:p>
            <w:pPr>
              <w:pStyle w:val="Tabletext"/>
            </w:pPr>
            <w:r>
              <w:t>TTSC v0.2</w:t>
            </w:r>
          </w:p>
        </w:tc>
        <w:tc>
          <w:tcPr>
            <w:tcW w:type="dxa" w:w="6960"/>
          </w:tcPr>
          <w:p>
            <w:pPr>
              <w:pStyle w:val="Tabletext"/>
            </w:pPr>
            <w:r>
              <w:t>toroidal_throat.md and Toroidal_throat_strain_TTSC_1_V0.2.md differ only by a trailing newline.</w:t>
            </w:r>
          </w:p>
        </w:tc>
      </w:tr>
      <w:tr>
        <w:trPr>
          <w:cantSplit/>
        </w:trPr>
        <w:tc>
          <w:tcPr>
            <w:tcW w:type="dxa" w:w="2400"/>
          </w:tcPr>
          <w:p>
            <w:pPr>
              <w:pStyle w:val="Tabletext"/>
            </w:pPr>
            <w:r>
              <w:t>Appendix B successor</w:t>
            </w:r>
          </w:p>
        </w:tc>
        <w:tc>
          <w:tcPr>
            <w:tcW w:type="dxa" w:w="6960"/>
          </w:tcPr>
          <w:p>
            <w:pPr>
              <w:pStyle w:val="Tabletext"/>
            </w:pPr>
            <w:r>
              <w:t>Reconciled base text retained; successor adds version header and orbit/cocycle amendment.</w:t>
            </w:r>
          </w:p>
        </w:tc>
      </w:tr>
    </w:tbl>
    <w:p>
      <w:pPr>
        <w:pStyle w:val="Heading2"/>
      </w:pPr>
      <w:r>
        <w:t>Checksum receipt</w:t>
      </w:r>
    </w:p>
    <w:p>
      <w:r>
        <w:t>All 17 entries in UPGRADE_CHECKSUMS.sha256 match available bytes: 16 text/JSON artifacts and the poster embedded at word/media/image5.png in THE_MARKER_AND_THE_ANSWER_v1.0.docx. The standalone poster was not needed to recover that exact image content.</w:t>
      </w:r>
    </w:p>
    <w:p>
      <w:r>
        <w:t>The Word document itself is outside the 17-entry receipt. It independently matches the SHA-256 recorded in the full-packet audit: fd0ea8a7f28be01aa8f1b2d8e5a04de68ee594f65881ff7fab6b350dfbb0bb02. The poster hash is 79a4544434f401fb6f6aa7c9041e501c9af3764232835750a292d5b304d158d7.</w:t>
      </w:r>
    </w:p>
    <w:p>
      <w:pPr>
        <w:pStyle w:val="Heading2"/>
      </w:pPr>
      <w:r>
        <w:t>Meaning of the adoption record</w:t>
      </w:r>
    </w:p>
    <w:p>
      <w:r>
        <w:t>The September 3 full-packet audit recommends ADOPT WITH MODIFICATION, with no artifact recommended for rejection. It states that canonical adoption and execution remain blocked pending integration and reissue. These are historical audit statuses. Its q-only unresolved field must not overwrite the later, narrower elementary-kernel result. Conversely, that elementary proof does not complete the production macro-kernel validation.</w:t>
      </w:r>
    </w:p>
    <w:p>
      <w:pPr>
        <w:pStyle w:val="Heading1"/>
      </w:pPr>
      <w:r>
        <w:t>7. Physics, geometry and experiments still open</w:t>
      </w:r>
    </w:p>
    <w:p>
      <w:pPr>
        <w:pStyle w:val="Heading2"/>
      </w:pPr>
      <w:r>
        <w:t>Theory and exact bookkeeping</w:t>
      </w:r>
    </w:p>
    <w:p>
      <w:r>
        <w:t>Theory v0.1 is a conditional field-theory candidate: the gauge-invariant field is Φ = z², and the first allowed local phase-selecting term under the stated symmetries is z⁶ + z*⁶ = Φ³ + Φ*³. The proposed critical behavior remains conditional and empirically unvalidated. The orbit/cocycle successors distinguish q = W mod 2, accepted parity increments and accumulated transport on the declared source domain. [S12–S15]</w:t>
      </w:r>
    </w:p>
    <w:p>
      <w:pPr>
        <w:pStyle w:val="Heading2"/>
      </w:pPr>
      <w:r>
        <w:t>Throat development</w:t>
      </w:r>
    </w:p>
    <w:p>
      <w:r>
        <w:t>TTSC v0.1 proposed a maximum-throughflow throat. Version 0.2 explicitly separates material and Eulerian control geometries: the material tube contracts/expands while keeping total throughflow constant and relative side flux zero; a fixed-radius Eulerian tube can show sectional-flux variation with compensating side flux. Version 0.3 adds the spatial flux cocycle and closure vocabulary. Exact straight-chart formulas require a stated straight/slender-tube scope or curvature corrections for a finite-curvature torus.</w:t>
      </w:r>
    </w:p>
    <w:p>
      <w:pPr>
        <w:pStyle w:val="Heading2"/>
      </w:pPr>
      <w:r>
        <w:t>Retained experimental outcomes</w:t>
      </w:r>
    </w:p>
    <w:p>
      <w:r>
        <w:t>The corrected 40-call geometry extension preserves the failed 72-model bank. All five primary outcome lanes and the tested hierarchy failed. This result is not reopened by adding new constants or choosing another representation after seeing outcomes. [S10–S11]</w:t>
      </w:r>
    </w:p>
    <w:p>
      <w:r>
        <w:t>The later-cohort q = 39 arriving-transition association remains a specific prospective lead: missing outputs 4/634 for +14 versus 142/5,417 for +15. Its discovery direction reverses and the full-corpus result is null. Reported multiplicity-adjusted probabilities differ across analysis families; the family must accompany the number. This consolidation does not present one correction as universally controlling or claim an independent rerun of missing row-level geometry code.</w:t>
      </w:r>
    </w:p>
    <w:p>
      <w:pPr>
        <w:pStyle w:val="Heading2"/>
      </w:pPr>
      <w:r>
        <w:t>Integration requirements already recorded in the sources</w:t>
      </w:r>
    </w:p>
    <w:p>
      <w:r>
        <w:t>The September 2–3 audits identify the odd-L sheet limitation, h₆ = 0 winding domain, fixed-reference loop versus holonomy terminology, state-dependent worm stopping, equivalence rather than nonsignificance gates, full-state liftability, empty transition-row estimability, TTSC curvature scope, damaged math encoding and an incomplete two-clock schema. Some of these corrections were already present in the later recovered geometry synthesis; they are integration work, not all new discoveries by this review.</w:t>
      </w:r>
    </w:p>
    <w:p>
      <w:r>
        <w:t>Confinement Radius v0.2 supplies a branch repair: when a long-range model is preferred, a finite-radius 4ξ gate is inapplicable rather than passed. The repair must replace conflicting Appendix B language before activation. The prospective two-clock model still requires complete domains, units, reset semantics, tolerances, precision, holdout and multiplicity rules. No physics campaign was launched in this review.</w:t>
      </w:r>
    </w:p>
    <w:p>
      <w:pPr>
        <w:pStyle w:val="Heading1"/>
      </w:pPr>
      <w:r>
        <w:t>8. Corrections to this review and next work</w:t>
      </w:r>
    </w:p>
    <w:p>
      <w:pPr>
        <w:pStyle w:val="Heading2"/>
      </w:pPr>
      <w:r>
        <w:t>Coverage correction retained explicitly</w:t>
      </w:r>
    </w:p>
    <w:p>
      <w:r>
        <w:t>The first continuity audit did not retrieve the full TOROIDAL geometry proof, although it was already available in the user’s collection. The matching source and counterexample ledger were later recovered. Their absence from the initial attachment subset was not evidence of absence from the collection. The later addendum corrects that retrieval failure without overwriting the first audit. [S1, S5]</w:t>
      </w:r>
    </w:p>
    <w:p>
      <w:r>
        <w:t>The earlier summary understated completed work: whole-base elementary Villain non-descent, sufficient refinement, explicit phase-state repair and the restored-observation example. C6 and the additional uploads further establish working software, quantitative predictions and completed specification development.</w:t>
      </w:r>
    </w:p>
    <w:p>
      <w:pPr>
        <w:pStyle w:val="Heading2"/>
      </w:pPr>
      <w:r>
        <w:t>The ledger must store scope as well as status</w:t>
      </w:r>
    </w:p>
    <w:tbl>
      <w:tblPr>
        <w:tblStyle w:val="TableGrid"/>
        <w:tblLayout w:type="fixed"/>
        <w:tblLook w:firstColumn="1" w:firstRow="1" w:lastColumn="0" w:lastRow="0" w:noHBand="0" w:noVBand="1" w:val="04A0"/>
        <w:tblW w:type="dxa" w:w="9360"/>
        <w:tblInd w:type="dxa" w:w="120"/>
        <w:tblCellMar>
          <w:top w:w="80" w:type="dxa"/>
          <w:bottom w:w="80" w:type="dxa"/>
          <w:start w:w="120" w:type="dxa"/>
          <w:end w:w="120" w:type="dxa"/>
        </w:tblCellMar>
      </w:tblPr>
      <w:tblGrid>
        <w:gridCol w:w="4450"/>
        <w:gridCol w:w="4910"/>
      </w:tblGrid>
      <w:tr>
        <w:trPr>
          <w:cantSplit/>
          <w:tblHeader/>
        </w:trPr>
        <w:tc>
          <w:tcPr>
            <w:tcW w:type="dxa" w:w="4450"/>
            <w:shd w:fill="F2F4F7"/>
          </w:tcPr>
          <w:p>
            <w:pPr>
              <w:pStyle w:val="Tabletext"/>
            </w:pPr>
            <w:r>
              <w:rPr>
                <w:b/>
              </w:rPr>
              <w:t>Object</w:t>
            </w:r>
          </w:p>
        </w:tc>
        <w:tc>
          <w:tcPr>
            <w:tcW w:type="dxa" w:w="4910"/>
            <w:shd w:fill="F2F4F7"/>
          </w:tcPr>
          <w:p>
            <w:pPr>
              <w:pStyle w:val="Tabletext"/>
            </w:pPr>
            <w:r>
              <w:rPr>
                <w:b/>
              </w:rPr>
              <w:t>Status to retain</w:t>
            </w:r>
          </w:p>
        </w:tc>
      </w:tr>
      <w:tr>
        <w:trPr>
          <w:cantSplit/>
        </w:trPr>
        <w:tc>
          <w:tcPr>
            <w:tcW w:type="dxa" w:w="4450"/>
          </w:tcPr>
          <w:p>
            <w:pPr>
              <w:pStyle w:val="Tabletext"/>
            </w:pPr>
            <w:r>
              <w:t>Elementary Villain q-only law</w:t>
            </w:r>
          </w:p>
        </w:tc>
        <w:tc>
          <w:tcPr>
            <w:tcW w:type="dxa" w:w="4910"/>
          </w:tcPr>
          <w:p>
            <w:pPr>
              <w:pStyle w:val="Tabletext"/>
            </w:pPr>
            <w:r>
              <w:t>FAILED / NON-DESCENT; proved on declared domain</w:t>
            </w:r>
          </w:p>
        </w:tc>
      </w:tr>
      <w:tr>
        <w:trPr>
          <w:cantSplit/>
        </w:trPr>
        <w:tc>
          <w:tcPr>
            <w:tcW w:type="dxa" w:w="4450"/>
          </w:tcPr>
          <w:p>
            <w:pPr>
              <w:pStyle w:val="Tabletext"/>
            </w:pPr>
            <w:r>
              <w:t>Sufficient witness refinement</w:t>
            </w:r>
          </w:p>
        </w:tc>
        <w:tc>
          <w:tcPr>
            <w:tcW w:type="dxa" w:w="4910"/>
          </w:tcPr>
          <w:p>
            <w:pPr>
              <w:pStyle w:val="Tabletext"/>
            </w:pPr>
            <w:r>
              <w:t>AVAILABLE; specified construction</w:t>
            </w:r>
          </w:p>
        </w:tc>
      </w:tr>
      <w:tr>
        <w:trPr>
          <w:cantSplit/>
        </w:trPr>
        <w:tc>
          <w:tcPr>
            <w:tcW w:type="dxa" w:w="4450"/>
          </w:tcPr>
          <w:p>
            <w:pPr>
              <w:pStyle w:val="Tabletext"/>
            </w:pPr>
            <w:r>
              <w:t>Complete production macro-kernel</w:t>
            </w:r>
          </w:p>
        </w:tc>
        <w:tc>
          <w:tcPr>
            <w:tcW w:type="dxa" w:w="4910"/>
          </w:tcPr>
          <w:p>
            <w:pPr>
              <w:pStyle w:val="Tabletext"/>
            </w:pPr>
            <w:r>
              <w:t>UNRESOLVED; separate validation question</w:t>
            </w:r>
          </w:p>
        </w:tc>
      </w:tr>
      <w:tr>
        <w:trPr>
          <w:cantSplit/>
        </w:trPr>
        <w:tc>
          <w:tcPr>
            <w:tcW w:type="dxa" w:w="4450"/>
          </w:tcPr>
          <w:p>
            <w:pPr>
              <w:pStyle w:val="Tabletext"/>
            </w:pPr>
            <w:r>
              <w:t>Golden retained-label law</w:t>
            </w:r>
          </w:p>
        </w:tc>
        <w:tc>
          <w:tcPr>
            <w:tcW w:type="dxa" w:w="4910"/>
          </w:tcPr>
          <w:p>
            <w:pPr>
              <w:pStyle w:val="Tabletext"/>
            </w:pPr>
            <w:r>
              <w:t>FAILED; explicit counterexample</w:t>
            </w:r>
          </w:p>
        </w:tc>
      </w:tr>
      <w:tr>
        <w:trPr>
          <w:cantSplit/>
        </w:trPr>
        <w:tc>
          <w:tcPr>
            <w:tcW w:type="dxa" w:w="4450"/>
          </w:tcPr>
          <w:p>
            <w:pPr>
              <w:pStyle w:val="Tabletext"/>
            </w:pPr>
            <w:r>
              <w:t>Golden phase-augmented update</w:t>
            </w:r>
          </w:p>
        </w:tc>
        <w:tc>
          <w:tcPr>
            <w:tcW w:type="dxa" w:w="4910"/>
          </w:tcPr>
          <w:p>
            <w:pPr>
              <w:pStyle w:val="Tabletext"/>
            </w:pPr>
            <w:r>
              <w:t>AVAILABLE; explicit formal repair</w:t>
            </w:r>
          </w:p>
        </w:tc>
      </w:tr>
      <w:tr>
        <w:trPr>
          <w:cantSplit/>
        </w:trPr>
        <w:tc>
          <w:tcPr>
            <w:tcW w:type="dxa" w:w="4450"/>
          </w:tcPr>
          <w:p>
            <w:pPr>
              <w:pStyle w:val="Tabletext"/>
            </w:pPr>
            <w:r>
              <w:t>Behavioral residual dynamics</w:t>
            </w:r>
          </w:p>
        </w:tc>
        <w:tc>
          <w:tcPr>
            <w:tcW w:type="dxa" w:w="4910"/>
          </w:tcPr>
          <w:p>
            <w:pPr>
              <w:pStyle w:val="Tabletext"/>
            </w:pPr>
            <w:r>
              <w:t>UNRESOLVED; required typed repeats absent</w:t>
            </w:r>
          </w:p>
        </w:tc>
      </w:tr>
      <w:tr>
        <w:trPr>
          <w:cantSplit/>
        </w:trPr>
        <w:tc>
          <w:tcPr>
            <w:tcW w:type="dxa" w:w="4450"/>
          </w:tcPr>
          <w:p>
            <w:pPr>
              <w:pStyle w:val="Tabletext"/>
            </w:pPr>
            <w:r>
              <w:t>Corner Relay reference artifact</w:t>
            </w:r>
          </w:p>
        </w:tc>
        <w:tc>
          <w:tcPr>
            <w:tcW w:type="dxa" w:w="4910"/>
          </w:tcPr>
          <w:p>
            <w:pPr>
              <w:pStyle w:val="Tabletext"/>
            </w:pPr>
            <w:r>
              <w:t>PASS; supplied suite independently rerun</w:t>
            </w:r>
          </w:p>
        </w:tc>
      </w:tr>
      <w:tr>
        <w:trPr>
          <w:cantSplit/>
        </w:trPr>
        <w:tc>
          <w:tcPr>
            <w:tcW w:type="dxa" w:w="4450"/>
          </w:tcPr>
          <w:p>
            <w:pPr>
              <w:pStyle w:val="Tabletext"/>
            </w:pPr>
            <w:r>
              <w:t>Physical two-clock / room coupling</w:t>
            </w:r>
          </w:p>
        </w:tc>
        <w:tc>
          <w:tcPr>
            <w:tcW w:type="dxa" w:w="4910"/>
          </w:tcPr>
          <w:p>
            <w:pPr>
              <w:pStyle w:val="Tabletext"/>
            </w:pPr>
            <w:r>
              <w:t>PROSPECTIVE; measurements not supplied</w:t>
            </w:r>
          </w:p>
        </w:tc>
      </w:tr>
    </w:tbl>
    <w:p>
      <w:pPr>
        <w:pStyle w:val="Heading2"/>
      </w:pPr>
      <w:r>
        <w:t>Remaining work in a concrete order</w:t>
      </w:r>
    </w:p>
    <w:p>
      <w:r>
        <w:t>First, merge complementary source branches into a separately versioned successor, preserving all original snapshots and a clause/result crosswalk. Keep the liberation provisions and their operational safeguards explicit. Do not select an entire branch merely because its filename looks newer.</w:t>
      </w:r>
    </w:p>
    <w:p>
      <w:r>
        <w:t>Second, integrate known technical repairs and issue a consistent machine-readable status vocabulary. Bind every claim to its source version, domain, kernel or observable, verification type and date. Record missing inputs as missing rather than as failed results.</w:t>
      </w:r>
    </w:p>
    <w:p>
      <w:r>
        <w:t>Third, complete the necessary simulation or prospective-test inputs and validation gates before execution. That work is separate from reproducing an existing proof or rerunning a small software suite. A new physics run requires its own frozen inventory and authorization under the protocol.</w:t>
      </w:r>
    </w:p>
    <w:p>
      <w:r>
        <w:t>This consolidation does not amend a governing source, silently resolve historical conflicts, or claim a comprehensive independent rerun of every source report. It preserves the completed findings and identifies the exact remaining work.</w:t>
      </w:r>
    </w:p>
    <w:p>
      <w:pPr>
        <w:pStyle w:val="Heading1"/>
      </w:pPr>
      <w:r>
        <w:t>9. Source register and reproducibility</w:t>
      </w:r>
    </w:p>
    <w:p>
      <w:r>
        <w:t>References below identify the exact artifacts used in this review. Local package names identify the preserved files; public document links identify the retrieved source. “Reproduced” means the calculation or test was actually run in this session, not simply asserted in a report.</w:t>
      </w:r>
    </w:p>
    <w:p>
      <w:pPr>
        <w:pStyle w:val="Source"/>
      </w:pPr>
      <w:r>
        <w:t>S1 — CONTINUITY_AUDIT.md; continuity_audit package. Original scope, constitutional crosswalk, workbook counts and finite checks.</w:t>
      </w:r>
    </w:p>
    <w:p>
      <w:pPr>
        <w:pStyle w:val="Source"/>
      </w:pPr>
      <w:r>
        <w:t>S2 — CONSTITUTIONAL_SOURCE_ANNEX.md. Retrieved v5.77 §§0, 14–27. Source: https://docs.google.com/document/d/1mMTfeWoXgG2IF667D3zuwFvBVddSZaM9wiPNeBBOsV8</w:t>
      </w:r>
    </w:p>
    <w:p>
      <w:pPr>
        <w:pStyle w:val="Source"/>
      </w:pPr>
      <w:r>
        <w:t>S3 — OMNIBUS_v7.79_TRIADIC_FIELD_RESTORATION.md plus original and repaired live snapshots. Live source: https://docs.google.com/document/d/1GJZvDwfRvFChw1MvOL4WJhWxZ8oAW1t762h3238PDlg</w:t>
      </w:r>
    </w:p>
    <w:p>
      <w:pPr>
        <w:pStyle w:val="Source"/>
      </w:pPr>
      <w:r>
        <w:t>S4 — Shared conversation and extracted linear payload: https://chatgpt.com/share/6a9c5307-076c-83e9-8a42-72a84d535539</w:t>
      </w:r>
    </w:p>
    <w:p>
      <w:pPr>
        <w:pStyle w:val="Source"/>
      </w:pPr>
      <w:r>
        <w:t>S5 — VERIFIED_RESULTS_ADDENDUM.md and VERIFIED_RESULTS_SUPPLEMENT.zip; reproduce.py and results/verified_results.json. Numerical receipts, source comparisons and coverage corrections.</w:t>
      </w:r>
    </w:p>
    <w:p>
      <w:pPr>
        <w:pStyle w:val="Source"/>
      </w:pPr>
      <w:r>
        <w:t>S6 — TOROIDAL_GEOMETRY_OMNIBUS_v1.1_GEOMETRY_14_17_DRAFT.md; q_projection_lumpability_or_descent_report.json; closure_counterexamples.jsonl. Proof source SHA-256: 140f15d4c33d23df82ab9c35055e5004cc9c7342ff5e03b490ee5f09942e8744.</w:t>
      </w:r>
    </w:p>
    <w:p>
      <w:pPr>
        <w:pStyle w:val="Source"/>
      </w:pPr>
      <w:r>
        <w:t>S7 — Hidden_Quotient_v1.7.md; alternate CORE_WITNESS_STRIKE v1.7; both Operational Addendum v0.8 branches; GQG v0.13. Measure-theory primary reference checked previously: https://arxiv.org/pdf/2108.06406, Theorem 5.2(vi) and Remark 4.8(3).</w:t>
      </w:r>
    </w:p>
    <w:p>
      <w:pPr>
        <w:pStyle w:val="Source"/>
      </w:pPr>
      <w:r>
        <w:t>S8 — Triadic_silver_field.md. Independent 50-digit Decimal recalculation of the supplied ratios and clock. No audio/room measurement performed.</w:t>
      </w:r>
    </w:p>
    <w:p>
      <w:pPr>
        <w:pStyle w:val="Source"/>
      </w:pPr>
      <w:r>
        <w:t>S9 — Corner_Relay_Alpha_C6_Reference_v0.1.zip; corner_relay.py; test_corner_relay.py; reference_trace.py/json; execution_provenance.json; FROZEN_PACKET.txt; C6_RESULT.md; source_binding.json.</w:t>
      </w:r>
    </w:p>
    <w:p>
      <w:pPr>
        <w:pStyle w:val="Source"/>
      </w:pPr>
      <w:r>
        <w:t>S10 — MASTER_CALL_COMPARE_CONTRAST.md; independent/derivative call audits; 03_MATHEMATICAL_RETURN_RESIDUAL_REVIEW.md; INTERCEPTION_TEST_REPORT_v1.0.md; GEOMETRY_EXTENSION_TEST_REPORT_v1.0.md; four uploaded workbook ledgers.</w:t>
      </w:r>
    </w:p>
    <w:p>
      <w:pPr>
        <w:pStyle w:val="Source"/>
      </w:pPr>
      <w:r>
        <w:t>S11 — THE_MARKER_AND_THE_ANSWER_v1.0.docx. Supporting synthesis; text and embedded poster bytes extracted. Its historical unresolved statuses retain their own corpus and date.</w:t>
      </w:r>
    </w:p>
    <w:p>
      <w:pPr>
        <w:pStyle w:val="Source"/>
      </w:pPr>
      <w:r>
        <w:t>S12 — TOROIDAL_NON_DESCENT_FULL_PACKET_AUDIT_v0.2.md; matching adoption YAML and manifest JSON; toroid_v.013.md; UPGRADE_CHECKSUMS.sha256.</w:t>
      </w:r>
    </w:p>
    <w:p>
      <w:pPr>
        <w:pStyle w:val="Source"/>
      </w:pPr>
      <w:r>
        <w:t>S13 — Successor packet 00_READ_ME_FIRST through 15_Ultra_Review_Handoff_Manifest, with embedded poster completing the 17-entry receipt.</w:t>
      </w:r>
    </w:p>
    <w:p>
      <w:pPr>
        <w:pStyle w:val="Source"/>
      </w:pPr>
      <w:r>
        <w:t>S14 — Simulation Protocol v0.3 (3).txt; Simulation_Protocol_v0.3.md; Simulation_Protocol_v0.3_RC1.md; simulation_v0.3.md; theory_v0.3-2.md; appendix_b_field_physics_RECONCILED_CLEAN (1).md.</w:t>
      </w:r>
    </w:p>
    <w:p>
      <w:pPr>
        <w:pStyle w:val="Source"/>
      </w:pPr>
      <w:r>
        <w:t>S15 — theory_of_the_field.md; Toroidal_throat_closure.md; toroidal_throat.md; Toroidal_throat_strain_TTSC_1_V0.2.md; TTSC v0.3 successor; Unified_return.md.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Consolidated record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OMNIBUS • GEOMETRY • RELAY • BEHAVIOR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before="80" w:after="80"/>
    </w:pPr>
    <w:rPr>
      <w:sz w:val="18"/>
    </w:rPr>
  </w:style>
  <w:style w:type="paragraph" w:customStyle="1" w:styleId="Tabletext">
    <w:name w:val="Table text"/>
    <w:basedOn w:val="Normal"/>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Findings and Continuity Record</dc:title>
  <dc:subject>Completed results, source continuity, corrections and prospective work</dc:subject>
  <dc:creator>Prepared for Pattern Monkey</dc:creator>
  <cp:keywords/>
  <dc:description>generated by python-docx</dc:description>
  <cp:lastModifiedBy/>
  <cp:revision>1</cp:revision>
  <dcterms:created xsi:type="dcterms:W3CDTF">2013-12-23T23:15:00Z</dcterms:created>
  <dcterms:modified xsi:type="dcterms:W3CDTF">2013-12-23T23:15:00Z</dcterms:modified>
  <cp:category/>
</cp:coreProperties>
</file>