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4D346" w14:textId="77777777" w:rsidR="00C22F2B" w:rsidRPr="0077659B" w:rsidRDefault="00C22F2B" w:rsidP="0039423B">
      <w:pPr>
        <w:shd w:val="clear" w:color="auto" w:fill="FFFFFF"/>
        <w:spacing w:after="240" w:line="240" w:lineRule="auto"/>
        <w:rPr>
          <w:rStyle w:val="BookTitle"/>
          <w:rFonts w:eastAsiaTheme="minorHAnsi"/>
        </w:rPr>
      </w:pPr>
      <w:r w:rsidRPr="0077659B">
        <w:rPr>
          <w:rStyle w:val="BookTitle"/>
          <w:rFonts w:eastAsiaTheme="minorHAnsi"/>
        </w:rPr>
        <w:t>FINAL MANAGEMENT REPORT</w:t>
      </w:r>
    </w:p>
    <w:p w14:paraId="6639EA1C" w14:textId="77777777" w:rsidR="00C22F2B" w:rsidRPr="0077659B" w:rsidRDefault="00E47CB6" w:rsidP="00FA5B7A">
      <w:pPr>
        <w:pStyle w:val="Title"/>
      </w:pPr>
      <w:r>
        <w:t>DEPARTMENT OF PUBLIC WORKS AND INFRASTRUCTURE</w:t>
      </w:r>
    </w:p>
    <w:p w14:paraId="56D73187" w14:textId="77777777" w:rsidR="00C22F2B" w:rsidRPr="00BB6EEC" w:rsidRDefault="00E47CB6" w:rsidP="00C22F2B">
      <w:pPr>
        <w:spacing w:line="240" w:lineRule="auto"/>
        <w:rPr>
          <w:rStyle w:val="Strong"/>
          <w:rFonts w:eastAsiaTheme="minorHAnsi"/>
        </w:rPr>
      </w:pPr>
      <w:r>
        <w:rPr>
          <w:rStyle w:val="Strong"/>
          <w:rFonts w:eastAsiaTheme="minorHAnsi"/>
        </w:rPr>
        <w:t>31 MARCH 2020</w:t>
      </w:r>
    </w:p>
    <w:p w14:paraId="1893DD77" w14:textId="77777777" w:rsidR="003A047F" w:rsidRPr="0077659B" w:rsidRDefault="003A047F" w:rsidP="003A047F">
      <w:pPr>
        <w:spacing w:line="240" w:lineRule="auto"/>
        <w:rPr>
          <w:rStyle w:val="Strong"/>
          <w:rFonts w:eastAsiaTheme="minorHAnsi"/>
        </w:rPr>
      </w:pPr>
      <w:r w:rsidRPr="0077659B">
        <w:rPr>
          <w:rStyle w:val="Strong"/>
          <w:rFonts w:eastAsiaTheme="minorHAnsi"/>
        </w:rPr>
        <w:t xml:space="preserve">Communicated to the accounting officer on: </w:t>
      </w:r>
      <w:r w:rsidR="00E47CB6">
        <w:rPr>
          <w:rStyle w:val="Strong"/>
          <w:rFonts w:eastAsiaTheme="minorHAnsi"/>
        </w:rPr>
        <w:t>15 September 2020</w:t>
      </w:r>
    </w:p>
    <w:p w14:paraId="7BA3D466" w14:textId="77777777" w:rsidR="00C22F2B" w:rsidRPr="0077659B" w:rsidRDefault="00C22F2B" w:rsidP="00C22F2B">
      <w:pPr>
        <w:spacing w:after="0" w:line="240" w:lineRule="auto"/>
        <w:rPr>
          <w:rFonts w:eastAsia="Times New Roman" w:cs="Arial"/>
          <w:b/>
        </w:rPr>
      </w:pPr>
    </w:p>
    <w:p w14:paraId="571859C5" w14:textId="77777777" w:rsidR="00C22F2B" w:rsidRPr="0077659B" w:rsidRDefault="00C22F2B" w:rsidP="00C22F2B">
      <w:pPr>
        <w:spacing w:after="0" w:line="240" w:lineRule="auto"/>
        <w:rPr>
          <w:rFonts w:eastAsia="Times New Roman" w:cs="Arial"/>
          <w:b/>
          <w:bCs/>
          <w:spacing w:val="-4"/>
        </w:rPr>
      </w:pPr>
    </w:p>
    <w:p w14:paraId="5C38B933" w14:textId="77777777" w:rsidR="00C22F2B" w:rsidRPr="0077659B" w:rsidRDefault="00C22F2B" w:rsidP="00C22F2B">
      <w:pPr>
        <w:spacing w:after="0" w:line="240" w:lineRule="auto"/>
        <w:rPr>
          <w:rFonts w:eastAsia="Times New Roman" w:cs="Arial"/>
          <w:b/>
          <w:bCs/>
          <w:spacing w:val="-4"/>
        </w:rPr>
        <w:sectPr w:rsidR="00C22F2B" w:rsidRPr="0077659B" w:rsidSect="00C12C2B">
          <w:headerReference w:type="even" r:id="rId12"/>
          <w:headerReference w:type="default" r:id="rId13"/>
          <w:footerReference w:type="default" r:id="rId14"/>
          <w:headerReference w:type="first" r:id="rId15"/>
          <w:endnotePr>
            <w:numFmt w:val="decimal"/>
          </w:endnotePr>
          <w:pgSz w:w="11906" w:h="16838" w:code="9"/>
          <w:pgMar w:top="1134" w:right="1134" w:bottom="1134" w:left="1134" w:header="1814" w:footer="680" w:gutter="0"/>
          <w:pgNumType w:start="1"/>
          <w:cols w:space="720"/>
        </w:sectPr>
      </w:pPr>
    </w:p>
    <w:p w14:paraId="0725C32E" w14:textId="77777777" w:rsidR="00C22F2B" w:rsidRPr="0077659B" w:rsidRDefault="00C22F2B" w:rsidP="00253FDE">
      <w:pPr>
        <w:pStyle w:val="Title"/>
      </w:pPr>
      <w:r w:rsidRPr="0077659B">
        <w:lastRenderedPageBreak/>
        <w:t>MANAGEMENT REPORT</w:t>
      </w:r>
    </w:p>
    <w:p w14:paraId="4EBD7388" w14:textId="77777777" w:rsidR="00C22F2B" w:rsidRPr="00BB6EEC" w:rsidRDefault="00E47CB6" w:rsidP="00C22F2B">
      <w:pPr>
        <w:spacing w:after="0" w:line="240" w:lineRule="auto"/>
        <w:jc w:val="both"/>
        <w:rPr>
          <w:rStyle w:val="Strong"/>
          <w:rFonts w:eastAsiaTheme="minorHAnsi"/>
        </w:rPr>
      </w:pPr>
      <w:r w:rsidRPr="00E47CB6">
        <w:rPr>
          <w:rStyle w:val="Strong"/>
          <w:rFonts w:eastAsiaTheme="minorHAnsi"/>
        </w:rPr>
        <w:t>DEPARTMENT OF PUBLIC WORKS AND INFRASTRUCTURE</w:t>
      </w:r>
    </w:p>
    <w:p w14:paraId="55060E9C" w14:textId="77777777" w:rsidR="00C22F2B" w:rsidRPr="0077659B" w:rsidRDefault="00E47CB6" w:rsidP="00C22F2B">
      <w:pPr>
        <w:spacing w:after="0" w:line="240" w:lineRule="auto"/>
        <w:jc w:val="both"/>
        <w:rPr>
          <w:rStyle w:val="Strong"/>
          <w:rFonts w:eastAsiaTheme="minorHAnsi"/>
        </w:rPr>
      </w:pPr>
      <w:r>
        <w:rPr>
          <w:rStyle w:val="Strong"/>
          <w:rFonts w:eastAsiaTheme="minorHAnsi"/>
        </w:rPr>
        <w:t>31 March 2020</w:t>
      </w:r>
    </w:p>
    <w:p w14:paraId="646B4738" w14:textId="34F04D26" w:rsidR="00C22F2B" w:rsidRDefault="00C22F2B" w:rsidP="00C22F2B">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officer</w:t>
      </w:r>
      <w:r w:rsidRPr="0077659B">
        <w:rPr>
          <w:rStyle w:val="Strong"/>
          <w:rFonts w:eastAsiaTheme="minorHAnsi"/>
        </w:rPr>
        <w:t xml:space="preserve"> on: </w:t>
      </w:r>
      <w:r w:rsidR="004E2951">
        <w:rPr>
          <w:rStyle w:val="Strong"/>
          <w:rFonts w:eastAsiaTheme="minorHAnsi"/>
        </w:rPr>
        <w:t>18 September 2020</w:t>
      </w:r>
    </w:p>
    <w:p w14:paraId="0298134D" w14:textId="77777777" w:rsidR="00C00269" w:rsidRPr="0077659B" w:rsidRDefault="00C00269" w:rsidP="00C22F2B">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14:paraId="1BDE47FE" w14:textId="77777777" w:rsidR="00BA77B8" w:rsidRDefault="001F1CF5">
          <w:pPr>
            <w:pStyle w:val="TOC2"/>
            <w:rPr>
              <w:noProof/>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p>
        <w:p w14:paraId="397CACB9" w14:textId="099380BA" w:rsidR="00BA77B8" w:rsidRDefault="004313B2">
          <w:pPr>
            <w:pStyle w:val="TOC2"/>
            <w:rPr>
              <w:rFonts w:asciiTheme="minorHAnsi" w:eastAsiaTheme="minorEastAsia" w:hAnsiTheme="minorHAnsi" w:cstheme="minorBidi"/>
              <w:b w:val="0"/>
              <w:noProof/>
              <w:color w:val="auto"/>
              <w:szCs w:val="22"/>
              <w:lang w:eastAsia="en-ZA"/>
            </w:rPr>
          </w:pPr>
          <w:hyperlink w:anchor="_Toc51154064" w:history="1">
            <w:r w:rsidR="00BA77B8" w:rsidRPr="00710A91">
              <w:rPr>
                <w:rStyle w:val="Hyperlink"/>
                <w:noProof/>
              </w:rPr>
              <w:t>MANAGEMENT REPORT TO THE ACCOUNTING OFFICER ON THE AUDIT OF THE DEPARTMENT OF PUBLIC WORKS AND INFRASTRUCTURE FOR THE YEAR ENDED 31 MARCH 2020</w:t>
            </w:r>
            <w:r w:rsidR="00BA77B8">
              <w:rPr>
                <w:noProof/>
                <w:webHidden/>
              </w:rPr>
              <w:tab/>
            </w:r>
            <w:r w:rsidR="00BA77B8">
              <w:rPr>
                <w:noProof/>
                <w:webHidden/>
              </w:rPr>
              <w:fldChar w:fldCharType="begin"/>
            </w:r>
            <w:r w:rsidR="00BA77B8">
              <w:rPr>
                <w:noProof/>
                <w:webHidden/>
              </w:rPr>
              <w:instrText xml:space="preserve"> PAGEREF _Toc51154064 \h </w:instrText>
            </w:r>
            <w:r w:rsidR="00BA77B8">
              <w:rPr>
                <w:noProof/>
                <w:webHidden/>
              </w:rPr>
            </w:r>
            <w:r w:rsidR="00BA77B8">
              <w:rPr>
                <w:noProof/>
                <w:webHidden/>
              </w:rPr>
              <w:fldChar w:fldCharType="separate"/>
            </w:r>
            <w:r w:rsidR="00BA77B8">
              <w:rPr>
                <w:noProof/>
                <w:webHidden/>
              </w:rPr>
              <w:t>4</w:t>
            </w:r>
            <w:r w:rsidR="00BA77B8">
              <w:rPr>
                <w:noProof/>
                <w:webHidden/>
              </w:rPr>
              <w:fldChar w:fldCharType="end"/>
            </w:r>
          </w:hyperlink>
        </w:p>
        <w:p w14:paraId="7EFAF9B0" w14:textId="4009669D" w:rsidR="00BA77B8" w:rsidRDefault="004313B2">
          <w:pPr>
            <w:pStyle w:val="TOC2"/>
            <w:rPr>
              <w:rFonts w:asciiTheme="minorHAnsi" w:eastAsiaTheme="minorEastAsia" w:hAnsiTheme="minorHAnsi" w:cstheme="minorBidi"/>
              <w:b w:val="0"/>
              <w:noProof/>
              <w:color w:val="auto"/>
              <w:szCs w:val="22"/>
              <w:lang w:eastAsia="en-ZA"/>
            </w:rPr>
          </w:pPr>
          <w:hyperlink w:anchor="_Toc51154065" w:history="1">
            <w:r w:rsidR="00BA77B8" w:rsidRPr="00710A91">
              <w:rPr>
                <w:rStyle w:val="Hyperlink"/>
                <w:noProof/>
              </w:rPr>
              <w:t>INTRODUCTION</w:t>
            </w:r>
            <w:r w:rsidR="00BA77B8">
              <w:rPr>
                <w:noProof/>
                <w:webHidden/>
              </w:rPr>
              <w:tab/>
            </w:r>
            <w:r w:rsidR="00BA77B8">
              <w:rPr>
                <w:noProof/>
                <w:webHidden/>
              </w:rPr>
              <w:fldChar w:fldCharType="begin"/>
            </w:r>
            <w:r w:rsidR="00BA77B8">
              <w:rPr>
                <w:noProof/>
                <w:webHidden/>
              </w:rPr>
              <w:instrText xml:space="preserve"> PAGEREF _Toc51154065 \h </w:instrText>
            </w:r>
            <w:r w:rsidR="00BA77B8">
              <w:rPr>
                <w:noProof/>
                <w:webHidden/>
              </w:rPr>
            </w:r>
            <w:r w:rsidR="00BA77B8">
              <w:rPr>
                <w:noProof/>
                <w:webHidden/>
              </w:rPr>
              <w:fldChar w:fldCharType="separate"/>
            </w:r>
            <w:r w:rsidR="00BA77B8">
              <w:rPr>
                <w:noProof/>
                <w:webHidden/>
              </w:rPr>
              <w:t>4</w:t>
            </w:r>
            <w:r w:rsidR="00BA77B8">
              <w:rPr>
                <w:noProof/>
                <w:webHidden/>
              </w:rPr>
              <w:fldChar w:fldCharType="end"/>
            </w:r>
          </w:hyperlink>
        </w:p>
        <w:p w14:paraId="7D49D5E3" w14:textId="7CCB60C1" w:rsidR="00BA77B8" w:rsidRDefault="004313B2">
          <w:pPr>
            <w:pStyle w:val="TOC3"/>
            <w:rPr>
              <w:rFonts w:asciiTheme="minorHAnsi" w:eastAsiaTheme="minorEastAsia" w:hAnsiTheme="minorHAnsi" w:cstheme="minorBidi"/>
              <w:noProof/>
              <w:color w:val="auto"/>
              <w:szCs w:val="22"/>
              <w:lang w:eastAsia="en-ZA"/>
            </w:rPr>
          </w:pPr>
          <w:hyperlink w:anchor="_Toc51154066" w:history="1">
            <w:r w:rsidR="00BA77B8" w:rsidRPr="00710A91">
              <w:rPr>
                <w:rStyle w:val="Hyperlink"/>
                <w:noProof/>
              </w:rPr>
              <w:t>The figure that follows provides a pictorial summary of the audit results and our key messages on how to improve the audit outcomes with the focus on the following:</w:t>
            </w:r>
            <w:r w:rsidR="00BA77B8">
              <w:rPr>
                <w:noProof/>
                <w:webHidden/>
              </w:rPr>
              <w:tab/>
            </w:r>
            <w:r w:rsidR="00BA77B8">
              <w:rPr>
                <w:noProof/>
                <w:webHidden/>
              </w:rPr>
              <w:fldChar w:fldCharType="begin"/>
            </w:r>
            <w:r w:rsidR="00BA77B8">
              <w:rPr>
                <w:noProof/>
                <w:webHidden/>
              </w:rPr>
              <w:instrText xml:space="preserve"> PAGEREF _Toc51154066 \h </w:instrText>
            </w:r>
            <w:r w:rsidR="00BA77B8">
              <w:rPr>
                <w:noProof/>
                <w:webHidden/>
              </w:rPr>
            </w:r>
            <w:r w:rsidR="00BA77B8">
              <w:rPr>
                <w:noProof/>
                <w:webHidden/>
              </w:rPr>
              <w:fldChar w:fldCharType="separate"/>
            </w:r>
            <w:r w:rsidR="00BA77B8">
              <w:rPr>
                <w:noProof/>
                <w:webHidden/>
              </w:rPr>
              <w:t>5</w:t>
            </w:r>
            <w:r w:rsidR="00BA77B8">
              <w:rPr>
                <w:noProof/>
                <w:webHidden/>
              </w:rPr>
              <w:fldChar w:fldCharType="end"/>
            </w:r>
          </w:hyperlink>
        </w:p>
        <w:p w14:paraId="149F5689" w14:textId="141CB3D1" w:rsidR="00BA77B8" w:rsidRDefault="004313B2">
          <w:pPr>
            <w:pStyle w:val="TOC2"/>
            <w:rPr>
              <w:rFonts w:asciiTheme="minorHAnsi" w:eastAsiaTheme="minorEastAsia" w:hAnsiTheme="minorHAnsi" w:cstheme="minorBidi"/>
              <w:b w:val="0"/>
              <w:noProof/>
              <w:color w:val="auto"/>
              <w:szCs w:val="22"/>
              <w:lang w:eastAsia="en-ZA"/>
            </w:rPr>
          </w:pPr>
          <w:hyperlink w:anchor="_Toc51154067" w:history="1">
            <w:r w:rsidR="00BA77B8" w:rsidRPr="00710A91">
              <w:rPr>
                <w:rStyle w:val="Hyperlink"/>
                <w:noProof/>
              </w:rPr>
              <w:t>OVERALL MESSAGE</w:t>
            </w:r>
            <w:r w:rsidR="00BA77B8">
              <w:rPr>
                <w:noProof/>
                <w:webHidden/>
              </w:rPr>
              <w:tab/>
            </w:r>
            <w:r w:rsidR="00BA77B8">
              <w:rPr>
                <w:noProof/>
                <w:webHidden/>
              </w:rPr>
              <w:fldChar w:fldCharType="begin"/>
            </w:r>
            <w:r w:rsidR="00BA77B8">
              <w:rPr>
                <w:noProof/>
                <w:webHidden/>
              </w:rPr>
              <w:instrText xml:space="preserve"> PAGEREF _Toc51154067 \h </w:instrText>
            </w:r>
            <w:r w:rsidR="00BA77B8">
              <w:rPr>
                <w:noProof/>
                <w:webHidden/>
              </w:rPr>
            </w:r>
            <w:r w:rsidR="00BA77B8">
              <w:rPr>
                <w:noProof/>
                <w:webHidden/>
              </w:rPr>
              <w:fldChar w:fldCharType="separate"/>
            </w:r>
            <w:r w:rsidR="00BA77B8">
              <w:rPr>
                <w:noProof/>
                <w:webHidden/>
              </w:rPr>
              <w:t>7</w:t>
            </w:r>
            <w:r w:rsidR="00BA77B8">
              <w:rPr>
                <w:noProof/>
                <w:webHidden/>
              </w:rPr>
              <w:fldChar w:fldCharType="end"/>
            </w:r>
          </w:hyperlink>
        </w:p>
        <w:p w14:paraId="3FC77CFE" w14:textId="32734A9E" w:rsidR="00BA77B8" w:rsidRDefault="004313B2">
          <w:pPr>
            <w:pStyle w:val="TOC2"/>
            <w:rPr>
              <w:rFonts w:asciiTheme="minorHAnsi" w:eastAsiaTheme="minorEastAsia" w:hAnsiTheme="minorHAnsi" w:cstheme="minorBidi"/>
              <w:b w:val="0"/>
              <w:noProof/>
              <w:color w:val="auto"/>
              <w:szCs w:val="22"/>
              <w:lang w:eastAsia="en-ZA"/>
            </w:rPr>
          </w:pPr>
          <w:hyperlink w:anchor="_Toc51154068" w:history="1">
            <w:r w:rsidR="00BA77B8" w:rsidRPr="00710A91">
              <w:rPr>
                <w:rStyle w:val="Hyperlink"/>
                <w:noProof/>
              </w:rPr>
              <w:t>SECTION 1: Interactions with stakeholders responsible for oversight and governance</w:t>
            </w:r>
            <w:r w:rsidR="00BA77B8">
              <w:rPr>
                <w:noProof/>
                <w:webHidden/>
              </w:rPr>
              <w:tab/>
            </w:r>
            <w:r w:rsidR="00BA77B8">
              <w:rPr>
                <w:noProof/>
                <w:webHidden/>
              </w:rPr>
              <w:fldChar w:fldCharType="begin"/>
            </w:r>
            <w:r w:rsidR="00BA77B8">
              <w:rPr>
                <w:noProof/>
                <w:webHidden/>
              </w:rPr>
              <w:instrText xml:space="preserve"> PAGEREF _Toc51154068 \h </w:instrText>
            </w:r>
            <w:r w:rsidR="00BA77B8">
              <w:rPr>
                <w:noProof/>
                <w:webHidden/>
              </w:rPr>
            </w:r>
            <w:r w:rsidR="00BA77B8">
              <w:rPr>
                <w:noProof/>
                <w:webHidden/>
              </w:rPr>
              <w:fldChar w:fldCharType="separate"/>
            </w:r>
            <w:r w:rsidR="00BA77B8">
              <w:rPr>
                <w:noProof/>
                <w:webHidden/>
              </w:rPr>
              <w:t>8</w:t>
            </w:r>
            <w:r w:rsidR="00BA77B8">
              <w:rPr>
                <w:noProof/>
                <w:webHidden/>
              </w:rPr>
              <w:fldChar w:fldCharType="end"/>
            </w:r>
          </w:hyperlink>
        </w:p>
        <w:p w14:paraId="6312F117" w14:textId="56ED5557" w:rsidR="00BA77B8" w:rsidRDefault="004313B2">
          <w:pPr>
            <w:pStyle w:val="TOC2"/>
            <w:rPr>
              <w:rFonts w:asciiTheme="minorHAnsi" w:eastAsiaTheme="minorEastAsia" w:hAnsiTheme="minorHAnsi" w:cstheme="minorBidi"/>
              <w:b w:val="0"/>
              <w:noProof/>
              <w:color w:val="auto"/>
              <w:szCs w:val="22"/>
              <w:lang w:eastAsia="en-ZA"/>
            </w:rPr>
          </w:pPr>
          <w:hyperlink w:anchor="_Toc51154069" w:history="1">
            <w:r w:rsidR="00BA77B8" w:rsidRPr="00710A91">
              <w:rPr>
                <w:rStyle w:val="Hyperlink"/>
                <w:noProof/>
              </w:rPr>
              <w:t>SECTION 2: Matters relating to the auditor’s report</w:t>
            </w:r>
            <w:r w:rsidR="00BA77B8">
              <w:rPr>
                <w:noProof/>
                <w:webHidden/>
              </w:rPr>
              <w:tab/>
            </w:r>
            <w:r w:rsidR="00BA77B8">
              <w:rPr>
                <w:noProof/>
                <w:webHidden/>
              </w:rPr>
              <w:fldChar w:fldCharType="begin"/>
            </w:r>
            <w:r w:rsidR="00BA77B8">
              <w:rPr>
                <w:noProof/>
                <w:webHidden/>
              </w:rPr>
              <w:instrText xml:space="preserve"> PAGEREF _Toc51154069 \h </w:instrText>
            </w:r>
            <w:r w:rsidR="00BA77B8">
              <w:rPr>
                <w:noProof/>
                <w:webHidden/>
              </w:rPr>
            </w:r>
            <w:r w:rsidR="00BA77B8">
              <w:rPr>
                <w:noProof/>
                <w:webHidden/>
              </w:rPr>
              <w:fldChar w:fldCharType="separate"/>
            </w:r>
            <w:r w:rsidR="00BA77B8">
              <w:rPr>
                <w:noProof/>
                <w:webHidden/>
              </w:rPr>
              <w:t>10</w:t>
            </w:r>
            <w:r w:rsidR="00BA77B8">
              <w:rPr>
                <w:noProof/>
                <w:webHidden/>
              </w:rPr>
              <w:fldChar w:fldCharType="end"/>
            </w:r>
          </w:hyperlink>
        </w:p>
        <w:p w14:paraId="68B7F0DF" w14:textId="52553409" w:rsidR="00BA77B8" w:rsidRDefault="004313B2">
          <w:pPr>
            <w:pStyle w:val="TOC3"/>
            <w:rPr>
              <w:rFonts w:asciiTheme="minorHAnsi" w:eastAsiaTheme="minorEastAsia" w:hAnsiTheme="minorHAnsi" w:cstheme="minorBidi"/>
              <w:noProof/>
              <w:color w:val="auto"/>
              <w:szCs w:val="22"/>
              <w:lang w:eastAsia="en-ZA"/>
            </w:rPr>
          </w:pPr>
          <w:hyperlink w:anchor="_Toc51154070" w:history="1">
            <w:r w:rsidR="00BA77B8" w:rsidRPr="00710A91">
              <w:rPr>
                <w:rStyle w:val="Hyperlink"/>
                <w:noProof/>
              </w:rPr>
              <w:t>AUDIT OF THE FINANCIAL STATEMENTS</w:t>
            </w:r>
            <w:r w:rsidR="00BA77B8">
              <w:rPr>
                <w:noProof/>
                <w:webHidden/>
              </w:rPr>
              <w:tab/>
            </w:r>
            <w:r w:rsidR="00BA77B8">
              <w:rPr>
                <w:noProof/>
                <w:webHidden/>
              </w:rPr>
              <w:fldChar w:fldCharType="begin"/>
            </w:r>
            <w:r w:rsidR="00BA77B8">
              <w:rPr>
                <w:noProof/>
                <w:webHidden/>
              </w:rPr>
              <w:instrText xml:space="preserve"> PAGEREF _Toc51154070 \h </w:instrText>
            </w:r>
            <w:r w:rsidR="00BA77B8">
              <w:rPr>
                <w:noProof/>
                <w:webHidden/>
              </w:rPr>
            </w:r>
            <w:r w:rsidR="00BA77B8">
              <w:rPr>
                <w:noProof/>
                <w:webHidden/>
              </w:rPr>
              <w:fldChar w:fldCharType="separate"/>
            </w:r>
            <w:r w:rsidR="00BA77B8">
              <w:rPr>
                <w:noProof/>
                <w:webHidden/>
              </w:rPr>
              <w:t>10</w:t>
            </w:r>
            <w:r w:rsidR="00BA77B8">
              <w:rPr>
                <w:noProof/>
                <w:webHidden/>
              </w:rPr>
              <w:fldChar w:fldCharType="end"/>
            </w:r>
          </w:hyperlink>
        </w:p>
        <w:p w14:paraId="73A07BF7" w14:textId="61643F74" w:rsidR="00BA77B8" w:rsidRDefault="004313B2">
          <w:pPr>
            <w:pStyle w:val="TOC3"/>
            <w:rPr>
              <w:rFonts w:asciiTheme="minorHAnsi" w:eastAsiaTheme="minorEastAsia" w:hAnsiTheme="minorHAnsi" w:cstheme="minorBidi"/>
              <w:noProof/>
              <w:color w:val="auto"/>
              <w:szCs w:val="22"/>
              <w:lang w:eastAsia="en-ZA"/>
            </w:rPr>
          </w:pPr>
          <w:hyperlink w:anchor="_Toc51154071" w:history="1">
            <w:r w:rsidR="00BA77B8" w:rsidRPr="00710A91">
              <w:rPr>
                <w:rStyle w:val="Hyperlink"/>
                <w:noProof/>
              </w:rPr>
              <w:t>MATTERS TO BE BROUGHT TO THE ATTENTION OF USERS</w:t>
            </w:r>
            <w:r w:rsidR="00BA77B8">
              <w:rPr>
                <w:noProof/>
                <w:webHidden/>
              </w:rPr>
              <w:tab/>
            </w:r>
            <w:r w:rsidR="00BA77B8">
              <w:rPr>
                <w:noProof/>
                <w:webHidden/>
              </w:rPr>
              <w:fldChar w:fldCharType="begin"/>
            </w:r>
            <w:r w:rsidR="00BA77B8">
              <w:rPr>
                <w:noProof/>
                <w:webHidden/>
              </w:rPr>
              <w:instrText xml:space="preserve"> PAGEREF _Toc51154071 \h </w:instrText>
            </w:r>
            <w:r w:rsidR="00BA77B8">
              <w:rPr>
                <w:noProof/>
                <w:webHidden/>
              </w:rPr>
            </w:r>
            <w:r w:rsidR="00BA77B8">
              <w:rPr>
                <w:noProof/>
                <w:webHidden/>
              </w:rPr>
              <w:fldChar w:fldCharType="separate"/>
            </w:r>
            <w:r w:rsidR="00BA77B8">
              <w:rPr>
                <w:noProof/>
                <w:webHidden/>
              </w:rPr>
              <w:t>12</w:t>
            </w:r>
            <w:r w:rsidR="00BA77B8">
              <w:rPr>
                <w:noProof/>
                <w:webHidden/>
              </w:rPr>
              <w:fldChar w:fldCharType="end"/>
            </w:r>
          </w:hyperlink>
        </w:p>
        <w:p w14:paraId="6EC0B494" w14:textId="6B389FDB" w:rsidR="00BA77B8" w:rsidRDefault="004313B2">
          <w:pPr>
            <w:pStyle w:val="TOC3"/>
            <w:rPr>
              <w:rFonts w:asciiTheme="minorHAnsi" w:eastAsiaTheme="minorEastAsia" w:hAnsiTheme="minorHAnsi" w:cstheme="minorBidi"/>
              <w:noProof/>
              <w:color w:val="auto"/>
              <w:szCs w:val="22"/>
              <w:lang w:eastAsia="en-ZA"/>
            </w:rPr>
          </w:pPr>
          <w:hyperlink w:anchor="_Toc51154072" w:history="1">
            <w:r w:rsidR="00BA77B8" w:rsidRPr="00710A91">
              <w:rPr>
                <w:rStyle w:val="Hyperlink"/>
                <w:noProof/>
              </w:rPr>
              <w:t>AUDIT OF THE ANNUAL PERFORMANCE REPORT</w:t>
            </w:r>
            <w:r w:rsidR="00BA77B8">
              <w:rPr>
                <w:noProof/>
                <w:webHidden/>
              </w:rPr>
              <w:tab/>
            </w:r>
            <w:r w:rsidR="00BA77B8">
              <w:rPr>
                <w:noProof/>
                <w:webHidden/>
              </w:rPr>
              <w:fldChar w:fldCharType="begin"/>
            </w:r>
            <w:r w:rsidR="00BA77B8">
              <w:rPr>
                <w:noProof/>
                <w:webHidden/>
              </w:rPr>
              <w:instrText xml:space="preserve"> PAGEREF _Toc51154072 \h </w:instrText>
            </w:r>
            <w:r w:rsidR="00BA77B8">
              <w:rPr>
                <w:noProof/>
                <w:webHidden/>
              </w:rPr>
            </w:r>
            <w:r w:rsidR="00BA77B8">
              <w:rPr>
                <w:noProof/>
                <w:webHidden/>
              </w:rPr>
              <w:fldChar w:fldCharType="separate"/>
            </w:r>
            <w:r w:rsidR="00BA77B8">
              <w:rPr>
                <w:noProof/>
                <w:webHidden/>
              </w:rPr>
              <w:t>12</w:t>
            </w:r>
            <w:r w:rsidR="00BA77B8">
              <w:rPr>
                <w:noProof/>
                <w:webHidden/>
              </w:rPr>
              <w:fldChar w:fldCharType="end"/>
            </w:r>
          </w:hyperlink>
        </w:p>
        <w:p w14:paraId="71DC89B9" w14:textId="16842103" w:rsidR="00BA77B8" w:rsidRDefault="004313B2">
          <w:pPr>
            <w:pStyle w:val="TOC3"/>
            <w:rPr>
              <w:rFonts w:asciiTheme="minorHAnsi" w:eastAsiaTheme="minorEastAsia" w:hAnsiTheme="minorHAnsi" w:cstheme="minorBidi"/>
              <w:noProof/>
              <w:color w:val="auto"/>
              <w:szCs w:val="22"/>
              <w:lang w:eastAsia="en-ZA"/>
            </w:rPr>
          </w:pPr>
          <w:hyperlink w:anchor="_Toc51154073" w:history="1">
            <w:r w:rsidR="00BA77B8" w:rsidRPr="00710A91">
              <w:rPr>
                <w:rStyle w:val="Hyperlink"/>
                <w:noProof/>
              </w:rPr>
              <w:t>AUDIT OF COMPLIANCE WITH LEGISLATION</w:t>
            </w:r>
            <w:r w:rsidR="00BA77B8">
              <w:rPr>
                <w:noProof/>
                <w:webHidden/>
              </w:rPr>
              <w:tab/>
            </w:r>
            <w:r w:rsidR="00BA77B8">
              <w:rPr>
                <w:noProof/>
                <w:webHidden/>
              </w:rPr>
              <w:fldChar w:fldCharType="begin"/>
            </w:r>
            <w:r w:rsidR="00BA77B8">
              <w:rPr>
                <w:noProof/>
                <w:webHidden/>
              </w:rPr>
              <w:instrText xml:space="preserve"> PAGEREF _Toc51154073 \h </w:instrText>
            </w:r>
            <w:r w:rsidR="00BA77B8">
              <w:rPr>
                <w:noProof/>
                <w:webHidden/>
              </w:rPr>
            </w:r>
            <w:r w:rsidR="00BA77B8">
              <w:rPr>
                <w:noProof/>
                <w:webHidden/>
              </w:rPr>
              <w:fldChar w:fldCharType="separate"/>
            </w:r>
            <w:r w:rsidR="00BA77B8">
              <w:rPr>
                <w:noProof/>
                <w:webHidden/>
              </w:rPr>
              <w:t>14</w:t>
            </w:r>
            <w:r w:rsidR="00BA77B8">
              <w:rPr>
                <w:noProof/>
                <w:webHidden/>
              </w:rPr>
              <w:fldChar w:fldCharType="end"/>
            </w:r>
          </w:hyperlink>
        </w:p>
        <w:p w14:paraId="349C7711" w14:textId="0E47BC09" w:rsidR="00BA77B8" w:rsidRDefault="004313B2">
          <w:pPr>
            <w:pStyle w:val="TOC3"/>
            <w:rPr>
              <w:rFonts w:asciiTheme="minorHAnsi" w:eastAsiaTheme="minorEastAsia" w:hAnsiTheme="minorHAnsi" w:cstheme="minorBidi"/>
              <w:noProof/>
              <w:color w:val="auto"/>
              <w:szCs w:val="22"/>
              <w:lang w:eastAsia="en-ZA"/>
            </w:rPr>
          </w:pPr>
          <w:hyperlink w:anchor="_Toc51154074" w:history="1">
            <w:r w:rsidR="00BA77B8" w:rsidRPr="00710A91">
              <w:rPr>
                <w:rStyle w:val="Hyperlink"/>
                <w:noProof/>
              </w:rPr>
              <w:t>OTHER INFORMATION</w:t>
            </w:r>
            <w:r w:rsidR="00BA77B8">
              <w:rPr>
                <w:noProof/>
                <w:webHidden/>
              </w:rPr>
              <w:tab/>
            </w:r>
            <w:r w:rsidR="00BA77B8">
              <w:rPr>
                <w:noProof/>
                <w:webHidden/>
              </w:rPr>
              <w:fldChar w:fldCharType="begin"/>
            </w:r>
            <w:r w:rsidR="00BA77B8">
              <w:rPr>
                <w:noProof/>
                <w:webHidden/>
              </w:rPr>
              <w:instrText xml:space="preserve"> PAGEREF _Toc51154074 \h </w:instrText>
            </w:r>
            <w:r w:rsidR="00BA77B8">
              <w:rPr>
                <w:noProof/>
                <w:webHidden/>
              </w:rPr>
            </w:r>
            <w:r w:rsidR="00BA77B8">
              <w:rPr>
                <w:noProof/>
                <w:webHidden/>
              </w:rPr>
              <w:fldChar w:fldCharType="separate"/>
            </w:r>
            <w:r w:rsidR="00BA77B8">
              <w:rPr>
                <w:noProof/>
                <w:webHidden/>
              </w:rPr>
              <w:t>14</w:t>
            </w:r>
            <w:r w:rsidR="00BA77B8">
              <w:rPr>
                <w:noProof/>
                <w:webHidden/>
              </w:rPr>
              <w:fldChar w:fldCharType="end"/>
            </w:r>
          </w:hyperlink>
        </w:p>
        <w:p w14:paraId="7190A090" w14:textId="205F6B21" w:rsidR="00BA77B8" w:rsidRDefault="004313B2">
          <w:pPr>
            <w:pStyle w:val="TOC3"/>
            <w:rPr>
              <w:rFonts w:asciiTheme="minorHAnsi" w:eastAsiaTheme="minorEastAsia" w:hAnsiTheme="minorHAnsi" w:cstheme="minorBidi"/>
              <w:noProof/>
              <w:color w:val="auto"/>
              <w:szCs w:val="22"/>
              <w:lang w:eastAsia="en-ZA"/>
            </w:rPr>
          </w:pPr>
          <w:hyperlink w:anchor="_Toc51154075" w:history="1">
            <w:r w:rsidR="00BA77B8" w:rsidRPr="00710A91">
              <w:rPr>
                <w:rStyle w:val="Hyperlink"/>
                <w:noProof/>
              </w:rPr>
              <w:t>INTERNAL CONTROLS</w:t>
            </w:r>
            <w:r w:rsidR="00BA77B8">
              <w:rPr>
                <w:noProof/>
                <w:webHidden/>
              </w:rPr>
              <w:tab/>
            </w:r>
            <w:r w:rsidR="00BA77B8">
              <w:rPr>
                <w:noProof/>
                <w:webHidden/>
              </w:rPr>
              <w:fldChar w:fldCharType="begin"/>
            </w:r>
            <w:r w:rsidR="00BA77B8">
              <w:rPr>
                <w:noProof/>
                <w:webHidden/>
              </w:rPr>
              <w:instrText xml:space="preserve"> PAGEREF _Toc51154075 \h </w:instrText>
            </w:r>
            <w:r w:rsidR="00BA77B8">
              <w:rPr>
                <w:noProof/>
                <w:webHidden/>
              </w:rPr>
            </w:r>
            <w:r w:rsidR="00BA77B8">
              <w:rPr>
                <w:noProof/>
                <w:webHidden/>
              </w:rPr>
              <w:fldChar w:fldCharType="separate"/>
            </w:r>
            <w:r w:rsidR="00BA77B8">
              <w:rPr>
                <w:noProof/>
                <w:webHidden/>
              </w:rPr>
              <w:t>15</w:t>
            </w:r>
            <w:r w:rsidR="00BA77B8">
              <w:rPr>
                <w:noProof/>
                <w:webHidden/>
              </w:rPr>
              <w:fldChar w:fldCharType="end"/>
            </w:r>
          </w:hyperlink>
        </w:p>
        <w:p w14:paraId="546CA8E6" w14:textId="336E253B" w:rsidR="00BA77B8" w:rsidRDefault="004313B2">
          <w:pPr>
            <w:pStyle w:val="TOC3"/>
            <w:rPr>
              <w:rFonts w:asciiTheme="minorHAnsi" w:eastAsiaTheme="minorEastAsia" w:hAnsiTheme="minorHAnsi" w:cstheme="minorBidi"/>
              <w:noProof/>
              <w:color w:val="auto"/>
              <w:szCs w:val="22"/>
              <w:lang w:eastAsia="en-ZA"/>
            </w:rPr>
          </w:pPr>
          <w:hyperlink w:anchor="_Toc51154076" w:history="1">
            <w:r w:rsidR="00BA77B8" w:rsidRPr="00710A91">
              <w:rPr>
                <w:rStyle w:val="Hyperlink"/>
                <w:noProof/>
              </w:rPr>
              <w:t>MATERIAL IRREGULARITIES</w:t>
            </w:r>
            <w:r w:rsidR="00BA77B8">
              <w:rPr>
                <w:noProof/>
                <w:webHidden/>
              </w:rPr>
              <w:tab/>
            </w:r>
            <w:r w:rsidR="00BA77B8">
              <w:rPr>
                <w:noProof/>
                <w:webHidden/>
              </w:rPr>
              <w:fldChar w:fldCharType="begin"/>
            </w:r>
            <w:r w:rsidR="00BA77B8">
              <w:rPr>
                <w:noProof/>
                <w:webHidden/>
              </w:rPr>
              <w:instrText xml:space="preserve"> PAGEREF _Toc51154076 \h </w:instrText>
            </w:r>
            <w:r w:rsidR="00BA77B8">
              <w:rPr>
                <w:noProof/>
                <w:webHidden/>
              </w:rPr>
            </w:r>
            <w:r w:rsidR="00BA77B8">
              <w:rPr>
                <w:noProof/>
                <w:webHidden/>
              </w:rPr>
              <w:fldChar w:fldCharType="separate"/>
            </w:r>
            <w:r w:rsidR="00BA77B8">
              <w:rPr>
                <w:noProof/>
                <w:webHidden/>
              </w:rPr>
              <w:t>21</w:t>
            </w:r>
            <w:r w:rsidR="00BA77B8">
              <w:rPr>
                <w:noProof/>
                <w:webHidden/>
              </w:rPr>
              <w:fldChar w:fldCharType="end"/>
            </w:r>
          </w:hyperlink>
        </w:p>
        <w:p w14:paraId="679871AB" w14:textId="38E7F8FF" w:rsidR="00BA77B8" w:rsidRDefault="004313B2">
          <w:pPr>
            <w:pStyle w:val="TOC3"/>
            <w:rPr>
              <w:rFonts w:asciiTheme="minorHAnsi" w:eastAsiaTheme="minorEastAsia" w:hAnsiTheme="minorHAnsi" w:cstheme="minorBidi"/>
              <w:noProof/>
              <w:color w:val="auto"/>
              <w:szCs w:val="22"/>
              <w:lang w:eastAsia="en-ZA"/>
            </w:rPr>
          </w:pPr>
          <w:hyperlink w:anchor="_Toc51154077" w:history="1">
            <w:r w:rsidR="00BA77B8" w:rsidRPr="00710A91">
              <w:rPr>
                <w:rStyle w:val="Hyperlink"/>
                <w:noProof/>
              </w:rPr>
              <w:t>OTHER REPORTS</w:t>
            </w:r>
            <w:r w:rsidR="00BA77B8">
              <w:rPr>
                <w:noProof/>
                <w:webHidden/>
              </w:rPr>
              <w:tab/>
            </w:r>
            <w:r w:rsidR="00BA77B8">
              <w:rPr>
                <w:noProof/>
                <w:webHidden/>
              </w:rPr>
              <w:fldChar w:fldCharType="begin"/>
            </w:r>
            <w:r w:rsidR="00BA77B8">
              <w:rPr>
                <w:noProof/>
                <w:webHidden/>
              </w:rPr>
              <w:instrText xml:space="preserve"> PAGEREF _Toc51154077 \h </w:instrText>
            </w:r>
            <w:r w:rsidR="00BA77B8">
              <w:rPr>
                <w:noProof/>
                <w:webHidden/>
              </w:rPr>
            </w:r>
            <w:r w:rsidR="00BA77B8">
              <w:rPr>
                <w:noProof/>
                <w:webHidden/>
              </w:rPr>
              <w:fldChar w:fldCharType="separate"/>
            </w:r>
            <w:r w:rsidR="00BA77B8">
              <w:rPr>
                <w:noProof/>
                <w:webHidden/>
              </w:rPr>
              <w:t>22</w:t>
            </w:r>
            <w:r w:rsidR="00BA77B8">
              <w:rPr>
                <w:noProof/>
                <w:webHidden/>
              </w:rPr>
              <w:fldChar w:fldCharType="end"/>
            </w:r>
          </w:hyperlink>
        </w:p>
        <w:p w14:paraId="5E4D9F76" w14:textId="31A66853" w:rsidR="00BA77B8" w:rsidRDefault="004313B2">
          <w:pPr>
            <w:pStyle w:val="TOC2"/>
            <w:rPr>
              <w:rFonts w:asciiTheme="minorHAnsi" w:eastAsiaTheme="minorEastAsia" w:hAnsiTheme="minorHAnsi" w:cstheme="minorBidi"/>
              <w:b w:val="0"/>
              <w:noProof/>
              <w:color w:val="auto"/>
              <w:szCs w:val="22"/>
              <w:lang w:eastAsia="en-ZA"/>
            </w:rPr>
          </w:pPr>
          <w:hyperlink w:anchor="_Toc51154078" w:history="1">
            <w:r w:rsidR="00BA77B8" w:rsidRPr="00710A91">
              <w:rPr>
                <w:rStyle w:val="Hyperlink"/>
                <w:noProof/>
              </w:rPr>
              <w:t>SECTION 3: Assurance providers and status of implementation of commitments and recommendations</w:t>
            </w:r>
            <w:r w:rsidR="00BA77B8">
              <w:rPr>
                <w:noProof/>
                <w:webHidden/>
              </w:rPr>
              <w:tab/>
            </w:r>
            <w:r w:rsidR="00BA77B8">
              <w:rPr>
                <w:noProof/>
                <w:webHidden/>
              </w:rPr>
              <w:fldChar w:fldCharType="begin"/>
            </w:r>
            <w:r w:rsidR="00BA77B8">
              <w:rPr>
                <w:noProof/>
                <w:webHidden/>
              </w:rPr>
              <w:instrText xml:space="preserve"> PAGEREF _Toc51154078 \h </w:instrText>
            </w:r>
            <w:r w:rsidR="00BA77B8">
              <w:rPr>
                <w:noProof/>
                <w:webHidden/>
              </w:rPr>
            </w:r>
            <w:r w:rsidR="00BA77B8">
              <w:rPr>
                <w:noProof/>
                <w:webHidden/>
              </w:rPr>
              <w:fldChar w:fldCharType="separate"/>
            </w:r>
            <w:r w:rsidR="00BA77B8">
              <w:rPr>
                <w:noProof/>
                <w:webHidden/>
              </w:rPr>
              <w:t>22</w:t>
            </w:r>
            <w:r w:rsidR="00BA77B8">
              <w:rPr>
                <w:noProof/>
                <w:webHidden/>
              </w:rPr>
              <w:fldChar w:fldCharType="end"/>
            </w:r>
          </w:hyperlink>
        </w:p>
        <w:p w14:paraId="62EB52BF" w14:textId="1CC0E264" w:rsidR="00BA77B8" w:rsidRDefault="004313B2">
          <w:pPr>
            <w:pStyle w:val="TOC3"/>
            <w:rPr>
              <w:rFonts w:asciiTheme="minorHAnsi" w:eastAsiaTheme="minorEastAsia" w:hAnsiTheme="minorHAnsi" w:cstheme="minorBidi"/>
              <w:noProof/>
              <w:color w:val="auto"/>
              <w:szCs w:val="22"/>
              <w:lang w:eastAsia="en-ZA"/>
            </w:rPr>
          </w:pPr>
          <w:hyperlink w:anchor="_Toc51154079" w:history="1">
            <w:r w:rsidR="00BA77B8" w:rsidRPr="00710A91">
              <w:rPr>
                <w:rStyle w:val="Hyperlink"/>
                <w:noProof/>
              </w:rPr>
              <w:t>ASSESSMENT OF ASSURANCE PROVIDERS</w:t>
            </w:r>
            <w:r w:rsidR="00BA77B8">
              <w:rPr>
                <w:noProof/>
                <w:webHidden/>
              </w:rPr>
              <w:tab/>
            </w:r>
            <w:r w:rsidR="00BA77B8">
              <w:rPr>
                <w:noProof/>
                <w:webHidden/>
              </w:rPr>
              <w:fldChar w:fldCharType="begin"/>
            </w:r>
            <w:r w:rsidR="00BA77B8">
              <w:rPr>
                <w:noProof/>
                <w:webHidden/>
              </w:rPr>
              <w:instrText xml:space="preserve"> PAGEREF _Toc51154079 \h </w:instrText>
            </w:r>
            <w:r w:rsidR="00BA77B8">
              <w:rPr>
                <w:noProof/>
                <w:webHidden/>
              </w:rPr>
            </w:r>
            <w:r w:rsidR="00BA77B8">
              <w:rPr>
                <w:noProof/>
                <w:webHidden/>
              </w:rPr>
              <w:fldChar w:fldCharType="separate"/>
            </w:r>
            <w:r w:rsidR="00BA77B8">
              <w:rPr>
                <w:noProof/>
                <w:webHidden/>
              </w:rPr>
              <w:t>22</w:t>
            </w:r>
            <w:r w:rsidR="00BA77B8">
              <w:rPr>
                <w:noProof/>
                <w:webHidden/>
              </w:rPr>
              <w:fldChar w:fldCharType="end"/>
            </w:r>
          </w:hyperlink>
        </w:p>
        <w:p w14:paraId="78D26444" w14:textId="2E0AB0D2" w:rsidR="00BA77B8" w:rsidRDefault="004313B2">
          <w:pPr>
            <w:pStyle w:val="TOC3"/>
            <w:rPr>
              <w:rFonts w:asciiTheme="minorHAnsi" w:eastAsiaTheme="minorEastAsia" w:hAnsiTheme="minorHAnsi" w:cstheme="minorBidi"/>
              <w:noProof/>
              <w:color w:val="auto"/>
              <w:szCs w:val="22"/>
              <w:lang w:eastAsia="en-ZA"/>
            </w:rPr>
          </w:pPr>
          <w:hyperlink w:anchor="_Toc51154080" w:history="1">
            <w:r w:rsidR="00BA77B8" w:rsidRPr="00710A91">
              <w:rPr>
                <w:rStyle w:val="Hyperlink"/>
                <w:noProof/>
              </w:rPr>
              <w:t>STATUS OF IMPLEMENTING COMMITMENTS AND RECOMMENDATIONS</w:t>
            </w:r>
            <w:r w:rsidR="00BA77B8">
              <w:rPr>
                <w:noProof/>
                <w:webHidden/>
              </w:rPr>
              <w:tab/>
            </w:r>
            <w:r w:rsidR="00BA77B8">
              <w:rPr>
                <w:noProof/>
                <w:webHidden/>
              </w:rPr>
              <w:fldChar w:fldCharType="begin"/>
            </w:r>
            <w:r w:rsidR="00BA77B8">
              <w:rPr>
                <w:noProof/>
                <w:webHidden/>
              </w:rPr>
              <w:instrText xml:space="preserve"> PAGEREF _Toc51154080 \h </w:instrText>
            </w:r>
            <w:r w:rsidR="00BA77B8">
              <w:rPr>
                <w:noProof/>
                <w:webHidden/>
              </w:rPr>
            </w:r>
            <w:r w:rsidR="00BA77B8">
              <w:rPr>
                <w:noProof/>
                <w:webHidden/>
              </w:rPr>
              <w:fldChar w:fldCharType="separate"/>
            </w:r>
            <w:r w:rsidR="00BA77B8">
              <w:rPr>
                <w:noProof/>
                <w:webHidden/>
              </w:rPr>
              <w:t>24</w:t>
            </w:r>
            <w:r w:rsidR="00BA77B8">
              <w:rPr>
                <w:noProof/>
                <w:webHidden/>
              </w:rPr>
              <w:fldChar w:fldCharType="end"/>
            </w:r>
          </w:hyperlink>
        </w:p>
        <w:p w14:paraId="3A5D80B6" w14:textId="051D38D1" w:rsidR="00BA77B8" w:rsidRDefault="004313B2">
          <w:pPr>
            <w:pStyle w:val="TOC2"/>
            <w:rPr>
              <w:rFonts w:asciiTheme="minorHAnsi" w:eastAsiaTheme="minorEastAsia" w:hAnsiTheme="minorHAnsi" w:cstheme="minorBidi"/>
              <w:b w:val="0"/>
              <w:noProof/>
              <w:color w:val="auto"/>
              <w:szCs w:val="22"/>
              <w:lang w:eastAsia="en-ZA"/>
            </w:rPr>
          </w:pPr>
          <w:hyperlink w:anchor="_Toc51154081" w:history="1">
            <w:r w:rsidR="00BA77B8" w:rsidRPr="00710A91">
              <w:rPr>
                <w:rStyle w:val="Hyperlink"/>
                <w:noProof/>
              </w:rPr>
              <w:t>SECTION 4: Specific focus areas</w:t>
            </w:r>
            <w:r w:rsidR="00BA77B8">
              <w:rPr>
                <w:noProof/>
                <w:webHidden/>
              </w:rPr>
              <w:tab/>
            </w:r>
            <w:r w:rsidR="00BA77B8">
              <w:rPr>
                <w:noProof/>
                <w:webHidden/>
              </w:rPr>
              <w:fldChar w:fldCharType="begin"/>
            </w:r>
            <w:r w:rsidR="00BA77B8">
              <w:rPr>
                <w:noProof/>
                <w:webHidden/>
              </w:rPr>
              <w:instrText xml:space="preserve"> PAGEREF _Toc51154081 \h </w:instrText>
            </w:r>
            <w:r w:rsidR="00BA77B8">
              <w:rPr>
                <w:noProof/>
                <w:webHidden/>
              </w:rPr>
            </w:r>
            <w:r w:rsidR="00BA77B8">
              <w:rPr>
                <w:noProof/>
                <w:webHidden/>
              </w:rPr>
              <w:fldChar w:fldCharType="separate"/>
            </w:r>
            <w:r w:rsidR="00BA77B8">
              <w:rPr>
                <w:noProof/>
                <w:webHidden/>
              </w:rPr>
              <w:t>27</w:t>
            </w:r>
            <w:r w:rsidR="00BA77B8">
              <w:rPr>
                <w:noProof/>
                <w:webHidden/>
              </w:rPr>
              <w:fldChar w:fldCharType="end"/>
            </w:r>
          </w:hyperlink>
        </w:p>
        <w:p w14:paraId="301F9146" w14:textId="5B114257" w:rsidR="00BA77B8" w:rsidRDefault="004313B2">
          <w:pPr>
            <w:pStyle w:val="TOC3"/>
            <w:rPr>
              <w:rFonts w:asciiTheme="minorHAnsi" w:eastAsiaTheme="minorEastAsia" w:hAnsiTheme="minorHAnsi" w:cstheme="minorBidi"/>
              <w:noProof/>
              <w:color w:val="auto"/>
              <w:szCs w:val="22"/>
              <w:lang w:eastAsia="en-ZA"/>
            </w:rPr>
          </w:pPr>
          <w:hyperlink w:anchor="_Toc51154082" w:history="1">
            <w:r w:rsidR="00BA77B8" w:rsidRPr="00710A91">
              <w:rPr>
                <w:rStyle w:val="Hyperlink"/>
                <w:noProof/>
              </w:rPr>
              <w:t>FINANCIAL VIABILITY</w:t>
            </w:r>
            <w:r w:rsidR="00BA77B8">
              <w:rPr>
                <w:noProof/>
                <w:webHidden/>
              </w:rPr>
              <w:tab/>
            </w:r>
            <w:r w:rsidR="00BA77B8">
              <w:rPr>
                <w:noProof/>
                <w:webHidden/>
              </w:rPr>
              <w:fldChar w:fldCharType="begin"/>
            </w:r>
            <w:r w:rsidR="00BA77B8">
              <w:rPr>
                <w:noProof/>
                <w:webHidden/>
              </w:rPr>
              <w:instrText xml:space="preserve"> PAGEREF _Toc51154082 \h </w:instrText>
            </w:r>
            <w:r w:rsidR="00BA77B8">
              <w:rPr>
                <w:noProof/>
                <w:webHidden/>
              </w:rPr>
            </w:r>
            <w:r w:rsidR="00BA77B8">
              <w:rPr>
                <w:noProof/>
                <w:webHidden/>
              </w:rPr>
              <w:fldChar w:fldCharType="separate"/>
            </w:r>
            <w:r w:rsidR="00BA77B8">
              <w:rPr>
                <w:noProof/>
                <w:webHidden/>
              </w:rPr>
              <w:t>27</w:t>
            </w:r>
            <w:r w:rsidR="00BA77B8">
              <w:rPr>
                <w:noProof/>
                <w:webHidden/>
              </w:rPr>
              <w:fldChar w:fldCharType="end"/>
            </w:r>
          </w:hyperlink>
        </w:p>
        <w:p w14:paraId="4614E506" w14:textId="1343851A" w:rsidR="00BA77B8" w:rsidRDefault="004313B2">
          <w:pPr>
            <w:pStyle w:val="TOC3"/>
            <w:rPr>
              <w:rFonts w:asciiTheme="minorHAnsi" w:eastAsiaTheme="minorEastAsia" w:hAnsiTheme="minorHAnsi" w:cstheme="minorBidi"/>
              <w:noProof/>
              <w:color w:val="auto"/>
              <w:szCs w:val="22"/>
              <w:lang w:eastAsia="en-ZA"/>
            </w:rPr>
          </w:pPr>
          <w:hyperlink w:anchor="_Toc51154083" w:history="1">
            <w:r w:rsidR="00BA77B8" w:rsidRPr="00710A91">
              <w:rPr>
                <w:rStyle w:val="Hyperlink"/>
                <w:noProof/>
              </w:rPr>
              <w:t>PROCUREMENT AND CONTRACT MANAGEMENT</w:t>
            </w:r>
            <w:r w:rsidR="00BA77B8">
              <w:rPr>
                <w:noProof/>
                <w:webHidden/>
              </w:rPr>
              <w:tab/>
            </w:r>
            <w:r w:rsidR="00BA77B8">
              <w:rPr>
                <w:noProof/>
                <w:webHidden/>
              </w:rPr>
              <w:fldChar w:fldCharType="begin"/>
            </w:r>
            <w:r w:rsidR="00BA77B8">
              <w:rPr>
                <w:noProof/>
                <w:webHidden/>
              </w:rPr>
              <w:instrText xml:space="preserve"> PAGEREF _Toc51154083 \h </w:instrText>
            </w:r>
            <w:r w:rsidR="00BA77B8">
              <w:rPr>
                <w:noProof/>
                <w:webHidden/>
              </w:rPr>
            </w:r>
            <w:r w:rsidR="00BA77B8">
              <w:rPr>
                <w:noProof/>
                <w:webHidden/>
              </w:rPr>
              <w:fldChar w:fldCharType="separate"/>
            </w:r>
            <w:r w:rsidR="00BA77B8">
              <w:rPr>
                <w:noProof/>
                <w:webHidden/>
              </w:rPr>
              <w:t>30</w:t>
            </w:r>
            <w:r w:rsidR="00BA77B8">
              <w:rPr>
                <w:noProof/>
                <w:webHidden/>
              </w:rPr>
              <w:fldChar w:fldCharType="end"/>
            </w:r>
          </w:hyperlink>
        </w:p>
        <w:p w14:paraId="2AA2F2AB" w14:textId="5DF882A6" w:rsidR="00BA77B8" w:rsidRDefault="004313B2">
          <w:pPr>
            <w:pStyle w:val="TOC3"/>
            <w:rPr>
              <w:rFonts w:asciiTheme="minorHAnsi" w:eastAsiaTheme="minorEastAsia" w:hAnsiTheme="minorHAnsi" w:cstheme="minorBidi"/>
              <w:noProof/>
              <w:color w:val="auto"/>
              <w:szCs w:val="22"/>
              <w:lang w:eastAsia="en-ZA"/>
            </w:rPr>
          </w:pPr>
          <w:hyperlink w:anchor="_Toc51154084" w:history="1">
            <w:r w:rsidR="00BA77B8" w:rsidRPr="00710A91">
              <w:rPr>
                <w:rStyle w:val="Hyperlink"/>
                <w:noProof/>
              </w:rPr>
              <w:t>FRAUD AND CONSEQUENCE MANAGEMENT</w:t>
            </w:r>
            <w:r w:rsidR="00BA77B8">
              <w:rPr>
                <w:noProof/>
                <w:webHidden/>
              </w:rPr>
              <w:tab/>
            </w:r>
            <w:r w:rsidR="00BA77B8">
              <w:rPr>
                <w:noProof/>
                <w:webHidden/>
              </w:rPr>
              <w:fldChar w:fldCharType="begin"/>
            </w:r>
            <w:r w:rsidR="00BA77B8">
              <w:rPr>
                <w:noProof/>
                <w:webHidden/>
              </w:rPr>
              <w:instrText xml:space="preserve"> PAGEREF _Toc51154084 \h </w:instrText>
            </w:r>
            <w:r w:rsidR="00BA77B8">
              <w:rPr>
                <w:noProof/>
                <w:webHidden/>
              </w:rPr>
            </w:r>
            <w:r w:rsidR="00BA77B8">
              <w:rPr>
                <w:noProof/>
                <w:webHidden/>
              </w:rPr>
              <w:fldChar w:fldCharType="separate"/>
            </w:r>
            <w:r w:rsidR="00BA77B8">
              <w:rPr>
                <w:noProof/>
                <w:webHidden/>
              </w:rPr>
              <w:t>31</w:t>
            </w:r>
            <w:r w:rsidR="00BA77B8">
              <w:rPr>
                <w:noProof/>
                <w:webHidden/>
              </w:rPr>
              <w:fldChar w:fldCharType="end"/>
            </w:r>
          </w:hyperlink>
        </w:p>
        <w:p w14:paraId="48445BA5" w14:textId="05AFE2DD" w:rsidR="00BA77B8" w:rsidRDefault="004313B2">
          <w:pPr>
            <w:pStyle w:val="TOC2"/>
            <w:rPr>
              <w:rFonts w:asciiTheme="minorHAnsi" w:eastAsiaTheme="minorEastAsia" w:hAnsiTheme="minorHAnsi" w:cstheme="minorBidi"/>
              <w:b w:val="0"/>
              <w:noProof/>
              <w:color w:val="auto"/>
              <w:szCs w:val="22"/>
              <w:lang w:eastAsia="en-ZA"/>
            </w:rPr>
          </w:pPr>
          <w:hyperlink w:anchor="_Toc51154085" w:history="1">
            <w:r w:rsidR="00BA77B8" w:rsidRPr="00710A91">
              <w:rPr>
                <w:rStyle w:val="Hyperlink"/>
                <w:noProof/>
              </w:rPr>
              <w:t>SECTION 5. Using the work of internal audit</w:t>
            </w:r>
            <w:r w:rsidR="00BA77B8">
              <w:rPr>
                <w:noProof/>
                <w:webHidden/>
              </w:rPr>
              <w:tab/>
            </w:r>
            <w:r w:rsidR="00BA77B8">
              <w:rPr>
                <w:noProof/>
                <w:webHidden/>
              </w:rPr>
              <w:fldChar w:fldCharType="begin"/>
            </w:r>
            <w:r w:rsidR="00BA77B8">
              <w:rPr>
                <w:noProof/>
                <w:webHidden/>
              </w:rPr>
              <w:instrText xml:space="preserve"> PAGEREF _Toc51154085 \h </w:instrText>
            </w:r>
            <w:r w:rsidR="00BA77B8">
              <w:rPr>
                <w:noProof/>
                <w:webHidden/>
              </w:rPr>
            </w:r>
            <w:r w:rsidR="00BA77B8">
              <w:rPr>
                <w:noProof/>
                <w:webHidden/>
              </w:rPr>
              <w:fldChar w:fldCharType="separate"/>
            </w:r>
            <w:r w:rsidR="00BA77B8">
              <w:rPr>
                <w:noProof/>
                <w:webHidden/>
              </w:rPr>
              <w:t>33</w:t>
            </w:r>
            <w:r w:rsidR="00BA77B8">
              <w:rPr>
                <w:noProof/>
                <w:webHidden/>
              </w:rPr>
              <w:fldChar w:fldCharType="end"/>
            </w:r>
          </w:hyperlink>
        </w:p>
        <w:p w14:paraId="017C9466" w14:textId="4EB5A059" w:rsidR="00BA77B8" w:rsidRDefault="004313B2">
          <w:pPr>
            <w:pStyle w:val="TOC2"/>
            <w:rPr>
              <w:rFonts w:asciiTheme="minorHAnsi" w:eastAsiaTheme="minorEastAsia" w:hAnsiTheme="minorHAnsi" w:cstheme="minorBidi"/>
              <w:b w:val="0"/>
              <w:noProof/>
              <w:color w:val="auto"/>
              <w:szCs w:val="22"/>
              <w:lang w:eastAsia="en-ZA"/>
            </w:rPr>
          </w:pPr>
          <w:hyperlink w:anchor="_Toc51154086" w:history="1">
            <w:r w:rsidR="00BA77B8" w:rsidRPr="00710A91">
              <w:rPr>
                <w:rStyle w:val="Hyperlink"/>
                <w:noProof/>
              </w:rPr>
              <w:t>SECTION 6: Emerging risks</w:t>
            </w:r>
            <w:r w:rsidR="00BA77B8">
              <w:rPr>
                <w:noProof/>
                <w:webHidden/>
              </w:rPr>
              <w:tab/>
            </w:r>
            <w:r w:rsidR="00BA77B8">
              <w:rPr>
                <w:noProof/>
                <w:webHidden/>
              </w:rPr>
              <w:fldChar w:fldCharType="begin"/>
            </w:r>
            <w:r w:rsidR="00BA77B8">
              <w:rPr>
                <w:noProof/>
                <w:webHidden/>
              </w:rPr>
              <w:instrText xml:space="preserve"> PAGEREF _Toc51154086 \h </w:instrText>
            </w:r>
            <w:r w:rsidR="00BA77B8">
              <w:rPr>
                <w:noProof/>
                <w:webHidden/>
              </w:rPr>
            </w:r>
            <w:r w:rsidR="00BA77B8">
              <w:rPr>
                <w:noProof/>
                <w:webHidden/>
              </w:rPr>
              <w:fldChar w:fldCharType="separate"/>
            </w:r>
            <w:r w:rsidR="00BA77B8">
              <w:rPr>
                <w:noProof/>
                <w:webHidden/>
              </w:rPr>
              <w:t>33</w:t>
            </w:r>
            <w:r w:rsidR="00BA77B8">
              <w:rPr>
                <w:noProof/>
                <w:webHidden/>
              </w:rPr>
              <w:fldChar w:fldCharType="end"/>
            </w:r>
          </w:hyperlink>
        </w:p>
        <w:p w14:paraId="2355BD29" w14:textId="13D08791" w:rsidR="00BA77B8" w:rsidRDefault="004313B2">
          <w:pPr>
            <w:pStyle w:val="TOC2"/>
            <w:rPr>
              <w:rFonts w:asciiTheme="minorHAnsi" w:eastAsiaTheme="minorEastAsia" w:hAnsiTheme="minorHAnsi" w:cstheme="minorBidi"/>
              <w:b w:val="0"/>
              <w:noProof/>
              <w:color w:val="auto"/>
              <w:szCs w:val="22"/>
              <w:lang w:eastAsia="en-ZA"/>
            </w:rPr>
          </w:pPr>
          <w:hyperlink w:anchor="_Toc51154087" w:history="1">
            <w:r w:rsidR="00BA77B8" w:rsidRPr="00710A91">
              <w:rPr>
                <w:rStyle w:val="Hyperlink"/>
                <w:noProof/>
              </w:rPr>
              <w:t>SECTION 7: Entities controlled by the department</w:t>
            </w:r>
            <w:r w:rsidR="00BA77B8">
              <w:rPr>
                <w:noProof/>
                <w:webHidden/>
              </w:rPr>
              <w:tab/>
            </w:r>
            <w:r w:rsidR="00BA77B8">
              <w:rPr>
                <w:noProof/>
                <w:webHidden/>
              </w:rPr>
              <w:fldChar w:fldCharType="begin"/>
            </w:r>
            <w:r w:rsidR="00BA77B8">
              <w:rPr>
                <w:noProof/>
                <w:webHidden/>
              </w:rPr>
              <w:instrText xml:space="preserve"> PAGEREF _Toc51154087 \h </w:instrText>
            </w:r>
            <w:r w:rsidR="00BA77B8">
              <w:rPr>
                <w:noProof/>
                <w:webHidden/>
              </w:rPr>
            </w:r>
            <w:r w:rsidR="00BA77B8">
              <w:rPr>
                <w:noProof/>
                <w:webHidden/>
              </w:rPr>
              <w:fldChar w:fldCharType="separate"/>
            </w:r>
            <w:r w:rsidR="00BA77B8">
              <w:rPr>
                <w:noProof/>
                <w:webHidden/>
              </w:rPr>
              <w:t>35</w:t>
            </w:r>
            <w:r w:rsidR="00BA77B8">
              <w:rPr>
                <w:noProof/>
                <w:webHidden/>
              </w:rPr>
              <w:fldChar w:fldCharType="end"/>
            </w:r>
          </w:hyperlink>
        </w:p>
        <w:p w14:paraId="2B4698E7" w14:textId="4BE12DD5" w:rsidR="00BA77B8" w:rsidRDefault="004313B2">
          <w:pPr>
            <w:pStyle w:val="TOC2"/>
            <w:rPr>
              <w:rFonts w:asciiTheme="minorHAnsi" w:eastAsiaTheme="minorEastAsia" w:hAnsiTheme="minorHAnsi" w:cstheme="minorBidi"/>
              <w:b w:val="0"/>
              <w:noProof/>
              <w:color w:val="auto"/>
              <w:szCs w:val="22"/>
              <w:lang w:eastAsia="en-ZA"/>
            </w:rPr>
          </w:pPr>
          <w:hyperlink w:anchor="_Toc51154088" w:history="1">
            <w:r w:rsidR="00BA77B8" w:rsidRPr="00710A91">
              <w:rPr>
                <w:rStyle w:val="Hyperlink"/>
                <w:noProof/>
              </w:rPr>
              <w:t>SECTION 8: Ratings of detailed audit findings</w:t>
            </w:r>
            <w:r w:rsidR="00BA77B8">
              <w:rPr>
                <w:noProof/>
                <w:webHidden/>
              </w:rPr>
              <w:tab/>
            </w:r>
            <w:r w:rsidR="00BA77B8">
              <w:rPr>
                <w:noProof/>
                <w:webHidden/>
              </w:rPr>
              <w:fldChar w:fldCharType="begin"/>
            </w:r>
            <w:r w:rsidR="00BA77B8">
              <w:rPr>
                <w:noProof/>
                <w:webHidden/>
              </w:rPr>
              <w:instrText xml:space="preserve"> PAGEREF _Toc51154088 \h </w:instrText>
            </w:r>
            <w:r w:rsidR="00BA77B8">
              <w:rPr>
                <w:noProof/>
                <w:webHidden/>
              </w:rPr>
            </w:r>
            <w:r w:rsidR="00BA77B8">
              <w:rPr>
                <w:noProof/>
                <w:webHidden/>
              </w:rPr>
              <w:fldChar w:fldCharType="separate"/>
            </w:r>
            <w:r w:rsidR="00BA77B8">
              <w:rPr>
                <w:noProof/>
                <w:webHidden/>
              </w:rPr>
              <w:t>36</w:t>
            </w:r>
            <w:r w:rsidR="00BA77B8">
              <w:rPr>
                <w:noProof/>
                <w:webHidden/>
              </w:rPr>
              <w:fldChar w:fldCharType="end"/>
            </w:r>
          </w:hyperlink>
        </w:p>
        <w:p w14:paraId="4E648E14" w14:textId="54279304" w:rsidR="00BA77B8" w:rsidRDefault="004313B2">
          <w:pPr>
            <w:pStyle w:val="TOC2"/>
            <w:rPr>
              <w:rFonts w:asciiTheme="minorHAnsi" w:eastAsiaTheme="minorEastAsia" w:hAnsiTheme="minorHAnsi" w:cstheme="minorBidi"/>
              <w:b w:val="0"/>
              <w:noProof/>
              <w:color w:val="auto"/>
              <w:szCs w:val="22"/>
              <w:lang w:eastAsia="en-ZA"/>
            </w:rPr>
          </w:pPr>
          <w:hyperlink w:anchor="_Toc51154089" w:history="1">
            <w:r w:rsidR="00BA77B8" w:rsidRPr="00710A91">
              <w:rPr>
                <w:rStyle w:val="Hyperlink"/>
                <w:noProof/>
              </w:rPr>
              <w:t>SECTION 9: Conclusion</w:t>
            </w:r>
            <w:r w:rsidR="00BA77B8">
              <w:rPr>
                <w:noProof/>
                <w:webHidden/>
              </w:rPr>
              <w:tab/>
            </w:r>
            <w:r w:rsidR="00BA77B8">
              <w:rPr>
                <w:noProof/>
                <w:webHidden/>
              </w:rPr>
              <w:fldChar w:fldCharType="begin"/>
            </w:r>
            <w:r w:rsidR="00BA77B8">
              <w:rPr>
                <w:noProof/>
                <w:webHidden/>
              </w:rPr>
              <w:instrText xml:space="preserve"> PAGEREF _Toc51154089 \h </w:instrText>
            </w:r>
            <w:r w:rsidR="00BA77B8">
              <w:rPr>
                <w:noProof/>
                <w:webHidden/>
              </w:rPr>
            </w:r>
            <w:r w:rsidR="00BA77B8">
              <w:rPr>
                <w:noProof/>
                <w:webHidden/>
              </w:rPr>
              <w:fldChar w:fldCharType="separate"/>
            </w:r>
            <w:r w:rsidR="00BA77B8">
              <w:rPr>
                <w:noProof/>
                <w:webHidden/>
              </w:rPr>
              <w:t>36</w:t>
            </w:r>
            <w:r w:rsidR="00BA77B8">
              <w:rPr>
                <w:noProof/>
                <w:webHidden/>
              </w:rPr>
              <w:fldChar w:fldCharType="end"/>
            </w:r>
          </w:hyperlink>
        </w:p>
        <w:p w14:paraId="02AB6149" w14:textId="0A48CB9B" w:rsidR="00BA77B8" w:rsidRDefault="004313B2">
          <w:pPr>
            <w:pStyle w:val="TOC2"/>
            <w:rPr>
              <w:rFonts w:asciiTheme="minorHAnsi" w:eastAsiaTheme="minorEastAsia" w:hAnsiTheme="minorHAnsi" w:cstheme="minorBidi"/>
              <w:b w:val="0"/>
              <w:noProof/>
              <w:color w:val="auto"/>
              <w:szCs w:val="22"/>
              <w:lang w:eastAsia="en-ZA"/>
            </w:rPr>
          </w:pPr>
          <w:hyperlink w:anchor="_Toc51154090" w:history="1">
            <w:r w:rsidR="00BA77B8" w:rsidRPr="00710A91">
              <w:rPr>
                <w:rStyle w:val="Hyperlink"/>
                <w:noProof/>
              </w:rPr>
              <w:t>SECTION 10: Summary of detailed audit findings</w:t>
            </w:r>
            <w:r w:rsidR="00BA77B8">
              <w:rPr>
                <w:noProof/>
                <w:webHidden/>
              </w:rPr>
              <w:tab/>
            </w:r>
            <w:r w:rsidR="00BA77B8">
              <w:rPr>
                <w:noProof/>
                <w:webHidden/>
              </w:rPr>
              <w:fldChar w:fldCharType="begin"/>
            </w:r>
            <w:r w:rsidR="00BA77B8">
              <w:rPr>
                <w:noProof/>
                <w:webHidden/>
              </w:rPr>
              <w:instrText xml:space="preserve"> PAGEREF _Toc51154090 \h </w:instrText>
            </w:r>
            <w:r w:rsidR="00BA77B8">
              <w:rPr>
                <w:noProof/>
                <w:webHidden/>
              </w:rPr>
            </w:r>
            <w:r w:rsidR="00BA77B8">
              <w:rPr>
                <w:noProof/>
                <w:webHidden/>
              </w:rPr>
              <w:fldChar w:fldCharType="separate"/>
            </w:r>
            <w:r w:rsidR="00BA77B8">
              <w:rPr>
                <w:noProof/>
                <w:webHidden/>
              </w:rPr>
              <w:t>37</w:t>
            </w:r>
            <w:r w:rsidR="00BA77B8">
              <w:rPr>
                <w:noProof/>
                <w:webHidden/>
              </w:rPr>
              <w:fldChar w:fldCharType="end"/>
            </w:r>
          </w:hyperlink>
        </w:p>
        <w:p w14:paraId="03BFD862" w14:textId="5DC65AF4" w:rsidR="00BA77B8" w:rsidRDefault="004313B2">
          <w:pPr>
            <w:pStyle w:val="TOC2"/>
            <w:rPr>
              <w:rFonts w:asciiTheme="minorHAnsi" w:eastAsiaTheme="minorEastAsia" w:hAnsiTheme="minorHAnsi" w:cstheme="minorBidi"/>
              <w:b w:val="0"/>
              <w:noProof/>
              <w:color w:val="auto"/>
              <w:szCs w:val="22"/>
              <w:lang w:eastAsia="en-ZA"/>
            </w:rPr>
          </w:pPr>
          <w:hyperlink w:anchor="_Toc51154091" w:history="1">
            <w:r w:rsidR="00BA77B8" w:rsidRPr="00710A91">
              <w:rPr>
                <w:rStyle w:val="Hyperlink"/>
                <w:noProof/>
              </w:rPr>
              <w:t>DETAILED AUDIT FINDINGS: ANNEXURES A TO C</w:t>
            </w:r>
            <w:r w:rsidR="00BA77B8">
              <w:rPr>
                <w:noProof/>
                <w:webHidden/>
              </w:rPr>
              <w:tab/>
            </w:r>
            <w:r w:rsidR="00BA77B8">
              <w:rPr>
                <w:noProof/>
                <w:webHidden/>
              </w:rPr>
              <w:fldChar w:fldCharType="begin"/>
            </w:r>
            <w:r w:rsidR="00BA77B8">
              <w:rPr>
                <w:noProof/>
                <w:webHidden/>
              </w:rPr>
              <w:instrText xml:space="preserve"> PAGEREF _Toc51154091 \h </w:instrText>
            </w:r>
            <w:r w:rsidR="00BA77B8">
              <w:rPr>
                <w:noProof/>
                <w:webHidden/>
              </w:rPr>
            </w:r>
            <w:r w:rsidR="00BA77B8">
              <w:rPr>
                <w:noProof/>
                <w:webHidden/>
              </w:rPr>
              <w:fldChar w:fldCharType="separate"/>
            </w:r>
            <w:r w:rsidR="00BA77B8">
              <w:rPr>
                <w:noProof/>
                <w:webHidden/>
              </w:rPr>
              <w:t>38</w:t>
            </w:r>
            <w:r w:rsidR="00BA77B8">
              <w:rPr>
                <w:noProof/>
                <w:webHidden/>
              </w:rPr>
              <w:fldChar w:fldCharType="end"/>
            </w:r>
          </w:hyperlink>
        </w:p>
        <w:p w14:paraId="71DCD72E" w14:textId="6A0B6958" w:rsidR="00BA77B8" w:rsidRDefault="004313B2">
          <w:pPr>
            <w:pStyle w:val="TOC3"/>
            <w:rPr>
              <w:rFonts w:asciiTheme="minorHAnsi" w:eastAsiaTheme="minorEastAsia" w:hAnsiTheme="minorHAnsi" w:cstheme="minorBidi"/>
              <w:noProof/>
              <w:color w:val="auto"/>
              <w:szCs w:val="22"/>
              <w:lang w:eastAsia="en-ZA"/>
            </w:rPr>
          </w:pPr>
          <w:hyperlink w:anchor="_Toc51154092" w:history="1">
            <w:r w:rsidR="00BA77B8" w:rsidRPr="00710A91">
              <w:rPr>
                <w:rStyle w:val="Hyperlink"/>
                <w:noProof/>
              </w:rPr>
              <w:t>ANNEXURE A: MATTERS AFFECTING THE AUDITOR’S REPORT</w:t>
            </w:r>
            <w:r w:rsidR="00BA77B8">
              <w:rPr>
                <w:noProof/>
                <w:webHidden/>
              </w:rPr>
              <w:tab/>
            </w:r>
            <w:r w:rsidR="00BA77B8">
              <w:rPr>
                <w:noProof/>
                <w:webHidden/>
              </w:rPr>
              <w:fldChar w:fldCharType="begin"/>
            </w:r>
            <w:r w:rsidR="00BA77B8">
              <w:rPr>
                <w:noProof/>
                <w:webHidden/>
              </w:rPr>
              <w:instrText xml:space="preserve"> PAGEREF _Toc51154092 \h </w:instrText>
            </w:r>
            <w:r w:rsidR="00BA77B8">
              <w:rPr>
                <w:noProof/>
                <w:webHidden/>
              </w:rPr>
            </w:r>
            <w:r w:rsidR="00BA77B8">
              <w:rPr>
                <w:noProof/>
                <w:webHidden/>
              </w:rPr>
              <w:fldChar w:fldCharType="separate"/>
            </w:r>
            <w:r w:rsidR="00BA77B8">
              <w:rPr>
                <w:noProof/>
                <w:webHidden/>
              </w:rPr>
              <w:t>38</w:t>
            </w:r>
            <w:r w:rsidR="00BA77B8">
              <w:rPr>
                <w:noProof/>
                <w:webHidden/>
              </w:rPr>
              <w:fldChar w:fldCharType="end"/>
            </w:r>
          </w:hyperlink>
        </w:p>
        <w:p w14:paraId="4037FDA8" w14:textId="092224B0" w:rsidR="00BA77B8" w:rsidRDefault="004313B2">
          <w:pPr>
            <w:pStyle w:val="TOC3"/>
            <w:rPr>
              <w:rFonts w:asciiTheme="minorHAnsi" w:eastAsiaTheme="minorEastAsia" w:hAnsiTheme="minorHAnsi" w:cstheme="minorBidi"/>
              <w:noProof/>
              <w:color w:val="auto"/>
              <w:szCs w:val="22"/>
              <w:lang w:eastAsia="en-ZA"/>
            </w:rPr>
          </w:pPr>
          <w:hyperlink w:anchor="_Toc51154093" w:history="1">
            <w:r w:rsidR="00BA77B8" w:rsidRPr="00710A91">
              <w:rPr>
                <w:rStyle w:val="Hyperlink"/>
                <w:noProof/>
              </w:rPr>
              <w:t>ANNEXURE B: OTHER IMPORTANT MATTERS</w:t>
            </w:r>
            <w:r w:rsidR="00BA77B8">
              <w:rPr>
                <w:noProof/>
                <w:webHidden/>
              </w:rPr>
              <w:tab/>
            </w:r>
            <w:r w:rsidR="00BA77B8">
              <w:rPr>
                <w:noProof/>
                <w:webHidden/>
              </w:rPr>
              <w:fldChar w:fldCharType="begin"/>
            </w:r>
            <w:r w:rsidR="00BA77B8">
              <w:rPr>
                <w:noProof/>
                <w:webHidden/>
              </w:rPr>
              <w:instrText xml:space="preserve"> PAGEREF _Toc51154093 \h </w:instrText>
            </w:r>
            <w:r w:rsidR="00BA77B8">
              <w:rPr>
                <w:noProof/>
                <w:webHidden/>
              </w:rPr>
            </w:r>
            <w:r w:rsidR="00BA77B8">
              <w:rPr>
                <w:noProof/>
                <w:webHidden/>
              </w:rPr>
              <w:fldChar w:fldCharType="separate"/>
            </w:r>
            <w:r w:rsidR="00BA77B8">
              <w:rPr>
                <w:noProof/>
                <w:webHidden/>
              </w:rPr>
              <w:t>162</w:t>
            </w:r>
            <w:r w:rsidR="00BA77B8">
              <w:rPr>
                <w:noProof/>
                <w:webHidden/>
              </w:rPr>
              <w:fldChar w:fldCharType="end"/>
            </w:r>
          </w:hyperlink>
        </w:p>
        <w:p w14:paraId="3F0AED9F" w14:textId="5491F2C5" w:rsidR="00BA77B8" w:rsidRDefault="004313B2">
          <w:pPr>
            <w:pStyle w:val="TOC2"/>
            <w:rPr>
              <w:rFonts w:asciiTheme="minorHAnsi" w:eastAsiaTheme="minorEastAsia" w:hAnsiTheme="minorHAnsi" w:cstheme="minorBidi"/>
              <w:b w:val="0"/>
              <w:noProof/>
              <w:color w:val="auto"/>
              <w:szCs w:val="22"/>
              <w:lang w:eastAsia="en-ZA"/>
            </w:rPr>
          </w:pPr>
          <w:hyperlink w:anchor="_Toc51154094" w:history="1">
            <w:r w:rsidR="00BA77B8" w:rsidRPr="00710A91">
              <w:rPr>
                <w:rStyle w:val="Hyperlink"/>
                <w:noProof/>
              </w:rPr>
              <w:t>ANNEXURE D: PERFORMANCE MANAGEMENT AND REPORTING FRAMEWORK</w:t>
            </w:r>
            <w:r w:rsidR="00BA77B8">
              <w:rPr>
                <w:noProof/>
                <w:webHidden/>
              </w:rPr>
              <w:tab/>
            </w:r>
            <w:r w:rsidR="00BA77B8">
              <w:rPr>
                <w:noProof/>
                <w:webHidden/>
              </w:rPr>
              <w:fldChar w:fldCharType="begin"/>
            </w:r>
            <w:r w:rsidR="00BA77B8">
              <w:rPr>
                <w:noProof/>
                <w:webHidden/>
              </w:rPr>
              <w:instrText xml:space="preserve"> PAGEREF _Toc51154094 \h </w:instrText>
            </w:r>
            <w:r w:rsidR="00BA77B8">
              <w:rPr>
                <w:noProof/>
                <w:webHidden/>
              </w:rPr>
            </w:r>
            <w:r w:rsidR="00BA77B8">
              <w:rPr>
                <w:noProof/>
                <w:webHidden/>
              </w:rPr>
              <w:fldChar w:fldCharType="separate"/>
            </w:r>
            <w:r w:rsidR="00BA77B8">
              <w:rPr>
                <w:noProof/>
                <w:webHidden/>
              </w:rPr>
              <w:t>169</w:t>
            </w:r>
            <w:r w:rsidR="00BA77B8">
              <w:rPr>
                <w:noProof/>
                <w:webHidden/>
              </w:rPr>
              <w:fldChar w:fldCharType="end"/>
            </w:r>
          </w:hyperlink>
        </w:p>
        <w:p w14:paraId="214AD391" w14:textId="50F34A00" w:rsidR="00BA77B8" w:rsidRDefault="00BA77B8">
          <w:pPr>
            <w:pStyle w:val="TOC2"/>
            <w:rPr>
              <w:rFonts w:asciiTheme="minorHAnsi" w:eastAsiaTheme="minorEastAsia" w:hAnsiTheme="minorHAnsi" w:cstheme="minorBidi"/>
              <w:b w:val="0"/>
              <w:noProof/>
              <w:color w:val="auto"/>
              <w:szCs w:val="22"/>
              <w:lang w:eastAsia="en-ZA"/>
            </w:rPr>
          </w:pPr>
          <w:hyperlink w:anchor="_Toc51154095" w:history="1">
            <w:r w:rsidRPr="00710A91">
              <w:rPr>
                <w:rStyle w:val="Hyperlink"/>
                <w:noProof/>
              </w:rPr>
              <w:t>ANNEXURE E: AUDITOR GENERAL’S RESPONSIBILITY FOR THE AUDIT OF THE REPORTED PERFORMANCE INFORMATION</w:t>
            </w:r>
            <w:r>
              <w:rPr>
                <w:noProof/>
                <w:webHidden/>
              </w:rPr>
              <w:tab/>
            </w:r>
            <w:r>
              <w:rPr>
                <w:noProof/>
                <w:webHidden/>
              </w:rPr>
              <w:fldChar w:fldCharType="begin"/>
            </w:r>
            <w:r>
              <w:rPr>
                <w:noProof/>
                <w:webHidden/>
              </w:rPr>
              <w:instrText xml:space="preserve"> PAGEREF _Toc51154095 \h </w:instrText>
            </w:r>
            <w:r>
              <w:rPr>
                <w:noProof/>
                <w:webHidden/>
              </w:rPr>
            </w:r>
            <w:r>
              <w:rPr>
                <w:noProof/>
                <w:webHidden/>
              </w:rPr>
              <w:fldChar w:fldCharType="separate"/>
            </w:r>
            <w:r>
              <w:rPr>
                <w:noProof/>
                <w:webHidden/>
              </w:rPr>
              <w:t>175</w:t>
            </w:r>
            <w:r>
              <w:rPr>
                <w:noProof/>
                <w:webHidden/>
              </w:rPr>
              <w:fldChar w:fldCharType="end"/>
            </w:r>
          </w:hyperlink>
        </w:p>
        <w:p w14:paraId="4EA31D3E" w14:textId="096BD9B5" w:rsidR="00BA77B8" w:rsidRDefault="00BA77B8">
          <w:pPr>
            <w:pStyle w:val="TOC3"/>
            <w:rPr>
              <w:rFonts w:asciiTheme="minorHAnsi" w:eastAsiaTheme="minorEastAsia" w:hAnsiTheme="minorHAnsi" w:cstheme="minorBidi"/>
              <w:noProof/>
              <w:color w:val="auto"/>
              <w:szCs w:val="22"/>
              <w:lang w:eastAsia="en-ZA"/>
            </w:rPr>
          </w:pPr>
          <w:hyperlink w:anchor="_Toc51154096" w:history="1">
            <w:r w:rsidRPr="00710A91">
              <w:rPr>
                <w:rStyle w:val="Hyperlink"/>
                <w:noProof/>
              </w:rPr>
              <w:t>QUALITY CONTROL RELATING TO ASSURANCE ENGAGEMENTS</w:t>
            </w:r>
            <w:r>
              <w:rPr>
                <w:noProof/>
                <w:webHidden/>
              </w:rPr>
              <w:tab/>
            </w:r>
            <w:r>
              <w:rPr>
                <w:noProof/>
                <w:webHidden/>
              </w:rPr>
              <w:fldChar w:fldCharType="begin"/>
            </w:r>
            <w:r>
              <w:rPr>
                <w:noProof/>
                <w:webHidden/>
              </w:rPr>
              <w:instrText xml:space="preserve"> PAGEREF _Toc51154096 \h </w:instrText>
            </w:r>
            <w:r>
              <w:rPr>
                <w:noProof/>
                <w:webHidden/>
              </w:rPr>
            </w:r>
            <w:r>
              <w:rPr>
                <w:noProof/>
                <w:webHidden/>
              </w:rPr>
              <w:fldChar w:fldCharType="separate"/>
            </w:r>
            <w:r>
              <w:rPr>
                <w:noProof/>
                <w:webHidden/>
              </w:rPr>
              <w:t>175</w:t>
            </w:r>
            <w:r>
              <w:rPr>
                <w:noProof/>
                <w:webHidden/>
              </w:rPr>
              <w:fldChar w:fldCharType="end"/>
            </w:r>
          </w:hyperlink>
        </w:p>
        <w:p w14:paraId="62A5BCDF" w14:textId="753E4375" w:rsidR="00BA77B8" w:rsidRDefault="004313B2">
          <w:pPr>
            <w:pStyle w:val="TOC3"/>
            <w:rPr>
              <w:rFonts w:asciiTheme="minorHAnsi" w:eastAsiaTheme="minorEastAsia" w:hAnsiTheme="minorHAnsi" w:cstheme="minorBidi"/>
              <w:noProof/>
              <w:color w:val="auto"/>
              <w:szCs w:val="22"/>
              <w:lang w:eastAsia="en-ZA"/>
            </w:rPr>
          </w:pPr>
          <w:hyperlink w:anchor="_Toc51154097" w:history="1">
            <w:r w:rsidR="00BA77B8" w:rsidRPr="00710A91">
              <w:rPr>
                <w:rStyle w:val="Hyperlink"/>
                <w:noProof/>
              </w:rPr>
              <w:t>REPORTED PERFORMANCE INFORMATION</w:t>
            </w:r>
            <w:r w:rsidR="00BA77B8">
              <w:rPr>
                <w:noProof/>
                <w:webHidden/>
              </w:rPr>
              <w:tab/>
            </w:r>
            <w:r w:rsidR="00BA77B8">
              <w:rPr>
                <w:noProof/>
                <w:webHidden/>
              </w:rPr>
              <w:fldChar w:fldCharType="begin"/>
            </w:r>
            <w:r w:rsidR="00BA77B8">
              <w:rPr>
                <w:noProof/>
                <w:webHidden/>
              </w:rPr>
              <w:instrText xml:space="preserve"> PAGEREF _Toc51154097 \h </w:instrText>
            </w:r>
            <w:r w:rsidR="00BA77B8">
              <w:rPr>
                <w:noProof/>
                <w:webHidden/>
              </w:rPr>
            </w:r>
            <w:r w:rsidR="00BA77B8">
              <w:rPr>
                <w:noProof/>
                <w:webHidden/>
              </w:rPr>
              <w:fldChar w:fldCharType="separate"/>
            </w:r>
            <w:r w:rsidR="00BA77B8">
              <w:rPr>
                <w:noProof/>
                <w:webHidden/>
              </w:rPr>
              <w:t>175</w:t>
            </w:r>
            <w:r w:rsidR="00BA77B8">
              <w:rPr>
                <w:noProof/>
                <w:webHidden/>
              </w:rPr>
              <w:fldChar w:fldCharType="end"/>
            </w:r>
          </w:hyperlink>
        </w:p>
        <w:p w14:paraId="0B4B9FB1" w14:textId="5F978FAE" w:rsidR="00BA77B8" w:rsidRDefault="004313B2">
          <w:pPr>
            <w:pStyle w:val="TOC3"/>
            <w:rPr>
              <w:rFonts w:asciiTheme="minorHAnsi" w:eastAsiaTheme="minorEastAsia" w:hAnsiTheme="minorHAnsi" w:cstheme="minorBidi"/>
              <w:noProof/>
              <w:color w:val="auto"/>
              <w:szCs w:val="22"/>
              <w:lang w:eastAsia="en-ZA"/>
            </w:rPr>
          </w:pPr>
          <w:hyperlink w:anchor="_Toc51154098" w:history="1">
            <w:r w:rsidR="00BA77B8" w:rsidRPr="00710A91">
              <w:rPr>
                <w:rStyle w:val="Hyperlink"/>
                <w:noProof/>
              </w:rPr>
              <w:t>COMMUNICATION WITH THOSE CHARGED WITH GOVERNANCE</w:t>
            </w:r>
            <w:r w:rsidR="00BA77B8">
              <w:rPr>
                <w:noProof/>
                <w:webHidden/>
              </w:rPr>
              <w:tab/>
            </w:r>
            <w:r w:rsidR="00BA77B8">
              <w:rPr>
                <w:noProof/>
                <w:webHidden/>
              </w:rPr>
              <w:fldChar w:fldCharType="begin"/>
            </w:r>
            <w:r w:rsidR="00BA77B8">
              <w:rPr>
                <w:noProof/>
                <w:webHidden/>
              </w:rPr>
              <w:instrText xml:space="preserve"> PAGEREF _Toc51154098 \h </w:instrText>
            </w:r>
            <w:r w:rsidR="00BA77B8">
              <w:rPr>
                <w:noProof/>
                <w:webHidden/>
              </w:rPr>
            </w:r>
            <w:r w:rsidR="00BA77B8">
              <w:rPr>
                <w:noProof/>
                <w:webHidden/>
              </w:rPr>
              <w:fldChar w:fldCharType="separate"/>
            </w:r>
            <w:r w:rsidR="00BA77B8">
              <w:rPr>
                <w:noProof/>
                <w:webHidden/>
              </w:rPr>
              <w:t>175</w:t>
            </w:r>
            <w:r w:rsidR="00BA77B8">
              <w:rPr>
                <w:noProof/>
                <w:webHidden/>
              </w:rPr>
              <w:fldChar w:fldCharType="end"/>
            </w:r>
          </w:hyperlink>
        </w:p>
        <w:p w14:paraId="6F39F342" w14:textId="640454A5" w:rsidR="00BA77B8" w:rsidRDefault="004313B2">
          <w:pPr>
            <w:pStyle w:val="TOC2"/>
            <w:rPr>
              <w:rFonts w:asciiTheme="minorHAnsi" w:eastAsiaTheme="minorEastAsia" w:hAnsiTheme="minorHAnsi" w:cstheme="minorBidi"/>
              <w:b w:val="0"/>
              <w:noProof/>
              <w:color w:val="auto"/>
              <w:szCs w:val="22"/>
              <w:lang w:eastAsia="en-ZA"/>
            </w:rPr>
          </w:pPr>
          <w:hyperlink w:anchor="_Toc51154099" w:history="1">
            <w:r w:rsidR="00BA77B8" w:rsidRPr="00710A91">
              <w:rPr>
                <w:rStyle w:val="Hyperlink"/>
                <w:noProof/>
              </w:rPr>
              <w:t>ANNEXURE F: ASSESSMENT OF INTERNAL CONTROLS</w:t>
            </w:r>
            <w:r w:rsidR="00BA77B8">
              <w:rPr>
                <w:noProof/>
                <w:webHidden/>
              </w:rPr>
              <w:tab/>
            </w:r>
            <w:r w:rsidR="00BA77B8">
              <w:rPr>
                <w:noProof/>
                <w:webHidden/>
              </w:rPr>
              <w:fldChar w:fldCharType="begin"/>
            </w:r>
            <w:r w:rsidR="00BA77B8">
              <w:rPr>
                <w:noProof/>
                <w:webHidden/>
              </w:rPr>
              <w:instrText xml:space="preserve"> PAGEREF _Toc51154099 \h </w:instrText>
            </w:r>
            <w:r w:rsidR="00BA77B8">
              <w:rPr>
                <w:noProof/>
                <w:webHidden/>
              </w:rPr>
            </w:r>
            <w:r w:rsidR="00BA77B8">
              <w:rPr>
                <w:noProof/>
                <w:webHidden/>
              </w:rPr>
              <w:fldChar w:fldCharType="separate"/>
            </w:r>
            <w:r w:rsidR="00BA77B8">
              <w:rPr>
                <w:noProof/>
                <w:webHidden/>
              </w:rPr>
              <w:t>177</w:t>
            </w:r>
            <w:r w:rsidR="00BA77B8">
              <w:rPr>
                <w:noProof/>
                <w:webHidden/>
              </w:rPr>
              <w:fldChar w:fldCharType="end"/>
            </w:r>
          </w:hyperlink>
        </w:p>
        <w:p w14:paraId="41CCD8B7" w14:textId="77777777" w:rsidR="001F1CF5" w:rsidRPr="0077659B" w:rsidRDefault="006A7CD8">
          <w:r w:rsidRPr="0077659B">
            <w:rPr>
              <w:rFonts w:eastAsia="Times New Roman" w:cs="Arial"/>
              <w:b/>
              <w:color w:val="365F91"/>
            </w:rPr>
            <w:fldChar w:fldCharType="end"/>
          </w:r>
        </w:p>
      </w:sdtContent>
    </w:sdt>
    <w:p w14:paraId="6AA2AD3C" w14:textId="77777777" w:rsidR="00C22F2B" w:rsidRPr="0077659B" w:rsidRDefault="00C22F2B" w:rsidP="00C22F2B">
      <w:pPr>
        <w:tabs>
          <w:tab w:val="num" w:pos="0"/>
        </w:tabs>
        <w:spacing w:before="60" w:after="0" w:line="240" w:lineRule="auto"/>
        <w:ind w:left="851" w:hanging="851"/>
        <w:jc w:val="both"/>
        <w:rPr>
          <w:rFonts w:eastAsia="Times New Roman" w:cs="Arial"/>
          <w:b/>
          <w:bCs/>
          <w:iCs/>
          <w:color w:val="003B79"/>
          <w:sz w:val="24"/>
          <w:szCs w:val="24"/>
        </w:rPr>
      </w:pPr>
    </w:p>
    <w:p w14:paraId="7DDCBEF2" w14:textId="77777777" w:rsidR="00C22F2B" w:rsidRPr="0077659B" w:rsidRDefault="00C22F2B" w:rsidP="00C22F2B">
      <w:pPr>
        <w:spacing w:after="0" w:line="240" w:lineRule="auto"/>
        <w:jc w:val="both"/>
        <w:rPr>
          <w:rFonts w:eastAsia="Times New Roman" w:cs="Arial"/>
          <w:b/>
          <w:bCs/>
          <w:iCs/>
          <w:color w:val="003B79"/>
          <w:sz w:val="10"/>
          <w:szCs w:val="10"/>
        </w:rPr>
      </w:pPr>
    </w:p>
    <w:p w14:paraId="18963630" w14:textId="77777777" w:rsidR="00C22F2B" w:rsidRPr="0077659B" w:rsidRDefault="00C22F2B" w:rsidP="00C22F2B">
      <w:pPr>
        <w:spacing w:after="0" w:line="240" w:lineRule="auto"/>
        <w:rPr>
          <w:rFonts w:eastAsia="Times New Roman" w:cs="Arial"/>
          <w:b/>
          <w:bCs/>
          <w:spacing w:val="-4"/>
          <w:sz w:val="10"/>
          <w:szCs w:val="10"/>
        </w:rPr>
      </w:pPr>
    </w:p>
    <w:p w14:paraId="55A9950B" w14:textId="77777777" w:rsidR="00C22F2B" w:rsidRPr="0077659B" w:rsidRDefault="00C22F2B" w:rsidP="00C22F2B">
      <w:pPr>
        <w:spacing w:after="0" w:line="240" w:lineRule="auto"/>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14:paraId="65C7BD61" w14:textId="77777777" w:rsidR="00C22F2B" w:rsidRPr="0077659B" w:rsidRDefault="00E47CB6" w:rsidP="00FA5B7A">
      <w:pPr>
        <w:pStyle w:val="Heading2"/>
      </w:pPr>
      <w:bookmarkStart w:id="0" w:name="_Toc447106579"/>
      <w:bookmarkStart w:id="1" w:name="_Toc31548090"/>
      <w:bookmarkStart w:id="2" w:name="_Toc40695666"/>
      <w:bookmarkStart w:id="3" w:name="_Toc41685565"/>
      <w:bookmarkStart w:id="4" w:name="_Toc41826025"/>
      <w:bookmarkStart w:id="5" w:name="_Toc42616102"/>
      <w:bookmarkStart w:id="6" w:name="_Toc51154064"/>
      <w:r>
        <w:lastRenderedPageBreak/>
        <w:t xml:space="preserve">MANAGEMENT REPORT TO THE </w:t>
      </w:r>
      <w:r w:rsidR="00C22F2B" w:rsidRPr="0077659B">
        <w:t xml:space="preserve">ACCOUNTING OFFICER ON THE AUDIT OF THE </w:t>
      </w:r>
      <w:r w:rsidRPr="00E47CB6">
        <w:t>DEPARTMENT OF PUBLIC WORKS AND INFRASTRUCTURE</w:t>
      </w:r>
      <w:r w:rsidR="00C22F2B" w:rsidRPr="0077659B">
        <w:t xml:space="preserve"> FOR THE YEAR ENDED </w:t>
      </w:r>
      <w:bookmarkEnd w:id="0"/>
      <w:bookmarkEnd w:id="1"/>
      <w:bookmarkEnd w:id="2"/>
      <w:bookmarkEnd w:id="3"/>
      <w:bookmarkEnd w:id="4"/>
      <w:bookmarkEnd w:id="5"/>
      <w:r>
        <w:t>31 MARCH 2020</w:t>
      </w:r>
      <w:bookmarkEnd w:id="6"/>
    </w:p>
    <w:p w14:paraId="3AB93224" w14:textId="77777777" w:rsidR="003A047F" w:rsidRPr="0077659B" w:rsidRDefault="003A047F" w:rsidP="00153824">
      <w:pPr>
        <w:shd w:val="clear" w:color="auto" w:fill="FFFFFF"/>
        <w:spacing w:line="240" w:lineRule="auto"/>
        <w:ind w:left="425"/>
        <w:rPr>
          <w:rFonts w:eastAsia="Times New Roman" w:cs="Arial"/>
        </w:rPr>
      </w:pPr>
    </w:p>
    <w:p w14:paraId="6DC56B3D" w14:textId="77777777" w:rsidR="00FA5B7A" w:rsidRPr="0077659B" w:rsidRDefault="00FA5B7A" w:rsidP="00FA5B7A">
      <w:pPr>
        <w:pStyle w:val="Heading2"/>
        <w:rPr>
          <w:rFonts w:ascii="Arial" w:eastAsia="Times New Roman" w:hAnsi="Arial"/>
        </w:rPr>
      </w:pPr>
      <w:bookmarkStart w:id="7" w:name="_Toc51154065"/>
      <w:r w:rsidRPr="0077659B">
        <w:t>INTRODUCTION</w:t>
      </w:r>
      <w:bookmarkEnd w:id="7"/>
    </w:p>
    <w:p w14:paraId="49AFED09" w14:textId="77777777" w:rsidR="00AD6C24" w:rsidRPr="0077659B" w:rsidRDefault="00AD6C24" w:rsidP="005A69DF">
      <w:pPr>
        <w:pStyle w:val="Heading3"/>
      </w:pPr>
    </w:p>
    <w:p w14:paraId="7D253F11" w14:textId="77777777" w:rsidR="00AD6C24" w:rsidRPr="0077659B" w:rsidRDefault="00AD6C24" w:rsidP="00223FB6">
      <w:pPr>
        <w:pStyle w:val="Numbernormal"/>
        <w:numPr>
          <w:ilvl w:val="0"/>
          <w:numId w:val="26"/>
        </w:numPr>
        <w:ind w:left="567" w:hanging="567"/>
      </w:pPr>
      <w:r w:rsidRPr="0077659B">
        <w:t xml:space="preserve">The purpose of the management report is to communicate audit findings and other key audit observations to the accounting officer and to provide a summary of the material irregularities and suspected material irregularities of which the accounting officer </w:t>
      </w:r>
      <w:proofErr w:type="gramStart"/>
      <w:r w:rsidRPr="0077659B">
        <w:t>was notified</w:t>
      </w:r>
      <w:proofErr w:type="gramEnd"/>
      <w:r w:rsidRPr="0077659B">
        <w:t>. The report does not</w:t>
      </w:r>
      <w:r w:rsidR="00D501E8">
        <w:t xml:space="preserve"> constitute public information.</w:t>
      </w:r>
    </w:p>
    <w:p w14:paraId="18F17659" w14:textId="77777777" w:rsidR="00AD6C24" w:rsidRPr="0077659B" w:rsidRDefault="00AD6C24" w:rsidP="00BB6EEC">
      <w:pPr>
        <w:pStyle w:val="Numbernormal"/>
        <w:ind w:left="567" w:hanging="11"/>
      </w:pPr>
      <w:r w:rsidRPr="0077659B">
        <w:t xml:space="preserve">The management report includes audit findings arising from the audit of the financial statements, performance information and compliance with legislation for the year ended </w:t>
      </w:r>
      <w:r w:rsidR="00A07E2E">
        <w:t>31 March 2020</w:t>
      </w:r>
      <w:r w:rsidRPr="0077659B">
        <w:t xml:space="preserve">. These findings </w:t>
      </w:r>
      <w:proofErr w:type="gramStart"/>
      <w:r w:rsidRPr="0077659B">
        <w:t>were communicated</w:t>
      </w:r>
      <w:proofErr w:type="gramEnd"/>
      <w:r w:rsidRPr="0077659B">
        <w:t xml:space="preserve"> to management and this report details management’s response to these findings. The report includes information on the internal control deficiencies that we identified as the root causes of the matters reported. Addressing these deficiencies will help to improve the audit outcome.</w:t>
      </w:r>
    </w:p>
    <w:p w14:paraId="025601E3" w14:textId="77777777" w:rsidR="00C22F2B" w:rsidRPr="0077659B" w:rsidRDefault="003A047F" w:rsidP="00223FB6">
      <w:pPr>
        <w:pStyle w:val="Numbernormal"/>
        <w:numPr>
          <w:ilvl w:val="0"/>
          <w:numId w:val="26"/>
        </w:numPr>
        <w:ind w:left="567" w:hanging="567"/>
      </w:pPr>
      <w:r w:rsidRPr="0077659B">
        <w:t>In accordance with the terms of engagement, our responsibility in this regard is to</w:t>
      </w:r>
      <w:r w:rsidR="00C22F2B" w:rsidRPr="0077659B">
        <w:t xml:space="preserve">: </w:t>
      </w:r>
    </w:p>
    <w:p w14:paraId="389314DE" w14:textId="77777777" w:rsidR="00C22F2B" w:rsidRPr="0077659B" w:rsidRDefault="00C22F2B" w:rsidP="00732678">
      <w:pPr>
        <w:pStyle w:val="Bulletedlist"/>
        <w:ind w:left="851" w:hanging="284"/>
      </w:pPr>
      <w:r w:rsidRPr="0077659B">
        <w:t>express an opinion on the financial statements</w:t>
      </w:r>
    </w:p>
    <w:p w14:paraId="7D94535A" w14:textId="77777777" w:rsidR="00C22F2B" w:rsidRPr="0077659B" w:rsidRDefault="00C22F2B" w:rsidP="00732678">
      <w:pPr>
        <w:pStyle w:val="Bulletedlist"/>
        <w:ind w:left="851" w:hanging="284"/>
      </w:pPr>
      <w:r w:rsidRPr="0077659B">
        <w:t>express a</w:t>
      </w:r>
      <w:r w:rsidR="0058770D" w:rsidRPr="0077659B">
        <w:t>n opinion</w:t>
      </w:r>
      <w:r w:rsidRPr="0077659B">
        <w:t xml:space="preserve"> in the management report on the usefulness and reliability of the reported perfor</w:t>
      </w:r>
      <w:r w:rsidR="00A07E2E">
        <w:t xml:space="preserve">mance information for selected </w:t>
      </w:r>
      <w:r w:rsidRPr="0077659B">
        <w:t>programmes, and report the material findings in the auditor’s report</w:t>
      </w:r>
    </w:p>
    <w:p w14:paraId="3E4E9836" w14:textId="77777777" w:rsidR="00C22F2B" w:rsidRPr="0077659B" w:rsidRDefault="00C22F2B" w:rsidP="00732678">
      <w:pPr>
        <w:pStyle w:val="Bulletedlist"/>
        <w:ind w:left="851" w:hanging="284"/>
      </w:pPr>
      <w:r w:rsidRPr="0077659B">
        <w:t xml:space="preserve">report on material findings relating to compliance with specific requirements in key applicable legislation, as set out in the general notice issued in terms of the Public Audit Act, 2004 (Act No. 25 of 2004) (PAA) </w:t>
      </w:r>
    </w:p>
    <w:p w14:paraId="68321479" w14:textId="77777777" w:rsidR="00AD6C24" w:rsidRPr="0077659B" w:rsidRDefault="00AD6C24" w:rsidP="00732678">
      <w:pPr>
        <w:numPr>
          <w:ilvl w:val="0"/>
          <w:numId w:val="8"/>
        </w:numPr>
        <w:spacing w:line="240" w:lineRule="auto"/>
        <w:ind w:left="851" w:hanging="284"/>
        <w:rPr>
          <w:rFonts w:eastAsia="Calibri"/>
        </w:rPr>
      </w:pPr>
      <w:proofErr w:type="gramStart"/>
      <w:r w:rsidRPr="0077659B">
        <w:rPr>
          <w:rFonts w:eastAsia="Calibri"/>
        </w:rPr>
        <w:t>notify</w:t>
      </w:r>
      <w:proofErr w:type="gramEnd"/>
      <w:r w:rsidRPr="0077659B">
        <w:rPr>
          <w:rFonts w:eastAsia="Calibri"/>
        </w:rPr>
        <w:t xml:space="preserve"> the accounting officer of any material irregularity or suspected material irregularities identified during the audit, and report on </w:t>
      </w:r>
      <w:r w:rsidR="00AE3982" w:rsidRPr="0077659B">
        <w:rPr>
          <w:rFonts w:eastAsia="Calibri"/>
        </w:rPr>
        <w:t xml:space="preserve">it </w:t>
      </w:r>
      <w:r w:rsidR="00A07E2E">
        <w:rPr>
          <w:rFonts w:eastAsia="Calibri"/>
        </w:rPr>
        <w:t>in the auditor’s report.</w:t>
      </w:r>
    </w:p>
    <w:p w14:paraId="64486363" w14:textId="77777777" w:rsidR="00C22F2B" w:rsidRPr="00440928" w:rsidRDefault="00C22F2B" w:rsidP="00223FB6">
      <w:pPr>
        <w:pStyle w:val="ListParagraph"/>
        <w:numPr>
          <w:ilvl w:val="0"/>
          <w:numId w:val="26"/>
        </w:numPr>
        <w:shd w:val="clear" w:color="auto" w:fill="FFFFFF"/>
        <w:spacing w:before="120"/>
        <w:ind w:left="567" w:hanging="567"/>
        <w:rPr>
          <w:rFonts w:cs="Arial"/>
        </w:rPr>
      </w:pPr>
      <w:r w:rsidRPr="00440928">
        <w:rPr>
          <w:rFonts w:cs="Arial"/>
        </w:rPr>
        <w:t xml:space="preserve">Our engagement letter sets out our responsibilities and those of the </w:t>
      </w:r>
      <w:r w:rsidR="00FA5B7A" w:rsidRPr="00440928">
        <w:rPr>
          <w:rFonts w:cs="Arial"/>
        </w:rPr>
        <w:t xml:space="preserve">accounting </w:t>
      </w:r>
      <w:r w:rsidRPr="00440928">
        <w:rPr>
          <w:rFonts w:cs="Arial"/>
        </w:rPr>
        <w:t xml:space="preserve">officer in detail. </w:t>
      </w:r>
    </w:p>
    <w:p w14:paraId="4819A95A" w14:textId="77777777" w:rsidR="00C22F2B" w:rsidRPr="0077659B" w:rsidRDefault="00C22F2B" w:rsidP="00223FB6">
      <w:pPr>
        <w:pStyle w:val="Numbernormal"/>
        <w:numPr>
          <w:ilvl w:val="0"/>
          <w:numId w:val="26"/>
        </w:numPr>
        <w:ind w:left="567" w:hanging="567"/>
      </w:pPr>
      <w:r w:rsidRPr="0077659B">
        <w:t xml:space="preserve">This management report consists of </w:t>
      </w:r>
      <w:r w:rsidR="00A65171" w:rsidRPr="0077659B">
        <w:t>the overall message arising from the audit, summary of key findings and observations, a</w:t>
      </w:r>
      <w:r w:rsidRPr="0077659B">
        <w:t>nnexures containing the detailed audit findings</w:t>
      </w:r>
      <w:r w:rsidR="00076FB3" w:rsidRPr="0077659B">
        <w:t>, annexures to the report on the audit of performance information as well as the annexure to internal control deficiencies reported</w:t>
      </w:r>
      <w:r w:rsidRPr="0077659B">
        <w:t>.</w:t>
      </w:r>
    </w:p>
    <w:p w14:paraId="1B82BA1D" w14:textId="77777777" w:rsidR="00C22F2B" w:rsidRPr="0077659B" w:rsidRDefault="00C22F2B" w:rsidP="00223FB6">
      <w:pPr>
        <w:pStyle w:val="Numbernormal"/>
        <w:numPr>
          <w:ilvl w:val="0"/>
          <w:numId w:val="26"/>
        </w:numPr>
        <w:ind w:left="567" w:hanging="567"/>
      </w:pPr>
      <w:r w:rsidRPr="0077659B">
        <w:t xml:space="preserve">The auditor’s report is finalised only after the management report </w:t>
      </w:r>
      <w:proofErr w:type="gramStart"/>
      <w:r w:rsidRPr="0077659B">
        <w:t>has been communicated</w:t>
      </w:r>
      <w:proofErr w:type="gramEnd"/>
      <w:r w:rsidRPr="0077659B">
        <w:t xml:space="preserve">. All matters included in this report that relate to the auditor’s report </w:t>
      </w:r>
      <w:r w:rsidR="00C516E8" w:rsidRPr="0077659B">
        <w:t xml:space="preserve">remain </w:t>
      </w:r>
      <w:r w:rsidRPr="0077659B">
        <w:t xml:space="preserve">in draft form until the final auditor’s report </w:t>
      </w:r>
      <w:proofErr w:type="gramStart"/>
      <w:r w:rsidRPr="0077659B">
        <w:t>is signed</w:t>
      </w:r>
      <w:proofErr w:type="gramEnd"/>
      <w:r w:rsidRPr="0077659B">
        <w:t xml:space="preserve">. In adherence to section 50 of the PAA, we do not disclose any information obtained during the audit and contained in this management report. </w:t>
      </w:r>
    </w:p>
    <w:p w14:paraId="012AAAE7" w14:textId="77777777" w:rsidR="00F110DC" w:rsidRPr="0077659B" w:rsidRDefault="00F110DC" w:rsidP="00A07E2E">
      <w:pPr>
        <w:pStyle w:val="Heading3"/>
      </w:pPr>
      <w:bookmarkStart w:id="8" w:name="_Toc51154066"/>
      <w:r w:rsidRPr="0077659B">
        <w:lastRenderedPageBreak/>
        <w:t>The</w:t>
      </w:r>
      <w:r w:rsidR="002E76E3" w:rsidRPr="0077659B">
        <w:t xml:space="preserve"> </w:t>
      </w:r>
      <w:r w:rsidR="00607585" w:rsidRPr="0077659B">
        <w:rPr>
          <w:b w:val="0"/>
        </w:rPr>
        <w:t>figure</w:t>
      </w:r>
      <w:r w:rsidR="00607585" w:rsidRPr="0077659B">
        <w:t xml:space="preserve"> </w:t>
      </w:r>
      <w:r w:rsidRPr="0077659B">
        <w:t xml:space="preserve">that follows provides a pictorial summary of the </w:t>
      </w:r>
      <w:r w:rsidR="0007051A" w:rsidRPr="0077659B">
        <w:t>audit results</w:t>
      </w:r>
      <w:r w:rsidRPr="0077659B">
        <w:t xml:space="preserve"> </w:t>
      </w:r>
      <w:r w:rsidR="0007051A" w:rsidRPr="0077659B">
        <w:t xml:space="preserve">and our key messages on how to improve the audit outcomes </w:t>
      </w:r>
      <w:r w:rsidRPr="0077659B">
        <w:t>with the focus on the following:</w:t>
      </w:r>
      <w:bookmarkEnd w:id="8"/>
      <w:r w:rsidR="002E76E3" w:rsidRPr="0077659B">
        <w:t xml:space="preserve"> </w:t>
      </w:r>
      <w:r w:rsidRPr="0077659B">
        <w:t xml:space="preserve"> </w:t>
      </w:r>
    </w:p>
    <w:p w14:paraId="5CEB1484" w14:textId="77777777" w:rsidR="00F110DC" w:rsidRPr="0077659B" w:rsidRDefault="00F110DC" w:rsidP="00732678">
      <w:pPr>
        <w:pStyle w:val="Bulletedlist"/>
        <w:ind w:left="851" w:hanging="284"/>
      </w:pPr>
      <w:r w:rsidRPr="0077659B">
        <w:t>Status of the audit outcomes</w:t>
      </w:r>
    </w:p>
    <w:p w14:paraId="417EF96D" w14:textId="77777777" w:rsidR="00F110DC" w:rsidRPr="0077659B" w:rsidRDefault="00F110DC" w:rsidP="00732678">
      <w:pPr>
        <w:pStyle w:val="Bulletedlist"/>
        <w:ind w:left="851" w:hanging="284"/>
      </w:pPr>
      <w:r w:rsidRPr="0077659B">
        <w:t>Status of the level of assurance provided by key role players</w:t>
      </w:r>
    </w:p>
    <w:p w14:paraId="3F339800" w14:textId="77777777" w:rsidR="00F110DC" w:rsidRPr="0077659B" w:rsidRDefault="00F110DC" w:rsidP="00732678">
      <w:pPr>
        <w:pStyle w:val="Bulletedlist"/>
        <w:ind w:left="851" w:hanging="284"/>
      </w:pPr>
      <w:r w:rsidRPr="0077659B">
        <w:t>Status of the drivers of internal controls</w:t>
      </w:r>
    </w:p>
    <w:p w14:paraId="395B03D4" w14:textId="77777777" w:rsidR="00F110DC" w:rsidRPr="0077659B" w:rsidRDefault="00F110DC" w:rsidP="00732678">
      <w:pPr>
        <w:pStyle w:val="Bulletedlist"/>
        <w:ind w:left="851" w:hanging="284"/>
      </w:pPr>
      <w:r w:rsidRPr="0077659B">
        <w:t xml:space="preserve">Status of risk areas </w:t>
      </w:r>
    </w:p>
    <w:p w14:paraId="73AEAEF5" w14:textId="77777777" w:rsidR="00F110DC" w:rsidRPr="0077659B" w:rsidRDefault="00F110DC" w:rsidP="00732678">
      <w:pPr>
        <w:pStyle w:val="Bulletedlist"/>
        <w:ind w:left="851" w:hanging="284"/>
      </w:pPr>
      <w:r w:rsidRPr="0077659B">
        <w:t>Root causes to be addressed</w:t>
      </w:r>
    </w:p>
    <w:p w14:paraId="0F7AF022" w14:textId="77777777" w:rsidR="00F73648" w:rsidRPr="0077659B" w:rsidRDefault="00253FDE" w:rsidP="00223FB6">
      <w:pPr>
        <w:pStyle w:val="ListParagraph"/>
        <w:numPr>
          <w:ilvl w:val="0"/>
          <w:numId w:val="26"/>
        </w:numPr>
        <w:ind w:left="567" w:hanging="567"/>
      </w:pPr>
      <w:r w:rsidRPr="0077659B">
        <w:rPr>
          <w:noProof/>
          <w:lang w:eastAsia="en-ZA"/>
        </w:rPr>
        <mc:AlternateContent>
          <mc:Choice Requires="wpg">
            <w:drawing>
              <wp:anchor distT="0" distB="0" distL="114300" distR="114300" simplePos="0" relativeHeight="251652608" behindDoc="0" locked="0" layoutInCell="1" allowOverlap="1" wp14:anchorId="269EC9A8" wp14:editId="34AAEC40">
                <wp:simplePos x="0" y="0"/>
                <wp:positionH relativeFrom="column">
                  <wp:posOffset>-83185</wp:posOffset>
                </wp:positionH>
                <wp:positionV relativeFrom="paragraph">
                  <wp:posOffset>240665</wp:posOffset>
                </wp:positionV>
                <wp:extent cx="618490" cy="713105"/>
                <wp:effectExtent l="0" t="0" r="0" b="0"/>
                <wp:wrapNone/>
                <wp:docPr id="1" name="Group 1"/>
                <wp:cNvGraphicFramePr/>
                <a:graphic xmlns:a="http://schemas.openxmlformats.org/drawingml/2006/main">
                  <a:graphicData uri="http://schemas.microsoft.com/office/word/2010/wordprocessingGroup">
                    <wpg:wgp>
                      <wpg:cNvGrpSpPr/>
                      <wpg:grpSpPr>
                        <a:xfrm>
                          <a:off x="0" y="0"/>
                          <a:ext cx="618490" cy="713105"/>
                          <a:chOff x="0" y="0"/>
                          <a:chExt cx="618617" cy="713714"/>
                        </a:xfrm>
                      </wpg:grpSpPr>
                      <pic:pic xmlns:pic="http://schemas.openxmlformats.org/drawingml/2006/picture">
                        <pic:nvPicPr>
                          <pic:cNvPr id="120" name="Picture 119"/>
                          <pic:cNvPicPr/>
                        </pic:nvPicPr>
                        <pic:blipFill>
                          <a:blip r:embed="rId16" cstate="print">
                            <a:extLst>
                              <a:ext uri="{28A0092B-C50C-407E-A947-70E740481C1C}">
                                <a14:useLocalDpi xmlns:a14="http://schemas.microsoft.com/office/drawing/2010/main" val="0"/>
                              </a:ext>
                            </a:extLst>
                          </a:blip>
                          <a:stretch>
                            <a:fillRect/>
                          </a:stretch>
                        </pic:blipFill>
                        <pic:spPr>
                          <a:xfrm>
                            <a:off x="219456" y="0"/>
                            <a:ext cx="179705" cy="179705"/>
                          </a:xfrm>
                          <a:prstGeom prst="rect">
                            <a:avLst/>
                          </a:prstGeom>
                        </pic:spPr>
                      </pic:pic>
                      <pic:pic xmlns:pic="http://schemas.openxmlformats.org/drawingml/2006/picture">
                        <pic:nvPicPr>
                          <pic:cNvPr id="16" name="Picture 116"/>
                          <pic:cNvPicPr/>
                        </pic:nvPicPr>
                        <pic:blipFill>
                          <a:blip r:embed="rId17" cstate="print">
                            <a:extLst>
                              <a:ext uri="{28A0092B-C50C-407E-A947-70E740481C1C}">
                                <a14:useLocalDpi xmlns:a14="http://schemas.microsoft.com/office/drawing/2010/main" val="0"/>
                              </a:ext>
                            </a:extLst>
                          </a:blip>
                          <a:stretch>
                            <a:fillRect/>
                          </a:stretch>
                        </pic:blipFill>
                        <pic:spPr>
                          <a:xfrm>
                            <a:off x="219456" y="256032"/>
                            <a:ext cx="179705" cy="179705"/>
                          </a:xfrm>
                          <a:prstGeom prst="rect">
                            <a:avLst/>
                          </a:prstGeom>
                        </pic:spPr>
                      </pic:pic>
                      <pic:pic xmlns:pic="http://schemas.openxmlformats.org/drawingml/2006/picture">
                        <pic:nvPicPr>
                          <pic:cNvPr id="17" name="Picture 117"/>
                          <pic:cNvPicPr/>
                        </pic:nvPicPr>
                        <pic:blipFill>
                          <a:blip r:embed="rId17" cstate="print">
                            <a:extLst>
                              <a:ext uri="{28A0092B-C50C-407E-A947-70E740481C1C}">
                                <a14:useLocalDpi xmlns:a14="http://schemas.microsoft.com/office/drawing/2010/main" val="0"/>
                              </a:ext>
                            </a:extLst>
                          </a:blip>
                          <a:stretch>
                            <a:fillRect/>
                          </a:stretch>
                        </pic:blipFill>
                        <pic:spPr>
                          <a:xfrm flipV="1">
                            <a:off x="438912" y="256032"/>
                            <a:ext cx="179705" cy="179705"/>
                          </a:xfrm>
                          <a:prstGeom prst="rect">
                            <a:avLst/>
                          </a:prstGeom>
                        </pic:spPr>
                      </pic:pic>
                      <pic:pic xmlns:pic="http://schemas.openxmlformats.org/drawingml/2006/picture">
                        <pic:nvPicPr>
                          <pic:cNvPr id="18" name="Picture 118"/>
                          <pic:cNvPicPr/>
                        </pic:nvPicPr>
                        <pic:blipFill>
                          <a:blip r:embed="rId17" cstate="print">
                            <a:extLst>
                              <a:ext uri="{28A0092B-C50C-407E-A947-70E740481C1C}">
                                <a14:useLocalDpi xmlns:a14="http://schemas.microsoft.com/office/drawing/2010/main" val="0"/>
                              </a:ext>
                            </a:extLst>
                          </a:blip>
                          <a:stretch>
                            <a:fillRect/>
                          </a:stretch>
                        </pic:blipFill>
                        <pic:spPr>
                          <a:xfrm rot="5400000" flipH="1">
                            <a:off x="0" y="256032"/>
                            <a:ext cx="179705" cy="179705"/>
                          </a:xfrm>
                          <a:prstGeom prst="rect">
                            <a:avLst/>
                          </a:prstGeom>
                        </pic:spPr>
                      </pic:pic>
                      <pic:pic xmlns:pic="http://schemas.openxmlformats.org/drawingml/2006/picture">
                        <pic:nvPicPr>
                          <pic:cNvPr id="116" name="Picture 115"/>
                          <pic:cNvPicPr/>
                        </pic:nvPicPr>
                        <pic:blipFill>
                          <a:blip r:embed="rId18" cstate="print">
                            <a:extLst>
                              <a:ext uri="{28A0092B-C50C-407E-A947-70E740481C1C}">
                                <a14:useLocalDpi xmlns:a14="http://schemas.microsoft.com/office/drawing/2010/main" val="0"/>
                              </a:ext>
                            </a:extLst>
                          </a:blip>
                          <a:stretch>
                            <a:fillRect/>
                          </a:stretch>
                        </pic:blipFill>
                        <pic:spPr>
                          <a:xfrm>
                            <a:off x="219456" y="534009"/>
                            <a:ext cx="179705" cy="179705"/>
                          </a:xfrm>
                          <a:prstGeom prst="rect">
                            <a:avLst/>
                          </a:prstGeom>
                        </pic:spPr>
                      </pic:pic>
                    </wpg:wgp>
                  </a:graphicData>
                </a:graphic>
              </wp:anchor>
            </w:drawing>
          </mc:Choice>
          <mc:Fallback>
            <w:pict>
              <v:group w14:anchorId="0339DCC3" id="Group 1" o:spid="_x0000_s1026" style="position:absolute;margin-left:-6.55pt;margin-top:18.95pt;width:48.7pt;height:56.15pt;z-index:251652608" coordsize="6186,7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SzLAMAAHwRAAAOAAAAZHJzL2Uyb0RvYy54bWzsWG1v2jAQ/j5p/8HK&#10;d5o4BAJRoeqg6yZVG9rbd2McsJbElm2g1bT/vjsnUBYqteqHiUlUavDbne+ee8455/LqvizIRhgr&#10;VTUK6EUUEFFxtZDVchR8//a+MwiIdaxasEJVYhQ8CBtcjd++udzqTMRqpYqFMASUVDbb6lGwck5n&#10;YWj5SpTMXigtKpjMlSmZg65ZhgvDtqC9LMI4ivrhVpmFNooLa2F0Wk8GY68/zwV3n/PcCkeKUQC2&#10;Of80/jnHZzi+ZNnSML2SvDGDvcKKkskKNt2rmjLHyNrII1Wl5EZZlbsLrspQ5bnkwvsA3tCo5c2t&#10;UWvtfVlm26XewwTQtnB6tVr+aTMzRC4gdgGpWAkh8rsSitBs9TKDFbdGf9Uz0wws6x56e5+bEn/B&#10;D3LvQX3YgyruHeEw2KeDZAjQc5hKaZdGvRp0voLIHEnx1c2jXJ+me7mUJigX7jYN0ba9KVryDP4b&#10;hKB1hNDzTAIptzYiaJSUL9JRMvNzrTsQTM2cnMtCugdPTAgbGlVtZpLPTN05ADsGRGq4YR63JZQO&#10;0UEUwnUohf5i/y8l80Lq97IoEHdsN+YCp1uceMLjmm9TxdelqFydQEYUYLmq7EpqGxCTiXIugA/m&#10;4wIowSF5HZBCG1k5z3CI6511uDtG2HP8Vzy4jqJh/K4z6UWTThKlN53rYZJ20ugmTaJkQCd08hul&#10;aZKtrbhTnBVTLRvTYfTI+CcJ3aR+nSo+5ciG+cSumQEGeYbsTASyIEJoq3VGOL7CZg7gfYGDoZbZ&#10;T3ikH8FF3C2QHiVaNI/pMOn1A3LMdZoOU+C353rTrnfZadDGuluhSoINwBjM8KCyDWBaL90taWJf&#10;2+CNA5NqfkDj/2E6ANUmev/UiB6fif4M0eNeP+rGGLc67/FkP7MdQMNz4uBchxdWm+3pme37eu7k&#10;jnWSwwviB1Y/yOymjkm6gyGFMwEO+DPvX1bPQJnf5v3gzPsT5r1RUH/0kgj/Ap8FH1pZAMPnBHhx&#10;QU+fqHP8TWf3gjiFgr57rnOeqXN6XUgJfxH7p3WOv83CFd9fX5rPEfgN4bAP7cOPJu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I3qQ3KuBQAArgUA&#10;ABQAAABkcnMvbWVkaWEvaW1hZ2UzLnBuZ4lQTkcNChoKAAAADUlIRFIAAAAbAAAAGwgDAAABzQ00&#10;8QAAAAFzUkdCAK7OHOkAAAAEZ0FNQQAAsY8L/GEFAAACbVBMVEUAAADwe4PnHCvoGCf+/f3oGiby&#10;a3HoGinoIC/nGSjpIC/yho788PD88PH2p63sEhznHSzpGirqChT9+vrqGij62tzuP0XqCh7lFSf+&#10;+/vnGyrmHSz75OT1m5/oGij1pKnoHCrtISnvZG3tKjLwU1n/AADnHSz9+PjnHCr9+PnwbnfuNDvn&#10;GSfsGCTqLjzqN0TqGCX1kJTxgYjxgYnoGSfnFyblGijiCRztKDDiEiX2o6fva3ToGijva3XlABn5&#10;1dj2rLH2rLL/AADxUlj99vfnFyj63+HnGin4t7nnGin4wMTqFybpGSnqFyj5ysy/AADnGynsSVTs&#10;SVXpIC/mGCf99PT99PX63d3wfITpFSfnGyjrS1brS1f+/v7oGCjnGSfmGSfybHH1lZnuXWj////1&#10;p63yh4786OnqS1bwVlzkFyb96erlGij0iY3mGijoN0ToIS/oN0X6293oKDT+/PzoFinMAADyc3jo&#10;Hy/1pavwFiXpFyjtIinzdHn87/AAAAD5z9D5z9L2pq3pLjvpLjz98PLnHiz3p6r9+fnxZ2z/AADp&#10;HCr++vr0oqj74+XrGCrycXfoGyrnHSzoGSXpGir85OXpFSTvY23vbHXvbHbmGCr51tn2rbLpIzHp&#10;GSjpFynuMzrwbXf0hYn619j619rnGSj++PnqGCnpGSf74eL74ePnGyrnESPtMDfmGCf51Nb51Nf2&#10;q7HpIS/pITDUAADzi5PmGyj99fX61djpGCnoGifnGif73+HlFybuXmjmHCriABzlDBn/AADtHCTt&#10;JSz2oKTmFinpHy7sFyXnKDT98/P98/TtFyN/AADoGylDa4fHAAAAz3RSTlMA//Bo/5P/k/nc7f//&#10;//8b8Y8Z/8T//xlH//zy//99//z/////Bdv//f///40q//9K////W1fnG/8b///W/wr///8C//9M&#10;/9f/xP9WjcX/BOv///90/////0fz/f3/iqLc//////////7/V//p/9377vv/8f/LBf/5/yJ3////&#10;Af///////9v///8Bxv///3P//PKrkP8j////Kv///4yP//////+s/3zV///yK/9o//////8G//P/&#10;/8Zoov94/8YJFAP///9o/zfx//8rAuv+BpI5AAAACXBIWXMAACHVAAAh1QEEnLSdAAAB70lEQVQo&#10;U1VRZVtWQRQc9bW7uwMbVLAVAwwMVGxdrGMr1ouKLWISFrZgYWJgYBesCuZvcs7eBR/nw5mZE3vP&#10;7gUuTwX6hc0q5IvsA+rWB1ALEBGIFYqawBq6MLBTjN3DPML0Up2N7zaXMH42tGeAg6Qs6c5Za41c&#10;I4esSDzuafscNk6OkxskYHQj7ZWxI52rqvMOTZsBS8jt7bK1tp1IXDTqaP6rtbeUk1FyVXn4AY29&#10;f3O4bWuVIj8nurOAF9GNk+PHeYPSt0fyPq07EZgPF3ux8/DiVmrOXgkG5WkMkFjkjchHoJCb606G&#10;YSk6UtlHRzt/IT/HfcaN1trp5DRMYORthyoVY5DSADtPqRMGKxm+AJEKVHFWQyS//riBKiZGDdNl&#10;yre8pk7Y1lIN8atD7klX8Eh8U5iRvfVBzvuigac39PVJxfbbh54EJwUIzU/65ku7+8f65D+sLCtn&#10;pXTaJe//Q8SmKKBaRoTq1eN3TNKXnbu8xs2QJmJfPkSP5qpEXrXgAyiOu5LIhbvIywmkOdY1KFX8&#10;1PRcZFauuL4PS92yvDMzZ2NKm3reyY/rdq+XIgkzhmB//iL/AZFzpyqkKfh+Xu+3IGmMz1TizoiU&#10;JloiYspWuIt4FESmNPQVh6jaC591SUsvntXzT+oulwH+Akkm/KXT8ev4AAAAAElFTkSuQmCCUEsD&#10;BAoAAAAAAAAAIQDvbcnSoQUAAKEFAAAUAAAAZHJzL21lZGlhL2ltYWdlMi5wbmeJUE5HDQoaCgAA&#10;AA1JSERSAAAAGwAAABsIAwAAAc0NNPEAAAABc1JHQgCuzhzpAAAABGdBTUEAALGPC/xhBQAAAmRQ&#10;TFRFAAAA/sYu/sxc/cYt/umv/cgr/umw/v36/v37/umz/tVr/sYc+89M//78//79//7+/tV6/sE2&#10;/sct/vLS+8Yu/5kA/Mkz/t6Y/Mgu/spT/MYs/vvy/vvz/vv0/vv1/cYt/ue0+8ky+8Ur//z4//z5&#10;+8Ur/sgz/sg0/vDR/sMp/8ot/cku/tFY/tFZ/MQr/uWv/8wm/NJc+8Uw//r0/r0o/r0p/tp4/r0r&#10;/tp5/u7F/MYq/MUs/ssp/ccs/vfj/uOa/vfl/cUv/Mct/Mcx/6oA/7IZ/scu/tiE/s1H/uGQ/sYl&#10;/s1J/vXc/vXd/vXe/vXg/vXj+8Yt/s1d/uqz/v78/uq0/v79/v7+/ccu/78m/uq8/MYt/MYs/MUq&#10;+8o7+8o8+8Qu/////stA/vPT/scp/t+M98Qr/scs/vPX/vPY/scp/vPd/Mcu/cgu//Td/uis/uit&#10;/uiu/Mcv//35+85L//37/sk0/sk1/sk2/sA0/vHV/MYs/MYw/t2U/MYu/slS/38A/vrw/vrx/vrz&#10;/wAA/uaw+8g0/MUt/tJw+8gy/r4s/8wA/tt7/r4u+8c1/tt8/u/F/scr/u/N/u/O+8cu+sMv9bwc&#10;/sUr/Mcu9bwl/sdLv38A/Mgt+8cx/sgq/Mc1/Mgv/MUt/NFc/sYs//8A/u3F/MYs/MYv+9Fa/skv&#10;/sVE/s5J/uKV/vbh/vbi/vbj/vbl/vbm/9QA/s5h+8Ys/s5j/scs/38A/Mkt/sEo/td//Mct/sxA&#10;/sNA/MUr/uCO/uCP/vTY/vTZ/uCQ/vTa/vTb/Mcv/uCe/cct+8Us/ccu+8UrLPub1AAAAMx0Uk5T&#10;AGj/ov+M//////8J+///////fP/dBe3//P+r/////4z/20z//43///8rIor//1f/FP3x////////&#10;/8usN4r///+NxPIDCnP///8b////////3P///////48U/+tWePHx5////0r/I0r//zf/fZD/////&#10;xv/7////////W/D/3f8C////Af/uxv/b/wX///3//1f//9fpG0fLG/8ExPIq+fLW/VsB/2j9/iv/&#10;/////////wb/6/93BNUZ/8X//3T/////////8/+T3JNHZcpcWgAAAAlwSFlzAAAh1QAAIdUBBJy0&#10;nQAAAe5JREFUKFNdUvVbVUEUHBtRubbPFniCnSs8E1RUBMUAFNtRsVEBA1uwkSei2IpY2N3dWP+U&#10;5+xdfsD5vrszc87ZvWcDqBovH/kNPWeHi4GpJQCOA9xN8BRF/AFuk8wCrpDmJiWWJZ6/pLDRoSEy&#10;tvDETgTakb3IYyBbGzJH+MPBk4zBay3vIYWXgiwXAiYNW66x7KvW7dL5Fs0myJpWGKPB2J3oKDTH&#10;CNSPxbxM0pbPJcv2yeTLEerI7pV2LeDp9Zz+MZqxSGkQXVQw6IZvFiUEpbLbtb9qunz3JzK7Ani1&#10;WtV+HSKBamVP9iD4jeZKL8x8pW14pGRMWGkjHsh4RJobLHwfuWQrM2VGw0RxASy1TfrtjgI+qbZI&#10;l7/XNPW1FzqvzYxp+VX0icVv1AjurM+bnOa04uLh6tTMjHHJD9fkBk73dkFFh9HLbOt1iPocX+NS&#10;L9/Lmv+hcdxayaS8CzlP7rjb1SkWbl4hjaXqGVk8Dpu9W5zml9q+ODrdGa7bLpu+YM9LkdAWRclO&#10;bxiht2U6O8v8PBS4FmcmGlPaRvLP/EvzBnzEwkCJyidv+9gQh//sZHnkgjQcaDI0ypp68KYtWan7&#10;O7tV3kJ9BEN76k6wIi6y0EUVP+61P+MyFqtm1caHNuUnDbz1/Fw/GwH+AXx/4QbJ+5qvAAAAAElF&#10;TkSuQmCCUEsDBAoAAAAAAAAAIQDfdGCipAUAAKQFAAAUAAAAZHJzL21lZGlhL2ltYWdlMS5wbmeJ&#10;UE5HDQoaCgAAAA1JSERSAAAAGwAAABsIAwAAAc0NNPEAAAABc1JHQgCuzhzpAAAABGdBTUEAALGP&#10;C/xhBQAAAmdQTFRFAAAAKrBIMrJOMrJPKq9HHKk4KrBHlNaiKbNElNajM7NPLrFKM7NQAJkAjNOd&#10;ruG5LLFIJbNCHq09LLBILLBJKK9GdMqH5/Xp+Pz5I7FBKrBIKrFIzuvU8Pny1+/cvuXGAJkz8fr0&#10;2PDd2PDeRLhdRbleVsBur+C5PbZYKa1FKa5GKa5HLbFMRrpgKq9IKa9Hj9Sej9SfLrFKh9GXWsBv&#10;WsBw+vz7J7BGd8uJ4fLlOrNT+/37AKoqZ8V74vPlJK5B2vDe/P79Ka9I0u3YAKoA4/Tn2/HgKbBH&#10;R7lfacd9LLBIsuG9LLBJHKk4Ka5HK7JHJbBFs+K+MLFMMLFNK7BHmtioKq5IObVUSbpgKK5HMbJN&#10;MbJOitKarOC3esyLKa9G9fr2K69I/v7+LLFEAD8ALLBFYsN3KK5G3fHhKK5J////fM6OKrBI5vXp&#10;3vLixejM1u/cK65H1/DcxunOz+3WKa9HO7VWtuO/KbFHRLldK7BHK7FIruC6AH8AJalCjdOdMbFN&#10;AAAAltelLq9KKa1In9ut+Pv5LbFKMrNM+fz5+fz6dsuJZcR7K69I8fnzObNSKbFGKq5IJbNEd8yJ&#10;d8yK4fPl8vr02fDeVr9tKa5HMrJM2vHgLLFJV8BtKrZIJrI/T71nKK9FKK9GseG8Kq9JKrBIGZkz&#10;SLthLa9JKrBHsuK9MbBNWL5vLrBJMLJMMLJN8/n08/n1KK09LLJJKa1G/P38/P39LLFIJ6xHecyL&#10;AH8AitOa4/Pm9Pr2gtCT/f790+3YYcN3JbRDasd+5fXpLa9L3fLis+G8xOjMKq5HLK9HSblhK7FJ&#10;yQkUnQAAAM10Uk5TAFv//30J3f9K///y/wX//5AbGfPzd////ysqiv////8F//////////+sy8vw&#10;/4rE//////39/1v///H/Bv//I///k/8D//+M///9/2gbVow3////fP94//ur//////9X/5P/xQTn&#10;/0z/TP//xv/////r////1v//K//d/P8CG//tAf/bjf////n/////jf/xaelK////////aP3/c/8q&#10;FP/c3P/Xogr/xo//7v7G/////xmPdP//8kf/BP////////8i///x////68T71WGUAAYAAAAJcEhZ&#10;cwAAIdUAACHVAQSctJ0AAAHtSURBVChTVVH1X9RREBxbDxVsLBQxsLsTRUUxsPUUT7/22B1nIegT&#10;zg4ECzuwE1TwDATrj3L3fZ/ycX7Ymdndt6+ANieB62Q/zFzdsD3Q/xSAywCPENxBEcuBxyTfAsdJ&#10;s52SSxHP8dJ491GRxDqe2BhgArmb7AhyvSEfCncpbsd1+K3ty6TxZzyXCgH3vkkvOWundb10vcWQ&#10;vjLTCmM0eWwoDgtFjUB9HxRVkbZdwrsDsjhmpDqy/I6dBYyq8artGq1YpE7LDjwJZflm/vlc6cwf&#10;XKpm0Th/IatCwPsEVS80TAFKlD25g+Am0pVGmw5KNVGmZExAKRPDJbaUw90WrocP5Bsz8OLnZ+LC&#10;WFV9UvYEGqu26C27F3bztXfhoB4mY2GS6M0jXqoR7Kkdd9UWHFZuKOmcXjmxYsy2JeGzOS6paNQ9&#10;eYs/yUf0ULDQlVokX3LJaux/miGV1BXDnCcT7uc7xbxf54Aze+Od5cZapsC9LtmpWWtkr3WGmxbI&#10;pW88d46RuQhUOF05QH/LdHWWsXF4YF+XLJtjTHCX1E/4Y72C15gRTlTZ6uMnm2L50XmWv29tgqzJ&#10;g6LW/Adv0umxer/SYLHL/ENupG5TLQlCs7/qZ//FlbR9013Fov6t5osjmbENrk390eOLzQB/ACfm&#10;/TM/bwTZAAAAAElFTkSuQmCCUEsDBBQABgAIAAAAIQBYNqsO4AAAAAkBAAAPAAAAZHJzL2Rvd25y&#10;ZXYueG1sTI9BT8JAEIXvJv6HzZh4g+1SUazdEkLUEyERTAi3oR3ahu5s013a8u9dT3qcvC/vfZMu&#10;R9OInjpXW9agphEI4twWNZcavvcfkwUI55ELbCyThhs5WGb3dykmhR34i/qdL0UoYZeghsr7NpHS&#10;5RUZdFPbEofsbDuDPpxdKYsOh1BuGjmLomdpsOawUGFL64ryy+5qNHwOOKxi9d5vLuf17bifbw8b&#10;RVo/PoyrNxCeRv8Hw69+UIcsOJ3slQsnGg0TFauAaohfXkEEYPEUgzgFcB7NQGap/P9B9gMAAP//&#10;AwBQSwECLQAUAAYACAAAACEAsYJntgoBAAATAgAAEwAAAAAAAAAAAAAAAAAAAAAAW0NvbnRlbnRf&#10;VHlwZXNdLnhtbFBLAQItABQABgAIAAAAIQA4/SH/1gAAAJQBAAALAAAAAAAAAAAAAAAAADsBAABf&#10;cmVscy8ucmVsc1BLAQItABQABgAIAAAAIQCYZmSzLAMAAHwRAAAOAAAAAAAAAAAAAAAAADoCAABk&#10;cnMvZTJvRG9jLnhtbFBLAQItABQABgAIAAAAIQA3J0dhzAAAACkCAAAZAAAAAAAAAAAAAAAAAJIF&#10;AABkcnMvX3JlbHMvZTJvRG9jLnhtbC5yZWxzUEsBAi0ACgAAAAAAAAAhAI3qQ3KuBQAArgUAABQA&#10;AAAAAAAAAAAAAAAAlQYAAGRycy9tZWRpYS9pbWFnZTMucG5nUEsBAi0ACgAAAAAAAAAhAO9tydKh&#10;BQAAoQUAABQAAAAAAAAAAAAAAAAAdQwAAGRycy9tZWRpYS9pbWFnZTIucG5nUEsBAi0ACgAAAAAA&#10;AAAhAN90YKKkBQAApAUAABQAAAAAAAAAAAAAAAAASBIAAGRycy9tZWRpYS9pbWFnZTEucG5nUEsB&#10;Ai0AFAAGAAgAAAAhAFg2qw7gAAAACQEAAA8AAAAAAAAAAAAAAAAAHhgAAGRycy9kb3ducmV2Lnht&#10;bFBLBQYAAAAACAAIAAACAAArGQAAAAA=&#10;">
                <v:shape id="Picture 119" o:spid="_x0000_s1027" type="#_x0000_t75" style="position:absolute;left:2194;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GcxQAAANwAAAAPAAAAZHJzL2Rvd25yZXYueG1sRI9Ba8JA&#10;EIXvgv9hGaE33dSKSHSVUGip9SBq6XnMjklodjZk15j+e+cgeJvhvXnvm9Wmd7XqqA2VZwOvkwQU&#10;ce5txYWBn9PHeAEqRGSLtWcy8E8BNuvhYIWp9Tc+UHeMhZIQDikaKGNsUq1DXpLDMPENsWgX3zqM&#10;sraFti3eJNzVepokc+2wYmkosaH3kvK/49UZyL6vs3MR577z2f7z9y3bnre7xpiXUZ8tQUXq49P8&#10;uP6ygj8VfHlGJtDrOwAAAP//AwBQSwECLQAUAAYACAAAACEA2+H2y+4AAACFAQAAEwAAAAAAAAAA&#10;AAAAAAAAAAAAW0NvbnRlbnRfVHlwZXNdLnhtbFBLAQItABQABgAIAAAAIQBa9CxbvwAAABUBAAAL&#10;AAAAAAAAAAAAAAAAAB8BAABfcmVscy8ucmVsc1BLAQItABQABgAIAAAAIQClHyGcxQAAANwAAAAP&#10;AAAAAAAAAAAAAAAAAAcCAABkcnMvZG93bnJldi54bWxQSwUGAAAAAAMAAwC3AAAA+QIAAAAA&#10;">
                  <v:imagedata r:id="rId19" o:title=""/>
                </v:shape>
                <v:shape id="Picture 116" o:spid="_x0000_s1028" type="#_x0000_t75" style="position:absolute;left:2194;top:256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EywAAAANsAAAAPAAAAZHJzL2Rvd25yZXYueG1sRE9Li8Iw&#10;EL4L/ocwwt401YMrXaNIl4WCF1/d85CMbbGZlCZq119vFgRv8/E9Z7nubSNu1PnasYLpJAFBrJ2p&#10;uVRwOv6MFyB8QDbYOCYFf+RhvRoOlpgad+c93Q6hFDGEfYoKqhDaVEqvK7LoJ64ljtzZdRZDhF0p&#10;TYf3GG4bOUuSubRYc2yosKWsIn05XK2Cb59rzLN2e/ksdttMT4vf5FEo9THqN18gAvXhLX65cxPn&#10;z+H/l3iAXD0BAAD//wMAUEsBAi0AFAAGAAgAAAAhANvh9svuAAAAhQEAABMAAAAAAAAAAAAAAAAA&#10;AAAAAFtDb250ZW50X1R5cGVzXS54bWxQSwECLQAUAAYACAAAACEAWvQsW78AAAAVAQAACwAAAAAA&#10;AAAAAAAAAAAfAQAAX3JlbHMvLnJlbHNQSwECLQAUAAYACAAAACEAqANBMsAAAADbAAAADwAAAAAA&#10;AAAAAAAAAAAHAgAAZHJzL2Rvd25yZXYueG1sUEsFBgAAAAADAAMAtwAAAPQCAAAAAA==&#10;">
                  <v:imagedata r:id="rId20" o:title=""/>
                </v:shape>
                <v:shape id="Picture 117" o:spid="_x0000_s1029" type="#_x0000_t75" style="position:absolute;left:4389;top:2560;width:1797;height:17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vwQAAANsAAAAPAAAAZHJzL2Rvd25yZXYueG1sRE/NagIx&#10;EL4XfIcwgpei2XpoZTWKKIoIPbjtAwzJuFndTJZN6u6+vSkUepuP73dWm97V4kFtqDwreJtlIIi1&#10;NxWXCr6/DtMFiBCRDdaeScFAATbr0csKc+M7vtCjiKVIIRxyVGBjbHIpg7bkMMx8Q5y4q28dxgTb&#10;UpoWuxTuajnPsnfpsOLUYLGhnSV9L36cgsXB6k97LIfudajPzV3vd5fiptRk3G+XICL18V/85z6Z&#10;NP8Dfn9JB8j1EwAA//8DAFBLAQItABQABgAIAAAAIQDb4fbL7gAAAIUBAAATAAAAAAAAAAAAAAAA&#10;AAAAAABbQ29udGVudF9UeXBlc10ueG1sUEsBAi0AFAAGAAgAAAAhAFr0LFu/AAAAFQEAAAsAAAAA&#10;AAAAAAAAAAAAHwEAAF9yZWxzLy5yZWxzUEsBAi0AFAAGAAgAAAAhAAiXOu/BAAAA2wAAAA8AAAAA&#10;AAAAAAAAAAAABwIAAGRycy9kb3ducmV2LnhtbFBLBQYAAAAAAwADALcAAAD1AgAAAAA=&#10;">
                  <v:imagedata r:id="rId20" o:title=""/>
                </v:shape>
                <v:shape id="Picture 118" o:spid="_x0000_s1030" type="#_x0000_t75" style="position:absolute;top:2560;width:1797;height:17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5BwwAAANsAAAAPAAAAZHJzL2Rvd25yZXYueG1sRI9Ba8JA&#10;EIXvBf/DMoK3ulGklOgqIkQ8BKG29TxkxySYnY27q6b/vnMo9DbDe/PeN6vN4Dr1oBBbzwZm0wwU&#10;ceVty7WBr8/i9R1UTMgWO89k4IcibNajlxXm1j/5gx6nVCsJ4ZijgSalPtc6Vg05jFPfE4t28cFh&#10;kjXU2gZ8Srjr9DzL3rTDlqWhwZ52DVXX090ZWLiyLI7FN53b4VDcjuWZddgbMxkP2yWoREP6N/9d&#10;H6zgC6z8IgPo9S8AAAD//wMAUEsBAi0AFAAGAAgAAAAhANvh9svuAAAAhQEAABMAAAAAAAAAAAAA&#10;AAAAAAAAAFtDb250ZW50X1R5cGVzXS54bWxQSwECLQAUAAYACAAAACEAWvQsW78AAAAVAQAACwAA&#10;AAAAAAAAAAAAAAAfAQAAX3JlbHMvLnJlbHNQSwECLQAUAAYACAAAACEACl2uQcMAAADbAAAADwAA&#10;AAAAAAAAAAAAAAAHAgAAZHJzL2Rvd25yZXYueG1sUEsFBgAAAAADAAMAtwAAAPcCAAAAAA==&#10;">
                  <v:imagedata r:id="rId20" o:title=""/>
                </v:shape>
                <v:shape id="Picture 115" o:spid="_x0000_s1031" type="#_x0000_t75" style="position:absolute;left:2194;top:534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bwwAAANwAAAAPAAAAZHJzL2Rvd25yZXYueG1sRE87a8Mw&#10;EN4L+Q/iAl1KIydDSF0rIeQB3UodL90O6yy5tU7GkhP331eFQrb7+J5X7CbXiSsNofWsYLnIQBDX&#10;XrdsFFSX8/MGRIjIGjvPpOCHAuy2s4cCc+1v/EHXMhqRQjjkqMDG2OdShtqSw7DwPXHiGj84jAkO&#10;RuoBbyncdXKVZWvpsOXUYLGng6X6uxydgvFlPPhT834uP7OnI1fWXKovo9TjfNq/gog0xbv43/2m&#10;0/zlGv6eSRfI7S8AAAD//wMAUEsBAi0AFAAGAAgAAAAhANvh9svuAAAAhQEAABMAAAAAAAAAAAAA&#10;AAAAAAAAAFtDb250ZW50X1R5cGVzXS54bWxQSwECLQAUAAYACAAAACEAWvQsW78AAAAVAQAACwAA&#10;AAAAAAAAAAAAAAAfAQAAX3JlbHMvLnJlbHNQSwECLQAUAAYACAAAACEAP4aom8MAAADcAAAADwAA&#10;AAAAAAAAAAAAAAAHAgAAZHJzL2Rvd25yZXYueG1sUEsFBgAAAAADAAMAtwAAAPcCAAAAAA==&#10;">
                  <v:imagedata r:id="rId21" o:title=""/>
                </v:shape>
              </v:group>
            </w:pict>
          </mc:Fallback>
        </mc:AlternateContent>
      </w:r>
      <w:r w:rsidR="00581DB9" w:rsidRPr="0077659B">
        <w:t>Movement from the previous year is depicted as follows</w:t>
      </w:r>
      <w:r w:rsidR="00E852E7" w:rsidRPr="0077659B">
        <w:t>:</w:t>
      </w:r>
    </w:p>
    <w:p w14:paraId="7A5AF707" w14:textId="77777777" w:rsidR="00F73648" w:rsidRPr="0077659B" w:rsidRDefault="001B6809" w:rsidP="00964B4B">
      <w:pPr>
        <w:spacing w:before="60" w:after="60"/>
        <w:ind w:left="426"/>
        <w:rPr>
          <w:rFonts w:cs="Arial"/>
        </w:rPr>
      </w:pPr>
      <w:r w:rsidRPr="0077659B">
        <w:rPr>
          <w:rFonts w:cs="Arial"/>
        </w:rPr>
        <w:t xml:space="preserve">       </w:t>
      </w:r>
      <w:r w:rsidR="00F73648" w:rsidRPr="0077659B">
        <w:rPr>
          <w:rFonts w:cs="Arial"/>
        </w:rPr>
        <w:t xml:space="preserve">  Improved </w:t>
      </w:r>
    </w:p>
    <w:p w14:paraId="0EC3CDF8" w14:textId="77777777" w:rsidR="00F73648" w:rsidRPr="0077659B" w:rsidRDefault="001B6809" w:rsidP="00BB6EEC">
      <w:pPr>
        <w:spacing w:before="120"/>
        <w:ind w:left="425"/>
        <w:rPr>
          <w:rFonts w:cs="Arial"/>
        </w:rPr>
      </w:pPr>
      <w:r w:rsidRPr="0077659B">
        <w:t xml:space="preserve">          </w:t>
      </w:r>
      <w:r w:rsidR="00F73648" w:rsidRPr="0077659B">
        <w:t xml:space="preserve"> </w:t>
      </w:r>
      <w:r w:rsidR="00F73648" w:rsidRPr="0077659B">
        <w:rPr>
          <w:rFonts w:cs="Arial"/>
        </w:rPr>
        <w:t xml:space="preserve">Unchanged / slight improvement / slight regression     </w:t>
      </w:r>
    </w:p>
    <w:p w14:paraId="08C1517A" w14:textId="77777777" w:rsidR="00F73648" w:rsidRPr="0077659B" w:rsidRDefault="001B6809" w:rsidP="00BB6EEC">
      <w:pPr>
        <w:spacing w:before="120" w:after="60"/>
        <w:ind w:left="425"/>
        <w:rPr>
          <w:rFonts w:cs="Arial"/>
        </w:rPr>
      </w:pPr>
      <w:r w:rsidRPr="0077659B">
        <w:rPr>
          <w:rFonts w:cs="Arial"/>
        </w:rPr>
        <w:t xml:space="preserve">      </w:t>
      </w:r>
      <w:r w:rsidR="00F73648" w:rsidRPr="0077659B">
        <w:rPr>
          <w:rFonts w:cs="Arial"/>
        </w:rPr>
        <w:t xml:space="preserve">   Regressed</w:t>
      </w:r>
    </w:p>
    <w:p w14:paraId="7B5F7980" w14:textId="77777777" w:rsidR="00F73648" w:rsidRPr="0077659B" w:rsidRDefault="00F73648" w:rsidP="00964B4B">
      <w:pPr>
        <w:spacing w:after="80" w:line="240" w:lineRule="auto"/>
        <w:jc w:val="both"/>
        <w:rPr>
          <w:rFonts w:cs="Arial"/>
        </w:rPr>
      </w:pPr>
    </w:p>
    <w:p w14:paraId="18C52EF2" w14:textId="77777777" w:rsidR="008677D8" w:rsidRPr="0077659B" w:rsidRDefault="008677D8" w:rsidP="00C22F2B">
      <w:pPr>
        <w:spacing w:after="240" w:line="240" w:lineRule="auto"/>
        <w:rPr>
          <w:rFonts w:eastAsia="Times New Roman" w:cs="Arial"/>
          <w:sz w:val="6"/>
          <w:szCs w:val="6"/>
        </w:rPr>
        <w:sectPr w:rsidR="008677D8" w:rsidRPr="0077659B" w:rsidSect="00C12C2B">
          <w:headerReference w:type="even" r:id="rId22"/>
          <w:headerReference w:type="default" r:id="rId23"/>
          <w:footerReference w:type="default" r:id="rId24"/>
          <w:headerReference w:type="first" r:id="rId25"/>
          <w:endnotePr>
            <w:numFmt w:val="decimal"/>
          </w:endnotePr>
          <w:pgSz w:w="11906" w:h="16838" w:code="9"/>
          <w:pgMar w:top="1245" w:right="1134" w:bottom="1134" w:left="1134" w:header="1134" w:footer="709" w:gutter="0"/>
          <w:cols w:space="708"/>
          <w:docGrid w:linePitch="360"/>
        </w:sectPr>
      </w:pPr>
    </w:p>
    <w:p w14:paraId="5FA6AEBD" w14:textId="77777777" w:rsidR="004D5904" w:rsidRPr="0077659B" w:rsidRDefault="004D5904" w:rsidP="002004A3">
      <w:pPr>
        <w:spacing w:after="0" w:line="240" w:lineRule="auto"/>
        <w:rPr>
          <w:rFonts w:eastAsia="Times New Roman" w:cs="Arial"/>
          <w:sz w:val="6"/>
          <w:szCs w:val="6"/>
        </w:rPr>
      </w:pPr>
    </w:p>
    <w:p w14:paraId="7F9296F6" w14:textId="77777777" w:rsidR="004D5904" w:rsidRPr="0077659B" w:rsidRDefault="004D5904" w:rsidP="004D5904">
      <w:pPr>
        <w:rPr>
          <w:rFonts w:eastAsia="Times New Roman" w:cs="Arial"/>
          <w:sz w:val="6"/>
          <w:szCs w:val="6"/>
        </w:rPr>
      </w:pPr>
    </w:p>
    <w:p w14:paraId="35B64684" w14:textId="77777777" w:rsidR="00E047E0" w:rsidRPr="000913DD" w:rsidRDefault="00E047E0" w:rsidP="004D5904">
      <w:pPr>
        <w:rPr>
          <w:rFonts w:eastAsia="Times New Roman" w:cs="Arial"/>
          <w:b/>
          <w:sz w:val="20"/>
          <w:szCs w:val="20"/>
        </w:rPr>
      </w:pPr>
      <w:r>
        <w:rPr>
          <w:rFonts w:eastAsia="Times New Roman" w:cs="Arial"/>
          <w:b/>
          <w:sz w:val="28"/>
          <w:szCs w:val="6"/>
        </w:rPr>
        <w:object w:dxaOrig="7779" w:dyaOrig="5390" w14:anchorId="1C363243">
          <v:shape id="_x0000_i1027" type="#_x0000_t75" style="width:715.8pt;height:443.4pt" o:ole="">
            <v:imagedata r:id="rId26" o:title=""/>
          </v:shape>
          <o:OLEObject Type="Embed" ProgID="PowerPoint.Show.12" ShapeID="_x0000_i1027" DrawAspect="Content" ObjectID="_1661766913" r:id="rId27"/>
        </w:object>
      </w:r>
    </w:p>
    <w:p w14:paraId="4446C0F9" w14:textId="77777777" w:rsidR="004D5904" w:rsidRPr="0077659B" w:rsidRDefault="004D5904" w:rsidP="004D5904">
      <w:pPr>
        <w:rPr>
          <w:rFonts w:eastAsia="Times New Roman" w:cs="Arial"/>
          <w:sz w:val="6"/>
          <w:szCs w:val="6"/>
        </w:rPr>
      </w:pPr>
    </w:p>
    <w:p w14:paraId="6965E041" w14:textId="77777777" w:rsidR="00153824" w:rsidRPr="0077659B" w:rsidRDefault="00153824" w:rsidP="004D5904">
      <w:pPr>
        <w:rPr>
          <w:rFonts w:eastAsia="Times New Roman" w:cs="Arial"/>
          <w:sz w:val="6"/>
          <w:szCs w:val="6"/>
        </w:rPr>
        <w:sectPr w:rsidR="00153824" w:rsidRPr="0077659B" w:rsidSect="00C12C2B">
          <w:endnotePr>
            <w:numFmt w:val="decimal"/>
          </w:endnotePr>
          <w:pgSz w:w="16838" w:h="11906" w:orient="landscape" w:code="9"/>
          <w:pgMar w:top="281" w:right="1245" w:bottom="1134" w:left="1134" w:header="278" w:footer="313" w:gutter="0"/>
          <w:cols w:space="708"/>
          <w:docGrid w:linePitch="360"/>
        </w:sectPr>
      </w:pPr>
    </w:p>
    <w:p w14:paraId="0459089D" w14:textId="77777777" w:rsidR="00F110DC" w:rsidRPr="0077659B" w:rsidRDefault="005674DC" w:rsidP="000C4D17">
      <w:pPr>
        <w:pStyle w:val="Heading2"/>
      </w:pPr>
      <w:bookmarkStart w:id="9" w:name="_Toc51154067"/>
      <w:r w:rsidRPr="0077659B">
        <w:lastRenderedPageBreak/>
        <w:t>OVERALL MESSAGE</w:t>
      </w:r>
      <w:bookmarkEnd w:id="9"/>
    </w:p>
    <w:p w14:paraId="66AC3132" w14:textId="77777777" w:rsidR="00F110DC" w:rsidRPr="0077659B" w:rsidRDefault="005D4607" w:rsidP="00F110DC">
      <w:pPr>
        <w:shd w:val="clear" w:color="auto" w:fill="FFFFFF"/>
        <w:spacing w:line="240" w:lineRule="auto"/>
        <w:rPr>
          <w:rFonts w:eastAsia="Times New Roman" w:cs="Arial"/>
          <w:sz w:val="2"/>
        </w:rPr>
      </w:pPr>
      <w:r w:rsidRPr="0077659B">
        <w:rPr>
          <w:rFonts w:eastAsia="Times New Roman" w:cs="Arial"/>
          <w:sz w:val="2"/>
        </w:rPr>
        <w:t>-</w:t>
      </w:r>
    </w:p>
    <w:p w14:paraId="76E833E9" w14:textId="77777777" w:rsidR="00AE33C9" w:rsidRDefault="00AE33C9" w:rsidP="00223FB6">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sidRPr="000C7232">
        <w:rPr>
          <w:rFonts w:eastAsia="Calibri" w:cs="Arial"/>
          <w:szCs w:val="22"/>
        </w:rPr>
        <w:t xml:space="preserve">The audit outcome of the department has </w:t>
      </w:r>
      <w:r>
        <w:rPr>
          <w:rFonts w:eastAsia="Calibri" w:cs="Arial"/>
          <w:szCs w:val="22"/>
        </w:rPr>
        <w:t xml:space="preserve">remained unchanged in the current </w:t>
      </w:r>
      <w:r w:rsidRPr="000C7232">
        <w:rPr>
          <w:rFonts w:eastAsia="Calibri" w:cs="Arial"/>
          <w:szCs w:val="22"/>
        </w:rPr>
        <w:t>period, with the department obtaining a</w:t>
      </w:r>
      <w:r>
        <w:rPr>
          <w:rFonts w:eastAsia="Calibri" w:cs="Arial"/>
          <w:szCs w:val="22"/>
        </w:rPr>
        <w:t>n</w:t>
      </w:r>
      <w:r w:rsidRPr="000C7232">
        <w:rPr>
          <w:rFonts w:eastAsia="Calibri" w:cs="Arial"/>
          <w:szCs w:val="22"/>
        </w:rPr>
        <w:t xml:space="preserve"> </w:t>
      </w:r>
      <w:r>
        <w:rPr>
          <w:rFonts w:eastAsia="Calibri" w:cs="Arial"/>
          <w:szCs w:val="22"/>
        </w:rPr>
        <w:t xml:space="preserve">unqualified audit opinion </w:t>
      </w:r>
      <w:r w:rsidRPr="000C7232">
        <w:rPr>
          <w:rFonts w:eastAsia="Calibri" w:cs="Arial"/>
          <w:szCs w:val="22"/>
        </w:rPr>
        <w:t xml:space="preserve">with findings in other areas </w:t>
      </w:r>
      <w:r>
        <w:rPr>
          <w:rFonts w:eastAsia="Calibri" w:cs="Arial"/>
          <w:szCs w:val="22"/>
        </w:rPr>
        <w:t>for the past three financial periods</w:t>
      </w:r>
      <w:r w:rsidRPr="000C7232">
        <w:rPr>
          <w:rFonts w:eastAsia="Calibri" w:cs="Arial"/>
          <w:szCs w:val="22"/>
        </w:rPr>
        <w:t>.</w:t>
      </w:r>
      <w:r>
        <w:rPr>
          <w:rFonts w:eastAsia="Calibri" w:cs="Arial"/>
          <w:szCs w:val="22"/>
        </w:rPr>
        <w:t xml:space="preserve"> Material findings have been noted with respect to non-compliance was identified in the current year which resulted in the department incurring irregular expenditure. </w:t>
      </w:r>
      <w:r w:rsidRPr="000C7232">
        <w:rPr>
          <w:rFonts w:eastAsia="Calibri" w:cs="Arial"/>
          <w:szCs w:val="22"/>
        </w:rPr>
        <w:t>The</w:t>
      </w:r>
      <w:r>
        <w:rPr>
          <w:rFonts w:eastAsia="Calibri" w:cs="Arial"/>
          <w:szCs w:val="22"/>
        </w:rPr>
        <w:t xml:space="preserve"> quality </w:t>
      </w:r>
      <w:r w:rsidRPr="000C7232">
        <w:rPr>
          <w:rFonts w:eastAsia="Calibri" w:cs="Arial"/>
          <w:szCs w:val="22"/>
        </w:rPr>
        <w:t>of submitted performance information</w:t>
      </w:r>
      <w:r>
        <w:rPr>
          <w:rFonts w:eastAsia="Calibri" w:cs="Arial"/>
          <w:szCs w:val="22"/>
        </w:rPr>
        <w:t xml:space="preserve"> has also not improved sufficiently</w:t>
      </w:r>
      <w:r w:rsidR="007D0BB4">
        <w:rPr>
          <w:rFonts w:eastAsia="Calibri" w:cs="Arial"/>
          <w:szCs w:val="22"/>
        </w:rPr>
        <w:t xml:space="preserve"> </w:t>
      </w:r>
      <w:r>
        <w:rPr>
          <w:rFonts w:eastAsia="Calibri" w:cs="Arial"/>
          <w:szCs w:val="22"/>
        </w:rPr>
        <w:t>as material findings previously reported recurred in the current period</w:t>
      </w:r>
      <w:r w:rsidRPr="000C7232">
        <w:rPr>
          <w:rFonts w:eastAsia="Calibri" w:cs="Arial"/>
          <w:szCs w:val="22"/>
        </w:rPr>
        <w:t>.</w:t>
      </w:r>
    </w:p>
    <w:p w14:paraId="451C6F4D" w14:textId="77777777" w:rsidR="00AE33C9" w:rsidRDefault="00AE33C9" w:rsidP="0081249B">
      <w:pPr>
        <w:pStyle w:val="AGbodytext"/>
        <w:autoSpaceDE w:val="0"/>
        <w:autoSpaceDN w:val="0"/>
        <w:adjustRightInd w:val="0"/>
        <w:spacing w:after="0" w:line="276" w:lineRule="auto"/>
        <w:ind w:left="426" w:hanging="284"/>
        <w:contextualSpacing/>
        <w:mirrorIndents/>
        <w:jc w:val="both"/>
        <w:outlineLvl w:val="1"/>
        <w:rPr>
          <w:rFonts w:eastAsia="Calibri" w:cs="Arial"/>
          <w:szCs w:val="22"/>
        </w:rPr>
      </w:pPr>
    </w:p>
    <w:p w14:paraId="72C8EDA5" w14:textId="40F6AAC7" w:rsidR="00605E2D" w:rsidRDefault="00AE33C9" w:rsidP="00223FB6">
      <w:pPr>
        <w:pStyle w:val="111bull"/>
        <w:numPr>
          <w:ilvl w:val="0"/>
          <w:numId w:val="26"/>
        </w:numPr>
        <w:autoSpaceDE w:val="0"/>
        <w:autoSpaceDN w:val="0"/>
        <w:adjustRightInd w:val="0"/>
        <w:spacing w:before="0" w:line="276" w:lineRule="auto"/>
        <w:ind w:left="426" w:hanging="284"/>
        <w:mirrorIndents/>
        <w:jc w:val="both"/>
        <w:outlineLvl w:val="1"/>
        <w:rPr>
          <w:rFonts w:eastAsia="Calibri"/>
        </w:rPr>
      </w:pPr>
      <w:r w:rsidRPr="00301FC0">
        <w:rPr>
          <w:rFonts w:eastAsia="Calibri"/>
        </w:rPr>
        <w:t xml:space="preserve">During the audit of performance information, key findings similar to the prior year </w:t>
      </w:r>
      <w:proofErr w:type="gramStart"/>
      <w:r w:rsidRPr="00301FC0">
        <w:rPr>
          <w:rFonts w:eastAsia="Calibri"/>
        </w:rPr>
        <w:t>were identified</w:t>
      </w:r>
      <w:proofErr w:type="gramEnd"/>
      <w:r w:rsidRPr="00301FC0">
        <w:rPr>
          <w:rFonts w:eastAsia="Calibri"/>
        </w:rPr>
        <w:t xml:space="preserve"> on Programme 3: Expanded Public Works Programme (EPWP), where reported achievements were not complete, and in other instances reported achievements were not supported by adequate source information. </w:t>
      </w:r>
      <w:r w:rsidR="00605E2D">
        <w:rPr>
          <w:rFonts w:eastAsia="Calibri"/>
        </w:rPr>
        <w:t>For</w:t>
      </w:r>
      <w:r>
        <w:rPr>
          <w:rFonts w:eastAsia="Calibri"/>
        </w:rPr>
        <w:t xml:space="preserve"> the projects implemented by the department</w:t>
      </w:r>
      <w:r w:rsidR="00605E2D">
        <w:rPr>
          <w:rFonts w:eastAsia="Calibri"/>
        </w:rPr>
        <w:t xml:space="preserve">, a number of limitations raised during the interim audit were resolved with information </w:t>
      </w:r>
      <w:proofErr w:type="gramStart"/>
      <w:r w:rsidR="00605E2D">
        <w:rPr>
          <w:rFonts w:eastAsia="Calibri"/>
        </w:rPr>
        <w:t>being submitted</w:t>
      </w:r>
      <w:proofErr w:type="gramEnd"/>
      <w:r w:rsidR="00605E2D">
        <w:rPr>
          <w:rFonts w:eastAsia="Calibri"/>
        </w:rPr>
        <w:t xml:space="preserve"> when follow up was performed during final audit. In addition, some of the underreporting </w:t>
      </w:r>
      <w:proofErr w:type="gramStart"/>
      <w:r w:rsidR="00605E2D">
        <w:rPr>
          <w:rFonts w:eastAsia="Calibri"/>
        </w:rPr>
        <w:t>was also corrected</w:t>
      </w:r>
      <w:proofErr w:type="gramEnd"/>
      <w:r w:rsidR="00605E2D">
        <w:rPr>
          <w:rFonts w:eastAsia="Calibri"/>
        </w:rPr>
        <w:t xml:space="preserve"> in the final annual performance report after being identified by the audit team during interim audit</w:t>
      </w:r>
      <w:r w:rsidR="00E3264F">
        <w:rPr>
          <w:rFonts w:eastAsia="Calibri"/>
        </w:rPr>
        <w:t>.</w:t>
      </w:r>
      <w:r>
        <w:rPr>
          <w:rFonts w:eastAsia="Calibri"/>
        </w:rPr>
        <w:t xml:space="preserve"> </w:t>
      </w:r>
    </w:p>
    <w:p w14:paraId="5DD516CB" w14:textId="77777777" w:rsidR="00605E2D" w:rsidRDefault="00605E2D" w:rsidP="000913DD">
      <w:pPr>
        <w:ind w:left="360"/>
        <w:rPr>
          <w:rFonts w:eastAsia="Calibri"/>
        </w:rPr>
      </w:pPr>
    </w:p>
    <w:p w14:paraId="6EE6A7F9" w14:textId="4EC28CF9" w:rsidR="00AE33C9" w:rsidRPr="000913DD" w:rsidRDefault="00E3264F" w:rsidP="000913DD">
      <w:pPr>
        <w:ind w:left="360"/>
        <w:rPr>
          <w:rFonts w:eastAsia="Calibri"/>
        </w:rPr>
      </w:pPr>
      <w:r w:rsidRPr="000913DD">
        <w:rPr>
          <w:rFonts w:eastAsia="Calibri"/>
        </w:rPr>
        <w:t xml:space="preserve">Concerns </w:t>
      </w:r>
      <w:r w:rsidR="007D0BB4" w:rsidRPr="000913DD">
        <w:rPr>
          <w:rFonts w:eastAsia="Calibri"/>
        </w:rPr>
        <w:t>remain</w:t>
      </w:r>
      <w:r w:rsidR="00AE33C9" w:rsidRPr="000913DD">
        <w:rPr>
          <w:rFonts w:eastAsia="Calibri"/>
        </w:rPr>
        <w:t xml:space="preserve"> at the public bodies responsible for implementation</w:t>
      </w:r>
      <w:r w:rsidR="00605E2D">
        <w:rPr>
          <w:rFonts w:eastAsia="Calibri"/>
        </w:rPr>
        <w:t xml:space="preserve">, where findings recurred from prior period, and were not resolved in certain instances even after </w:t>
      </w:r>
      <w:proofErr w:type="gramStart"/>
      <w:r w:rsidR="00605E2D">
        <w:rPr>
          <w:rFonts w:eastAsia="Calibri"/>
        </w:rPr>
        <w:t>being identified</w:t>
      </w:r>
      <w:proofErr w:type="gramEnd"/>
      <w:r w:rsidR="00605E2D">
        <w:rPr>
          <w:rFonts w:eastAsia="Calibri"/>
        </w:rPr>
        <w:t xml:space="preserve"> by interim audit work</w:t>
      </w:r>
      <w:r w:rsidR="00AE33C9" w:rsidRPr="000913DD">
        <w:rPr>
          <w:rFonts w:eastAsia="Calibri"/>
        </w:rPr>
        <w:t xml:space="preserve">. These public bodies are currently not required to report on achievements relating to EPWP, and thus do not allocate sufficient resources to ensure complete and valid reporting, and this is where the majority of negative findings were identified. Insufficient progress </w:t>
      </w:r>
      <w:proofErr w:type="gramStart"/>
      <w:r w:rsidR="00AE33C9" w:rsidRPr="000913DD">
        <w:rPr>
          <w:rFonts w:eastAsia="Calibri"/>
        </w:rPr>
        <w:t>was made</w:t>
      </w:r>
      <w:proofErr w:type="gramEnd"/>
      <w:r w:rsidR="00AE33C9" w:rsidRPr="000913DD">
        <w:rPr>
          <w:rFonts w:eastAsia="Calibri"/>
        </w:rPr>
        <w:t xml:space="preserve"> in the department’s engagements with National Treasury to enhance the conditions of EPWP </w:t>
      </w:r>
      <w:proofErr w:type="spellStart"/>
      <w:r w:rsidR="00AE33C9" w:rsidRPr="000913DD">
        <w:rPr>
          <w:rFonts w:eastAsia="Calibri"/>
        </w:rPr>
        <w:t>DoRA</w:t>
      </w:r>
      <w:proofErr w:type="spellEnd"/>
      <w:r w:rsidR="00AE33C9" w:rsidRPr="000913DD">
        <w:rPr>
          <w:rFonts w:eastAsia="Calibri"/>
        </w:rPr>
        <w:t xml:space="preserve"> grants. In addition, the engagements with the Department of Performance Monitoring and Evaluation </w:t>
      </w:r>
      <w:r w:rsidR="007E3D21" w:rsidRPr="000913DD">
        <w:rPr>
          <w:rFonts w:eastAsia="Calibri"/>
        </w:rPr>
        <w:t xml:space="preserve">did not progress fast enough </w:t>
      </w:r>
      <w:r w:rsidR="00AE33C9" w:rsidRPr="000913DD">
        <w:rPr>
          <w:rFonts w:eastAsia="Calibri"/>
        </w:rPr>
        <w:t>in order to make the “number of work opportunities created” indicator customised for all public bodies</w:t>
      </w:r>
      <w:r w:rsidR="007E3D21" w:rsidRPr="000913DD">
        <w:rPr>
          <w:rFonts w:eastAsia="Calibri"/>
        </w:rPr>
        <w:t xml:space="preserve"> for the current financial period</w:t>
      </w:r>
      <w:r w:rsidR="00AE33C9" w:rsidRPr="000913DD">
        <w:rPr>
          <w:rFonts w:eastAsia="Calibri"/>
        </w:rPr>
        <w:t>. This will enhance accountability at public bodies with respect to managing the programme, which in turn may assist the department in ensuring that work opportunities reported is adequately reported, and supported by reliable audit evidence.</w:t>
      </w:r>
    </w:p>
    <w:p w14:paraId="21C6F4D8" w14:textId="77777777" w:rsidR="00AE33C9" w:rsidRDefault="00AE33C9" w:rsidP="0081249B">
      <w:pPr>
        <w:pStyle w:val="AGbodytext"/>
        <w:autoSpaceDE w:val="0"/>
        <w:autoSpaceDN w:val="0"/>
        <w:adjustRightInd w:val="0"/>
        <w:spacing w:after="0" w:line="276" w:lineRule="auto"/>
        <w:ind w:left="426" w:hanging="284"/>
        <w:contextualSpacing/>
        <w:mirrorIndents/>
        <w:jc w:val="both"/>
        <w:outlineLvl w:val="1"/>
        <w:rPr>
          <w:rFonts w:eastAsia="Calibri" w:cs="Arial"/>
          <w:szCs w:val="22"/>
        </w:rPr>
      </w:pPr>
    </w:p>
    <w:p w14:paraId="68ABBFD5" w14:textId="18A700D4" w:rsidR="00AE33C9" w:rsidRPr="00063E4D" w:rsidRDefault="007E3D21" w:rsidP="00223FB6">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Pr>
          <w:rFonts w:eastAsia="Calibri" w:cs="Arial"/>
          <w:szCs w:val="22"/>
        </w:rPr>
        <w:t>N</w:t>
      </w:r>
      <w:r w:rsidR="00AE33C9" w:rsidRPr="00AE33C9">
        <w:rPr>
          <w:rFonts w:eastAsia="Calibri" w:cs="Arial"/>
          <w:szCs w:val="22"/>
        </w:rPr>
        <w:t xml:space="preserve">on-compliance </w:t>
      </w:r>
      <w:r w:rsidRPr="00AE33C9">
        <w:rPr>
          <w:rFonts w:eastAsia="Calibri" w:cs="Arial"/>
          <w:szCs w:val="22"/>
        </w:rPr>
        <w:t xml:space="preserve">with legislation </w:t>
      </w:r>
      <w:r>
        <w:rPr>
          <w:rFonts w:eastAsia="Calibri" w:cs="Arial"/>
          <w:szCs w:val="22"/>
        </w:rPr>
        <w:t xml:space="preserve">findings </w:t>
      </w:r>
      <w:proofErr w:type="gramStart"/>
      <w:r>
        <w:rPr>
          <w:rFonts w:eastAsia="Calibri" w:cs="Arial"/>
          <w:szCs w:val="22"/>
        </w:rPr>
        <w:t>were</w:t>
      </w:r>
      <w:r w:rsidR="00AE33C9" w:rsidRPr="00AE33C9">
        <w:rPr>
          <w:rFonts w:eastAsia="Calibri" w:cs="Arial"/>
          <w:szCs w:val="22"/>
        </w:rPr>
        <w:t xml:space="preserve"> identified</w:t>
      </w:r>
      <w:proofErr w:type="gramEnd"/>
      <w:r w:rsidR="00AE33C9" w:rsidRPr="00AE33C9">
        <w:rPr>
          <w:rFonts w:eastAsia="Calibri" w:cs="Arial"/>
          <w:szCs w:val="22"/>
        </w:rPr>
        <w:t xml:space="preserve"> with respect to </w:t>
      </w:r>
      <w:r>
        <w:rPr>
          <w:rFonts w:eastAsia="Calibri" w:cs="Arial"/>
          <w:szCs w:val="22"/>
        </w:rPr>
        <w:t>expenditure</w:t>
      </w:r>
      <w:r w:rsidR="00AE33C9" w:rsidRPr="00AE33C9">
        <w:rPr>
          <w:rFonts w:eastAsia="Calibri" w:cs="Arial"/>
          <w:szCs w:val="22"/>
        </w:rPr>
        <w:t xml:space="preserve"> management relating to state</w:t>
      </w:r>
      <w:r w:rsidR="00605E2D">
        <w:rPr>
          <w:rFonts w:eastAsia="Calibri" w:cs="Arial"/>
          <w:szCs w:val="22"/>
        </w:rPr>
        <w:t xml:space="preserve"> funeral and state</w:t>
      </w:r>
      <w:r w:rsidR="00AE33C9" w:rsidRPr="00AE33C9">
        <w:rPr>
          <w:rFonts w:eastAsia="Calibri" w:cs="Arial"/>
          <w:szCs w:val="22"/>
        </w:rPr>
        <w:t xml:space="preserve"> events where inadequate monitoring of contracts resulted in the department paying more for the service than required as per the contract. These resulted in </w:t>
      </w:r>
      <w:r w:rsidR="00AE33C9">
        <w:rPr>
          <w:rFonts w:eastAsia="Calibri" w:cs="Arial"/>
          <w:szCs w:val="22"/>
        </w:rPr>
        <w:t>irregular expenditure</w:t>
      </w:r>
      <w:r w:rsidR="0081249B">
        <w:rPr>
          <w:rFonts w:eastAsia="Calibri" w:cs="Arial"/>
          <w:szCs w:val="22"/>
        </w:rPr>
        <w:t xml:space="preserve"> being incurred, with </w:t>
      </w:r>
      <w:proofErr w:type="gramStart"/>
      <w:r w:rsidR="0081249B">
        <w:rPr>
          <w:rFonts w:eastAsia="Calibri" w:cs="Arial"/>
          <w:szCs w:val="22"/>
        </w:rPr>
        <w:t>financial  losses</w:t>
      </w:r>
      <w:proofErr w:type="gramEnd"/>
      <w:r w:rsidR="0081249B">
        <w:rPr>
          <w:rFonts w:eastAsia="Calibri" w:cs="Arial"/>
          <w:szCs w:val="22"/>
        </w:rPr>
        <w:t xml:space="preserve"> </w:t>
      </w:r>
      <w:r w:rsidR="007D0BB4">
        <w:rPr>
          <w:rFonts w:eastAsia="Calibri" w:cs="Arial"/>
          <w:szCs w:val="22"/>
        </w:rPr>
        <w:t xml:space="preserve">also </w:t>
      </w:r>
      <w:r w:rsidR="0081249B">
        <w:rPr>
          <w:rFonts w:eastAsia="Calibri" w:cs="Arial"/>
          <w:szCs w:val="22"/>
        </w:rPr>
        <w:t>being suffered</w:t>
      </w:r>
      <w:r w:rsidR="0081249B" w:rsidRPr="0081249B">
        <w:rPr>
          <w:rFonts w:eastAsia="Calibri" w:cs="Arial"/>
          <w:szCs w:val="22"/>
        </w:rPr>
        <w:t xml:space="preserve"> </w:t>
      </w:r>
      <w:r w:rsidR="0081249B">
        <w:rPr>
          <w:rFonts w:eastAsia="Calibri" w:cs="Arial"/>
          <w:szCs w:val="22"/>
        </w:rPr>
        <w:t>by the department.</w:t>
      </w:r>
    </w:p>
    <w:p w14:paraId="1FEB4584" w14:textId="77777777" w:rsidR="00AE33C9" w:rsidRPr="00063E4D" w:rsidRDefault="00AE33C9" w:rsidP="00AE33C9">
      <w:pPr>
        <w:pStyle w:val="AGbodytext"/>
        <w:autoSpaceDE w:val="0"/>
        <w:autoSpaceDN w:val="0"/>
        <w:adjustRightInd w:val="0"/>
        <w:spacing w:after="0"/>
        <w:ind w:left="284" w:hanging="426"/>
        <w:contextualSpacing/>
        <w:mirrorIndents/>
        <w:jc w:val="both"/>
        <w:outlineLvl w:val="1"/>
        <w:rPr>
          <w:rFonts w:eastAsia="Calibri" w:cs="Arial"/>
          <w:szCs w:val="22"/>
        </w:rPr>
      </w:pPr>
    </w:p>
    <w:p w14:paraId="1FD6AB74" w14:textId="59D78CB9" w:rsidR="000A318E" w:rsidRDefault="00AE33C9" w:rsidP="00223FB6">
      <w:pPr>
        <w:pStyle w:val="Numbernormal"/>
        <w:numPr>
          <w:ilvl w:val="0"/>
          <w:numId w:val="26"/>
        </w:numPr>
        <w:ind w:left="426" w:hanging="426"/>
      </w:pPr>
      <w:r w:rsidRPr="00063E4D">
        <w:t xml:space="preserve">The assurance provided by the key role players at the department is </w:t>
      </w:r>
      <w:r w:rsidR="0081249B">
        <w:t>limited</w:t>
      </w:r>
      <w:r w:rsidRPr="00063E4D">
        <w:t xml:space="preserve">, </w:t>
      </w:r>
      <w:r w:rsidR="0081249B">
        <w:t xml:space="preserve">as a number of senior management personnel </w:t>
      </w:r>
      <w:proofErr w:type="gramStart"/>
      <w:r w:rsidR="0081249B">
        <w:t>were found</w:t>
      </w:r>
      <w:proofErr w:type="gramEnd"/>
      <w:r w:rsidR="0081249B">
        <w:t xml:space="preserve"> to have been responsible for the losses suffered by the department</w:t>
      </w:r>
      <w:r w:rsidRPr="00063E4D">
        <w:t>.</w:t>
      </w:r>
      <w:r w:rsidR="0081249B">
        <w:t xml:space="preserve"> The weaknesses in internal control can thus </w:t>
      </w:r>
      <w:r w:rsidR="007D0BB4">
        <w:t>is</w:t>
      </w:r>
      <w:r w:rsidR="0081249B">
        <w:t xml:space="preserve"> attributed in part to </w:t>
      </w:r>
      <w:r w:rsidR="0081249B" w:rsidRPr="0081249B">
        <w:t xml:space="preserve">effective leadership </w:t>
      </w:r>
      <w:r w:rsidR="0081249B">
        <w:t xml:space="preserve">not being provided </w:t>
      </w:r>
      <w:r w:rsidR="0081249B" w:rsidRPr="0081249B">
        <w:t xml:space="preserve">based on a culture of honesty, ethical business practices and good governance, </w:t>
      </w:r>
      <w:r w:rsidR="0081249B">
        <w:t xml:space="preserve">as </w:t>
      </w:r>
      <w:r w:rsidR="0081249B" w:rsidRPr="0081249B">
        <w:t xml:space="preserve">the best interests of the </w:t>
      </w:r>
      <w:r w:rsidR="0081249B">
        <w:t>department were not protected and enhanced in certain instances</w:t>
      </w:r>
      <w:r w:rsidR="0081249B" w:rsidRPr="0081249B">
        <w:t xml:space="preserve"> </w:t>
      </w:r>
    </w:p>
    <w:p w14:paraId="097C3418" w14:textId="3D3E6887" w:rsidR="00046A45" w:rsidRDefault="00046A45" w:rsidP="00223FB6">
      <w:pPr>
        <w:pStyle w:val="Numbernormal"/>
        <w:numPr>
          <w:ilvl w:val="0"/>
          <w:numId w:val="26"/>
        </w:numPr>
        <w:ind w:left="426" w:hanging="426"/>
      </w:pPr>
      <w:r>
        <w:lastRenderedPageBreak/>
        <w:t xml:space="preserve">The Information and communications technology (ICT) environment continues </w:t>
      </w:r>
      <w:proofErr w:type="gramStart"/>
      <w:r>
        <w:t>to generally stagnate</w:t>
      </w:r>
      <w:proofErr w:type="gramEnd"/>
      <w:r>
        <w:t xml:space="preserve"> with no improvement in addressing the previous year audit findings relating to information technology (IT) governance. </w:t>
      </w:r>
      <w:r w:rsidR="007D0BB4">
        <w:t>In addition</w:t>
      </w:r>
      <w:r>
        <w:t>, there are still areas of concerns requiring urgent attention. The ICT focus areas relating to user access management, security management and IT service continuity still require improvement. As previously reported, we still noticed in this financial year a high vacancy rate in key ICT positions. This resulted in capacity constraints, which was evident in failure to address prior year’s findings. The lack of implementing basic IT security and user access controls could further lead to unauthorised users gaining access to systems, resulting in data being compromised, denial of service attacks or data integrity issues and consequently overall disruption to business processes</w:t>
      </w:r>
    </w:p>
    <w:p w14:paraId="7CE743F9" w14:textId="77777777" w:rsidR="000A318E" w:rsidRDefault="000A318E">
      <w:pPr>
        <w:spacing w:after="200"/>
        <w:rPr>
          <w:rFonts w:eastAsia="Calibri" w:cs="Arial"/>
        </w:rPr>
      </w:pPr>
    </w:p>
    <w:p w14:paraId="4F279DB1" w14:textId="1E3CDC49" w:rsidR="00253FDE" w:rsidRPr="0077659B" w:rsidRDefault="00253FDE" w:rsidP="00253FDE">
      <w:pPr>
        <w:pStyle w:val="Heading2"/>
        <w:rPr>
          <w:rFonts w:ascii="Arial" w:eastAsia="Calibri" w:hAnsi="Arial"/>
        </w:rPr>
      </w:pPr>
      <w:bookmarkStart w:id="10" w:name="_Toc447106582"/>
      <w:bookmarkStart w:id="11" w:name="_Toc51154068"/>
      <w:r w:rsidRPr="0077659B">
        <w:t>SECTION 1: Interactions with stakeholders responsible for oversight and governance</w:t>
      </w:r>
      <w:bookmarkEnd w:id="10"/>
      <w:bookmarkEnd w:id="11"/>
    </w:p>
    <w:p w14:paraId="3DD9816B" w14:textId="77777777" w:rsidR="00C22F2B" w:rsidRDefault="00C22F2B" w:rsidP="00223FB6">
      <w:pPr>
        <w:pStyle w:val="Numbernormal"/>
        <w:numPr>
          <w:ilvl w:val="0"/>
          <w:numId w:val="26"/>
        </w:numPr>
      </w:pPr>
      <w:bookmarkStart w:id="12" w:name="Section1"/>
      <w:bookmarkEnd w:id="12"/>
      <w:r w:rsidRPr="0077659B">
        <w:t xml:space="preserve">During the audit cycle, we met with the following key stakeholders responsible for oversight and governance to communicate matters relating to the audit outcome </w:t>
      </w:r>
      <w:r w:rsidR="0077556A" w:rsidRPr="0077659B">
        <w:t xml:space="preserve">and matters identified during our status of records review </w:t>
      </w:r>
      <w:r w:rsidRPr="0077659B">
        <w:t xml:space="preserve">of the </w:t>
      </w:r>
      <w:r w:rsidR="000A318E">
        <w:t>department</w:t>
      </w:r>
      <w:r w:rsidRPr="0077659B">
        <w:t>:</w:t>
      </w:r>
    </w:p>
    <w:p w14:paraId="5C46B1D9" w14:textId="77777777" w:rsidR="000A318E" w:rsidRPr="0077659B" w:rsidRDefault="000A318E" w:rsidP="000A318E">
      <w:pPr>
        <w:pStyle w:val="Numbernormal"/>
        <w:ind w:left="840"/>
      </w:pPr>
    </w:p>
    <w:tbl>
      <w:tblPr>
        <w:tblStyle w:val="TableGrid171"/>
        <w:tblW w:w="5000" w:type="pct"/>
        <w:tblInd w:w="-34" w:type="dxa"/>
        <w:tblLook w:val="04A0" w:firstRow="1" w:lastRow="0" w:firstColumn="1" w:lastColumn="0" w:noHBand="0" w:noVBand="1"/>
      </w:tblPr>
      <w:tblGrid>
        <w:gridCol w:w="3326"/>
        <w:gridCol w:w="4708"/>
        <w:gridCol w:w="1594"/>
      </w:tblGrid>
      <w:tr w:rsidR="00AD5129" w:rsidRPr="0077659B" w14:paraId="04BD6919" w14:textId="77777777" w:rsidTr="000C4D17">
        <w:trPr>
          <w:tblHeader/>
        </w:trPr>
        <w:tc>
          <w:tcPr>
            <w:tcW w:w="1727" w:type="pct"/>
            <w:shd w:val="clear" w:color="auto" w:fill="A6A6A6" w:themeFill="background1" w:themeFillShade="A6"/>
            <w:hideMark/>
          </w:tcPr>
          <w:p w14:paraId="1F21B2B7" w14:textId="77777777" w:rsidR="00AD5129" w:rsidRPr="0077659B" w:rsidRDefault="00AD5129" w:rsidP="000C4D17">
            <w:pPr>
              <w:pStyle w:val="NoSpacing"/>
            </w:pPr>
            <w:r w:rsidRPr="0077659B">
              <w:t>Key stakeholder</w:t>
            </w:r>
          </w:p>
        </w:tc>
        <w:tc>
          <w:tcPr>
            <w:tcW w:w="2445" w:type="pct"/>
            <w:shd w:val="clear" w:color="auto" w:fill="A6A6A6" w:themeFill="background1" w:themeFillShade="A6"/>
            <w:hideMark/>
          </w:tcPr>
          <w:p w14:paraId="6AD1EAFF" w14:textId="77777777" w:rsidR="00AD5129" w:rsidRPr="0077659B" w:rsidRDefault="00AD5129" w:rsidP="000C4D17">
            <w:pPr>
              <w:pStyle w:val="NoSpacing"/>
            </w:pPr>
            <w:r w:rsidRPr="0077659B">
              <w:t>Purpose of interaction</w:t>
            </w:r>
          </w:p>
        </w:tc>
        <w:tc>
          <w:tcPr>
            <w:tcW w:w="828" w:type="pct"/>
            <w:shd w:val="clear" w:color="auto" w:fill="A6A6A6" w:themeFill="background1" w:themeFillShade="A6"/>
            <w:hideMark/>
          </w:tcPr>
          <w:p w14:paraId="123134A5" w14:textId="77777777" w:rsidR="00AD5129" w:rsidRPr="0077659B" w:rsidRDefault="00AD5129" w:rsidP="000C4D17">
            <w:pPr>
              <w:pStyle w:val="NoSpacing"/>
            </w:pPr>
            <w:r w:rsidRPr="0077659B">
              <w:t>Number of interactions</w:t>
            </w:r>
          </w:p>
        </w:tc>
      </w:tr>
      <w:tr w:rsidR="00AD5129" w:rsidRPr="0077659B" w14:paraId="75F76CB4" w14:textId="77777777" w:rsidTr="00087CA0">
        <w:trPr>
          <w:trHeight w:val="255"/>
        </w:trPr>
        <w:tc>
          <w:tcPr>
            <w:tcW w:w="1727" w:type="pct"/>
            <w:shd w:val="clear" w:color="auto" w:fill="D9D9D9" w:themeFill="background1" w:themeFillShade="D9"/>
          </w:tcPr>
          <w:p w14:paraId="71759EAC" w14:textId="77777777" w:rsidR="00AD5129" w:rsidRPr="00BB6EEC" w:rsidRDefault="00375608" w:rsidP="00375608">
            <w:pPr>
              <w:pStyle w:val="Tabletext"/>
              <w:rPr>
                <w:lang w:val="en-ZA"/>
              </w:rPr>
            </w:pPr>
            <w:r>
              <w:rPr>
                <w:lang w:val="en-ZA"/>
              </w:rPr>
              <w:t>P</w:t>
            </w:r>
            <w:r w:rsidR="00AD5129" w:rsidRPr="00BB6EEC">
              <w:rPr>
                <w:lang w:val="en-ZA"/>
              </w:rPr>
              <w:t xml:space="preserve">ortfolio committee on </w:t>
            </w:r>
            <w:r>
              <w:rPr>
                <w:lang w:val="en-ZA"/>
              </w:rPr>
              <w:t>Public Works</w:t>
            </w:r>
          </w:p>
        </w:tc>
        <w:tc>
          <w:tcPr>
            <w:tcW w:w="2445" w:type="pct"/>
          </w:tcPr>
          <w:p w14:paraId="48552E56" w14:textId="77777777" w:rsidR="00AD5129" w:rsidRDefault="00375608" w:rsidP="00223FB6">
            <w:pPr>
              <w:pStyle w:val="Tabletext"/>
              <w:numPr>
                <w:ilvl w:val="0"/>
                <w:numId w:val="27"/>
              </w:numPr>
              <w:ind w:left="278" w:hanging="278"/>
              <w:rPr>
                <w:lang w:val="en-ZA"/>
              </w:rPr>
            </w:pPr>
            <w:r w:rsidRPr="00375608">
              <w:rPr>
                <w:lang w:val="en-ZA"/>
              </w:rPr>
              <w:t>Budgetary review and</w:t>
            </w:r>
            <w:r>
              <w:rPr>
                <w:lang w:val="en-ZA"/>
              </w:rPr>
              <w:t xml:space="preserve"> recommendations report – 201</w:t>
            </w:r>
            <w:r w:rsidRPr="00375608">
              <w:rPr>
                <w:lang w:val="en-ZA"/>
              </w:rPr>
              <w:t>8</w:t>
            </w:r>
            <w:r>
              <w:rPr>
                <w:lang w:val="en-ZA"/>
              </w:rPr>
              <w:t>/19</w:t>
            </w:r>
            <w:r w:rsidRPr="00375608">
              <w:rPr>
                <w:lang w:val="en-ZA"/>
              </w:rPr>
              <w:t xml:space="preserve"> Audit Outcomes and key messages</w:t>
            </w:r>
          </w:p>
          <w:p w14:paraId="06DF6AD8" w14:textId="77777777" w:rsidR="00DD1A72" w:rsidRDefault="00DD1A72" w:rsidP="00223FB6">
            <w:pPr>
              <w:pStyle w:val="Tabletext"/>
              <w:numPr>
                <w:ilvl w:val="0"/>
                <w:numId w:val="27"/>
              </w:numPr>
              <w:ind w:left="278" w:hanging="278"/>
              <w:rPr>
                <w:lang w:val="en-ZA"/>
              </w:rPr>
            </w:pPr>
            <w:r w:rsidRPr="00DD1A72">
              <w:rPr>
                <w:lang w:val="en-ZA"/>
              </w:rPr>
              <w:t xml:space="preserve">Presentation of </w:t>
            </w:r>
            <w:r>
              <w:rPr>
                <w:lang w:val="en-ZA"/>
              </w:rPr>
              <w:t>annual report</w:t>
            </w:r>
            <w:r w:rsidRPr="00DD1A72">
              <w:rPr>
                <w:lang w:val="en-ZA"/>
              </w:rPr>
              <w:t xml:space="preserve"> by the Department</w:t>
            </w:r>
          </w:p>
          <w:p w14:paraId="44128C87" w14:textId="77777777" w:rsidR="00CE3B8A" w:rsidRPr="00BB6EEC" w:rsidRDefault="00DD1A72" w:rsidP="00223FB6">
            <w:pPr>
              <w:pStyle w:val="Tabletext"/>
              <w:numPr>
                <w:ilvl w:val="0"/>
                <w:numId w:val="27"/>
              </w:numPr>
              <w:ind w:left="278" w:hanging="278"/>
              <w:rPr>
                <w:lang w:val="en-ZA"/>
              </w:rPr>
            </w:pPr>
            <w:r>
              <w:rPr>
                <w:lang w:val="en-ZA"/>
              </w:rPr>
              <w:t xml:space="preserve">Oversight visit to </w:t>
            </w:r>
            <w:proofErr w:type="spellStart"/>
            <w:r>
              <w:rPr>
                <w:lang w:val="en-ZA"/>
              </w:rPr>
              <w:t>Beitbridge</w:t>
            </w:r>
            <w:proofErr w:type="spellEnd"/>
          </w:p>
        </w:tc>
        <w:tc>
          <w:tcPr>
            <w:tcW w:w="828" w:type="pct"/>
            <w:vAlign w:val="center"/>
          </w:tcPr>
          <w:p w14:paraId="16A5E964" w14:textId="77777777" w:rsidR="00AD5129" w:rsidRPr="00BB6EEC" w:rsidRDefault="00087CA0" w:rsidP="00087CA0">
            <w:pPr>
              <w:pStyle w:val="Tabletext"/>
              <w:jc w:val="center"/>
              <w:rPr>
                <w:lang w:val="en-ZA"/>
              </w:rPr>
            </w:pPr>
            <w:r>
              <w:rPr>
                <w:lang w:val="en-ZA"/>
              </w:rPr>
              <w:t>3</w:t>
            </w:r>
          </w:p>
        </w:tc>
      </w:tr>
      <w:tr w:rsidR="00AD5129" w:rsidRPr="0077659B" w14:paraId="625A6F12" w14:textId="77777777" w:rsidTr="00087CA0">
        <w:trPr>
          <w:trHeight w:val="255"/>
        </w:trPr>
        <w:tc>
          <w:tcPr>
            <w:tcW w:w="1727" w:type="pct"/>
            <w:shd w:val="clear" w:color="auto" w:fill="D9D9D9" w:themeFill="background1" w:themeFillShade="D9"/>
          </w:tcPr>
          <w:p w14:paraId="30122B41" w14:textId="77777777" w:rsidR="00AD5129" w:rsidRPr="00BB6EEC" w:rsidRDefault="00AD5129" w:rsidP="000C4D17">
            <w:pPr>
              <w:pStyle w:val="Tabletext"/>
              <w:rPr>
                <w:lang w:val="en-ZA"/>
              </w:rPr>
            </w:pPr>
            <w:r w:rsidRPr="00BB6EEC">
              <w:rPr>
                <w:lang w:val="en-ZA"/>
              </w:rPr>
              <w:t>Standing committee on public accounts</w:t>
            </w:r>
          </w:p>
        </w:tc>
        <w:tc>
          <w:tcPr>
            <w:tcW w:w="2445" w:type="pct"/>
          </w:tcPr>
          <w:p w14:paraId="44122BD0" w14:textId="77777777" w:rsidR="00AD5129" w:rsidRDefault="00375608" w:rsidP="00223FB6">
            <w:pPr>
              <w:pStyle w:val="Tabletext"/>
              <w:numPr>
                <w:ilvl w:val="0"/>
                <w:numId w:val="27"/>
              </w:numPr>
              <w:ind w:left="278" w:hanging="278"/>
              <w:rPr>
                <w:lang w:val="en-ZA"/>
              </w:rPr>
            </w:pPr>
            <w:r>
              <w:rPr>
                <w:lang w:val="en-ZA"/>
              </w:rPr>
              <w:t>Annual report hearings</w:t>
            </w:r>
          </w:p>
          <w:p w14:paraId="0827A42E" w14:textId="77777777" w:rsidR="00375608" w:rsidRPr="00BB6EEC" w:rsidRDefault="00375608" w:rsidP="00223FB6">
            <w:pPr>
              <w:pStyle w:val="Tabletext"/>
              <w:numPr>
                <w:ilvl w:val="0"/>
                <w:numId w:val="27"/>
              </w:numPr>
              <w:ind w:left="278" w:hanging="278"/>
              <w:rPr>
                <w:lang w:val="en-ZA"/>
              </w:rPr>
            </w:pPr>
            <w:r>
              <w:rPr>
                <w:lang w:val="en-ZA"/>
              </w:rPr>
              <w:t xml:space="preserve">Oversight visit to </w:t>
            </w:r>
            <w:proofErr w:type="spellStart"/>
            <w:r>
              <w:rPr>
                <w:lang w:val="en-ZA"/>
              </w:rPr>
              <w:t>Beitbridge</w:t>
            </w:r>
            <w:proofErr w:type="spellEnd"/>
          </w:p>
        </w:tc>
        <w:tc>
          <w:tcPr>
            <w:tcW w:w="828" w:type="pct"/>
            <w:vAlign w:val="center"/>
          </w:tcPr>
          <w:p w14:paraId="73D2357A" w14:textId="77777777" w:rsidR="00AD5129" w:rsidRPr="00BB6EEC" w:rsidRDefault="00087CA0" w:rsidP="00087CA0">
            <w:pPr>
              <w:pStyle w:val="Tabletext"/>
              <w:jc w:val="center"/>
              <w:rPr>
                <w:lang w:val="en-ZA"/>
              </w:rPr>
            </w:pPr>
            <w:r>
              <w:rPr>
                <w:lang w:val="en-ZA"/>
              </w:rPr>
              <w:t>2</w:t>
            </w:r>
          </w:p>
        </w:tc>
      </w:tr>
      <w:tr w:rsidR="00AD5129" w:rsidRPr="0077659B" w14:paraId="6A34E59E" w14:textId="77777777" w:rsidTr="00087CA0">
        <w:trPr>
          <w:trHeight w:val="255"/>
        </w:trPr>
        <w:tc>
          <w:tcPr>
            <w:tcW w:w="1727" w:type="pct"/>
            <w:shd w:val="clear" w:color="auto" w:fill="D9D9D9" w:themeFill="background1" w:themeFillShade="D9"/>
          </w:tcPr>
          <w:p w14:paraId="4263F927" w14:textId="77777777" w:rsidR="00AD5129" w:rsidRPr="00BB6EEC" w:rsidRDefault="00DD1A72">
            <w:pPr>
              <w:pStyle w:val="Tabletext"/>
              <w:rPr>
                <w:lang w:val="en-ZA"/>
              </w:rPr>
            </w:pPr>
            <w:r w:rsidRPr="00DD1A72">
              <w:rPr>
                <w:lang w:val="en-ZA"/>
              </w:rPr>
              <w:t>Minister of Public Works</w:t>
            </w:r>
          </w:p>
        </w:tc>
        <w:tc>
          <w:tcPr>
            <w:tcW w:w="2445" w:type="pct"/>
          </w:tcPr>
          <w:p w14:paraId="105A316D" w14:textId="77777777" w:rsidR="00DD1A72" w:rsidRDefault="00DD1A72" w:rsidP="00223FB6">
            <w:pPr>
              <w:pStyle w:val="Tabletext"/>
              <w:numPr>
                <w:ilvl w:val="0"/>
                <w:numId w:val="27"/>
              </w:numPr>
              <w:ind w:left="278" w:hanging="278"/>
              <w:rPr>
                <w:lang w:val="en-ZA"/>
              </w:rPr>
            </w:pPr>
            <w:r>
              <w:rPr>
                <w:lang w:val="en-ZA"/>
              </w:rPr>
              <w:t>Presentation on amendments to Public Audit Act</w:t>
            </w:r>
          </w:p>
          <w:p w14:paraId="6F26D76B" w14:textId="77777777" w:rsidR="00AD5129" w:rsidRDefault="00DD1A72" w:rsidP="00223FB6">
            <w:pPr>
              <w:pStyle w:val="Tabletext"/>
              <w:numPr>
                <w:ilvl w:val="0"/>
                <w:numId w:val="27"/>
              </w:numPr>
              <w:ind w:left="278" w:hanging="278"/>
              <w:rPr>
                <w:lang w:val="en-ZA"/>
              </w:rPr>
            </w:pPr>
            <w:r w:rsidRPr="00DD1A72">
              <w:rPr>
                <w:lang w:val="en-ZA"/>
              </w:rPr>
              <w:t>Presentation on audit outcomes and key messages</w:t>
            </w:r>
          </w:p>
          <w:p w14:paraId="569FFF15" w14:textId="2B4CC286" w:rsidR="00DD1A72" w:rsidRDefault="00DD1A72" w:rsidP="00223FB6">
            <w:pPr>
              <w:pStyle w:val="Tabletext"/>
              <w:numPr>
                <w:ilvl w:val="0"/>
                <w:numId w:val="27"/>
              </w:numPr>
              <w:ind w:left="278" w:hanging="278"/>
              <w:rPr>
                <w:lang w:val="en-ZA"/>
              </w:rPr>
            </w:pPr>
            <w:r w:rsidRPr="00DD1A72">
              <w:rPr>
                <w:lang w:val="en-ZA"/>
              </w:rPr>
              <w:t>Letter was sent to the Minister notifying h</w:t>
            </w:r>
            <w:r w:rsidR="00605E2D">
              <w:rPr>
                <w:lang w:val="en-ZA"/>
              </w:rPr>
              <w:t xml:space="preserve">er </w:t>
            </w:r>
            <w:r w:rsidRPr="00DD1A72">
              <w:rPr>
                <w:lang w:val="en-ZA"/>
              </w:rPr>
              <w:t>of critical matters identified during 2018</w:t>
            </w:r>
            <w:r w:rsidR="00605E2D">
              <w:rPr>
                <w:lang w:val="en-ZA"/>
              </w:rPr>
              <w:t>-19</w:t>
            </w:r>
            <w:r w:rsidRPr="00DD1A72">
              <w:rPr>
                <w:lang w:val="en-ZA"/>
              </w:rPr>
              <w:t xml:space="preserve"> audit which should be addressed to improved outcomes within Public Works Portfolio</w:t>
            </w:r>
          </w:p>
          <w:p w14:paraId="08BD36C0" w14:textId="77777777" w:rsidR="00605E2D" w:rsidRDefault="00605E2D" w:rsidP="00223FB6">
            <w:pPr>
              <w:pStyle w:val="Tabletext"/>
              <w:numPr>
                <w:ilvl w:val="0"/>
                <w:numId w:val="27"/>
              </w:numPr>
              <w:ind w:left="278" w:hanging="278"/>
              <w:rPr>
                <w:lang w:val="en-ZA"/>
              </w:rPr>
            </w:pPr>
            <w:r>
              <w:rPr>
                <w:lang w:val="en-ZA"/>
              </w:rPr>
              <w:t>Discussion on scope of COVID-19 special audit to be undertaken</w:t>
            </w:r>
          </w:p>
          <w:p w14:paraId="4023263F" w14:textId="5DA578DE" w:rsidR="00605E2D" w:rsidRPr="00BB6EEC" w:rsidRDefault="00605E2D" w:rsidP="00223FB6">
            <w:pPr>
              <w:pStyle w:val="Tabletext"/>
              <w:numPr>
                <w:ilvl w:val="0"/>
                <w:numId w:val="27"/>
              </w:numPr>
              <w:ind w:left="278" w:hanging="278"/>
              <w:rPr>
                <w:lang w:val="en-ZA"/>
              </w:rPr>
            </w:pPr>
            <w:r>
              <w:rPr>
                <w:lang w:val="en-ZA"/>
              </w:rPr>
              <w:t>Audit progress on COVID-19 special audit</w:t>
            </w:r>
          </w:p>
        </w:tc>
        <w:tc>
          <w:tcPr>
            <w:tcW w:w="828" w:type="pct"/>
            <w:vAlign w:val="center"/>
          </w:tcPr>
          <w:p w14:paraId="1F7F1AD3" w14:textId="3ACF6BF7" w:rsidR="00AD5129" w:rsidRPr="00BB6EEC" w:rsidRDefault="00605E2D" w:rsidP="00087CA0">
            <w:pPr>
              <w:pStyle w:val="Tabletext"/>
              <w:jc w:val="center"/>
              <w:rPr>
                <w:lang w:val="en-ZA"/>
              </w:rPr>
            </w:pPr>
            <w:r>
              <w:rPr>
                <w:lang w:val="en-ZA"/>
              </w:rPr>
              <w:t>5</w:t>
            </w:r>
          </w:p>
        </w:tc>
      </w:tr>
      <w:tr w:rsidR="00AD5129" w:rsidRPr="0077659B" w14:paraId="5A4AB94C" w14:textId="77777777" w:rsidTr="00087CA0">
        <w:trPr>
          <w:trHeight w:val="255"/>
        </w:trPr>
        <w:tc>
          <w:tcPr>
            <w:tcW w:w="1727" w:type="pct"/>
            <w:shd w:val="clear" w:color="auto" w:fill="D9D9D9" w:themeFill="background1" w:themeFillShade="D9"/>
          </w:tcPr>
          <w:p w14:paraId="0A59DDDB" w14:textId="77777777" w:rsidR="00AD5129" w:rsidRPr="00BB6EEC" w:rsidRDefault="00DD1A72" w:rsidP="00DD1A72">
            <w:pPr>
              <w:pStyle w:val="Tabletext"/>
              <w:rPr>
                <w:lang w:val="en-ZA"/>
              </w:rPr>
            </w:pPr>
            <w:r>
              <w:rPr>
                <w:lang w:val="en-ZA"/>
              </w:rPr>
              <w:t>Director-general</w:t>
            </w:r>
          </w:p>
        </w:tc>
        <w:tc>
          <w:tcPr>
            <w:tcW w:w="2445" w:type="pct"/>
          </w:tcPr>
          <w:p w14:paraId="34A0CCE9" w14:textId="77777777" w:rsidR="00DD1A72" w:rsidRDefault="00DD1A72" w:rsidP="00223FB6">
            <w:pPr>
              <w:pStyle w:val="Tabletext"/>
              <w:numPr>
                <w:ilvl w:val="0"/>
                <w:numId w:val="27"/>
              </w:numPr>
              <w:ind w:left="278" w:hanging="278"/>
              <w:rPr>
                <w:lang w:val="en-ZA"/>
              </w:rPr>
            </w:pPr>
            <w:r>
              <w:rPr>
                <w:lang w:val="en-ZA"/>
              </w:rPr>
              <w:t>Presentation on amendments to Public Audit Act</w:t>
            </w:r>
          </w:p>
          <w:p w14:paraId="17E1E2E2" w14:textId="77777777" w:rsidR="00DD1A72" w:rsidRPr="00DD1A72" w:rsidRDefault="00DD1A72" w:rsidP="00223FB6">
            <w:pPr>
              <w:pStyle w:val="Tabletext"/>
              <w:numPr>
                <w:ilvl w:val="0"/>
                <w:numId w:val="27"/>
              </w:numPr>
              <w:ind w:left="278" w:hanging="278"/>
              <w:rPr>
                <w:lang w:val="en-ZA"/>
              </w:rPr>
            </w:pPr>
            <w:r w:rsidRPr="00DD1A72">
              <w:rPr>
                <w:lang w:val="en-ZA"/>
              </w:rPr>
              <w:t>Detail discussion on quarterly Status of Records review and presentation of engagement letter and audit Strategy</w:t>
            </w:r>
          </w:p>
          <w:p w14:paraId="4FC9C294" w14:textId="77777777" w:rsidR="00DD1A72" w:rsidRPr="00DD1A72" w:rsidRDefault="00DD1A72" w:rsidP="00223FB6">
            <w:pPr>
              <w:pStyle w:val="Tabletext"/>
              <w:numPr>
                <w:ilvl w:val="0"/>
                <w:numId w:val="27"/>
              </w:numPr>
              <w:ind w:left="278" w:hanging="278"/>
              <w:rPr>
                <w:lang w:val="en-ZA"/>
              </w:rPr>
            </w:pPr>
            <w:r w:rsidRPr="00DD1A72">
              <w:rPr>
                <w:lang w:val="en-ZA"/>
              </w:rPr>
              <w:t>Audit progress of the Public works portfolio</w:t>
            </w:r>
          </w:p>
          <w:p w14:paraId="0A3A96BD" w14:textId="77777777" w:rsidR="00DD1A72" w:rsidRPr="00DD1A72" w:rsidRDefault="00DD1A72" w:rsidP="00223FB6">
            <w:pPr>
              <w:pStyle w:val="Tabletext"/>
              <w:numPr>
                <w:ilvl w:val="0"/>
                <w:numId w:val="27"/>
              </w:numPr>
              <w:ind w:left="278" w:hanging="278"/>
              <w:rPr>
                <w:lang w:val="en-ZA"/>
              </w:rPr>
            </w:pPr>
            <w:r w:rsidRPr="00DD1A72">
              <w:rPr>
                <w:lang w:val="en-ZA"/>
              </w:rPr>
              <w:t xml:space="preserve">Messages relating to </w:t>
            </w:r>
            <w:r>
              <w:rPr>
                <w:lang w:val="en-ZA"/>
              </w:rPr>
              <w:t>COVID-19 special audits</w:t>
            </w:r>
          </w:p>
          <w:p w14:paraId="04B58484" w14:textId="77777777" w:rsidR="00DD1A72" w:rsidRPr="00DD1A72" w:rsidRDefault="00DD1A72" w:rsidP="00223FB6">
            <w:pPr>
              <w:pStyle w:val="Tabletext"/>
              <w:numPr>
                <w:ilvl w:val="0"/>
                <w:numId w:val="27"/>
              </w:numPr>
              <w:ind w:left="278" w:hanging="278"/>
              <w:rPr>
                <w:lang w:val="en-ZA"/>
              </w:rPr>
            </w:pPr>
            <w:r>
              <w:rPr>
                <w:lang w:val="en-ZA"/>
              </w:rPr>
              <w:t>Discussion on material irregularities identified</w:t>
            </w:r>
          </w:p>
          <w:p w14:paraId="42A963BD" w14:textId="77777777" w:rsidR="00AD5129" w:rsidRPr="00DD1A72" w:rsidRDefault="00DD1A72" w:rsidP="00223FB6">
            <w:pPr>
              <w:pStyle w:val="Tabletext"/>
              <w:numPr>
                <w:ilvl w:val="0"/>
                <w:numId w:val="27"/>
              </w:numPr>
              <w:ind w:left="278" w:hanging="278"/>
              <w:rPr>
                <w:lang w:val="en-ZA"/>
              </w:rPr>
            </w:pPr>
            <w:r>
              <w:rPr>
                <w:lang w:val="en-ZA"/>
              </w:rPr>
              <w:t>Follow up on completed investigations</w:t>
            </w:r>
          </w:p>
        </w:tc>
        <w:tc>
          <w:tcPr>
            <w:tcW w:w="828" w:type="pct"/>
            <w:vAlign w:val="center"/>
          </w:tcPr>
          <w:p w14:paraId="776434CE" w14:textId="77777777" w:rsidR="00AD5129" w:rsidRPr="00BB6EEC" w:rsidRDefault="00087CA0" w:rsidP="00087CA0">
            <w:pPr>
              <w:pStyle w:val="Tabletext"/>
              <w:jc w:val="center"/>
              <w:rPr>
                <w:lang w:val="en-ZA"/>
              </w:rPr>
            </w:pPr>
            <w:r>
              <w:rPr>
                <w:lang w:val="en-ZA"/>
              </w:rPr>
              <w:t>6</w:t>
            </w:r>
          </w:p>
        </w:tc>
      </w:tr>
      <w:tr w:rsidR="00AD5129" w:rsidRPr="0077659B" w14:paraId="42957953" w14:textId="77777777" w:rsidTr="00087CA0">
        <w:trPr>
          <w:trHeight w:val="255"/>
        </w:trPr>
        <w:tc>
          <w:tcPr>
            <w:tcW w:w="1727" w:type="pct"/>
            <w:shd w:val="clear" w:color="auto" w:fill="D9D9D9" w:themeFill="background1" w:themeFillShade="D9"/>
          </w:tcPr>
          <w:p w14:paraId="7FB37930" w14:textId="77777777" w:rsidR="00AD5129" w:rsidRPr="00BB6EEC" w:rsidRDefault="00AD5129" w:rsidP="000C4D17">
            <w:pPr>
              <w:pStyle w:val="Tabletext"/>
              <w:rPr>
                <w:lang w:val="en-ZA"/>
              </w:rPr>
            </w:pPr>
            <w:r w:rsidRPr="00BB6EEC">
              <w:rPr>
                <w:lang w:val="en-ZA"/>
              </w:rPr>
              <w:t>Audit committee</w:t>
            </w:r>
          </w:p>
        </w:tc>
        <w:tc>
          <w:tcPr>
            <w:tcW w:w="2445" w:type="pct"/>
          </w:tcPr>
          <w:p w14:paraId="307E6049" w14:textId="4D22870A" w:rsidR="00605E2D" w:rsidRDefault="00605E2D" w:rsidP="00223FB6">
            <w:pPr>
              <w:pStyle w:val="Tabletext"/>
              <w:numPr>
                <w:ilvl w:val="0"/>
                <w:numId w:val="27"/>
              </w:numPr>
              <w:ind w:left="278" w:hanging="278"/>
              <w:rPr>
                <w:lang w:val="en-ZA"/>
              </w:rPr>
            </w:pPr>
            <w:r>
              <w:rPr>
                <w:lang w:val="en-ZA"/>
              </w:rPr>
              <w:t>Presentation on amendments to Public Audit Act</w:t>
            </w:r>
          </w:p>
          <w:p w14:paraId="233D2BD0" w14:textId="558D8043" w:rsidR="00DD1A72" w:rsidRPr="00DD1A72" w:rsidRDefault="00DD1A72" w:rsidP="00223FB6">
            <w:pPr>
              <w:pStyle w:val="Tabletext"/>
              <w:numPr>
                <w:ilvl w:val="0"/>
                <w:numId w:val="27"/>
              </w:numPr>
              <w:ind w:left="278" w:hanging="278"/>
              <w:rPr>
                <w:lang w:val="en-ZA"/>
              </w:rPr>
            </w:pPr>
            <w:r w:rsidRPr="00DD1A72">
              <w:rPr>
                <w:lang w:val="en-ZA"/>
              </w:rPr>
              <w:lastRenderedPageBreak/>
              <w:t xml:space="preserve">Presentation of quarterly </w:t>
            </w:r>
            <w:r w:rsidR="00087CA0">
              <w:rPr>
                <w:lang w:val="en-ZA"/>
              </w:rPr>
              <w:t>S</w:t>
            </w:r>
            <w:r w:rsidRPr="00DD1A72">
              <w:rPr>
                <w:lang w:val="en-ZA"/>
              </w:rPr>
              <w:t>tatus of Records Review</w:t>
            </w:r>
          </w:p>
          <w:p w14:paraId="7CC68A53" w14:textId="77777777" w:rsidR="00DD1A72" w:rsidRPr="00DD1A72" w:rsidRDefault="00DD1A72" w:rsidP="00223FB6">
            <w:pPr>
              <w:pStyle w:val="Tabletext"/>
              <w:numPr>
                <w:ilvl w:val="0"/>
                <w:numId w:val="27"/>
              </w:numPr>
              <w:ind w:left="278" w:hanging="278"/>
              <w:rPr>
                <w:lang w:val="en-ZA"/>
              </w:rPr>
            </w:pPr>
            <w:r w:rsidRPr="00DD1A72">
              <w:rPr>
                <w:lang w:val="en-ZA"/>
              </w:rPr>
              <w:t>Presenting the engagement letter and audit strategy</w:t>
            </w:r>
          </w:p>
          <w:p w14:paraId="67B58218" w14:textId="77777777" w:rsidR="00DD1A72" w:rsidRPr="00DD1A72" w:rsidRDefault="00DD1A72" w:rsidP="00223FB6">
            <w:pPr>
              <w:pStyle w:val="Tabletext"/>
              <w:numPr>
                <w:ilvl w:val="0"/>
                <w:numId w:val="27"/>
              </w:numPr>
              <w:ind w:left="278" w:hanging="278"/>
              <w:rPr>
                <w:lang w:val="en-ZA"/>
              </w:rPr>
            </w:pPr>
            <w:r w:rsidRPr="00DD1A72">
              <w:rPr>
                <w:lang w:val="en-ZA"/>
              </w:rPr>
              <w:t>Approval of the Department’s Annual Financial Statements</w:t>
            </w:r>
          </w:p>
          <w:p w14:paraId="394CBAF2" w14:textId="2CF2CB86" w:rsidR="00DD1A72" w:rsidRDefault="00DD1A72" w:rsidP="00223FB6">
            <w:pPr>
              <w:pStyle w:val="Tabletext"/>
              <w:numPr>
                <w:ilvl w:val="0"/>
                <w:numId w:val="27"/>
              </w:numPr>
              <w:ind w:left="278" w:hanging="278"/>
              <w:rPr>
                <w:lang w:val="en-ZA"/>
              </w:rPr>
            </w:pPr>
            <w:r w:rsidRPr="00DD1A72">
              <w:rPr>
                <w:lang w:val="en-ZA"/>
              </w:rPr>
              <w:t>Presentation of interim management report</w:t>
            </w:r>
          </w:p>
          <w:p w14:paraId="797698FC" w14:textId="0069055F" w:rsidR="00605E2D" w:rsidRPr="00DD1A72" w:rsidRDefault="00605E2D" w:rsidP="00223FB6">
            <w:pPr>
              <w:pStyle w:val="Tabletext"/>
              <w:numPr>
                <w:ilvl w:val="0"/>
                <w:numId w:val="27"/>
              </w:numPr>
              <w:ind w:left="278" w:hanging="278"/>
              <w:rPr>
                <w:lang w:val="en-ZA"/>
              </w:rPr>
            </w:pPr>
            <w:r>
              <w:rPr>
                <w:lang w:val="en-ZA"/>
              </w:rPr>
              <w:t>Closed session between audit team and audit committee</w:t>
            </w:r>
          </w:p>
          <w:p w14:paraId="4FACA2CA" w14:textId="77777777" w:rsidR="00AD5129" w:rsidRPr="00BB6EEC" w:rsidRDefault="00AD5129" w:rsidP="000C4D17">
            <w:pPr>
              <w:pStyle w:val="Tabletext"/>
              <w:rPr>
                <w:lang w:val="en-ZA"/>
              </w:rPr>
            </w:pPr>
          </w:p>
        </w:tc>
        <w:tc>
          <w:tcPr>
            <w:tcW w:w="828" w:type="pct"/>
            <w:vAlign w:val="center"/>
          </w:tcPr>
          <w:p w14:paraId="2CEE0729" w14:textId="426DC20A" w:rsidR="00AD5129" w:rsidRPr="00BB6EEC" w:rsidRDefault="00605E2D" w:rsidP="00087CA0">
            <w:pPr>
              <w:pStyle w:val="Tabletext"/>
              <w:jc w:val="center"/>
              <w:rPr>
                <w:lang w:val="en-ZA"/>
              </w:rPr>
            </w:pPr>
            <w:r>
              <w:rPr>
                <w:lang w:val="en-ZA"/>
              </w:rPr>
              <w:lastRenderedPageBreak/>
              <w:t>6</w:t>
            </w:r>
          </w:p>
        </w:tc>
      </w:tr>
    </w:tbl>
    <w:p w14:paraId="7B5C3F4A" w14:textId="77777777" w:rsidR="00C22F2B" w:rsidRPr="0077659B" w:rsidRDefault="00C22F2B" w:rsidP="00C22F2B">
      <w:pPr>
        <w:shd w:val="clear" w:color="auto" w:fill="FFFFFF"/>
        <w:spacing w:line="240" w:lineRule="auto"/>
        <w:ind w:left="709"/>
        <w:rPr>
          <w:rFonts w:eastAsia="Times New Roman" w:cs="Arial"/>
        </w:rPr>
      </w:pPr>
    </w:p>
    <w:p w14:paraId="1CF4E76E" w14:textId="77777777" w:rsidR="00F110DC" w:rsidRPr="0077659B" w:rsidRDefault="00F110DC" w:rsidP="00223FB6">
      <w:pPr>
        <w:pStyle w:val="Numbernormal"/>
        <w:numPr>
          <w:ilvl w:val="0"/>
          <w:numId w:val="26"/>
        </w:numPr>
      </w:pPr>
      <w:r w:rsidRPr="0077659B">
        <w:t xml:space="preserve">At these </w:t>
      </w:r>
      <w:r w:rsidR="00087CA0">
        <w:t xml:space="preserve">interactions, we </w:t>
      </w:r>
      <w:r w:rsidRPr="0077659B">
        <w:t>shared the following key matters affecting audit outcomes and the auditee:</w:t>
      </w:r>
    </w:p>
    <w:p w14:paraId="7A5F3003" w14:textId="77777777" w:rsidR="00087CA0" w:rsidRPr="00156F9E" w:rsidRDefault="00087CA0" w:rsidP="00087CA0">
      <w:pPr>
        <w:numPr>
          <w:ilvl w:val="0"/>
          <w:numId w:val="8"/>
        </w:numPr>
        <w:spacing w:after="240" w:line="240" w:lineRule="auto"/>
        <w:ind w:left="567"/>
        <w:contextualSpacing/>
        <w:jc w:val="both"/>
        <w:rPr>
          <w:rFonts w:eastAsia="Calibri" w:cs="Arial"/>
        </w:rPr>
      </w:pPr>
      <w:r>
        <w:rPr>
          <w:rFonts w:eastAsia="Calibri" w:cs="Arial"/>
        </w:rPr>
        <w:t xml:space="preserve">The status of key controls of the Department of Public Works and Infrastructure (DPWI) and its entities (PMTE, IDT, CBE, CIDB, ASA and ECSA) </w:t>
      </w:r>
      <w:proofErr w:type="gramStart"/>
      <w:r>
        <w:rPr>
          <w:rFonts w:eastAsia="Calibri" w:cs="Arial"/>
        </w:rPr>
        <w:t>were discussed</w:t>
      </w:r>
      <w:proofErr w:type="gramEnd"/>
      <w:r>
        <w:rPr>
          <w:rFonts w:eastAsia="Calibri" w:cs="Arial"/>
        </w:rPr>
        <w:t xml:space="preserve"> with the Portfolio Committee. </w:t>
      </w:r>
    </w:p>
    <w:p w14:paraId="30C1E71D" w14:textId="77777777" w:rsidR="00087CA0" w:rsidRPr="00F0451C" w:rsidRDefault="00087CA0" w:rsidP="00087CA0">
      <w:pPr>
        <w:numPr>
          <w:ilvl w:val="0"/>
          <w:numId w:val="8"/>
        </w:numPr>
        <w:spacing w:after="240" w:line="240" w:lineRule="auto"/>
        <w:ind w:left="567"/>
        <w:contextualSpacing/>
        <w:jc w:val="both"/>
        <w:rPr>
          <w:rFonts w:eastAsia="Calibri" w:cs="Arial"/>
        </w:rPr>
      </w:pPr>
      <w:r w:rsidRPr="001E37CD">
        <w:rPr>
          <w:rFonts w:eastAsia="Calibri" w:cs="Arial"/>
        </w:rPr>
        <w:t>Terms of the engagement for the current year 201</w:t>
      </w:r>
      <w:r>
        <w:rPr>
          <w:rFonts w:eastAsia="Calibri" w:cs="Arial"/>
        </w:rPr>
        <w:t>9/20</w:t>
      </w:r>
      <w:r w:rsidRPr="001E37CD">
        <w:rPr>
          <w:rFonts w:eastAsia="Calibri" w:cs="Arial"/>
        </w:rPr>
        <w:t xml:space="preserve"> audit cycle </w:t>
      </w:r>
      <w:r w:rsidRPr="001E37CD">
        <w:rPr>
          <w:rFonts w:cs="Arial"/>
        </w:rPr>
        <w:t xml:space="preserve">with specific emphasis on the </w:t>
      </w:r>
      <w:r>
        <w:rPr>
          <w:rFonts w:cs="Arial"/>
        </w:rPr>
        <w:t>amendments to the Public</w:t>
      </w:r>
      <w:r>
        <w:rPr>
          <w:rFonts w:eastAsia="Calibri" w:cs="Arial"/>
        </w:rPr>
        <w:t xml:space="preserve"> Audit Act, and its impact on the audit of DPWI</w:t>
      </w:r>
    </w:p>
    <w:p w14:paraId="19CC1F7A" w14:textId="77777777" w:rsidR="00087CA0" w:rsidRPr="004E6E14" w:rsidRDefault="00087CA0" w:rsidP="00087CA0">
      <w:pPr>
        <w:numPr>
          <w:ilvl w:val="0"/>
          <w:numId w:val="8"/>
        </w:numPr>
        <w:spacing w:after="240" w:line="240" w:lineRule="auto"/>
        <w:ind w:left="567"/>
        <w:contextualSpacing/>
        <w:jc w:val="both"/>
        <w:rPr>
          <w:rFonts w:eastAsia="Calibri" w:cs="Arial"/>
        </w:rPr>
      </w:pPr>
      <w:r>
        <w:rPr>
          <w:rFonts w:cs="Arial"/>
        </w:rPr>
        <w:t>O</w:t>
      </w:r>
      <w:r w:rsidRPr="004E6E14">
        <w:rPr>
          <w:rFonts w:cs="Arial"/>
        </w:rPr>
        <w:t xml:space="preserve">verall audit strategy including the proposed nature, timing and extent of audit procedures to </w:t>
      </w:r>
      <w:proofErr w:type="gramStart"/>
      <w:r>
        <w:rPr>
          <w:rFonts w:cs="Arial"/>
        </w:rPr>
        <w:t>be performed</w:t>
      </w:r>
      <w:proofErr w:type="gramEnd"/>
      <w:r>
        <w:rPr>
          <w:rFonts w:cs="Arial"/>
        </w:rPr>
        <w:t>, risk assessment (i</w:t>
      </w:r>
      <w:r w:rsidRPr="004E6E14">
        <w:rPr>
          <w:rFonts w:cs="Arial"/>
        </w:rPr>
        <w:t>ncluding fraud risk assessment) and the effectiveness of internal control</w:t>
      </w:r>
      <w:r>
        <w:rPr>
          <w:rFonts w:cs="Arial"/>
        </w:rPr>
        <w:t>. Included in this discussion was the impact on COVID-19 on the audit scope for 2019/20 audit cycle.</w:t>
      </w:r>
    </w:p>
    <w:p w14:paraId="46E039ED" w14:textId="77777777" w:rsidR="00087CA0" w:rsidRPr="00087CA0" w:rsidRDefault="00087CA0" w:rsidP="00087CA0">
      <w:pPr>
        <w:numPr>
          <w:ilvl w:val="0"/>
          <w:numId w:val="8"/>
        </w:numPr>
        <w:spacing w:after="240" w:line="240" w:lineRule="auto"/>
        <w:ind w:left="567"/>
        <w:contextualSpacing/>
        <w:jc w:val="both"/>
        <w:rPr>
          <w:rFonts w:eastAsia="Calibri" w:cs="Arial"/>
        </w:rPr>
      </w:pPr>
      <w:r>
        <w:rPr>
          <w:rFonts w:eastAsia="Calibri" w:cs="Arial"/>
        </w:rPr>
        <w:t xml:space="preserve">Material irregularities </w:t>
      </w:r>
      <w:proofErr w:type="gramStart"/>
      <w:r>
        <w:rPr>
          <w:rFonts w:eastAsia="Calibri" w:cs="Arial"/>
        </w:rPr>
        <w:t>were discussed</w:t>
      </w:r>
      <w:proofErr w:type="gramEnd"/>
      <w:r>
        <w:rPr>
          <w:rFonts w:eastAsia="Calibri" w:cs="Arial"/>
        </w:rPr>
        <w:t xml:space="preserve"> with the director-general as and when they were identified.</w:t>
      </w:r>
    </w:p>
    <w:p w14:paraId="231B1231" w14:textId="77777777" w:rsidR="00087CA0" w:rsidRDefault="00087CA0" w:rsidP="00087CA0">
      <w:pPr>
        <w:numPr>
          <w:ilvl w:val="0"/>
          <w:numId w:val="8"/>
        </w:numPr>
        <w:spacing w:after="240" w:line="240" w:lineRule="auto"/>
        <w:ind w:left="567"/>
        <w:contextualSpacing/>
        <w:jc w:val="both"/>
        <w:rPr>
          <w:rFonts w:eastAsia="Calibri" w:cs="Arial"/>
        </w:rPr>
      </w:pPr>
      <w:r w:rsidRPr="004E6E14">
        <w:rPr>
          <w:rFonts w:cs="Arial"/>
        </w:rPr>
        <w:t xml:space="preserve">Audit progress and findings </w:t>
      </w:r>
      <w:proofErr w:type="gramStart"/>
      <w:r w:rsidRPr="004E6E14">
        <w:rPr>
          <w:rFonts w:cs="Arial"/>
        </w:rPr>
        <w:t>were discussed</w:t>
      </w:r>
      <w:proofErr w:type="gramEnd"/>
      <w:r w:rsidRPr="004E6E14">
        <w:rPr>
          <w:rFonts w:cs="Arial"/>
        </w:rPr>
        <w:t xml:space="preserve"> on a continuous basis</w:t>
      </w:r>
      <w:r>
        <w:rPr>
          <w:rFonts w:cs="Arial"/>
        </w:rPr>
        <w:t xml:space="preserve">. </w:t>
      </w:r>
      <w:r>
        <w:rPr>
          <w:rFonts w:eastAsia="Calibri" w:cs="Arial"/>
        </w:rPr>
        <w:t xml:space="preserve">The key issues discussed for DPWI related to EPWP.  </w:t>
      </w:r>
    </w:p>
    <w:p w14:paraId="60959427" w14:textId="77777777" w:rsidR="00087CA0" w:rsidRDefault="00087CA0" w:rsidP="00087CA0">
      <w:pPr>
        <w:numPr>
          <w:ilvl w:val="0"/>
          <w:numId w:val="8"/>
        </w:numPr>
        <w:spacing w:after="240" w:line="240" w:lineRule="auto"/>
        <w:ind w:left="567"/>
        <w:contextualSpacing/>
        <w:jc w:val="both"/>
        <w:rPr>
          <w:rFonts w:eastAsia="Calibri" w:cs="Arial"/>
        </w:rPr>
      </w:pPr>
      <w:r>
        <w:rPr>
          <w:rFonts w:eastAsia="Calibri" w:cs="Arial"/>
        </w:rPr>
        <w:t>Interim management report was presented</w:t>
      </w:r>
    </w:p>
    <w:p w14:paraId="65617867" w14:textId="77777777" w:rsidR="00F110DC" w:rsidRPr="0077659B" w:rsidRDefault="00087CA0" w:rsidP="00223FB6">
      <w:pPr>
        <w:pStyle w:val="Numbernormal"/>
        <w:numPr>
          <w:ilvl w:val="0"/>
          <w:numId w:val="26"/>
        </w:numPr>
      </w:pPr>
      <w:r w:rsidRPr="0077659B">
        <w:t xml:space="preserve"> </w:t>
      </w:r>
      <w:r>
        <w:t>Some</w:t>
      </w:r>
      <w:r w:rsidR="00F110DC" w:rsidRPr="0077659B">
        <w:t xml:space="preserve"> stakeholders made commitments to implement initiatives that can maintain/improve the audit outcome. The commitments given and the progress of previous commitments are included in section</w:t>
      </w:r>
      <w:r w:rsidR="00C64231" w:rsidRPr="0077659B">
        <w:t xml:space="preserve"> 3.2</w:t>
      </w:r>
      <w:r w:rsidR="00F110DC" w:rsidRPr="0077659B">
        <w:t>, which deals with the assessment of assurance providers.</w:t>
      </w:r>
    </w:p>
    <w:p w14:paraId="6754F842" w14:textId="77777777" w:rsidR="00C22F2B" w:rsidRPr="0077659B" w:rsidRDefault="00C22F2B" w:rsidP="00C22F2B">
      <w:pPr>
        <w:shd w:val="clear" w:color="auto" w:fill="FFFFFF"/>
        <w:spacing w:line="240" w:lineRule="auto"/>
        <w:rPr>
          <w:rFonts w:eastAsia="Times New Roman" w:cs="Arial"/>
        </w:rPr>
      </w:pPr>
    </w:p>
    <w:p w14:paraId="41C4EAF2" w14:textId="77777777" w:rsidR="00C22F2B" w:rsidRPr="0077659B" w:rsidRDefault="00C22F2B" w:rsidP="005674DC">
      <w:pPr>
        <w:numPr>
          <w:ilvl w:val="0"/>
          <w:numId w:val="6"/>
        </w:numPr>
        <w:shd w:val="clear" w:color="auto" w:fill="FFFFFF"/>
        <w:spacing w:line="240" w:lineRule="auto"/>
        <w:rPr>
          <w:rFonts w:eastAsia="Times New Roman" w:cs="Arial"/>
        </w:rPr>
        <w:sectPr w:rsidR="00C22F2B" w:rsidRPr="0077659B" w:rsidSect="00C12C2B">
          <w:endnotePr>
            <w:numFmt w:val="decimal"/>
          </w:endnotePr>
          <w:pgSz w:w="11906" w:h="16838" w:code="9"/>
          <w:pgMar w:top="1245" w:right="1134" w:bottom="1134" w:left="1134" w:header="1134" w:footer="709" w:gutter="0"/>
          <w:cols w:space="708"/>
          <w:docGrid w:linePitch="360"/>
        </w:sectPr>
      </w:pPr>
    </w:p>
    <w:p w14:paraId="3A762021" w14:textId="77777777" w:rsidR="00253FDE" w:rsidRPr="0077659B" w:rsidRDefault="00253FDE" w:rsidP="000C4D17">
      <w:pPr>
        <w:pStyle w:val="Heading2"/>
      </w:pPr>
      <w:bookmarkStart w:id="13" w:name="_Toc447106583"/>
      <w:bookmarkStart w:id="14" w:name="_Toc51154069"/>
      <w:bookmarkStart w:id="15" w:name="_Toc447106584"/>
      <w:r w:rsidRPr="0077659B">
        <w:lastRenderedPageBreak/>
        <w:t>SECTION 2: Matters relating to the auditor’s report</w:t>
      </w:r>
      <w:bookmarkEnd w:id="13"/>
      <w:bookmarkEnd w:id="14"/>
    </w:p>
    <w:p w14:paraId="60BB6023" w14:textId="77777777" w:rsidR="00C22F2B" w:rsidRPr="00BB6EEC" w:rsidRDefault="00BA71FA" w:rsidP="00A3735E">
      <w:pPr>
        <w:pStyle w:val="Heading3"/>
        <w:rPr>
          <w:lang w:val="en-ZA"/>
        </w:rPr>
      </w:pPr>
      <w:bookmarkStart w:id="16" w:name="_Toc51154070"/>
      <w:r w:rsidRPr="00BB6EEC">
        <w:rPr>
          <w:lang w:val="en-ZA"/>
        </w:rPr>
        <w:t xml:space="preserve">AUDIT OF </w:t>
      </w:r>
      <w:r w:rsidR="006A4063" w:rsidRPr="00BB6EEC">
        <w:rPr>
          <w:lang w:val="en-ZA"/>
        </w:rPr>
        <w:t>THE</w:t>
      </w:r>
      <w:r w:rsidR="008E1830" w:rsidRPr="00BB6EEC">
        <w:rPr>
          <w:lang w:val="en-ZA"/>
        </w:rPr>
        <w:t xml:space="preserve"> </w:t>
      </w:r>
      <w:r w:rsidR="00C22F2B" w:rsidRPr="00BB6EEC">
        <w:rPr>
          <w:lang w:val="en-ZA"/>
        </w:rPr>
        <w:t>FINANCIAL STATEMENTS</w:t>
      </w:r>
      <w:bookmarkEnd w:id="15"/>
      <w:bookmarkEnd w:id="16"/>
      <w:r w:rsidR="00C22F2B" w:rsidRPr="00BB6EEC">
        <w:rPr>
          <w:lang w:val="en-ZA"/>
        </w:rPr>
        <w:t xml:space="preserve"> </w:t>
      </w:r>
    </w:p>
    <w:p w14:paraId="0F6409DE" w14:textId="77777777" w:rsidR="00C22F2B" w:rsidRPr="0077659B" w:rsidRDefault="00C22F2B" w:rsidP="00223FB6">
      <w:pPr>
        <w:pStyle w:val="Numbernormal"/>
        <w:numPr>
          <w:ilvl w:val="0"/>
          <w:numId w:val="26"/>
        </w:numPr>
      </w:pPr>
      <w:r w:rsidRPr="0077659B">
        <w:t xml:space="preserve">We identified material misstatements in the financial statements during the audit. These misstatements </w:t>
      </w:r>
      <w:proofErr w:type="gramStart"/>
      <w:r w:rsidRPr="0077659B">
        <w:t xml:space="preserve">were not prevented or detected by the </w:t>
      </w:r>
      <w:r w:rsidR="00087CA0">
        <w:t>department’s system of internal control</w:t>
      </w:r>
      <w:proofErr w:type="gramEnd"/>
      <w:r w:rsidR="00087CA0">
        <w:t>.</w:t>
      </w:r>
    </w:p>
    <w:p w14:paraId="0BDB3363" w14:textId="77777777" w:rsidR="00C22F2B" w:rsidRPr="0077659B" w:rsidRDefault="00C22F2B" w:rsidP="000913DD">
      <w:pPr>
        <w:pStyle w:val="Numbernormal"/>
        <w:ind w:left="480"/>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5494"/>
        <w:gridCol w:w="2256"/>
        <w:gridCol w:w="2116"/>
        <w:gridCol w:w="2186"/>
      </w:tblGrid>
      <w:tr w:rsidR="00C22F2B" w:rsidRPr="0077659B" w14:paraId="67D8C6BC" w14:textId="77777777" w:rsidTr="008028BA">
        <w:trPr>
          <w:trHeight w:val="186"/>
          <w:tblHeader/>
        </w:trPr>
        <w:tc>
          <w:tcPr>
            <w:tcW w:w="3526" w:type="pct"/>
            <w:gridSpan w:val="3"/>
            <w:shd w:val="clear" w:color="auto" w:fill="A6A6A6" w:themeFill="background1" w:themeFillShade="A6"/>
          </w:tcPr>
          <w:p w14:paraId="734F171B" w14:textId="77777777" w:rsidR="00C22F2B" w:rsidRPr="0077659B" w:rsidRDefault="00C22F2B" w:rsidP="000C4D17">
            <w:pPr>
              <w:pStyle w:val="NoSpacing"/>
              <w:rPr>
                <w:snapToGrid w:val="0"/>
              </w:rPr>
            </w:pPr>
            <w:r w:rsidRPr="0077659B">
              <w:rPr>
                <w:snapToGrid w:val="0"/>
              </w:rPr>
              <w:t>Material misstatement</w:t>
            </w:r>
          </w:p>
        </w:tc>
        <w:tc>
          <w:tcPr>
            <w:tcW w:w="725" w:type="pct"/>
            <w:vMerge w:val="restart"/>
            <w:shd w:val="clear" w:color="auto" w:fill="BFBFBF" w:themeFill="background1" w:themeFillShade="BF"/>
          </w:tcPr>
          <w:p w14:paraId="3C366537" w14:textId="77777777" w:rsidR="00C22F2B" w:rsidRPr="0077659B" w:rsidRDefault="00C22F2B" w:rsidP="000C4D17">
            <w:pPr>
              <w:pStyle w:val="NoSpacing"/>
              <w:rPr>
                <w:snapToGrid w:val="0"/>
              </w:rPr>
            </w:pPr>
            <w:r w:rsidRPr="0077659B">
              <w:rPr>
                <w:snapToGrid w:val="0"/>
              </w:rPr>
              <w:t>Impact</w:t>
            </w:r>
          </w:p>
          <w:p w14:paraId="0DD5B2F2" w14:textId="77777777" w:rsidR="00C22F2B" w:rsidRPr="0077659B" w:rsidRDefault="00C22F2B" w:rsidP="000C4D17">
            <w:pPr>
              <w:pStyle w:val="NoSpacing"/>
              <w:rPr>
                <w:snapToGrid w:val="0"/>
              </w:rPr>
            </w:pPr>
            <w:r w:rsidRPr="0077659B">
              <w:rPr>
                <w:snapToGrid w:val="0"/>
              </w:rPr>
              <w:t>R</w:t>
            </w:r>
          </w:p>
          <w:p w14:paraId="5A3E97B9" w14:textId="77777777" w:rsidR="00C22F2B" w:rsidRPr="0077659B" w:rsidRDefault="00C22F2B" w:rsidP="000C4D17">
            <w:pPr>
              <w:pStyle w:val="NoSpacing"/>
              <w:rPr>
                <w:snapToGrid w:val="0"/>
              </w:rPr>
            </w:pPr>
            <w:r w:rsidRPr="0077659B">
              <w:rPr>
                <w:snapToGrid w:val="0"/>
              </w:rPr>
              <w:t>current year</w:t>
            </w:r>
          </w:p>
        </w:tc>
        <w:tc>
          <w:tcPr>
            <w:tcW w:w="749" w:type="pct"/>
            <w:vMerge w:val="restart"/>
            <w:shd w:val="clear" w:color="auto" w:fill="BFBFBF" w:themeFill="background1" w:themeFillShade="BF"/>
          </w:tcPr>
          <w:p w14:paraId="2E4F7BAF" w14:textId="77777777" w:rsidR="00C22F2B" w:rsidRPr="0077659B" w:rsidRDefault="00C22F2B" w:rsidP="000C4D17">
            <w:pPr>
              <w:pStyle w:val="NoSpacing"/>
              <w:rPr>
                <w:snapToGrid w:val="0"/>
              </w:rPr>
            </w:pPr>
            <w:r w:rsidRPr="0077659B">
              <w:rPr>
                <w:snapToGrid w:val="0"/>
              </w:rPr>
              <w:t>Impact</w:t>
            </w:r>
          </w:p>
          <w:p w14:paraId="3A48BC7F" w14:textId="77777777" w:rsidR="00C22F2B" w:rsidRPr="0077659B" w:rsidRDefault="00C22F2B" w:rsidP="000C4D17">
            <w:pPr>
              <w:pStyle w:val="NoSpacing"/>
              <w:rPr>
                <w:snapToGrid w:val="0"/>
              </w:rPr>
            </w:pPr>
            <w:r w:rsidRPr="0077659B">
              <w:rPr>
                <w:snapToGrid w:val="0"/>
              </w:rPr>
              <w:t>R</w:t>
            </w:r>
          </w:p>
          <w:p w14:paraId="13741866" w14:textId="77777777" w:rsidR="00C22F2B" w:rsidRPr="0077659B" w:rsidRDefault="00C22F2B" w:rsidP="000C4D17">
            <w:pPr>
              <w:pStyle w:val="NoSpacing"/>
              <w:rPr>
                <w:snapToGrid w:val="0"/>
              </w:rPr>
            </w:pPr>
            <w:r w:rsidRPr="0077659B">
              <w:rPr>
                <w:snapToGrid w:val="0"/>
              </w:rPr>
              <w:t>prior year</w:t>
            </w:r>
          </w:p>
        </w:tc>
      </w:tr>
      <w:tr w:rsidR="00C22F2B" w:rsidRPr="0077659B" w14:paraId="55922F34" w14:textId="77777777" w:rsidTr="008028BA">
        <w:trPr>
          <w:trHeight w:val="185"/>
          <w:tblHeader/>
        </w:trPr>
        <w:tc>
          <w:tcPr>
            <w:tcW w:w="870" w:type="pct"/>
            <w:shd w:val="clear" w:color="auto" w:fill="BFBFBF" w:themeFill="background1" w:themeFillShade="BF"/>
          </w:tcPr>
          <w:p w14:paraId="024D17A8" w14:textId="77777777" w:rsidR="00C22F2B" w:rsidRPr="0077659B" w:rsidRDefault="00C22F2B" w:rsidP="000C4D17">
            <w:pPr>
              <w:pStyle w:val="NoSpacing"/>
              <w:rPr>
                <w:snapToGrid w:val="0"/>
              </w:rPr>
            </w:pPr>
            <w:r w:rsidRPr="0077659B">
              <w:rPr>
                <w:snapToGrid w:val="0"/>
              </w:rPr>
              <w:t>Financial statement item</w:t>
            </w:r>
          </w:p>
        </w:tc>
        <w:tc>
          <w:tcPr>
            <w:tcW w:w="1883" w:type="pct"/>
            <w:shd w:val="clear" w:color="auto" w:fill="BFBFBF" w:themeFill="background1" w:themeFillShade="BF"/>
          </w:tcPr>
          <w:p w14:paraId="62913716" w14:textId="77777777" w:rsidR="00C22F2B" w:rsidRPr="0077659B" w:rsidRDefault="00C22F2B" w:rsidP="000C4D17">
            <w:pPr>
              <w:pStyle w:val="NoSpacing"/>
              <w:rPr>
                <w:snapToGrid w:val="0"/>
              </w:rPr>
            </w:pPr>
            <w:r w:rsidRPr="0077659B">
              <w:rPr>
                <w:snapToGrid w:val="0"/>
              </w:rPr>
              <w:t xml:space="preserve">Finding </w:t>
            </w:r>
          </w:p>
          <w:p w14:paraId="77FB2387" w14:textId="55D6B435" w:rsidR="00C22F2B" w:rsidRPr="0077659B" w:rsidRDefault="00C22F2B">
            <w:pPr>
              <w:pStyle w:val="NoSpacing"/>
              <w:rPr>
                <w:snapToGrid w:val="0"/>
              </w:rPr>
            </w:pPr>
          </w:p>
        </w:tc>
        <w:tc>
          <w:tcPr>
            <w:tcW w:w="773" w:type="pct"/>
            <w:shd w:val="clear" w:color="auto" w:fill="BFBFBF" w:themeFill="background1" w:themeFillShade="BF"/>
          </w:tcPr>
          <w:p w14:paraId="788EEF65" w14:textId="77777777" w:rsidR="00C22F2B" w:rsidRPr="0077659B" w:rsidRDefault="00C22F2B" w:rsidP="000C4D17">
            <w:pPr>
              <w:pStyle w:val="NoSpacing"/>
              <w:rPr>
                <w:snapToGrid w:val="0"/>
              </w:rPr>
            </w:pPr>
            <w:r w:rsidRPr="0077659B">
              <w:rPr>
                <w:snapToGrid w:val="0"/>
              </w:rPr>
              <w:t>Occurred in prior year</w:t>
            </w:r>
          </w:p>
          <w:p w14:paraId="1E82F18D" w14:textId="77777777" w:rsidR="00C22F2B" w:rsidRPr="0077659B" w:rsidRDefault="00C22F2B" w:rsidP="000C4D17">
            <w:pPr>
              <w:pStyle w:val="NoSpacing"/>
              <w:rPr>
                <w:snapToGrid w:val="0"/>
              </w:rPr>
            </w:pPr>
          </w:p>
        </w:tc>
        <w:tc>
          <w:tcPr>
            <w:tcW w:w="725" w:type="pct"/>
            <w:vMerge/>
            <w:shd w:val="clear" w:color="auto" w:fill="BFBFBF" w:themeFill="background1" w:themeFillShade="BF"/>
          </w:tcPr>
          <w:p w14:paraId="20796B71" w14:textId="77777777" w:rsidR="00C22F2B" w:rsidRPr="0077659B" w:rsidRDefault="00C22F2B" w:rsidP="00C22F2B">
            <w:pPr>
              <w:spacing w:after="0" w:line="240" w:lineRule="auto"/>
              <w:jc w:val="center"/>
              <w:rPr>
                <w:rFonts w:eastAsia="Times New Roman" w:cs="Arial"/>
                <w:b/>
                <w:snapToGrid w:val="0"/>
              </w:rPr>
            </w:pPr>
          </w:p>
        </w:tc>
        <w:tc>
          <w:tcPr>
            <w:tcW w:w="749" w:type="pct"/>
            <w:vMerge/>
            <w:shd w:val="clear" w:color="auto" w:fill="BFBFBF" w:themeFill="background1" w:themeFillShade="BF"/>
          </w:tcPr>
          <w:p w14:paraId="6D1B90E2" w14:textId="77777777" w:rsidR="00C22F2B" w:rsidRPr="0077659B" w:rsidRDefault="00C22F2B" w:rsidP="00C22F2B">
            <w:pPr>
              <w:spacing w:after="0" w:line="240" w:lineRule="auto"/>
              <w:jc w:val="center"/>
              <w:rPr>
                <w:rFonts w:eastAsia="Times New Roman" w:cs="Arial"/>
                <w:b/>
                <w:snapToGrid w:val="0"/>
              </w:rPr>
            </w:pPr>
          </w:p>
        </w:tc>
      </w:tr>
      <w:tr w:rsidR="00C22F2B" w:rsidRPr="0077659B" w14:paraId="2F4C54AD" w14:textId="77777777" w:rsidTr="008028BA">
        <w:tc>
          <w:tcPr>
            <w:tcW w:w="5000" w:type="pct"/>
            <w:gridSpan w:val="5"/>
            <w:shd w:val="clear" w:color="auto" w:fill="D9D9D9" w:themeFill="background1" w:themeFillShade="D9"/>
          </w:tcPr>
          <w:p w14:paraId="6429B687" w14:textId="28CC47AC" w:rsidR="00C22F2B" w:rsidRPr="0077659B" w:rsidRDefault="00C22F2B" w:rsidP="000913DD">
            <w:pPr>
              <w:pStyle w:val="NoSpacing"/>
              <w:jc w:val="left"/>
              <w:rPr>
                <w:snapToGrid w:val="0"/>
              </w:rPr>
            </w:pPr>
            <w:bookmarkStart w:id="17" w:name="S2E1"/>
            <w:bookmarkEnd w:id="17"/>
            <w:r w:rsidRPr="0077659B">
              <w:rPr>
                <w:snapToGrid w:val="0"/>
              </w:rPr>
              <w:t>Material misstatements not corrected</w:t>
            </w:r>
          </w:p>
        </w:tc>
      </w:tr>
      <w:tr w:rsidR="00605E2D" w:rsidRPr="0077659B" w14:paraId="13B9DE79" w14:textId="77777777" w:rsidTr="00D33C73">
        <w:tc>
          <w:tcPr>
            <w:tcW w:w="870" w:type="pct"/>
          </w:tcPr>
          <w:p w14:paraId="39B4F5DF" w14:textId="77777777" w:rsidR="00605E2D" w:rsidRPr="00BB6EEC" w:rsidRDefault="00605E2D" w:rsidP="00D33C73">
            <w:pPr>
              <w:pStyle w:val="Tabletext"/>
              <w:rPr>
                <w:snapToGrid w:val="0"/>
                <w:lang w:val="en-ZA"/>
              </w:rPr>
            </w:pPr>
            <w:r w:rsidRPr="00051601">
              <w:rPr>
                <w:rFonts w:eastAsia="Times New Roman" w:cs="Arial"/>
                <w:b/>
                <w:snapToGrid w:val="0"/>
              </w:rPr>
              <w:t>Disclosure</w:t>
            </w:r>
          </w:p>
        </w:tc>
        <w:tc>
          <w:tcPr>
            <w:tcW w:w="1883" w:type="pct"/>
          </w:tcPr>
          <w:p w14:paraId="6E4932F7" w14:textId="77777777" w:rsidR="00605E2D" w:rsidRPr="00BB6EEC" w:rsidRDefault="00605E2D" w:rsidP="00D33C73">
            <w:pPr>
              <w:pStyle w:val="Tabletext"/>
              <w:rPr>
                <w:snapToGrid w:val="0"/>
                <w:lang w:val="en-ZA"/>
              </w:rPr>
            </w:pPr>
          </w:p>
        </w:tc>
        <w:tc>
          <w:tcPr>
            <w:tcW w:w="773" w:type="pct"/>
          </w:tcPr>
          <w:p w14:paraId="09352E76" w14:textId="77777777" w:rsidR="00605E2D" w:rsidRPr="00BB6EEC" w:rsidRDefault="00605E2D" w:rsidP="00D33C73">
            <w:pPr>
              <w:pStyle w:val="Tabletext"/>
              <w:rPr>
                <w:snapToGrid w:val="0"/>
                <w:lang w:val="en-ZA"/>
              </w:rPr>
            </w:pPr>
          </w:p>
        </w:tc>
        <w:tc>
          <w:tcPr>
            <w:tcW w:w="725" w:type="pct"/>
          </w:tcPr>
          <w:p w14:paraId="58441ABD" w14:textId="77777777" w:rsidR="00605E2D" w:rsidRPr="00BB6EEC" w:rsidRDefault="00605E2D" w:rsidP="00D33C73">
            <w:pPr>
              <w:pStyle w:val="Tabletext"/>
              <w:rPr>
                <w:snapToGrid w:val="0"/>
                <w:lang w:val="en-ZA"/>
              </w:rPr>
            </w:pPr>
          </w:p>
        </w:tc>
        <w:tc>
          <w:tcPr>
            <w:tcW w:w="749" w:type="pct"/>
          </w:tcPr>
          <w:p w14:paraId="47C2B581" w14:textId="77777777" w:rsidR="00605E2D" w:rsidRPr="00BB6EEC" w:rsidRDefault="00605E2D" w:rsidP="00D33C73">
            <w:pPr>
              <w:pStyle w:val="Tabletext"/>
              <w:rPr>
                <w:snapToGrid w:val="0"/>
                <w:lang w:val="en-ZA"/>
              </w:rPr>
            </w:pPr>
          </w:p>
        </w:tc>
      </w:tr>
      <w:tr w:rsidR="00605E2D" w:rsidRPr="0077659B" w14:paraId="267D8A39" w14:textId="77777777" w:rsidTr="00D33C73">
        <w:tc>
          <w:tcPr>
            <w:tcW w:w="870" w:type="pct"/>
          </w:tcPr>
          <w:p w14:paraId="5C987BCE" w14:textId="77777777" w:rsidR="00605E2D" w:rsidRPr="00BB6EEC" w:rsidRDefault="00605E2D" w:rsidP="00D33C73">
            <w:pPr>
              <w:pStyle w:val="Tabletext"/>
              <w:rPr>
                <w:snapToGrid w:val="0"/>
                <w:lang w:val="en-ZA"/>
              </w:rPr>
            </w:pPr>
            <w:r w:rsidRPr="00051601">
              <w:rPr>
                <w:rFonts w:eastAsia="Times New Roman" w:cs="Arial"/>
                <w:snapToGrid w:val="0"/>
                <w:sz w:val="20"/>
              </w:rPr>
              <w:t>Irregular Expenditure</w:t>
            </w:r>
          </w:p>
        </w:tc>
        <w:tc>
          <w:tcPr>
            <w:tcW w:w="1883" w:type="pct"/>
          </w:tcPr>
          <w:p w14:paraId="60D28259" w14:textId="77777777" w:rsidR="00605E2D" w:rsidRDefault="00605E2D" w:rsidP="00D33C73">
            <w:pPr>
              <w:pStyle w:val="Tabletext"/>
              <w:rPr>
                <w:rFonts w:cs="Arial"/>
                <w:sz w:val="20"/>
                <w:szCs w:val="18"/>
                <w:lang w:val="en-ZA"/>
              </w:rPr>
            </w:pPr>
            <w:r w:rsidRPr="00F85C07">
              <w:rPr>
                <w:rFonts w:cs="Arial"/>
                <w:sz w:val="20"/>
                <w:szCs w:val="18"/>
                <w:lang w:val="en-ZA"/>
              </w:rPr>
              <w:t>During the audit of irregular expenditure (disclosure note 25), it was noted that the</w:t>
            </w:r>
            <w:r>
              <w:rPr>
                <w:rFonts w:cs="Arial"/>
                <w:sz w:val="20"/>
                <w:szCs w:val="18"/>
                <w:lang w:val="en-ZA"/>
              </w:rPr>
              <w:t xml:space="preserve"> following irregular expenditure transactions</w:t>
            </w:r>
            <w:r w:rsidRPr="00F85C07">
              <w:rPr>
                <w:rFonts w:cs="Arial"/>
                <w:sz w:val="20"/>
                <w:szCs w:val="18"/>
                <w:lang w:val="en-ZA"/>
              </w:rPr>
              <w:t xml:space="preserve"> were not </w:t>
            </w:r>
            <w:r>
              <w:rPr>
                <w:rFonts w:cs="Arial"/>
                <w:sz w:val="20"/>
                <w:szCs w:val="18"/>
                <w:lang w:val="en-ZA"/>
              </w:rPr>
              <w:t xml:space="preserve">adequately </w:t>
            </w:r>
            <w:r w:rsidRPr="00F85C07">
              <w:rPr>
                <w:rFonts w:cs="Arial"/>
                <w:sz w:val="20"/>
                <w:szCs w:val="18"/>
                <w:lang w:val="en-ZA"/>
              </w:rPr>
              <w:t>disclosed for the current financial year</w:t>
            </w:r>
            <w:r>
              <w:rPr>
                <w:rFonts w:cs="Arial"/>
                <w:sz w:val="20"/>
                <w:szCs w:val="18"/>
                <w:lang w:val="en-ZA"/>
              </w:rPr>
              <w:t>:</w:t>
            </w:r>
          </w:p>
          <w:p w14:paraId="06DF7B7C" w14:textId="77777777" w:rsidR="00605E2D" w:rsidRPr="00F85C07" w:rsidRDefault="00605E2D" w:rsidP="00D33C73">
            <w:pPr>
              <w:pStyle w:val="Tabletext"/>
              <w:numPr>
                <w:ilvl w:val="0"/>
                <w:numId w:val="29"/>
              </w:numPr>
              <w:rPr>
                <w:snapToGrid w:val="0"/>
                <w:lang w:val="en-ZA"/>
              </w:rPr>
            </w:pPr>
            <w:r w:rsidRPr="00F85C07">
              <w:rPr>
                <w:rFonts w:cs="Arial"/>
                <w:sz w:val="20"/>
                <w:szCs w:val="18"/>
                <w:lang w:val="en-ZA"/>
              </w:rPr>
              <w:t>expenditure incurred on the irregular appointments of officials</w:t>
            </w:r>
            <w:r>
              <w:rPr>
                <w:rFonts w:cs="Arial"/>
                <w:sz w:val="20"/>
                <w:szCs w:val="18"/>
                <w:lang w:val="en-ZA"/>
              </w:rPr>
              <w:t xml:space="preserve"> as confirmed by investigation performed by the Public Service Commission (COFF 17)</w:t>
            </w:r>
          </w:p>
          <w:p w14:paraId="4690EDC8" w14:textId="77777777" w:rsidR="00605E2D" w:rsidRPr="00F85C07" w:rsidRDefault="00605E2D" w:rsidP="00D33C73">
            <w:pPr>
              <w:pStyle w:val="Tabletext"/>
              <w:numPr>
                <w:ilvl w:val="0"/>
                <w:numId w:val="29"/>
              </w:numPr>
              <w:rPr>
                <w:snapToGrid w:val="0"/>
                <w:lang w:val="en-ZA"/>
              </w:rPr>
            </w:pPr>
            <w:r w:rsidRPr="00F85C07">
              <w:rPr>
                <w:snapToGrid w:val="0"/>
                <w:sz w:val="20"/>
                <w:lang w:val="en-ZA"/>
              </w:rPr>
              <w:t xml:space="preserve">irregular expenditure relating to state </w:t>
            </w:r>
            <w:r>
              <w:rPr>
                <w:snapToGrid w:val="0"/>
                <w:sz w:val="20"/>
                <w:lang w:val="en-ZA"/>
              </w:rPr>
              <w:t>funerals identified during the audit, and confirmed by internal investigation (COFF 7, 9 and 15)</w:t>
            </w:r>
          </w:p>
          <w:p w14:paraId="40FEF22A" w14:textId="5303FB41" w:rsidR="00605E2D" w:rsidRPr="00F85C07" w:rsidRDefault="00605E2D" w:rsidP="00D33C73">
            <w:pPr>
              <w:pStyle w:val="Tabletext"/>
              <w:numPr>
                <w:ilvl w:val="0"/>
                <w:numId w:val="29"/>
              </w:numPr>
              <w:rPr>
                <w:snapToGrid w:val="0"/>
                <w:lang w:val="en-ZA"/>
              </w:rPr>
            </w:pPr>
            <w:r w:rsidRPr="00F85C07">
              <w:rPr>
                <w:snapToGrid w:val="0"/>
                <w:sz w:val="20"/>
                <w:lang w:val="en-ZA"/>
              </w:rPr>
              <w:lastRenderedPageBreak/>
              <w:t>irregular expenditure relating to state events</w:t>
            </w:r>
            <w:r>
              <w:rPr>
                <w:snapToGrid w:val="0"/>
                <w:sz w:val="20"/>
                <w:lang w:val="en-ZA"/>
              </w:rPr>
              <w:t xml:space="preserve"> identified during the audit, and confirmed by internal investigation (COFF 9)</w:t>
            </w:r>
          </w:p>
        </w:tc>
        <w:tc>
          <w:tcPr>
            <w:tcW w:w="773" w:type="pct"/>
          </w:tcPr>
          <w:p w14:paraId="0F9D0D4D" w14:textId="77777777" w:rsidR="00605E2D" w:rsidRPr="00BB6EEC" w:rsidRDefault="00605E2D" w:rsidP="00D33C73">
            <w:pPr>
              <w:pStyle w:val="Tabletext"/>
              <w:rPr>
                <w:snapToGrid w:val="0"/>
                <w:lang w:val="en-ZA"/>
              </w:rPr>
            </w:pPr>
            <w:r>
              <w:rPr>
                <w:snapToGrid w:val="0"/>
                <w:lang w:val="en-ZA"/>
              </w:rPr>
              <w:lastRenderedPageBreak/>
              <w:t>Yes</w:t>
            </w:r>
          </w:p>
        </w:tc>
        <w:tc>
          <w:tcPr>
            <w:tcW w:w="725" w:type="pct"/>
          </w:tcPr>
          <w:p w14:paraId="18671FED" w14:textId="49A9983D" w:rsidR="00D73095" w:rsidRDefault="00D73095" w:rsidP="000913DD">
            <w:pPr>
              <w:pStyle w:val="Tabletext"/>
              <w:jc w:val="right"/>
              <w:rPr>
                <w:snapToGrid w:val="0"/>
                <w:lang w:val="en-ZA"/>
              </w:rPr>
            </w:pPr>
            <w:r>
              <w:rPr>
                <w:snapToGrid w:val="0"/>
                <w:lang w:val="en-ZA"/>
              </w:rPr>
              <w:t xml:space="preserve">Understatement of </w:t>
            </w:r>
          </w:p>
          <w:p w14:paraId="171406DC" w14:textId="0C89AAB9" w:rsidR="00605E2D" w:rsidRPr="00BB6EEC" w:rsidRDefault="00D73095" w:rsidP="000913DD">
            <w:pPr>
              <w:pStyle w:val="Tabletext"/>
              <w:jc w:val="right"/>
              <w:rPr>
                <w:snapToGrid w:val="0"/>
                <w:lang w:val="en-ZA"/>
              </w:rPr>
            </w:pPr>
            <w:r>
              <w:rPr>
                <w:snapToGrid w:val="0"/>
                <w:lang w:val="en-ZA"/>
              </w:rPr>
              <w:t>69 187 142.36</w:t>
            </w:r>
          </w:p>
        </w:tc>
        <w:tc>
          <w:tcPr>
            <w:tcW w:w="749" w:type="pct"/>
          </w:tcPr>
          <w:p w14:paraId="5854E0B1" w14:textId="77777777" w:rsidR="00D73095" w:rsidRDefault="00D73095" w:rsidP="00D73095">
            <w:pPr>
              <w:pStyle w:val="Tabletext"/>
              <w:jc w:val="right"/>
              <w:rPr>
                <w:snapToGrid w:val="0"/>
                <w:lang w:val="en-ZA"/>
              </w:rPr>
            </w:pPr>
            <w:r>
              <w:rPr>
                <w:snapToGrid w:val="0"/>
                <w:lang w:val="en-ZA"/>
              </w:rPr>
              <w:t xml:space="preserve">Understatement of </w:t>
            </w:r>
          </w:p>
          <w:p w14:paraId="7657EF20" w14:textId="43F34BD9" w:rsidR="00605E2D" w:rsidRPr="00BB6EEC" w:rsidRDefault="00D73095" w:rsidP="000913DD">
            <w:pPr>
              <w:pStyle w:val="Tabletext"/>
              <w:jc w:val="right"/>
              <w:rPr>
                <w:snapToGrid w:val="0"/>
                <w:lang w:val="en-ZA"/>
              </w:rPr>
            </w:pPr>
            <w:r>
              <w:rPr>
                <w:snapToGrid w:val="0"/>
                <w:lang w:val="en-ZA"/>
              </w:rPr>
              <w:t>70 138 682.36</w:t>
            </w:r>
          </w:p>
        </w:tc>
      </w:tr>
      <w:tr w:rsidR="00C22F2B" w:rsidRPr="0077659B" w14:paraId="0115F318" w14:textId="77777777" w:rsidTr="00DC267C">
        <w:tc>
          <w:tcPr>
            <w:tcW w:w="870" w:type="pct"/>
          </w:tcPr>
          <w:p w14:paraId="1E81BC44" w14:textId="77777777" w:rsidR="00C22F2B" w:rsidRPr="00BB6EEC" w:rsidRDefault="00C22F2B" w:rsidP="000C4D17">
            <w:pPr>
              <w:pStyle w:val="Tabletext"/>
              <w:rPr>
                <w:snapToGrid w:val="0"/>
                <w:lang w:val="en-ZA"/>
              </w:rPr>
            </w:pPr>
          </w:p>
        </w:tc>
        <w:tc>
          <w:tcPr>
            <w:tcW w:w="1883" w:type="pct"/>
          </w:tcPr>
          <w:p w14:paraId="72204B60" w14:textId="77777777" w:rsidR="00C22F2B" w:rsidRPr="00BB6EEC" w:rsidRDefault="00C22F2B" w:rsidP="000C4D17">
            <w:pPr>
              <w:pStyle w:val="Tabletext"/>
              <w:rPr>
                <w:snapToGrid w:val="0"/>
                <w:lang w:val="en-ZA"/>
              </w:rPr>
            </w:pPr>
          </w:p>
        </w:tc>
        <w:tc>
          <w:tcPr>
            <w:tcW w:w="773" w:type="pct"/>
          </w:tcPr>
          <w:p w14:paraId="5BF89770" w14:textId="77777777" w:rsidR="00C22F2B" w:rsidRPr="00BB6EEC" w:rsidRDefault="00C22F2B" w:rsidP="000C4D17">
            <w:pPr>
              <w:pStyle w:val="Tabletext"/>
              <w:rPr>
                <w:snapToGrid w:val="0"/>
                <w:lang w:val="en-ZA"/>
              </w:rPr>
            </w:pPr>
          </w:p>
        </w:tc>
        <w:tc>
          <w:tcPr>
            <w:tcW w:w="725" w:type="pct"/>
          </w:tcPr>
          <w:p w14:paraId="6AD67D60" w14:textId="77777777" w:rsidR="00C22F2B" w:rsidRPr="00BB6EEC" w:rsidRDefault="00C22F2B" w:rsidP="000C4D17">
            <w:pPr>
              <w:pStyle w:val="Tabletext"/>
              <w:rPr>
                <w:snapToGrid w:val="0"/>
                <w:lang w:val="en-ZA"/>
              </w:rPr>
            </w:pPr>
          </w:p>
        </w:tc>
        <w:tc>
          <w:tcPr>
            <w:tcW w:w="749" w:type="pct"/>
          </w:tcPr>
          <w:p w14:paraId="4194B5F9" w14:textId="77777777" w:rsidR="00C22F2B" w:rsidRPr="00BB6EEC" w:rsidRDefault="00C22F2B" w:rsidP="000C4D17">
            <w:pPr>
              <w:pStyle w:val="Tabletext"/>
              <w:rPr>
                <w:snapToGrid w:val="0"/>
                <w:lang w:val="en-ZA"/>
              </w:rPr>
            </w:pPr>
          </w:p>
        </w:tc>
      </w:tr>
      <w:tr w:rsidR="00C22F2B" w:rsidRPr="0077659B" w14:paraId="35106C2D" w14:textId="77777777" w:rsidTr="008028BA">
        <w:tc>
          <w:tcPr>
            <w:tcW w:w="5000" w:type="pct"/>
            <w:gridSpan w:val="5"/>
            <w:shd w:val="clear" w:color="auto" w:fill="D9D9D9" w:themeFill="background1" w:themeFillShade="D9"/>
          </w:tcPr>
          <w:p w14:paraId="421B86D5" w14:textId="5ACAD643" w:rsidR="00C22F2B" w:rsidRPr="0077659B" w:rsidRDefault="00C22F2B" w:rsidP="000913DD">
            <w:pPr>
              <w:pStyle w:val="NoSpacing"/>
              <w:jc w:val="left"/>
              <w:rPr>
                <w:snapToGrid w:val="0"/>
              </w:rPr>
            </w:pPr>
            <w:bookmarkStart w:id="18" w:name="S2E2"/>
            <w:bookmarkEnd w:id="18"/>
            <w:r w:rsidRPr="0077659B">
              <w:rPr>
                <w:snapToGrid w:val="0"/>
              </w:rPr>
              <w:t>Material misstatements corrected</w:t>
            </w:r>
          </w:p>
        </w:tc>
      </w:tr>
      <w:tr w:rsidR="00605E2D" w:rsidRPr="0077659B" w14:paraId="01625FC0" w14:textId="77777777" w:rsidTr="00D33C73">
        <w:tc>
          <w:tcPr>
            <w:tcW w:w="870" w:type="pct"/>
          </w:tcPr>
          <w:p w14:paraId="74EDFDEC" w14:textId="77777777" w:rsidR="00605E2D" w:rsidRPr="00BB6EEC" w:rsidRDefault="00605E2D" w:rsidP="00D33C73">
            <w:pPr>
              <w:pStyle w:val="Tabletext"/>
              <w:rPr>
                <w:snapToGrid w:val="0"/>
                <w:lang w:val="en-ZA"/>
              </w:rPr>
            </w:pPr>
            <w:r>
              <w:rPr>
                <w:rFonts w:eastAsia="Times New Roman" w:cs="Arial"/>
                <w:snapToGrid w:val="0"/>
                <w:sz w:val="20"/>
              </w:rPr>
              <w:t>None identified</w:t>
            </w:r>
          </w:p>
        </w:tc>
        <w:tc>
          <w:tcPr>
            <w:tcW w:w="1883" w:type="pct"/>
          </w:tcPr>
          <w:p w14:paraId="69334702" w14:textId="77777777" w:rsidR="00605E2D" w:rsidRPr="00BB6EEC" w:rsidRDefault="00605E2D" w:rsidP="00D33C73">
            <w:pPr>
              <w:pStyle w:val="Tabletext"/>
              <w:rPr>
                <w:snapToGrid w:val="0"/>
                <w:lang w:val="en-ZA"/>
              </w:rPr>
            </w:pPr>
          </w:p>
        </w:tc>
        <w:tc>
          <w:tcPr>
            <w:tcW w:w="773" w:type="pct"/>
          </w:tcPr>
          <w:p w14:paraId="6F3816BA" w14:textId="77777777" w:rsidR="00605E2D" w:rsidRPr="00BB6EEC" w:rsidRDefault="00605E2D" w:rsidP="00D33C73">
            <w:pPr>
              <w:pStyle w:val="Tabletext"/>
              <w:rPr>
                <w:snapToGrid w:val="0"/>
                <w:lang w:val="en-ZA"/>
              </w:rPr>
            </w:pPr>
          </w:p>
        </w:tc>
        <w:tc>
          <w:tcPr>
            <w:tcW w:w="725" w:type="pct"/>
          </w:tcPr>
          <w:p w14:paraId="55CCD933" w14:textId="77777777" w:rsidR="00605E2D" w:rsidRPr="00BB6EEC" w:rsidRDefault="00605E2D" w:rsidP="00D33C73">
            <w:pPr>
              <w:pStyle w:val="Tabletext"/>
              <w:rPr>
                <w:snapToGrid w:val="0"/>
                <w:lang w:val="en-ZA"/>
              </w:rPr>
            </w:pPr>
          </w:p>
        </w:tc>
        <w:tc>
          <w:tcPr>
            <w:tcW w:w="749" w:type="pct"/>
          </w:tcPr>
          <w:p w14:paraId="2EB56EA4" w14:textId="77777777" w:rsidR="00605E2D" w:rsidRPr="00BB6EEC" w:rsidRDefault="00605E2D" w:rsidP="00D33C73">
            <w:pPr>
              <w:pStyle w:val="Tabletext"/>
              <w:rPr>
                <w:snapToGrid w:val="0"/>
                <w:lang w:val="en-ZA"/>
              </w:rPr>
            </w:pPr>
          </w:p>
        </w:tc>
      </w:tr>
      <w:tr w:rsidR="00087CA0" w:rsidRPr="0077659B" w14:paraId="43DBA406" w14:textId="77777777" w:rsidTr="00DC267C">
        <w:tc>
          <w:tcPr>
            <w:tcW w:w="870" w:type="pct"/>
          </w:tcPr>
          <w:p w14:paraId="37617DB5" w14:textId="77777777" w:rsidR="00087CA0" w:rsidRPr="00BB6EEC" w:rsidRDefault="00087CA0" w:rsidP="00087CA0">
            <w:pPr>
              <w:pStyle w:val="Tabletext"/>
              <w:rPr>
                <w:snapToGrid w:val="0"/>
                <w:lang w:val="en-ZA"/>
              </w:rPr>
            </w:pPr>
          </w:p>
        </w:tc>
        <w:tc>
          <w:tcPr>
            <w:tcW w:w="1883" w:type="pct"/>
          </w:tcPr>
          <w:p w14:paraId="32206C2F" w14:textId="77777777" w:rsidR="00087CA0" w:rsidRPr="00BB6EEC" w:rsidRDefault="00087CA0" w:rsidP="00087CA0">
            <w:pPr>
              <w:pStyle w:val="Tabletext"/>
              <w:rPr>
                <w:snapToGrid w:val="0"/>
                <w:lang w:val="en-ZA"/>
              </w:rPr>
            </w:pPr>
          </w:p>
        </w:tc>
        <w:tc>
          <w:tcPr>
            <w:tcW w:w="773" w:type="pct"/>
          </w:tcPr>
          <w:p w14:paraId="20E32257" w14:textId="77777777" w:rsidR="00087CA0" w:rsidRPr="00BB6EEC" w:rsidRDefault="00087CA0" w:rsidP="00087CA0">
            <w:pPr>
              <w:pStyle w:val="Tabletext"/>
              <w:rPr>
                <w:snapToGrid w:val="0"/>
                <w:lang w:val="en-ZA"/>
              </w:rPr>
            </w:pPr>
          </w:p>
        </w:tc>
        <w:tc>
          <w:tcPr>
            <w:tcW w:w="725" w:type="pct"/>
          </w:tcPr>
          <w:p w14:paraId="44A92039" w14:textId="77777777" w:rsidR="00087CA0" w:rsidRPr="00BB6EEC" w:rsidRDefault="00087CA0" w:rsidP="00087CA0">
            <w:pPr>
              <w:pStyle w:val="Tabletext"/>
              <w:rPr>
                <w:snapToGrid w:val="0"/>
                <w:lang w:val="en-ZA"/>
              </w:rPr>
            </w:pPr>
          </w:p>
        </w:tc>
        <w:tc>
          <w:tcPr>
            <w:tcW w:w="749" w:type="pct"/>
          </w:tcPr>
          <w:p w14:paraId="27460286" w14:textId="77777777" w:rsidR="00087CA0" w:rsidRPr="00BB6EEC" w:rsidRDefault="00087CA0" w:rsidP="00087CA0">
            <w:pPr>
              <w:pStyle w:val="Tabletext"/>
              <w:rPr>
                <w:snapToGrid w:val="0"/>
                <w:lang w:val="en-ZA"/>
              </w:rPr>
            </w:pPr>
          </w:p>
        </w:tc>
      </w:tr>
      <w:tr w:rsidR="00087CA0" w:rsidRPr="0077659B" w14:paraId="756E83F7" w14:textId="77777777" w:rsidTr="00DC267C">
        <w:tc>
          <w:tcPr>
            <w:tcW w:w="870" w:type="pct"/>
          </w:tcPr>
          <w:p w14:paraId="5C304FBF" w14:textId="77777777" w:rsidR="00087CA0" w:rsidRPr="00BB6EEC" w:rsidRDefault="00087CA0" w:rsidP="00087CA0">
            <w:pPr>
              <w:pStyle w:val="Tabletext"/>
              <w:rPr>
                <w:snapToGrid w:val="0"/>
                <w:lang w:val="en-ZA"/>
              </w:rPr>
            </w:pPr>
          </w:p>
        </w:tc>
        <w:tc>
          <w:tcPr>
            <w:tcW w:w="1883" w:type="pct"/>
          </w:tcPr>
          <w:p w14:paraId="44703CDC" w14:textId="77777777" w:rsidR="00087CA0" w:rsidRPr="00BB6EEC" w:rsidRDefault="00087CA0" w:rsidP="00087CA0">
            <w:pPr>
              <w:pStyle w:val="Tabletext"/>
              <w:rPr>
                <w:snapToGrid w:val="0"/>
                <w:lang w:val="en-ZA"/>
              </w:rPr>
            </w:pPr>
          </w:p>
        </w:tc>
        <w:tc>
          <w:tcPr>
            <w:tcW w:w="773" w:type="pct"/>
          </w:tcPr>
          <w:p w14:paraId="20DBA209" w14:textId="77777777" w:rsidR="00087CA0" w:rsidRPr="00BB6EEC" w:rsidRDefault="00087CA0" w:rsidP="00087CA0">
            <w:pPr>
              <w:pStyle w:val="Tabletext"/>
              <w:rPr>
                <w:snapToGrid w:val="0"/>
                <w:lang w:val="en-ZA"/>
              </w:rPr>
            </w:pPr>
          </w:p>
        </w:tc>
        <w:tc>
          <w:tcPr>
            <w:tcW w:w="725" w:type="pct"/>
          </w:tcPr>
          <w:p w14:paraId="24E3EC24" w14:textId="77777777" w:rsidR="00087CA0" w:rsidRPr="00BB6EEC" w:rsidRDefault="00087CA0" w:rsidP="00087CA0">
            <w:pPr>
              <w:pStyle w:val="Tabletext"/>
              <w:rPr>
                <w:snapToGrid w:val="0"/>
                <w:lang w:val="en-ZA"/>
              </w:rPr>
            </w:pPr>
          </w:p>
        </w:tc>
        <w:tc>
          <w:tcPr>
            <w:tcW w:w="749" w:type="pct"/>
          </w:tcPr>
          <w:p w14:paraId="56E6F5BF" w14:textId="77777777" w:rsidR="00087CA0" w:rsidRPr="00BB6EEC" w:rsidRDefault="00087CA0" w:rsidP="00087CA0">
            <w:pPr>
              <w:pStyle w:val="Tabletext"/>
              <w:rPr>
                <w:snapToGrid w:val="0"/>
                <w:lang w:val="en-ZA"/>
              </w:rPr>
            </w:pPr>
          </w:p>
        </w:tc>
      </w:tr>
    </w:tbl>
    <w:p w14:paraId="2BC983EE" w14:textId="77777777" w:rsidR="00C22F2B" w:rsidRPr="0077659B" w:rsidRDefault="00C22F2B" w:rsidP="002004A3">
      <w:pPr>
        <w:shd w:val="clear" w:color="auto" w:fill="FFFFFF"/>
        <w:spacing w:after="0" w:line="240" w:lineRule="auto"/>
        <w:rPr>
          <w:rFonts w:ascii="Times New Roman" w:eastAsia="Times New Roman" w:hAnsi="Times New Roman" w:cs="Arial"/>
          <w:sz w:val="6"/>
          <w:szCs w:val="6"/>
        </w:rPr>
      </w:pPr>
    </w:p>
    <w:p w14:paraId="6CD71C32" w14:textId="77777777" w:rsidR="00153824" w:rsidRPr="0077659B" w:rsidRDefault="00153824" w:rsidP="002004A3">
      <w:pPr>
        <w:shd w:val="clear" w:color="auto" w:fill="FFFFFF"/>
        <w:spacing w:after="0" w:line="240" w:lineRule="auto"/>
        <w:rPr>
          <w:rFonts w:ascii="Times New Roman" w:eastAsia="Times New Roman" w:hAnsi="Times New Roman" w:cs="Arial"/>
          <w:sz w:val="6"/>
          <w:szCs w:val="6"/>
        </w:rPr>
        <w:sectPr w:rsidR="00153824" w:rsidRPr="0077659B" w:rsidSect="00BB6EEC">
          <w:headerReference w:type="even" r:id="rId28"/>
          <w:headerReference w:type="default" r:id="rId29"/>
          <w:headerReference w:type="first" r:id="rId30"/>
          <w:endnotePr>
            <w:numFmt w:val="decimal"/>
          </w:endnotePr>
          <w:pgSz w:w="16838" w:h="11906" w:orient="landscape" w:code="9"/>
          <w:pgMar w:top="1134" w:right="1245" w:bottom="1134" w:left="993" w:header="1134" w:footer="709" w:gutter="0"/>
          <w:cols w:space="708"/>
          <w:docGrid w:linePitch="360"/>
        </w:sectPr>
      </w:pPr>
    </w:p>
    <w:p w14:paraId="1361A918" w14:textId="77777777" w:rsidR="00B35F12" w:rsidRPr="00F85C07" w:rsidRDefault="00C22F2B" w:rsidP="00F85C07">
      <w:pPr>
        <w:pStyle w:val="Heading3"/>
        <w:rPr>
          <w:lang w:val="en-ZA"/>
        </w:rPr>
      </w:pPr>
      <w:bookmarkStart w:id="19" w:name="_Toc447106585"/>
      <w:bookmarkStart w:id="20" w:name="_Toc51154071"/>
      <w:r w:rsidRPr="00BB6EEC">
        <w:rPr>
          <w:lang w:val="en-ZA"/>
        </w:rPr>
        <w:lastRenderedPageBreak/>
        <w:t>MATTERS TO BE BROUGHT TO THE ATTENTION OF USERS</w:t>
      </w:r>
      <w:bookmarkEnd w:id="19"/>
      <w:bookmarkEnd w:id="20"/>
      <w:r w:rsidRPr="00BB6EEC">
        <w:rPr>
          <w:lang w:val="en-ZA"/>
        </w:rPr>
        <w:t xml:space="preserve"> </w:t>
      </w:r>
      <w:bookmarkStart w:id="21" w:name="EOM"/>
      <w:bookmarkStart w:id="22" w:name="KAM"/>
      <w:bookmarkStart w:id="23" w:name="EO1"/>
      <w:bookmarkStart w:id="24" w:name="_Toc447106587"/>
      <w:bookmarkEnd w:id="21"/>
      <w:bookmarkEnd w:id="22"/>
      <w:bookmarkEnd w:id="23"/>
    </w:p>
    <w:p w14:paraId="24A0CC2C" w14:textId="66750255" w:rsidR="00C22F2B" w:rsidRPr="0077659B" w:rsidRDefault="000C10EC" w:rsidP="000C4D17">
      <w:pPr>
        <w:pStyle w:val="Heading4"/>
      </w:pPr>
      <w:r w:rsidRPr="0077659B">
        <w:t>Other</w:t>
      </w:r>
      <w:r w:rsidR="00C22F2B" w:rsidRPr="0077659B">
        <w:t xml:space="preserve"> matter paragraphs</w:t>
      </w:r>
      <w:r w:rsidR="00F00952" w:rsidRPr="0077659B">
        <w:t xml:space="preserve"> </w:t>
      </w:r>
      <w:bookmarkEnd w:id="24"/>
    </w:p>
    <w:p w14:paraId="47C56E47" w14:textId="77777777" w:rsidR="00C22F2B" w:rsidRPr="0077659B" w:rsidRDefault="00C22F2B" w:rsidP="00223FB6">
      <w:pPr>
        <w:pStyle w:val="Numbernormal"/>
        <w:numPr>
          <w:ilvl w:val="0"/>
          <w:numId w:val="26"/>
        </w:numPr>
      </w:pPr>
      <w:r w:rsidRPr="0077659B">
        <w:t xml:space="preserve">The following </w:t>
      </w:r>
      <w:r w:rsidR="000C10EC" w:rsidRPr="0077659B">
        <w:t>other</w:t>
      </w:r>
      <w:r w:rsidRPr="0077659B">
        <w:t xml:space="preserve"> matter paragraphs will be included in our auditor’s report to draw the users’ attention to matters regarding the audit, the auditor’s responsibilities and the auditor’s report:</w:t>
      </w:r>
    </w:p>
    <w:p w14:paraId="7C247FC4" w14:textId="77777777" w:rsidR="004B2AA4" w:rsidRPr="0077659B" w:rsidRDefault="00F85C07" w:rsidP="008341AC">
      <w:pPr>
        <w:pStyle w:val="Heading6"/>
      </w:pPr>
      <w:r w:rsidRPr="00F85C07">
        <w:t>Unaudited supplementary schedules</w:t>
      </w:r>
    </w:p>
    <w:p w14:paraId="1F468A93" w14:textId="77777777" w:rsidR="004B2AA4" w:rsidRPr="0077659B" w:rsidRDefault="00F85C07" w:rsidP="00223FB6">
      <w:pPr>
        <w:pStyle w:val="Numbernormal"/>
        <w:numPr>
          <w:ilvl w:val="0"/>
          <w:numId w:val="26"/>
        </w:numPr>
      </w:pPr>
      <w:r>
        <w:t xml:space="preserve">The </w:t>
      </w:r>
      <w:r w:rsidRPr="000F2CE7">
        <w:t xml:space="preserve">supplementary information set out on </w:t>
      </w:r>
      <w:r w:rsidRPr="00925BB2">
        <w:rPr>
          <w:highlight w:val="yellow"/>
        </w:rPr>
        <w:t>pages XX to XX</w:t>
      </w:r>
      <w:r w:rsidRPr="000F2CE7">
        <w:t xml:space="preserve"> does not form part of the financial statements and </w:t>
      </w:r>
      <w:proofErr w:type="gramStart"/>
      <w:r w:rsidRPr="000F2CE7">
        <w:t>is presented</w:t>
      </w:r>
      <w:proofErr w:type="gramEnd"/>
      <w:r w:rsidRPr="000F2CE7">
        <w:t xml:space="preserve"> as additional information. I have not audited th</w:t>
      </w:r>
      <w:r>
        <w:t>ese</w:t>
      </w:r>
      <w:r w:rsidRPr="000F2CE7">
        <w:t xml:space="preserve"> schedules and, accordingly, I do not express an opinion thereon</w:t>
      </w:r>
      <w:r>
        <w:t>.</w:t>
      </w:r>
    </w:p>
    <w:p w14:paraId="703EF35B" w14:textId="197B2B60" w:rsidR="008F6C98" w:rsidRPr="00BB6EEC" w:rsidRDefault="008516E0" w:rsidP="00A3735E">
      <w:pPr>
        <w:pStyle w:val="Heading3"/>
        <w:rPr>
          <w:lang w:val="en-ZA"/>
        </w:rPr>
      </w:pPr>
      <w:bookmarkStart w:id="25" w:name="_Toc51154072"/>
      <w:bookmarkStart w:id="26" w:name="_Toc447106588"/>
      <w:r w:rsidRPr="00BB6EEC">
        <w:rPr>
          <w:lang w:val="en-ZA"/>
        </w:rPr>
        <w:t xml:space="preserve">AUDIT OF </w:t>
      </w:r>
      <w:r w:rsidR="00922655" w:rsidRPr="00BB6EEC">
        <w:rPr>
          <w:lang w:val="en-ZA"/>
        </w:rPr>
        <w:t>THE ANNUAL PERFORMANCE REPORT</w:t>
      </w:r>
      <w:bookmarkEnd w:id="25"/>
    </w:p>
    <w:p w14:paraId="3A0ACE9D" w14:textId="253BC516" w:rsidR="008516E0" w:rsidRPr="0077659B" w:rsidRDefault="000C4D17" w:rsidP="00223FB6">
      <w:pPr>
        <w:pStyle w:val="Numbernormal"/>
        <w:numPr>
          <w:ilvl w:val="0"/>
          <w:numId w:val="26"/>
        </w:numPr>
      </w:pPr>
      <w:bookmarkStart w:id="27" w:name="E6back"/>
      <w:bookmarkEnd w:id="27"/>
      <w:r w:rsidRPr="0077659B">
        <w:t>In terms of the</w:t>
      </w:r>
      <w:r w:rsidR="009D2681" w:rsidRPr="0077659B">
        <w:t xml:space="preserve"> general notice issued in terms of the PAA</w:t>
      </w:r>
      <w:r w:rsidR="00453D1F" w:rsidRPr="0077659B">
        <w:t>,</w:t>
      </w:r>
      <w:r w:rsidR="008516E0" w:rsidRPr="0077659B">
        <w:t xml:space="preserve"> the opinion on the audit of reported information will be incl</w:t>
      </w:r>
      <w:r w:rsidR="00F85C07">
        <w:t xml:space="preserve">uded in the management report. </w:t>
      </w:r>
      <w:r w:rsidR="008516E0" w:rsidRPr="0077659B">
        <w:t xml:space="preserve">The report is included below to enable management and those charged with governance to see what the report will look like once it </w:t>
      </w:r>
      <w:proofErr w:type="gramStart"/>
      <w:r w:rsidR="008516E0" w:rsidRPr="0077659B">
        <w:t>is published</w:t>
      </w:r>
      <w:proofErr w:type="gramEnd"/>
      <w:r w:rsidR="008516E0" w:rsidRPr="0077659B">
        <w:t xml:space="preserve"> in the auditor’s report</w:t>
      </w:r>
      <w:r w:rsidR="00AF2986" w:rsidRPr="0077659B">
        <w:t>.</w:t>
      </w:r>
      <w:r w:rsidR="0068422E" w:rsidRPr="0077659B">
        <w:t xml:space="preserve"> </w:t>
      </w:r>
      <w:r w:rsidR="0009390C" w:rsidRPr="0077659B">
        <w:t xml:space="preserve">We </w:t>
      </w:r>
      <w:r w:rsidR="00E85458" w:rsidRPr="0077659B">
        <w:t xml:space="preserve">will report all the audit findings included under the basis for opinion and the </w:t>
      </w:r>
      <w:r w:rsidR="008B14CD" w:rsidRPr="0077659B">
        <w:t>other</w:t>
      </w:r>
      <w:r w:rsidR="00E85458" w:rsidRPr="0077659B">
        <w:t xml:space="preserve"> matter sections of this report in the auditor’s report</w:t>
      </w:r>
      <w:r w:rsidR="003C57C8" w:rsidRPr="0077659B">
        <w:t>.</w:t>
      </w:r>
    </w:p>
    <w:p w14:paraId="4BA52DE2" w14:textId="77777777" w:rsidR="008341AC" w:rsidRPr="0077659B" w:rsidRDefault="00C14072" w:rsidP="008341AC">
      <w:pPr>
        <w:pStyle w:val="Heading4"/>
      </w:pPr>
      <w:bookmarkStart w:id="28" w:name="E7back"/>
      <w:bookmarkStart w:id="29" w:name="E10back"/>
      <w:bookmarkEnd w:id="26"/>
      <w:bookmarkEnd w:id="28"/>
      <w:bookmarkEnd w:id="29"/>
      <w:r w:rsidRPr="0077659B">
        <w:t>I</w:t>
      </w:r>
      <w:r w:rsidR="007D37B9" w:rsidRPr="0077659B">
        <w:t>ntroduction and scope</w:t>
      </w:r>
      <w:bookmarkStart w:id="30" w:name="Back25"/>
      <w:bookmarkEnd w:id="30"/>
    </w:p>
    <w:p w14:paraId="1ADE1092" w14:textId="77777777" w:rsidR="007D37B9" w:rsidRPr="0077659B" w:rsidRDefault="0009390C" w:rsidP="00223FB6">
      <w:pPr>
        <w:pStyle w:val="Numbernormal"/>
        <w:numPr>
          <w:ilvl w:val="0"/>
          <w:numId w:val="26"/>
        </w:numPr>
      </w:pPr>
      <w:r w:rsidRPr="0077659B">
        <w:t xml:space="preserve">We </w:t>
      </w:r>
      <w:r w:rsidR="007D37B9" w:rsidRPr="0077659B">
        <w:t xml:space="preserve">have undertaken a reasonable assurance engagement on the reported performance information for the following </w:t>
      </w:r>
      <w:r w:rsidR="007143D3">
        <w:t>selected programmes</w:t>
      </w:r>
      <w:r w:rsidR="007D37B9" w:rsidRPr="0077659B">
        <w:t xml:space="preserve"> presented in the annual performance report of </w:t>
      </w:r>
      <w:bookmarkStart w:id="31" w:name="E11back"/>
      <w:bookmarkEnd w:id="31"/>
      <w:r w:rsidR="007D37B9" w:rsidRPr="0077659B">
        <w:t xml:space="preserve">the </w:t>
      </w:r>
      <w:r w:rsidR="005A69DF">
        <w:t>department</w:t>
      </w:r>
      <w:r w:rsidR="007D37B9" w:rsidRPr="0077659B">
        <w:t xml:space="preserve"> f</w:t>
      </w:r>
      <w:r w:rsidR="00625CB1" w:rsidRPr="0077659B">
        <w:t xml:space="preserve">or the year ended </w:t>
      </w:r>
      <w:r w:rsidR="005A69DF">
        <w:t>31 March 2020</w:t>
      </w:r>
      <w:r w:rsidR="007D37B9" w:rsidRPr="0077659B">
        <w:t>:</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2314"/>
        <w:gridCol w:w="1205"/>
        <w:gridCol w:w="1333"/>
      </w:tblGrid>
      <w:tr w:rsidR="00C059A5" w:rsidRPr="0077659B" w14:paraId="1C315197" w14:textId="77777777" w:rsidTr="005A69DF">
        <w:trPr>
          <w:trHeight w:val="621"/>
        </w:trPr>
        <w:tc>
          <w:tcPr>
            <w:tcW w:w="2452" w:type="pct"/>
            <w:shd w:val="clear" w:color="auto" w:fill="A6A6A6" w:themeFill="background1" w:themeFillShade="A6"/>
          </w:tcPr>
          <w:p w14:paraId="542E5FDE" w14:textId="0104B436" w:rsidR="00C059A5" w:rsidRPr="0077659B" w:rsidRDefault="00F55956" w:rsidP="008341AC">
            <w:pPr>
              <w:pStyle w:val="NoSpacing"/>
              <w:rPr>
                <w:lang w:eastAsia="en-GB"/>
              </w:rPr>
            </w:pPr>
            <w:r>
              <w:rPr>
                <w:lang w:eastAsia="en-GB"/>
              </w:rPr>
              <w:t>Programmes</w:t>
            </w:r>
          </w:p>
        </w:tc>
        <w:tc>
          <w:tcPr>
            <w:tcW w:w="1215" w:type="pct"/>
            <w:shd w:val="clear" w:color="auto" w:fill="A6A6A6" w:themeFill="background1" w:themeFillShade="A6"/>
          </w:tcPr>
          <w:p w14:paraId="1220B5A5" w14:textId="77777777" w:rsidR="00C059A5" w:rsidRPr="0077659B" w:rsidRDefault="00C059A5" w:rsidP="008341AC">
            <w:pPr>
              <w:pStyle w:val="NoSpacing"/>
              <w:rPr>
                <w:lang w:eastAsia="en-GB"/>
              </w:rPr>
            </w:pPr>
            <w:r w:rsidRPr="0077659B">
              <w:rPr>
                <w:lang w:eastAsia="en-GB"/>
              </w:rPr>
              <w:t>Pages in annual performance report</w:t>
            </w:r>
          </w:p>
        </w:tc>
        <w:tc>
          <w:tcPr>
            <w:tcW w:w="633" w:type="pct"/>
            <w:shd w:val="clear" w:color="auto" w:fill="A6A6A6" w:themeFill="background1" w:themeFillShade="A6"/>
          </w:tcPr>
          <w:p w14:paraId="0BE5474C" w14:textId="77777777" w:rsidR="00C059A5" w:rsidRPr="0077659B" w:rsidRDefault="00C059A5" w:rsidP="008341AC">
            <w:pPr>
              <w:pStyle w:val="NoSpacing"/>
              <w:rPr>
                <w:lang w:eastAsia="en-GB"/>
              </w:rPr>
            </w:pPr>
            <w:r w:rsidRPr="0077659B">
              <w:rPr>
                <w:lang w:eastAsia="en-GB"/>
              </w:rPr>
              <w:t>Opinion</w:t>
            </w:r>
          </w:p>
        </w:tc>
        <w:tc>
          <w:tcPr>
            <w:tcW w:w="700" w:type="pct"/>
            <w:shd w:val="clear" w:color="auto" w:fill="A6A6A6" w:themeFill="background1" w:themeFillShade="A6"/>
          </w:tcPr>
          <w:p w14:paraId="75ECE59B" w14:textId="1BCDE0F1" w:rsidR="00C059A5" w:rsidRPr="0077659B" w:rsidRDefault="00C059A5" w:rsidP="000913DD">
            <w:pPr>
              <w:pStyle w:val="NoSpacing"/>
              <w:rPr>
                <w:lang w:eastAsia="en-GB"/>
              </w:rPr>
            </w:pPr>
            <w:r w:rsidRPr="0077659B">
              <w:rPr>
                <w:lang w:eastAsia="en-GB"/>
              </w:rPr>
              <w:t>Mov</w:t>
            </w:r>
            <w:r w:rsidR="00D40BD3" w:rsidRPr="0077659B">
              <w:rPr>
                <w:lang w:eastAsia="en-GB"/>
              </w:rPr>
              <w:t>ement</w:t>
            </w:r>
          </w:p>
        </w:tc>
      </w:tr>
      <w:tr w:rsidR="00C059A5" w:rsidRPr="0077659B" w14:paraId="44851B06" w14:textId="77777777" w:rsidTr="005A69DF">
        <w:tc>
          <w:tcPr>
            <w:tcW w:w="2452" w:type="pct"/>
            <w:shd w:val="clear" w:color="auto" w:fill="auto"/>
          </w:tcPr>
          <w:p w14:paraId="2B13BF16" w14:textId="77777777" w:rsidR="00C059A5" w:rsidRPr="00BB6EEC" w:rsidRDefault="005A69DF" w:rsidP="008341AC">
            <w:pPr>
              <w:pStyle w:val="Tabletext"/>
              <w:rPr>
                <w:lang w:val="en-ZA" w:eastAsia="en-GB"/>
              </w:rPr>
            </w:pPr>
            <w:r w:rsidRPr="005A69DF">
              <w:rPr>
                <w:lang w:val="en-ZA" w:eastAsia="en-GB"/>
              </w:rPr>
              <w:t>Programme 3: Expanded Public Works Programme</w:t>
            </w:r>
          </w:p>
        </w:tc>
        <w:tc>
          <w:tcPr>
            <w:tcW w:w="1215" w:type="pct"/>
            <w:shd w:val="clear" w:color="auto" w:fill="auto"/>
            <w:vAlign w:val="center"/>
          </w:tcPr>
          <w:p w14:paraId="2F966F6F" w14:textId="77777777" w:rsidR="00C059A5" w:rsidRPr="00BB6EEC" w:rsidRDefault="00C059A5" w:rsidP="00F71ABC">
            <w:pPr>
              <w:pStyle w:val="Tabletext"/>
              <w:jc w:val="center"/>
              <w:rPr>
                <w:lang w:val="en-ZA" w:eastAsia="en-GB"/>
              </w:rPr>
            </w:pPr>
            <w:r w:rsidRPr="00BB6EEC">
              <w:rPr>
                <w:lang w:val="en-ZA" w:eastAsia="en-GB"/>
              </w:rPr>
              <w:t>x – x</w:t>
            </w:r>
          </w:p>
        </w:tc>
        <w:tc>
          <w:tcPr>
            <w:tcW w:w="633" w:type="pct"/>
            <w:vAlign w:val="center"/>
          </w:tcPr>
          <w:p w14:paraId="393DB0E5" w14:textId="77777777" w:rsidR="00C059A5" w:rsidRPr="00BB6EEC" w:rsidRDefault="005A69DF" w:rsidP="00F71ABC">
            <w:pPr>
              <w:pStyle w:val="Tabletext"/>
              <w:jc w:val="center"/>
              <w:rPr>
                <w:lang w:val="en-ZA" w:eastAsia="en-GB"/>
              </w:rPr>
            </w:pPr>
            <w:r w:rsidRPr="00825001">
              <w:rPr>
                <w:rFonts w:eastAsia="Times New Roman" w:cs="Arial"/>
                <w:lang w:eastAsia="en-GB"/>
              </w:rPr>
              <w:t>Qualified</w:t>
            </w:r>
          </w:p>
        </w:tc>
        <w:tc>
          <w:tcPr>
            <w:tcW w:w="700" w:type="pct"/>
            <w:vAlign w:val="center"/>
          </w:tcPr>
          <w:p w14:paraId="0EB8042E" w14:textId="77777777" w:rsidR="00C059A5" w:rsidRPr="00BB6EEC" w:rsidRDefault="005A69DF" w:rsidP="00F71ABC">
            <w:pPr>
              <w:pStyle w:val="Tabletext"/>
              <w:jc w:val="center"/>
              <w:rPr>
                <w:lang w:val="en-ZA" w:eastAsia="en-GB"/>
              </w:rPr>
            </w:pPr>
            <w:r w:rsidRPr="00825001">
              <w:rPr>
                <w:rFonts w:eastAsia="Times New Roman" w:cs="Arial"/>
                <w:noProof/>
                <w:lang w:val="en-ZA" w:eastAsia="en-ZA"/>
              </w:rPr>
              <w:drawing>
                <wp:anchor distT="0" distB="0" distL="114300" distR="114300" simplePos="0" relativeHeight="251679232" behindDoc="0" locked="0" layoutInCell="1" allowOverlap="1" wp14:anchorId="6632F41A" wp14:editId="4BCB7963">
                  <wp:simplePos x="0" y="0"/>
                  <wp:positionH relativeFrom="column">
                    <wp:posOffset>236220</wp:posOffset>
                  </wp:positionH>
                  <wp:positionV relativeFrom="paragraph">
                    <wp:posOffset>22860</wp:posOffset>
                  </wp:positionV>
                  <wp:extent cx="179705" cy="179705"/>
                  <wp:effectExtent l="0" t="0" r="0" b="0"/>
                  <wp:wrapNone/>
                  <wp:docPr id="11"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3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
        </w:tc>
      </w:tr>
    </w:tbl>
    <w:p w14:paraId="416A8581" w14:textId="77777777" w:rsidR="00470547" w:rsidRPr="0077659B" w:rsidRDefault="00470547" w:rsidP="00470547">
      <w:pPr>
        <w:pStyle w:val="Default"/>
        <w:spacing w:after="120"/>
        <w:rPr>
          <w:rFonts w:ascii="Arial" w:hAnsi="Arial" w:cs="Arial"/>
          <w:color w:val="auto"/>
          <w:sz w:val="22"/>
          <w:szCs w:val="22"/>
          <w:lang w:val="en-ZA"/>
        </w:rPr>
      </w:pPr>
    </w:p>
    <w:p w14:paraId="2E9074EA" w14:textId="77777777" w:rsidR="007D37B9" w:rsidRPr="0077659B" w:rsidRDefault="0009390C" w:rsidP="00223FB6">
      <w:pPr>
        <w:pStyle w:val="Numbernormal"/>
        <w:numPr>
          <w:ilvl w:val="0"/>
          <w:numId w:val="26"/>
        </w:numPr>
      </w:pPr>
      <w:r w:rsidRPr="0077659B">
        <w:t>We</w:t>
      </w:r>
      <w:r w:rsidR="007D37B9" w:rsidRPr="0077659B">
        <w:t xml:space="preserve"> conducted </w:t>
      </w:r>
      <w:r w:rsidRPr="0077659B">
        <w:t>our</w:t>
      </w:r>
      <w:r w:rsidR="007D37B9" w:rsidRPr="0077659B">
        <w:t xml:space="preserve"> reasonable assurance engagement in accordance with the International Standard on Assurance Engagements, ISAE 3000: </w:t>
      </w:r>
      <w:r w:rsidR="007D37B9" w:rsidRPr="0077659B">
        <w:rPr>
          <w:i/>
        </w:rPr>
        <w:t>Assurance engagements other than audits or reviews of historical financial information.</w:t>
      </w:r>
      <w:r w:rsidR="007D37B9" w:rsidRPr="0077659B">
        <w:t xml:space="preserve"> </w:t>
      </w:r>
    </w:p>
    <w:p w14:paraId="76E200AF" w14:textId="77777777" w:rsidR="007D37B9" w:rsidRPr="0077659B" w:rsidRDefault="0009390C" w:rsidP="00223FB6">
      <w:pPr>
        <w:pStyle w:val="Numbernormal"/>
        <w:numPr>
          <w:ilvl w:val="0"/>
          <w:numId w:val="26"/>
        </w:numPr>
      </w:pPr>
      <w:r w:rsidRPr="0077659B">
        <w:t xml:space="preserve">We </w:t>
      </w:r>
      <w:r w:rsidR="007D37B9" w:rsidRPr="0077659B">
        <w:t xml:space="preserve">believe that the evidence </w:t>
      </w:r>
      <w:r w:rsidRPr="0077659B">
        <w:t xml:space="preserve">we </w:t>
      </w:r>
      <w:r w:rsidR="007D37B9" w:rsidRPr="0077659B">
        <w:t xml:space="preserve">have obtained is sufficient and appropriate to provide a basis for </w:t>
      </w:r>
      <w:r w:rsidRPr="0077659B">
        <w:t>our</w:t>
      </w:r>
      <w:r w:rsidR="007143D3">
        <w:t xml:space="preserve"> opinion</w:t>
      </w:r>
      <w:r w:rsidR="007D37B9" w:rsidRPr="0077659B">
        <w:t>.</w:t>
      </w:r>
    </w:p>
    <w:p w14:paraId="574124F2" w14:textId="77777777" w:rsidR="008341AC" w:rsidRPr="0077659B" w:rsidRDefault="007143D3" w:rsidP="008341AC">
      <w:pPr>
        <w:pStyle w:val="Heading4"/>
      </w:pPr>
      <w:bookmarkStart w:id="32" w:name="X2"/>
      <w:bookmarkStart w:id="33" w:name="MRInsertprogramme"/>
      <w:bookmarkStart w:id="34" w:name="E12back"/>
      <w:bookmarkEnd w:id="32"/>
      <w:bookmarkEnd w:id="33"/>
      <w:bookmarkEnd w:id="34"/>
      <w:r w:rsidRPr="007143D3">
        <w:t>Programme 3 – Expanded Public Works Programme</w:t>
      </w:r>
      <w:bookmarkStart w:id="35" w:name="Back26"/>
      <w:bookmarkEnd w:id="35"/>
    </w:p>
    <w:p w14:paraId="79333CFD" w14:textId="77777777" w:rsidR="007D37B9" w:rsidRPr="0077659B" w:rsidRDefault="007D37B9" w:rsidP="008341AC">
      <w:pPr>
        <w:pStyle w:val="Heading5"/>
      </w:pPr>
      <w:r w:rsidRPr="0077659B">
        <w:t xml:space="preserve">Qualified opinion </w:t>
      </w:r>
    </w:p>
    <w:p w14:paraId="3DB7B763" w14:textId="77777777" w:rsidR="007D37B9" w:rsidRPr="0077659B" w:rsidRDefault="007D37B9" w:rsidP="00223FB6">
      <w:pPr>
        <w:pStyle w:val="Numbernormal"/>
        <w:numPr>
          <w:ilvl w:val="0"/>
          <w:numId w:val="26"/>
        </w:numPr>
        <w:rPr>
          <w:u w:val="single"/>
        </w:rPr>
      </w:pPr>
      <w:r w:rsidRPr="0077659B">
        <w:t xml:space="preserve">In </w:t>
      </w:r>
      <w:r w:rsidR="0009390C" w:rsidRPr="0077659B">
        <w:t>our</w:t>
      </w:r>
      <w:r w:rsidRPr="0077659B">
        <w:t xml:space="preserve"> opinion, </w:t>
      </w:r>
      <w:r w:rsidR="007143D3" w:rsidRPr="00825001">
        <w:t>except for the effects of the matters described in the basis for qualified opinion section of my report,</w:t>
      </w:r>
      <w:r w:rsidR="007143D3">
        <w:t xml:space="preserve"> </w:t>
      </w:r>
      <w:r w:rsidRPr="0077659B">
        <w:t xml:space="preserve">the reported performance information for </w:t>
      </w:r>
      <w:r w:rsidR="007143D3" w:rsidRPr="00825001">
        <w:t>Programme 3 – Expanded Public Works Programme</w:t>
      </w:r>
      <w:r w:rsidRPr="0077659B">
        <w:t xml:space="preserve"> is useful and reliable, in accordance with the applicable criteria as developed from the performance management and reporting framework as set out in </w:t>
      </w:r>
      <w:r w:rsidR="00453D1F" w:rsidRPr="0077659B">
        <w:t>a</w:t>
      </w:r>
      <w:r w:rsidR="00DB2251" w:rsidRPr="0077659B">
        <w:t>nnexure D</w:t>
      </w:r>
      <w:r w:rsidR="00B96493" w:rsidRPr="0077659B">
        <w:t xml:space="preserve"> </w:t>
      </w:r>
      <w:r w:rsidR="00453D1F" w:rsidRPr="0077659B">
        <w:t>to</w:t>
      </w:r>
      <w:r w:rsidR="00B96493" w:rsidRPr="0077659B">
        <w:t xml:space="preserve"> this report</w:t>
      </w:r>
      <w:r w:rsidR="00D40BD3" w:rsidRPr="0077659B">
        <w:t>.</w:t>
      </w:r>
    </w:p>
    <w:p w14:paraId="4C032602" w14:textId="443B4A2A" w:rsidR="007D37B9" w:rsidRPr="00BB6EEC" w:rsidRDefault="007D37B9" w:rsidP="008341AC">
      <w:pPr>
        <w:pStyle w:val="Heading5"/>
        <w:rPr>
          <w:rStyle w:val="Hyperlink"/>
          <w:b/>
          <w:bCs w:val="0"/>
          <w:sz w:val="22"/>
        </w:rPr>
      </w:pPr>
      <w:bookmarkStart w:id="36" w:name="MRBasis"/>
      <w:bookmarkStart w:id="37" w:name="E14back"/>
      <w:bookmarkEnd w:id="36"/>
      <w:bookmarkEnd w:id="37"/>
      <w:r w:rsidRPr="00BB6EEC">
        <w:lastRenderedPageBreak/>
        <w:t xml:space="preserve">Basis </w:t>
      </w:r>
      <w:r w:rsidR="007143D3">
        <w:t xml:space="preserve">for </w:t>
      </w:r>
      <w:r w:rsidRPr="00BB6EEC">
        <w:t>Qualified</w:t>
      </w:r>
      <w:r w:rsidRPr="0077659B">
        <w:t xml:space="preserve"> opinion</w:t>
      </w:r>
      <w:r w:rsidRPr="0077659B">
        <w:rPr>
          <w:color w:val="auto"/>
        </w:rPr>
        <w:t xml:space="preserve"> </w:t>
      </w:r>
      <w:r w:rsidR="00D66C13" w:rsidRPr="0077659B">
        <w:rPr>
          <w:vertAlign w:val="superscript"/>
        </w:rPr>
        <w:fldChar w:fldCharType="begin"/>
      </w:r>
      <w:r w:rsidR="00D66C13" w:rsidRPr="0077659B">
        <w:rPr>
          <w:vertAlign w:val="superscript"/>
        </w:rPr>
        <w:instrText xml:space="preserve"> HYPERLINK  \l "E14" </w:instrText>
      </w:r>
      <w:r w:rsidR="00D66C13" w:rsidRPr="0077659B">
        <w:rPr>
          <w:vertAlign w:val="superscript"/>
        </w:rPr>
        <w:fldChar w:fldCharType="separate"/>
      </w:r>
    </w:p>
    <w:bookmarkStart w:id="38" w:name="X5"/>
    <w:bookmarkEnd w:id="38"/>
    <w:p w14:paraId="2FD5FAC9" w14:textId="77777777" w:rsidR="007D37B9" w:rsidRPr="0077659B" w:rsidRDefault="00D66C13" w:rsidP="008341AC">
      <w:pPr>
        <w:pStyle w:val="Heading5"/>
        <w:rPr>
          <w:color w:val="auto"/>
        </w:rPr>
      </w:pPr>
      <w:r w:rsidRPr="0077659B">
        <w:rPr>
          <w:vertAlign w:val="superscript"/>
        </w:rPr>
        <w:fldChar w:fldCharType="end"/>
      </w:r>
      <w:r w:rsidR="007143D3" w:rsidRPr="007143D3">
        <w:rPr>
          <w:rFonts w:eastAsia="MS Mincho"/>
        </w:rPr>
        <w:t>Various indicators</w:t>
      </w:r>
      <w:r w:rsidR="007D37B9" w:rsidRPr="0077659B">
        <w:t xml:space="preserve"> </w:t>
      </w:r>
    </w:p>
    <w:p w14:paraId="3F02C59D" w14:textId="70F6F007" w:rsidR="007D37B9" w:rsidRDefault="00E75D2E" w:rsidP="00223FB6">
      <w:pPr>
        <w:pStyle w:val="Numbernormal"/>
        <w:numPr>
          <w:ilvl w:val="0"/>
          <w:numId w:val="26"/>
        </w:numPr>
      </w:pPr>
      <w:r w:rsidRPr="00E75D2E">
        <w:t xml:space="preserve">The achievements below </w:t>
      </w:r>
      <w:proofErr w:type="gramStart"/>
      <w:r w:rsidRPr="00E75D2E">
        <w:t>were reported</w:t>
      </w:r>
      <w:proofErr w:type="gramEnd"/>
      <w:r w:rsidRPr="00E75D2E">
        <w:t xml:space="preserve"> in the annual performance report for the listed indicators. However, some supporting evidence provided materially differed from the reported achieved, while in other instances I was unable to obtain sufficient appropriate audit evidence. This was due to the lack of accurate and complete records. I was unable to confirm the reported achievements by alternative means. Consequently, I was unable to determine whether any further adjustments were required to these reported achievements</w:t>
      </w:r>
      <w:r w:rsidR="007D37B9" w:rsidRPr="0077659B">
        <w:t>.</w:t>
      </w:r>
    </w:p>
    <w:tbl>
      <w:tblPr>
        <w:tblW w:w="5000" w:type="pct"/>
        <w:tblLook w:val="04A0" w:firstRow="1" w:lastRow="0" w:firstColumn="1" w:lastColumn="0" w:noHBand="0" w:noVBand="1"/>
      </w:tblPr>
      <w:tblGrid>
        <w:gridCol w:w="5892"/>
        <w:gridCol w:w="3736"/>
      </w:tblGrid>
      <w:tr w:rsidR="00D41822" w:rsidRPr="00D41822" w14:paraId="022CD03B" w14:textId="77777777" w:rsidTr="00D33C73">
        <w:trPr>
          <w:trHeight w:val="697"/>
          <w:tblHeader/>
        </w:trPr>
        <w:tc>
          <w:tcPr>
            <w:tcW w:w="3060" w:type="pct"/>
            <w:tcBorders>
              <w:top w:val="single" w:sz="4" w:space="0" w:color="auto"/>
              <w:left w:val="single" w:sz="4" w:space="0" w:color="auto"/>
              <w:bottom w:val="single" w:sz="4" w:space="0" w:color="auto"/>
              <w:right w:val="single" w:sz="4" w:space="0" w:color="auto"/>
            </w:tcBorders>
            <w:shd w:val="clear" w:color="000000" w:fill="D9D9D9"/>
            <w:hideMark/>
          </w:tcPr>
          <w:p w14:paraId="7E49ED04" w14:textId="77777777" w:rsidR="00D41822" w:rsidRPr="000913DD" w:rsidRDefault="00D41822" w:rsidP="00D33C73">
            <w:pPr>
              <w:spacing w:after="0" w:line="240" w:lineRule="auto"/>
              <w:jc w:val="both"/>
              <w:rPr>
                <w:rFonts w:eastAsia="Times New Roman" w:cs="Arial"/>
                <w:b/>
                <w:bCs/>
                <w:color w:val="000000"/>
                <w:sz w:val="20"/>
                <w:lang w:eastAsia="en-ZA"/>
              </w:rPr>
            </w:pPr>
            <w:r w:rsidRPr="000913DD">
              <w:rPr>
                <w:rFonts w:eastAsia="Times New Roman" w:cs="Arial"/>
                <w:b/>
                <w:bCs/>
                <w:color w:val="000000"/>
                <w:sz w:val="20"/>
                <w:lang w:eastAsia="en-ZA"/>
              </w:rPr>
              <w:t>Indicator description</w:t>
            </w:r>
          </w:p>
        </w:tc>
        <w:tc>
          <w:tcPr>
            <w:tcW w:w="1940" w:type="pct"/>
            <w:tcBorders>
              <w:top w:val="single" w:sz="4" w:space="0" w:color="auto"/>
              <w:left w:val="nil"/>
              <w:bottom w:val="single" w:sz="4" w:space="0" w:color="auto"/>
              <w:right w:val="single" w:sz="4" w:space="0" w:color="auto"/>
            </w:tcBorders>
            <w:shd w:val="clear" w:color="000000" w:fill="D9D9D9"/>
            <w:hideMark/>
          </w:tcPr>
          <w:p w14:paraId="7516AE62" w14:textId="77777777" w:rsidR="00D41822" w:rsidRPr="000913DD" w:rsidRDefault="00D41822" w:rsidP="00D33C73">
            <w:pPr>
              <w:spacing w:after="0" w:line="240" w:lineRule="auto"/>
              <w:jc w:val="both"/>
              <w:rPr>
                <w:rFonts w:eastAsia="Times New Roman" w:cs="Arial"/>
                <w:b/>
                <w:bCs/>
                <w:color w:val="000000"/>
                <w:sz w:val="20"/>
                <w:lang w:eastAsia="en-ZA"/>
              </w:rPr>
            </w:pPr>
            <w:r w:rsidRPr="000913DD">
              <w:rPr>
                <w:rFonts w:eastAsia="Times New Roman" w:cs="Arial"/>
                <w:b/>
                <w:bCs/>
                <w:color w:val="000000"/>
                <w:sz w:val="20"/>
                <w:lang w:eastAsia="en-ZA"/>
              </w:rPr>
              <w:t>Reported achievement</w:t>
            </w:r>
          </w:p>
        </w:tc>
      </w:tr>
      <w:tr w:rsidR="00D41822" w:rsidRPr="00D41822" w14:paraId="3DCCEF1D" w14:textId="77777777" w:rsidTr="00D33C73">
        <w:trPr>
          <w:trHeight w:val="707"/>
        </w:trPr>
        <w:tc>
          <w:tcPr>
            <w:tcW w:w="3060" w:type="pct"/>
            <w:tcBorders>
              <w:top w:val="nil"/>
              <w:left w:val="single" w:sz="4" w:space="0" w:color="auto"/>
              <w:bottom w:val="single" w:sz="4" w:space="0" w:color="auto"/>
              <w:right w:val="single" w:sz="4" w:space="0" w:color="auto"/>
            </w:tcBorders>
            <w:shd w:val="clear" w:color="auto" w:fill="auto"/>
            <w:vAlign w:val="center"/>
            <w:hideMark/>
          </w:tcPr>
          <w:p w14:paraId="0C3D06D5" w14:textId="77777777" w:rsidR="00D41822" w:rsidRPr="000913DD" w:rsidRDefault="00D41822" w:rsidP="00D33C73">
            <w:pPr>
              <w:spacing w:before="240" w:line="240" w:lineRule="auto"/>
              <w:rPr>
                <w:rFonts w:eastAsia="Times New Roman" w:cs="Arial"/>
                <w:color w:val="000000"/>
                <w:sz w:val="20"/>
                <w:lang w:eastAsia="en-ZA"/>
              </w:rPr>
            </w:pPr>
            <w:r w:rsidRPr="000913DD">
              <w:rPr>
                <w:rFonts w:eastAsia="Times New Roman" w:cs="Arial"/>
                <w:color w:val="000000"/>
                <w:sz w:val="20"/>
                <w:lang w:eastAsia="en-ZA"/>
              </w:rPr>
              <w:t>Number of work opportunities reported in the EPWP-RS by public bodies</w:t>
            </w:r>
          </w:p>
        </w:tc>
        <w:tc>
          <w:tcPr>
            <w:tcW w:w="1940" w:type="pct"/>
            <w:tcBorders>
              <w:top w:val="single" w:sz="4" w:space="0" w:color="auto"/>
              <w:left w:val="nil"/>
              <w:bottom w:val="single" w:sz="4" w:space="0" w:color="auto"/>
              <w:right w:val="single" w:sz="4" w:space="0" w:color="auto"/>
            </w:tcBorders>
            <w:shd w:val="clear" w:color="auto" w:fill="auto"/>
            <w:vAlign w:val="center"/>
            <w:hideMark/>
          </w:tcPr>
          <w:p w14:paraId="1C3BD0FB" w14:textId="4CD7F76A" w:rsidR="00D41822" w:rsidRPr="000913DD" w:rsidRDefault="00D41822" w:rsidP="00D33C73">
            <w:pPr>
              <w:spacing w:before="240" w:line="240" w:lineRule="auto"/>
              <w:rPr>
                <w:rFonts w:eastAsia="Times New Roman" w:cs="Arial"/>
                <w:color w:val="000000"/>
                <w:sz w:val="20"/>
                <w:lang w:eastAsia="en-ZA"/>
              </w:rPr>
            </w:pPr>
            <w:r w:rsidRPr="000913DD">
              <w:rPr>
                <w:rFonts w:eastAsia="Times New Roman" w:cs="Arial"/>
                <w:color w:val="000000"/>
                <w:sz w:val="20"/>
                <w:lang w:eastAsia="en-ZA"/>
              </w:rPr>
              <w:t>994 699 work opportunities reported in the EPWP-RS by public bodies (cumulative)</w:t>
            </w:r>
          </w:p>
        </w:tc>
      </w:tr>
      <w:tr w:rsidR="00D41822" w:rsidRPr="00D41822" w14:paraId="301BA903" w14:textId="77777777" w:rsidTr="00D33C73">
        <w:trPr>
          <w:trHeight w:val="1118"/>
        </w:trPr>
        <w:tc>
          <w:tcPr>
            <w:tcW w:w="3060" w:type="pct"/>
            <w:tcBorders>
              <w:top w:val="single" w:sz="4" w:space="0" w:color="auto"/>
              <w:left w:val="single" w:sz="4" w:space="0" w:color="auto"/>
              <w:bottom w:val="single" w:sz="4" w:space="0" w:color="auto"/>
              <w:right w:val="single" w:sz="4" w:space="0" w:color="auto"/>
            </w:tcBorders>
            <w:shd w:val="clear" w:color="auto" w:fill="auto"/>
            <w:vAlign w:val="center"/>
          </w:tcPr>
          <w:p w14:paraId="79FDF021" w14:textId="77777777" w:rsidR="00D41822" w:rsidRPr="000913DD" w:rsidRDefault="00D41822" w:rsidP="00D33C73">
            <w:pPr>
              <w:spacing w:before="240" w:line="240" w:lineRule="auto"/>
              <w:rPr>
                <w:rFonts w:eastAsia="Times New Roman" w:cs="Arial"/>
                <w:color w:val="000000"/>
                <w:sz w:val="20"/>
                <w:lang w:eastAsia="en-ZA"/>
              </w:rPr>
            </w:pPr>
            <w:r w:rsidRPr="000913DD">
              <w:rPr>
                <w:rFonts w:eastAsia="Times New Roman" w:cs="Arial"/>
                <w:color w:val="000000"/>
                <w:sz w:val="20"/>
                <w:lang w:eastAsia="en-ZA"/>
              </w:rPr>
              <w:t>Percentage EPWP participation amongst designated groups (women, youth and persons with disability) reported on the EPWP-RS by public bodies</w:t>
            </w:r>
          </w:p>
        </w:tc>
        <w:tc>
          <w:tcPr>
            <w:tcW w:w="1940" w:type="pct"/>
            <w:tcBorders>
              <w:top w:val="single" w:sz="4" w:space="0" w:color="auto"/>
              <w:left w:val="single" w:sz="4" w:space="0" w:color="auto"/>
              <w:bottom w:val="single" w:sz="4" w:space="0" w:color="auto"/>
              <w:right w:val="single" w:sz="4" w:space="0" w:color="auto"/>
            </w:tcBorders>
            <w:shd w:val="clear" w:color="auto" w:fill="auto"/>
            <w:vAlign w:val="center"/>
          </w:tcPr>
          <w:p w14:paraId="39D55EB1" w14:textId="77777777" w:rsidR="00D41822" w:rsidRPr="000913DD" w:rsidRDefault="00D41822" w:rsidP="000913DD">
            <w:pPr>
              <w:spacing w:after="0" w:line="240" w:lineRule="auto"/>
              <w:rPr>
                <w:rFonts w:eastAsia="Times New Roman" w:cs="Arial"/>
                <w:color w:val="000000"/>
                <w:sz w:val="20"/>
                <w:lang w:eastAsia="en-ZA"/>
              </w:rPr>
            </w:pPr>
            <w:r w:rsidRPr="000913DD">
              <w:rPr>
                <w:rFonts w:eastAsia="Times New Roman" w:cs="Arial"/>
                <w:color w:val="000000"/>
                <w:sz w:val="20"/>
                <w:lang w:eastAsia="en-ZA"/>
              </w:rPr>
              <w:t xml:space="preserve">41.94% Youth </w:t>
            </w:r>
          </w:p>
          <w:p w14:paraId="499E7F79" w14:textId="77777777" w:rsidR="00D41822" w:rsidRPr="000913DD" w:rsidRDefault="00D41822" w:rsidP="000913DD">
            <w:pPr>
              <w:spacing w:after="0" w:line="240" w:lineRule="auto"/>
              <w:rPr>
                <w:rFonts w:eastAsia="Times New Roman" w:cs="Arial"/>
                <w:color w:val="000000"/>
                <w:sz w:val="20"/>
                <w:lang w:eastAsia="en-ZA"/>
              </w:rPr>
            </w:pPr>
            <w:r w:rsidRPr="000913DD">
              <w:rPr>
                <w:rFonts w:eastAsia="Times New Roman" w:cs="Arial"/>
                <w:color w:val="000000"/>
                <w:sz w:val="20"/>
                <w:lang w:eastAsia="en-ZA"/>
              </w:rPr>
              <w:t>68.33% Women</w:t>
            </w:r>
          </w:p>
          <w:p w14:paraId="7C50500B" w14:textId="608D1042" w:rsidR="00D41822" w:rsidRPr="000913DD" w:rsidRDefault="00D41822" w:rsidP="000913DD">
            <w:pPr>
              <w:spacing w:after="0" w:line="240" w:lineRule="auto"/>
              <w:rPr>
                <w:rFonts w:eastAsia="Times New Roman" w:cs="Arial"/>
                <w:color w:val="000000"/>
                <w:sz w:val="20"/>
                <w:lang w:eastAsia="en-ZA"/>
              </w:rPr>
            </w:pPr>
            <w:r w:rsidRPr="000913DD">
              <w:rPr>
                <w:rFonts w:eastAsia="Times New Roman" w:cs="Arial"/>
                <w:color w:val="000000"/>
                <w:sz w:val="20"/>
                <w:lang w:eastAsia="en-ZA"/>
              </w:rPr>
              <w:t>0.96% persons with disabilities</w:t>
            </w:r>
          </w:p>
        </w:tc>
      </w:tr>
    </w:tbl>
    <w:p w14:paraId="4C632179" w14:textId="77777777" w:rsidR="00D41822" w:rsidRPr="0077659B" w:rsidRDefault="00D41822" w:rsidP="000913DD">
      <w:pPr>
        <w:pStyle w:val="Numbernormal"/>
        <w:ind w:left="840"/>
      </w:pPr>
    </w:p>
    <w:p w14:paraId="6863F4A5" w14:textId="77777777" w:rsidR="007D37B9" w:rsidRPr="0077659B" w:rsidRDefault="007D37B9" w:rsidP="008341AC">
      <w:pPr>
        <w:pStyle w:val="Heading4"/>
      </w:pPr>
      <w:bookmarkStart w:id="39" w:name="Back35"/>
      <w:bookmarkStart w:id="40" w:name="MROthermatter"/>
      <w:bookmarkEnd w:id="39"/>
      <w:bookmarkEnd w:id="40"/>
      <w:r w:rsidRPr="0077659B">
        <w:t xml:space="preserve">Other </w:t>
      </w:r>
      <w:bookmarkStart w:id="41" w:name="Back14a"/>
      <w:bookmarkEnd w:id="41"/>
      <w:r w:rsidRPr="0077659B">
        <w:t>matter</w:t>
      </w:r>
      <w:bookmarkStart w:id="42" w:name="Back36"/>
      <w:bookmarkEnd w:id="42"/>
    </w:p>
    <w:p w14:paraId="5DAD4B43" w14:textId="77777777" w:rsidR="007D37B9" w:rsidRPr="0077659B" w:rsidRDefault="0009390C" w:rsidP="00223FB6">
      <w:pPr>
        <w:pStyle w:val="Numbernormal"/>
        <w:numPr>
          <w:ilvl w:val="0"/>
          <w:numId w:val="26"/>
        </w:numPr>
      </w:pPr>
      <w:r w:rsidRPr="0077659B">
        <w:t xml:space="preserve">We </w:t>
      </w:r>
      <w:r w:rsidR="007D37B9" w:rsidRPr="0077659B">
        <w:t>draw attention to th</w:t>
      </w:r>
      <w:r w:rsidR="00E75D2E">
        <w:t xml:space="preserve">e </w:t>
      </w:r>
      <w:r w:rsidR="007D37B9" w:rsidRPr="0077659B">
        <w:t xml:space="preserve">matter below. </w:t>
      </w:r>
      <w:r w:rsidRPr="0077659B">
        <w:t>Our</w:t>
      </w:r>
      <w:r w:rsidR="00E75D2E">
        <w:t xml:space="preserve"> opinion</w:t>
      </w:r>
      <w:r w:rsidR="007D37B9" w:rsidRPr="0077659B">
        <w:t xml:space="preserve"> </w:t>
      </w:r>
      <w:proofErr w:type="gramStart"/>
      <w:r w:rsidR="007D37B9" w:rsidRPr="0077659B">
        <w:t>is not modified</w:t>
      </w:r>
      <w:proofErr w:type="gramEnd"/>
      <w:r w:rsidR="007D37B9" w:rsidRPr="0077659B">
        <w:t xml:space="preserve"> in re</w:t>
      </w:r>
      <w:r w:rsidR="00E75D2E">
        <w:t>spect of this matter</w:t>
      </w:r>
      <w:r w:rsidR="007D37B9" w:rsidRPr="0077659B">
        <w:t>.</w:t>
      </w:r>
    </w:p>
    <w:p w14:paraId="5C2D23B4" w14:textId="77777777" w:rsidR="004127C3" w:rsidRPr="0077659B" w:rsidRDefault="004127C3" w:rsidP="008341AC">
      <w:pPr>
        <w:pStyle w:val="Heading5"/>
      </w:pPr>
      <w:r w:rsidRPr="0077659B">
        <w:t>Achievement of planned targets</w:t>
      </w:r>
    </w:p>
    <w:p w14:paraId="4ABF8C7A" w14:textId="77777777" w:rsidR="009B436F" w:rsidRPr="0077659B" w:rsidRDefault="004127C3" w:rsidP="00223FB6">
      <w:pPr>
        <w:pStyle w:val="Numbernormal"/>
        <w:numPr>
          <w:ilvl w:val="0"/>
          <w:numId w:val="26"/>
        </w:numPr>
      </w:pPr>
      <w:r w:rsidRPr="0077659B">
        <w:t>Refer to th</w:t>
      </w:r>
      <w:r w:rsidR="00E75D2E">
        <w:t xml:space="preserve">e annual performance report on </w:t>
      </w:r>
      <w:r w:rsidRPr="00E75D2E">
        <w:rPr>
          <w:highlight w:val="yellow"/>
        </w:rPr>
        <w:t>page(s) x to x; x to x</w:t>
      </w:r>
      <w:r w:rsidRPr="0077659B">
        <w:t xml:space="preserve"> for information on the achievement of planned targets for the year</w:t>
      </w:r>
      <w:r w:rsidR="00B527C9" w:rsidRPr="0077659B">
        <w:t xml:space="preserve"> and explanations provided for the under/overachievement of a significant number of targets.</w:t>
      </w:r>
      <w:r w:rsidRPr="0077659B">
        <w:t xml:space="preserve"> This information </w:t>
      </w:r>
      <w:proofErr w:type="gramStart"/>
      <w:r w:rsidRPr="0077659B">
        <w:t>should be considered</w:t>
      </w:r>
      <w:proofErr w:type="gramEnd"/>
      <w:r w:rsidRPr="0077659B">
        <w:t xml:space="preserve"> in the context of the qualified </w:t>
      </w:r>
      <w:r w:rsidR="00651F93" w:rsidRPr="0077659B">
        <w:t>opinion</w:t>
      </w:r>
      <w:r w:rsidRPr="0077659B">
        <w:t xml:space="preserve"> expressed on the usefulness and reliability of the reported performance information in paragraph </w:t>
      </w:r>
      <w:r w:rsidR="00E75D2E">
        <w:t>23</w:t>
      </w:r>
      <w:r w:rsidRPr="0077659B">
        <w:t xml:space="preserve"> of this report</w:t>
      </w:r>
      <w:r w:rsidR="00C22528" w:rsidRPr="0077659B">
        <w:t>.</w:t>
      </w:r>
    </w:p>
    <w:p w14:paraId="317D073A" w14:textId="77777777" w:rsidR="007D37B9" w:rsidRPr="0077659B" w:rsidRDefault="007D37B9" w:rsidP="008341AC">
      <w:pPr>
        <w:pStyle w:val="Heading4"/>
      </w:pPr>
      <w:bookmarkStart w:id="43" w:name="MRResponsibilities"/>
      <w:bookmarkEnd w:id="43"/>
      <w:r w:rsidRPr="0077659B">
        <w:t xml:space="preserve">Responsibilities of </w:t>
      </w:r>
      <w:r w:rsidR="005C4987">
        <w:t>the accounting officer for</w:t>
      </w:r>
      <w:r w:rsidRPr="0077659B">
        <w:t xml:space="preserve"> the reported performance information </w:t>
      </w:r>
    </w:p>
    <w:p w14:paraId="248B0CEC" w14:textId="77777777" w:rsidR="007D37B9" w:rsidRPr="0077659B" w:rsidRDefault="007D37B9" w:rsidP="00223FB6">
      <w:pPr>
        <w:pStyle w:val="Numbernormal"/>
        <w:numPr>
          <w:ilvl w:val="0"/>
          <w:numId w:val="26"/>
        </w:numPr>
      </w:pPr>
      <w:proofErr w:type="gramStart"/>
      <w:r w:rsidRPr="0077659B">
        <w:t xml:space="preserve">The accounting officer is responsible for the preparation of the annual performance report in accordance with the prescribed performance management and reporting framework, as set out in </w:t>
      </w:r>
      <w:r w:rsidR="00453D1F" w:rsidRPr="0077659B">
        <w:t>a</w:t>
      </w:r>
      <w:r w:rsidR="00DB2251" w:rsidRPr="0077659B">
        <w:t>nnexure D</w:t>
      </w:r>
      <w:r w:rsidR="003D7E72" w:rsidRPr="0077659B">
        <w:t xml:space="preserve"> </w:t>
      </w:r>
      <w:r w:rsidR="00453D1F" w:rsidRPr="0077659B">
        <w:t xml:space="preserve">to </w:t>
      </w:r>
      <w:r w:rsidR="003D7E72" w:rsidRPr="0077659B">
        <w:t xml:space="preserve">this report </w:t>
      </w:r>
      <w:r w:rsidRPr="0077659B">
        <w:t>and for such internal control as the accounting officer</w:t>
      </w:r>
      <w:r w:rsidR="007F4B70" w:rsidRPr="0077659B">
        <w:rPr>
          <w:rStyle w:val="Hyperlink"/>
          <w:b/>
          <w:vertAlign w:val="superscript"/>
        </w:rPr>
        <w:t xml:space="preserve"> </w:t>
      </w:r>
      <w:r w:rsidRPr="0077659B">
        <w:t>determines is necessary to enable the preparation of performance information that is free from material misstatement in terms of its usefulness and reliability.</w:t>
      </w:r>
      <w:proofErr w:type="gramEnd"/>
    </w:p>
    <w:p w14:paraId="057B6CD7" w14:textId="77777777" w:rsidR="007D37B9" w:rsidRPr="0077659B" w:rsidRDefault="007D37B9" w:rsidP="008341AC">
      <w:pPr>
        <w:pStyle w:val="Heading4"/>
      </w:pPr>
      <w:bookmarkStart w:id="44" w:name="X6"/>
      <w:bookmarkStart w:id="45" w:name="MRAGResponsibilities"/>
      <w:bookmarkStart w:id="46" w:name="_Toc257816774"/>
      <w:bookmarkEnd w:id="44"/>
      <w:bookmarkEnd w:id="45"/>
      <w:r w:rsidRPr="0077659B">
        <w:t>Auditor-general’s responsibilities for the reasonable assurance engagement on the reported performance information</w:t>
      </w:r>
      <w:bookmarkStart w:id="47" w:name="Back29"/>
      <w:bookmarkEnd w:id="46"/>
      <w:bookmarkEnd w:id="47"/>
      <w:r w:rsidRPr="0077659B">
        <w:t xml:space="preserve"> </w:t>
      </w:r>
    </w:p>
    <w:p w14:paraId="6B0B22EF" w14:textId="77777777" w:rsidR="007D37B9" w:rsidRPr="0077659B" w:rsidRDefault="0009390C" w:rsidP="00223FB6">
      <w:pPr>
        <w:pStyle w:val="Numbernormal"/>
        <w:numPr>
          <w:ilvl w:val="0"/>
          <w:numId w:val="26"/>
        </w:numPr>
      </w:pPr>
      <w:r w:rsidRPr="0077659B">
        <w:t>Our</w:t>
      </w:r>
      <w:r w:rsidR="007D37B9" w:rsidRPr="0077659B">
        <w:t xml:space="preserve"> objectives are to obtain reasonable assurance about whether the reported performanc</w:t>
      </w:r>
      <w:r w:rsidR="005C4987">
        <w:t xml:space="preserve">e information for the selected </w:t>
      </w:r>
      <w:r w:rsidR="007D37B9" w:rsidRPr="0077659B">
        <w:t>programmes presented in the annual performance report is free from material misstatement and to issue a</w:t>
      </w:r>
      <w:r w:rsidR="002812BF" w:rsidRPr="0077659B">
        <w:t xml:space="preserve"> management </w:t>
      </w:r>
      <w:r w:rsidR="007D37B9" w:rsidRPr="0077659B">
        <w:t xml:space="preserve">report that includes </w:t>
      </w:r>
      <w:r w:rsidRPr="0077659B">
        <w:t xml:space="preserve">our </w:t>
      </w:r>
      <w:r w:rsidR="00373FF5">
        <w:t>opinion</w:t>
      </w:r>
      <w:r w:rsidR="007D37B9" w:rsidRPr="0077659B">
        <w:t xml:space="preserve">. Reasonable assurance is a high level of assurance, but is not a </w:t>
      </w:r>
      <w:r w:rsidR="007D37B9" w:rsidRPr="0077659B">
        <w:lastRenderedPageBreak/>
        <w:t xml:space="preserve">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w:t>
      </w:r>
      <w:proofErr w:type="gramStart"/>
      <w:r w:rsidR="007D37B9" w:rsidRPr="0077659B">
        <w:t>on the basis of</w:t>
      </w:r>
      <w:proofErr w:type="gramEnd"/>
      <w:r w:rsidR="007D37B9" w:rsidRPr="0077659B">
        <w:t xml:space="preserve"> the reported performance information.</w:t>
      </w:r>
    </w:p>
    <w:p w14:paraId="254818D2" w14:textId="77777777" w:rsidR="007D37B9" w:rsidRPr="0077659B" w:rsidRDefault="0009390C" w:rsidP="00223FB6">
      <w:pPr>
        <w:pStyle w:val="Numbernormal"/>
        <w:numPr>
          <w:ilvl w:val="0"/>
          <w:numId w:val="26"/>
        </w:numPr>
      </w:pPr>
      <w:r w:rsidRPr="0077659B">
        <w:t>Our</w:t>
      </w:r>
      <w:r w:rsidR="007D37B9" w:rsidRPr="0077659B">
        <w:t xml:space="preserve"> procedures address the </w:t>
      </w:r>
      <w:r w:rsidR="00AB361A" w:rsidRPr="0077659B">
        <w:rPr>
          <w:rFonts w:eastAsia="MS Mincho"/>
          <w:lang w:eastAsia="ja-JP"/>
        </w:rPr>
        <w:t xml:space="preserve">usefulness and reliability of the </w:t>
      </w:r>
      <w:r w:rsidR="007D37B9" w:rsidRPr="0077659B">
        <w:t xml:space="preserve">reported performance information, which </w:t>
      </w:r>
      <w:proofErr w:type="gramStart"/>
      <w:r w:rsidR="007D37B9" w:rsidRPr="0077659B">
        <w:t>must be based</w:t>
      </w:r>
      <w:proofErr w:type="gramEnd"/>
      <w:r w:rsidR="007D37B9" w:rsidRPr="0077659B">
        <w:t xml:space="preserve"> on the approved perform</w:t>
      </w:r>
      <w:r w:rsidR="00373FF5">
        <w:t>ance planning documents of the department</w:t>
      </w:r>
      <w:r w:rsidR="007D37B9" w:rsidRPr="0077659B">
        <w:t xml:space="preserve">. </w:t>
      </w:r>
      <w:r w:rsidRPr="0077659B">
        <w:t xml:space="preserve">We </w:t>
      </w:r>
      <w:r w:rsidR="007D37B9" w:rsidRPr="0077659B">
        <w:t>have not evaluated the appr</w:t>
      </w:r>
      <w:r w:rsidR="00373FF5">
        <w:t xml:space="preserve">opriateness of the performance </w:t>
      </w:r>
      <w:r w:rsidR="007D37B9" w:rsidRPr="0077659B">
        <w:t>indicators</w:t>
      </w:r>
      <w:r w:rsidR="00373FF5">
        <w:t xml:space="preserve"> </w:t>
      </w:r>
      <w:r w:rsidR="007D37B9" w:rsidRPr="0077659B">
        <w:t xml:space="preserve">established and included in the planning documents. </w:t>
      </w:r>
      <w:r w:rsidRPr="0077659B">
        <w:t>Our</w:t>
      </w:r>
      <w:r w:rsidR="007D37B9" w:rsidRPr="0077659B">
        <w:t xml:space="preserve"> procedures </w:t>
      </w:r>
      <w:r w:rsidR="00AB361A" w:rsidRPr="0077659B">
        <w:t>do not examine wh</w:t>
      </w:r>
      <w:r w:rsidR="00373FF5">
        <w:t>ether the actions taken by the department</w:t>
      </w:r>
      <w:r w:rsidR="00AB361A" w:rsidRPr="0077659B">
        <w:t xml:space="preserve"> enabled service delivery. Our procedures </w:t>
      </w:r>
      <w:r w:rsidR="00F44349" w:rsidRPr="0077659B">
        <w:t xml:space="preserve">also </w:t>
      </w:r>
      <w:r w:rsidR="007D37B9" w:rsidRPr="0077659B">
        <w:t>d</w:t>
      </w:r>
      <w:r w:rsidR="00AB361A" w:rsidRPr="0077659B">
        <w:t>o</w:t>
      </w:r>
      <w:r w:rsidR="007D37B9" w:rsidRPr="0077659B">
        <w:t xml:space="preserve"> not extend to any disclosures or assertions relating to planned performance strategies and information relating to future periods that may be included as part of the reported performance. Accordingly, </w:t>
      </w:r>
      <w:r w:rsidRPr="0077659B">
        <w:t>our</w:t>
      </w:r>
      <w:r w:rsidR="007D37B9" w:rsidRPr="0077659B">
        <w:t xml:space="preserve"> opinion does not extend to these matters.</w:t>
      </w:r>
      <w:r w:rsidR="007D37B9" w:rsidRPr="0077659B">
        <w:rPr>
          <w:rFonts w:eastAsia="MS Mincho"/>
          <w:lang w:eastAsia="ja-JP"/>
        </w:rPr>
        <w:t xml:space="preserve"> </w:t>
      </w:r>
    </w:p>
    <w:p w14:paraId="59ECFCA4" w14:textId="77777777" w:rsidR="00DD1780" w:rsidRPr="00BB6EEC" w:rsidRDefault="007D37B9" w:rsidP="00223FB6">
      <w:pPr>
        <w:pStyle w:val="Numbernormal"/>
        <w:numPr>
          <w:ilvl w:val="0"/>
          <w:numId w:val="26"/>
        </w:numPr>
      </w:pPr>
      <w:bookmarkStart w:id="48" w:name="MRDelete11"/>
      <w:bookmarkStart w:id="49" w:name="E14BBack"/>
      <w:bookmarkEnd w:id="48"/>
      <w:bookmarkEnd w:id="49"/>
      <w:r w:rsidRPr="0077659B">
        <w:t xml:space="preserve">A further description of </w:t>
      </w:r>
      <w:r w:rsidR="0009390C" w:rsidRPr="0077659B">
        <w:t>our</w:t>
      </w:r>
      <w:r w:rsidRPr="0077659B">
        <w:t xml:space="preserve"> responsibilities for the reasonable assurance engagement on reported performance information is inclu</w:t>
      </w:r>
      <w:r w:rsidR="003D7E72" w:rsidRPr="0077659B">
        <w:t xml:space="preserve">ded in </w:t>
      </w:r>
      <w:bookmarkStart w:id="50" w:name="AnnexureEback"/>
      <w:bookmarkEnd w:id="50"/>
      <w:r w:rsidR="000262C0" w:rsidRPr="0077659B">
        <w:t>a</w:t>
      </w:r>
      <w:r w:rsidR="00DB2251" w:rsidRPr="0077659B">
        <w:t>nnexure E</w:t>
      </w:r>
      <w:r w:rsidR="003D7E72" w:rsidRPr="0077659B">
        <w:t xml:space="preserve"> </w:t>
      </w:r>
      <w:r w:rsidR="000262C0" w:rsidRPr="0077659B">
        <w:t>to</w:t>
      </w:r>
      <w:r w:rsidR="003D7E72" w:rsidRPr="0077659B">
        <w:t xml:space="preserve"> this report</w:t>
      </w:r>
      <w:r w:rsidRPr="00BB6EEC">
        <w:t>.</w:t>
      </w:r>
      <w:r w:rsidR="00C71E23" w:rsidRPr="00BB6EEC">
        <w:t xml:space="preserve"> </w:t>
      </w:r>
      <w:bookmarkStart w:id="51" w:name="X7"/>
      <w:bookmarkStart w:id="52" w:name="Back30"/>
      <w:bookmarkStart w:id="53" w:name="MRLInsertprogramme"/>
      <w:bookmarkStart w:id="54" w:name="back17b"/>
      <w:bookmarkStart w:id="55" w:name="Back31"/>
      <w:bookmarkStart w:id="56" w:name="X8"/>
      <w:bookmarkStart w:id="57" w:name="MRLConclusion"/>
      <w:bookmarkStart w:id="58" w:name="Back32"/>
      <w:bookmarkStart w:id="59" w:name="ZZ4"/>
      <w:bookmarkStart w:id="60" w:name="E4a"/>
      <w:bookmarkStart w:id="61" w:name="X9"/>
      <w:bookmarkStart w:id="62" w:name="MRLBasis"/>
      <w:bookmarkStart w:id="63" w:name="MRLOthermatter"/>
      <w:bookmarkStart w:id="64" w:name="MRLResponsibilities"/>
      <w:bookmarkStart w:id="65" w:name="X10"/>
      <w:bookmarkStart w:id="66" w:name="MRLAGResponsibilities"/>
      <w:bookmarkStart w:id="67" w:name="NewAOPOSummary"/>
      <w:bookmarkStart w:id="68" w:name="Summary_audit_conclusion"/>
      <w:bookmarkStart w:id="69" w:name="Basis_for_qualified_adverse_disclaimer"/>
      <w:bookmarkStart w:id="70" w:name="AoPO1"/>
      <w:bookmarkStart w:id="71" w:name="AoPO2"/>
      <w:bookmarkStart w:id="72" w:name="Usefulness_of_APR"/>
      <w:bookmarkStart w:id="73" w:name="Presentation_2"/>
      <w:bookmarkStart w:id="74" w:name="AoPO3"/>
      <w:bookmarkStart w:id="75" w:name="Ch5_1"/>
      <w:bookmarkStart w:id="76" w:name="Consistency_3"/>
      <w:bookmarkStart w:id="77" w:name="NewBasis2"/>
      <w:bookmarkStart w:id="78" w:name="Ch5_2"/>
      <w:bookmarkStart w:id="79" w:name="Measurability_1"/>
      <w:bookmarkStart w:id="80" w:name="Ch5_3"/>
      <w:bookmarkStart w:id="81" w:name="Relevance"/>
      <w:bookmarkStart w:id="82" w:name="Ch5_4"/>
      <w:bookmarkStart w:id="83" w:name="AOPO4"/>
      <w:bookmarkStart w:id="84" w:name="Ch5_5"/>
      <w:bookmarkStart w:id="85" w:name="AoPO5"/>
      <w:bookmarkStart w:id="86" w:name="AoPO6"/>
      <w:bookmarkStart w:id="87" w:name="Ch5_6"/>
      <w:bookmarkStart w:id="88" w:name="Reliability"/>
      <w:bookmarkStart w:id="89" w:name="Validity"/>
      <w:bookmarkStart w:id="90" w:name="Accuracy_1"/>
      <w:bookmarkStart w:id="91" w:name="Completeness_2"/>
      <w:bookmarkStart w:id="92" w:name="Reliability1"/>
      <w:bookmarkStart w:id="93" w:name="Ch5_7"/>
      <w:bookmarkStart w:id="94" w:name="Adverse_conclusion_1"/>
      <w:bookmarkStart w:id="95" w:name="AoPO7"/>
      <w:bookmarkStart w:id="96" w:name="Material_adjustments_1"/>
      <w:bookmarkStart w:id="97" w:name="Ch5_8"/>
      <w:bookmarkStart w:id="98" w:name="Ch5_9"/>
      <w:bookmarkStart w:id="99" w:name="back15"/>
      <w:bookmarkStart w:id="100" w:name="_Toc44710659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73A4FCF0" w14:textId="31990FD4" w:rsidR="00C22F2B" w:rsidRPr="00BB6EEC" w:rsidRDefault="00BA71FA" w:rsidP="00A3735E">
      <w:pPr>
        <w:pStyle w:val="Heading3"/>
        <w:rPr>
          <w:lang w:val="en-ZA"/>
        </w:rPr>
      </w:pPr>
      <w:bookmarkStart w:id="101" w:name="_Toc51154073"/>
      <w:r w:rsidRPr="00BB6EEC">
        <w:rPr>
          <w:lang w:val="en-ZA"/>
        </w:rPr>
        <w:t xml:space="preserve">AUDIT OF </w:t>
      </w:r>
      <w:r w:rsidR="00C22F2B" w:rsidRPr="00BB6EEC">
        <w:rPr>
          <w:lang w:val="en-ZA"/>
        </w:rPr>
        <w:t>COMPLIANCE WITH LEGISLATION</w:t>
      </w:r>
      <w:bookmarkEnd w:id="101"/>
      <w:r w:rsidR="00C22F2B" w:rsidRPr="00BB6EEC">
        <w:rPr>
          <w:lang w:val="en-ZA"/>
        </w:rPr>
        <w:t xml:space="preserve"> </w:t>
      </w:r>
      <w:bookmarkEnd w:id="100"/>
    </w:p>
    <w:p w14:paraId="1B886978" w14:textId="77777777" w:rsidR="00C22F2B" w:rsidRPr="0077659B" w:rsidRDefault="00C22F2B" w:rsidP="00223FB6">
      <w:pPr>
        <w:pStyle w:val="Numbernormal"/>
        <w:numPr>
          <w:ilvl w:val="0"/>
          <w:numId w:val="26"/>
        </w:numPr>
      </w:pPr>
      <w:r w:rsidRPr="0077659B">
        <w:t xml:space="preserve">Included below </w:t>
      </w:r>
      <w:proofErr w:type="gramStart"/>
      <w:r w:rsidRPr="0077659B">
        <w:t>are material findings on compliance with selected specific requirements of applicable legislation, as set out in the general notice issued</w:t>
      </w:r>
      <w:proofErr w:type="gramEnd"/>
      <w:r w:rsidRPr="0077659B">
        <w:t xml:space="preserve"> in terms of the PAA.</w:t>
      </w:r>
    </w:p>
    <w:p w14:paraId="5B42D1D2" w14:textId="77777777" w:rsidR="00C22F2B" w:rsidRPr="0077659B" w:rsidRDefault="00373FF5" w:rsidP="008341AC">
      <w:pPr>
        <w:pStyle w:val="Heading4"/>
      </w:pPr>
      <w:bookmarkStart w:id="102" w:name="_Toc447106598"/>
      <w:r w:rsidRPr="00373FF5">
        <w:t>Expenditure management</w:t>
      </w:r>
      <w:bookmarkEnd w:id="102"/>
    </w:p>
    <w:p w14:paraId="2D784C18" w14:textId="77777777" w:rsidR="003C1C8C" w:rsidRDefault="007C3300" w:rsidP="00223FB6">
      <w:pPr>
        <w:pStyle w:val="Numbernormal"/>
        <w:numPr>
          <w:ilvl w:val="0"/>
          <w:numId w:val="26"/>
        </w:numPr>
      </w:pPr>
      <w:r w:rsidRPr="007C3300">
        <w:t>Effective and appropriate steps were not taken to prevent irregular expenditure, as required by section 38(1</w:t>
      </w:r>
      <w:proofErr w:type="gramStart"/>
      <w:r w:rsidRPr="007C3300">
        <w:t>)(</w:t>
      </w:r>
      <w:proofErr w:type="gramEnd"/>
      <w:r w:rsidRPr="007C3300">
        <w:t>c)(ii) of the PFMA and treasury regulation 9.1.1. The value, as disclosed in note xx to the financial statements, is not complete as management was still in the process of quantifying the full extent</w:t>
      </w:r>
      <w:r>
        <w:t xml:space="preserve"> of the irregular expenditure. </w:t>
      </w:r>
      <w:r w:rsidRPr="007C3300">
        <w:t xml:space="preserve">The majority of the irregular expenditure disclosed in the financial statements </w:t>
      </w:r>
      <w:proofErr w:type="gramStart"/>
      <w:r w:rsidRPr="007C3300">
        <w:t>was caused</w:t>
      </w:r>
      <w:proofErr w:type="gramEnd"/>
      <w:r w:rsidRPr="007C3300">
        <w:t xml:space="preserve"> by </w:t>
      </w:r>
      <w:r>
        <w:t>expenditure on state funerals where payments were made in excess of amounts required on the contract</w:t>
      </w:r>
      <w:r w:rsidR="00373FF5" w:rsidRPr="00373FF5">
        <w:t>.</w:t>
      </w:r>
    </w:p>
    <w:p w14:paraId="7B0BF049" w14:textId="77777777" w:rsidR="007C3300" w:rsidRPr="0077659B" w:rsidRDefault="007C3300" w:rsidP="00223FB6">
      <w:pPr>
        <w:pStyle w:val="Numbernormal"/>
        <w:numPr>
          <w:ilvl w:val="0"/>
          <w:numId w:val="26"/>
        </w:numPr>
      </w:pPr>
      <w:r w:rsidRPr="007C3300">
        <w:t>Effective internal controls were not in place for approval and processing of payments, as required by treasury regulation 8.1.1.</w:t>
      </w:r>
    </w:p>
    <w:p w14:paraId="140E09DF" w14:textId="1343BBD6" w:rsidR="00A266A2" w:rsidRPr="00BB6EEC" w:rsidRDefault="0043232E" w:rsidP="00A3735E">
      <w:pPr>
        <w:pStyle w:val="Heading3"/>
        <w:rPr>
          <w:lang w:val="en-ZA"/>
        </w:rPr>
      </w:pPr>
      <w:bookmarkStart w:id="103" w:name="_Toc51154074"/>
      <w:r w:rsidRPr="00BB6EEC">
        <w:rPr>
          <w:lang w:val="en-ZA"/>
        </w:rPr>
        <w:t>OTHER INFORMATION</w:t>
      </w:r>
      <w:bookmarkEnd w:id="103"/>
    </w:p>
    <w:p w14:paraId="799D7278" w14:textId="77777777" w:rsidR="00A266A2" w:rsidRPr="0077659B" w:rsidRDefault="007C3300" w:rsidP="00223FB6">
      <w:pPr>
        <w:pStyle w:val="Numbernormal"/>
        <w:numPr>
          <w:ilvl w:val="0"/>
          <w:numId w:val="26"/>
        </w:numPr>
      </w:pPr>
      <w:r>
        <w:t xml:space="preserve">The </w:t>
      </w:r>
      <w:r w:rsidR="00904D91" w:rsidRPr="0077659B">
        <w:t xml:space="preserve">accounting </w:t>
      </w:r>
      <w:r w:rsidR="00A266A2" w:rsidRPr="0077659B">
        <w:t>officer is responsible for the other information. The other information comprises the information included in the annual report. The other information does not include the financial statements, the audit</w:t>
      </w:r>
      <w:r>
        <w:t xml:space="preserve">or’s report and those selected </w:t>
      </w:r>
      <w:r w:rsidR="00A266A2" w:rsidRPr="0077659B">
        <w:t xml:space="preserve">programmes presented in the annual performance report that have been specifically reported on in the auditor’s report. </w:t>
      </w:r>
    </w:p>
    <w:p w14:paraId="283D6A38" w14:textId="77777777" w:rsidR="00A266A2" w:rsidRPr="0077659B" w:rsidRDefault="000809AC" w:rsidP="00223FB6">
      <w:pPr>
        <w:pStyle w:val="Numbernormal"/>
        <w:numPr>
          <w:ilvl w:val="0"/>
          <w:numId w:val="26"/>
        </w:numPr>
      </w:pPr>
      <w:r w:rsidRPr="0077659B">
        <w:t>Our</w:t>
      </w:r>
      <w:r w:rsidR="00A266A2" w:rsidRPr="0077659B">
        <w:t xml:space="preserve"> opinion on the financial statements and findings on the reported performance information and compliance with legislation do not cover the other information and </w:t>
      </w:r>
      <w:r w:rsidR="00934A8F" w:rsidRPr="0077659B">
        <w:t>we</w:t>
      </w:r>
      <w:r w:rsidR="007045E3" w:rsidRPr="0077659B">
        <w:t xml:space="preserve"> </w:t>
      </w:r>
      <w:r w:rsidR="00A266A2" w:rsidRPr="0077659B">
        <w:t>do not express an audit opinion or any form of assurance conclusion thereon.</w:t>
      </w:r>
    </w:p>
    <w:p w14:paraId="5720AD4D" w14:textId="4688B1DE" w:rsidR="00A266A2" w:rsidRPr="0077659B" w:rsidRDefault="00A266A2" w:rsidP="00223FB6">
      <w:pPr>
        <w:pStyle w:val="Numbernormal"/>
        <w:numPr>
          <w:ilvl w:val="0"/>
          <w:numId w:val="26"/>
        </w:numPr>
      </w:pPr>
      <w:r w:rsidRPr="0077659B">
        <w:t xml:space="preserve">In connection with </w:t>
      </w:r>
      <w:r w:rsidR="00934A8F" w:rsidRPr="0077659B">
        <w:t xml:space="preserve">our </w:t>
      </w:r>
      <w:r w:rsidRPr="0077659B">
        <w:t xml:space="preserve">audit, </w:t>
      </w:r>
      <w:r w:rsidR="00934A8F" w:rsidRPr="0077659B">
        <w:t xml:space="preserve">our </w:t>
      </w:r>
      <w:r w:rsidRPr="0077659B">
        <w:t>responsibility is to read the other information and, in doing so, consider whether the other information is materially inconsistent with the financial statements and the selected programmes</w:t>
      </w:r>
      <w:r w:rsidR="00F55956">
        <w:t xml:space="preserve"> </w:t>
      </w:r>
      <w:r w:rsidRPr="0077659B">
        <w:t>presented in the annual performance report</w:t>
      </w:r>
      <w:r w:rsidR="00325162" w:rsidRPr="0077659B">
        <w:t>,</w:t>
      </w:r>
      <w:r w:rsidR="007C3300" w:rsidRPr="0077659B">
        <w:t xml:space="preserve"> </w:t>
      </w:r>
      <w:r w:rsidRPr="0077659B">
        <w:t xml:space="preserve">or </w:t>
      </w:r>
      <w:r w:rsidR="00934A8F" w:rsidRPr="0077659B">
        <w:t xml:space="preserve">our </w:t>
      </w:r>
      <w:r w:rsidRPr="0077659B">
        <w:t xml:space="preserve">knowledge obtained </w:t>
      </w:r>
      <w:r w:rsidR="00325162" w:rsidRPr="0077659B">
        <w:t xml:space="preserve">during </w:t>
      </w:r>
      <w:r w:rsidRPr="0077659B">
        <w:t xml:space="preserve">the audit or otherwise appears to be materially misstated. </w:t>
      </w:r>
      <w:bookmarkStart w:id="104" w:name="Other_information"/>
      <w:bookmarkEnd w:id="104"/>
    </w:p>
    <w:p w14:paraId="1BA53D57" w14:textId="2F993D78" w:rsidR="00A266A2" w:rsidRPr="0077659B" w:rsidRDefault="001603BD" w:rsidP="00223FB6">
      <w:pPr>
        <w:pStyle w:val="Numbernormal"/>
        <w:numPr>
          <w:ilvl w:val="0"/>
          <w:numId w:val="26"/>
        </w:numPr>
      </w:pPr>
      <w:bookmarkStart w:id="105" w:name="OI1"/>
      <w:bookmarkEnd w:id="105"/>
      <w:r w:rsidRPr="0077659B">
        <w:lastRenderedPageBreak/>
        <w:t>The following paragraphs will be included in the auditor’s report to highlight to the users whether any inconsistencies in the other information exist</w:t>
      </w:r>
      <w:r w:rsidR="00325162" w:rsidRPr="0077659B">
        <w:t>:</w:t>
      </w:r>
    </w:p>
    <w:p w14:paraId="2D2EE855" w14:textId="77777777" w:rsidR="00934A8F" w:rsidRPr="0077659B" w:rsidRDefault="007C3300" w:rsidP="00223FB6">
      <w:pPr>
        <w:pStyle w:val="Numbernormal"/>
        <w:numPr>
          <w:ilvl w:val="0"/>
          <w:numId w:val="26"/>
        </w:numPr>
      </w:pPr>
      <w:r>
        <w:t xml:space="preserve">I </w:t>
      </w:r>
      <w:r w:rsidRPr="00101987">
        <w:t>did not receive the other information prior to the date of this auditor’s report. When I</w:t>
      </w:r>
      <w:r w:rsidRPr="007E7E2B">
        <w:t xml:space="preserve"> </w:t>
      </w:r>
      <w:r w:rsidRPr="00101987">
        <w:t>do receive and read this information, if I conclude that there is a material misstatement</w:t>
      </w:r>
      <w:r w:rsidRPr="007E7E2B">
        <w:t xml:space="preserve"> </w:t>
      </w:r>
      <w:r w:rsidRPr="00101987">
        <w:t>therein, I am required to communicate the matter to those charged with governance</w:t>
      </w:r>
      <w:r w:rsidRPr="007E7E2B">
        <w:t xml:space="preserve"> </w:t>
      </w:r>
      <w:r w:rsidRPr="00101987">
        <w:t xml:space="preserve">and request that the other information </w:t>
      </w:r>
      <w:proofErr w:type="gramStart"/>
      <w:r w:rsidRPr="00101987">
        <w:t>be corrected</w:t>
      </w:r>
      <w:proofErr w:type="gramEnd"/>
      <w:r w:rsidRPr="00101987">
        <w:t xml:space="preserve">. If the other information </w:t>
      </w:r>
      <w:proofErr w:type="gramStart"/>
      <w:r w:rsidRPr="00101987">
        <w:t>is not</w:t>
      </w:r>
      <w:r w:rsidRPr="007E7E2B">
        <w:t xml:space="preserve"> </w:t>
      </w:r>
      <w:r w:rsidRPr="00101987">
        <w:t>corrected</w:t>
      </w:r>
      <w:proofErr w:type="gramEnd"/>
      <w:r w:rsidRPr="00101987">
        <w:t>, I may have to retract this auditor’s report and re-issue an amended report</w:t>
      </w:r>
      <w:r>
        <w:t xml:space="preserve"> </w:t>
      </w:r>
      <w:r w:rsidRPr="00101987">
        <w:t>as appropriate. However, if it is corrected this will not be necessary</w:t>
      </w:r>
    </w:p>
    <w:p w14:paraId="7B93C16B" w14:textId="77777777" w:rsidR="00C22F2B" w:rsidRPr="00BB6EEC" w:rsidRDefault="00C22F2B" w:rsidP="00A3735E">
      <w:pPr>
        <w:pStyle w:val="Heading3"/>
        <w:rPr>
          <w:lang w:val="en-ZA"/>
        </w:rPr>
      </w:pPr>
      <w:bookmarkStart w:id="106" w:name="_Toc51154075"/>
      <w:bookmarkStart w:id="107" w:name="_Toc447106599"/>
      <w:r w:rsidRPr="00BB6EEC">
        <w:rPr>
          <w:lang w:val="en-ZA"/>
        </w:rPr>
        <w:t>INTERNAL CONTROL</w:t>
      </w:r>
      <w:r w:rsidR="008E1830" w:rsidRPr="00BB6EEC">
        <w:rPr>
          <w:lang w:val="en-ZA"/>
        </w:rPr>
        <w:t>S</w:t>
      </w:r>
      <w:bookmarkEnd w:id="106"/>
      <w:r w:rsidRPr="00BB6EEC">
        <w:rPr>
          <w:lang w:val="en-ZA"/>
        </w:rPr>
        <w:t xml:space="preserve"> </w:t>
      </w:r>
      <w:bookmarkEnd w:id="107"/>
    </w:p>
    <w:p w14:paraId="6E701D14" w14:textId="77777777" w:rsidR="00C22F2B" w:rsidRPr="0077659B" w:rsidRDefault="00B130D0" w:rsidP="00223FB6">
      <w:pPr>
        <w:pStyle w:val="Numbernormal"/>
        <w:numPr>
          <w:ilvl w:val="0"/>
          <w:numId w:val="26"/>
        </w:numPr>
      </w:pPr>
      <w:bookmarkStart w:id="108" w:name="S2E16"/>
      <w:bookmarkStart w:id="109" w:name="S5E17"/>
      <w:bookmarkStart w:id="110" w:name="Controlfigure"/>
      <w:bookmarkEnd w:id="108"/>
      <w:bookmarkEnd w:id="109"/>
      <w:bookmarkEnd w:id="110"/>
      <w:r w:rsidRPr="0077659B">
        <w:t>T</w:t>
      </w:r>
      <w:r w:rsidR="00631ADF" w:rsidRPr="0077659B">
        <w:t xml:space="preserve">he significant deficiencies in internal control which led to </w:t>
      </w:r>
      <w:r w:rsidR="0072104B" w:rsidRPr="0077659B">
        <w:t>our</w:t>
      </w:r>
      <w:r w:rsidR="00C22F2B" w:rsidRPr="0077659B">
        <w:t xml:space="preserve"> overall</w:t>
      </w:r>
      <w:r w:rsidR="0072104B" w:rsidRPr="0077659B">
        <w:t xml:space="preserve"> assessment of the</w:t>
      </w:r>
      <w:r w:rsidR="00C22F2B" w:rsidRPr="0077659B">
        <w:t xml:space="preserve"> status of the drivers of key controls</w:t>
      </w:r>
      <w:r w:rsidR="00631ADF" w:rsidRPr="0077659B">
        <w:t xml:space="preserve">, </w:t>
      </w:r>
      <w:r w:rsidR="0072104B" w:rsidRPr="0077659B">
        <w:t xml:space="preserve">as included in </w:t>
      </w:r>
      <w:r w:rsidR="00631ADF" w:rsidRPr="0077659B">
        <w:t xml:space="preserve">the figure in </w:t>
      </w:r>
      <w:r w:rsidRPr="0077659B">
        <w:t xml:space="preserve">paragraph x, </w:t>
      </w:r>
      <w:r w:rsidR="000262C0" w:rsidRPr="0077659B">
        <w:t xml:space="preserve">are </w:t>
      </w:r>
      <w:r w:rsidRPr="0077659B">
        <w:t>described below</w:t>
      </w:r>
      <w:r w:rsidR="00C22F2B" w:rsidRPr="0077659B">
        <w:t xml:space="preserve">. </w:t>
      </w:r>
      <w:r w:rsidRPr="0077659B">
        <w:t>The d</w:t>
      </w:r>
      <w:r w:rsidR="005657E9" w:rsidRPr="0077659B">
        <w:t xml:space="preserve">etailed assessment of </w:t>
      </w:r>
      <w:r w:rsidRPr="0077659B">
        <w:t xml:space="preserve">the </w:t>
      </w:r>
      <w:r w:rsidR="005657E9" w:rsidRPr="0077659B">
        <w:t>implement</w:t>
      </w:r>
      <w:r w:rsidRPr="0077659B">
        <w:t xml:space="preserve">ation of </w:t>
      </w:r>
      <w:r w:rsidR="005657E9" w:rsidRPr="0077659B">
        <w:t xml:space="preserve">the drivers of internal control </w:t>
      </w:r>
      <w:r w:rsidRPr="0077659B">
        <w:t xml:space="preserve">in the areas of financial statements, performance reporting and compliance with legislation </w:t>
      </w:r>
      <w:r w:rsidR="006E6EE7" w:rsidRPr="0077659B">
        <w:t>is</w:t>
      </w:r>
      <w:r w:rsidRPr="0077659B">
        <w:t xml:space="preserve"> included </w:t>
      </w:r>
      <w:r w:rsidR="006E6EE7" w:rsidRPr="0077659B">
        <w:t xml:space="preserve">in </w:t>
      </w:r>
      <w:r w:rsidR="000262C0" w:rsidRPr="0077659B">
        <w:t>a</w:t>
      </w:r>
      <w:r w:rsidR="00DB2251" w:rsidRPr="0077659B">
        <w:t>nnexure F</w:t>
      </w:r>
      <w:r w:rsidR="005657E9" w:rsidRPr="0077659B">
        <w:t>.</w:t>
      </w:r>
    </w:p>
    <w:p w14:paraId="5E18882B" w14:textId="77777777" w:rsidR="001F4789" w:rsidRPr="0077659B" w:rsidRDefault="001F4789" w:rsidP="000142F4">
      <w:pPr>
        <w:pStyle w:val="Heading4"/>
      </w:pPr>
      <w:bookmarkStart w:id="111" w:name="IC1"/>
      <w:bookmarkEnd w:id="111"/>
      <w:r w:rsidRPr="0077659B">
        <w:t>Leadership</w:t>
      </w:r>
    </w:p>
    <w:p w14:paraId="6E2CB5DB" w14:textId="77777777" w:rsidR="00FC16A3" w:rsidRPr="0077659B" w:rsidRDefault="00FC16A3" w:rsidP="000142F4">
      <w:pPr>
        <w:pStyle w:val="Heading5"/>
        <w:rPr>
          <w:rFonts w:eastAsia="MS Mincho"/>
        </w:rPr>
      </w:pPr>
      <w:r w:rsidRPr="0077659B">
        <w:rPr>
          <w:rFonts w:eastAsia="MS Mincho"/>
        </w:rPr>
        <w:t>Effective leadership culture</w:t>
      </w:r>
    </w:p>
    <w:p w14:paraId="44498367" w14:textId="0C6B63F5" w:rsidR="008C46E3" w:rsidRDefault="008C46E3" w:rsidP="00223FB6">
      <w:pPr>
        <w:numPr>
          <w:ilvl w:val="0"/>
          <w:numId w:val="26"/>
        </w:numPr>
        <w:shd w:val="clear" w:color="auto" w:fill="FFFFFF"/>
        <w:spacing w:after="240"/>
        <w:jc w:val="both"/>
        <w:rPr>
          <w:rFonts w:eastAsia="Calibri" w:cs="Arial"/>
        </w:rPr>
      </w:pPr>
      <w:r>
        <w:rPr>
          <w:rFonts w:eastAsia="Calibri" w:cs="Arial"/>
        </w:rPr>
        <w:t xml:space="preserve">The department was impacted by a number of </w:t>
      </w:r>
      <w:proofErr w:type="gramStart"/>
      <w:r>
        <w:rPr>
          <w:rFonts w:eastAsia="Calibri" w:cs="Arial"/>
        </w:rPr>
        <w:t>investigations which</w:t>
      </w:r>
      <w:proofErr w:type="gramEnd"/>
      <w:r>
        <w:rPr>
          <w:rFonts w:eastAsia="Calibri" w:cs="Arial"/>
        </w:rPr>
        <w:t xml:space="preserve"> implicated officials occupying </w:t>
      </w:r>
      <w:r w:rsidRPr="00FD2856">
        <w:rPr>
          <w:rFonts w:eastAsia="Calibri" w:cs="Arial"/>
        </w:rPr>
        <w:t>senior management positions.</w:t>
      </w:r>
      <w:r>
        <w:rPr>
          <w:rFonts w:eastAsia="Calibri" w:cs="Arial"/>
        </w:rPr>
        <w:t xml:space="preserve"> Some critical positions, including that of the Director-General, </w:t>
      </w:r>
      <w:proofErr w:type="gramStart"/>
      <w:r>
        <w:rPr>
          <w:rFonts w:eastAsia="Calibri" w:cs="Arial"/>
        </w:rPr>
        <w:t xml:space="preserve">are now </w:t>
      </w:r>
      <w:r w:rsidR="00F97C39">
        <w:rPr>
          <w:rFonts w:eastAsia="Calibri" w:cs="Arial"/>
        </w:rPr>
        <w:t>filled</w:t>
      </w:r>
      <w:proofErr w:type="gramEnd"/>
      <w:r w:rsidR="00F97C39">
        <w:rPr>
          <w:rFonts w:eastAsia="Calibri" w:cs="Arial"/>
        </w:rPr>
        <w:t xml:space="preserve"> by acting incumbents </w:t>
      </w:r>
      <w:r>
        <w:rPr>
          <w:rFonts w:eastAsia="Calibri" w:cs="Arial"/>
        </w:rPr>
        <w:t>due to officials being placed on suspension as part of ongoing disciplinary processes. This instability in leadership and lack of effective leadership culture sets an unwanted tone of non-</w:t>
      </w:r>
      <w:proofErr w:type="gramStart"/>
      <w:r>
        <w:rPr>
          <w:rFonts w:eastAsia="Calibri" w:cs="Arial"/>
        </w:rPr>
        <w:t>compliance which</w:t>
      </w:r>
      <w:proofErr w:type="gramEnd"/>
      <w:r>
        <w:rPr>
          <w:rFonts w:eastAsia="Calibri" w:cs="Arial"/>
        </w:rPr>
        <w:t xml:space="preserve"> may permeate throughout the department and the trading entity.</w:t>
      </w:r>
    </w:p>
    <w:p w14:paraId="5342CF2C" w14:textId="38B4CC28" w:rsidR="00FC16A3" w:rsidRPr="0077659B" w:rsidRDefault="008C46E3" w:rsidP="00223FB6">
      <w:pPr>
        <w:pStyle w:val="Numbernormal"/>
        <w:numPr>
          <w:ilvl w:val="0"/>
          <w:numId w:val="26"/>
        </w:numPr>
      </w:pPr>
      <w:r w:rsidRPr="007A5EED">
        <w:t>We have noted from our review of the work of internal audit that management has</w:t>
      </w:r>
      <w:r>
        <w:t>,</w:t>
      </w:r>
      <w:r w:rsidRPr="007A5EED">
        <w:t xml:space="preserve"> in some</w:t>
      </w:r>
      <w:r>
        <w:t xml:space="preserve"> </w:t>
      </w:r>
      <w:r w:rsidRPr="007A5EED">
        <w:t xml:space="preserve">instances, </w:t>
      </w:r>
      <w:r>
        <w:t xml:space="preserve">been </w:t>
      </w:r>
      <w:r w:rsidRPr="007A5EED">
        <w:t>slow to respond to the findings of internal audit</w:t>
      </w:r>
      <w:r>
        <w:t xml:space="preserve">or, or not </w:t>
      </w:r>
      <w:r w:rsidR="007D0BB4">
        <w:t>committed to timeous submission of</w:t>
      </w:r>
      <w:r>
        <w:t xml:space="preserve"> the information as requested by internal audit</w:t>
      </w:r>
      <w:r w:rsidRPr="007A5EED">
        <w:t>. Addressing these findings will strengthen the control environment in the department, and embed a culture of compliance within all officials</w:t>
      </w:r>
    </w:p>
    <w:p w14:paraId="4512B322" w14:textId="77777777" w:rsidR="00FC16A3" w:rsidRPr="0077659B" w:rsidRDefault="00B02276" w:rsidP="000142F4">
      <w:pPr>
        <w:pStyle w:val="Heading5"/>
        <w:rPr>
          <w:rFonts w:eastAsia="MS Mincho"/>
        </w:rPr>
      </w:pPr>
      <w:r w:rsidRPr="0077659B">
        <w:rPr>
          <w:rFonts w:eastAsia="MS Mincho"/>
        </w:rPr>
        <w:t>Oversight responsibility</w:t>
      </w:r>
    </w:p>
    <w:p w14:paraId="796F0B9F" w14:textId="71F54A6E" w:rsidR="00FC16A3" w:rsidRDefault="008C46E3" w:rsidP="00223FB6">
      <w:pPr>
        <w:pStyle w:val="Numbernormal"/>
        <w:numPr>
          <w:ilvl w:val="0"/>
          <w:numId w:val="26"/>
        </w:numPr>
      </w:pPr>
      <w:r>
        <w:t>T</w:t>
      </w:r>
      <w:r w:rsidRPr="004E6626">
        <w:t xml:space="preserve">he governance, risk and compliance </w:t>
      </w:r>
      <w:r w:rsidR="00B60CDF">
        <w:t xml:space="preserve">(GRC) </w:t>
      </w:r>
      <w:r w:rsidRPr="004E6626">
        <w:t>unit</w:t>
      </w:r>
      <w:r>
        <w:t xml:space="preserve"> plays a key role in oversight for the department, as their functions include risk management as well investigations</w:t>
      </w:r>
      <w:r w:rsidR="00206235">
        <w:t xml:space="preserve">. The unit completed a number of investigations over the past two </w:t>
      </w:r>
      <w:proofErr w:type="gramStart"/>
      <w:r w:rsidR="00206235">
        <w:t>years,</w:t>
      </w:r>
      <w:proofErr w:type="gramEnd"/>
      <w:r w:rsidR="00206235">
        <w:t xml:space="preserve"> however senior management has been slow to implement the recommendations in these reports. </w:t>
      </w:r>
    </w:p>
    <w:p w14:paraId="341DBEA9" w14:textId="6A3551CC" w:rsidR="00206235" w:rsidRPr="0077659B" w:rsidRDefault="00206235" w:rsidP="00223FB6">
      <w:pPr>
        <w:pStyle w:val="Numbernormal"/>
        <w:numPr>
          <w:ilvl w:val="0"/>
          <w:numId w:val="26"/>
        </w:numPr>
      </w:pPr>
      <w:r w:rsidRPr="00206235">
        <w:t xml:space="preserve">Compliance matters, particularly </w:t>
      </w:r>
      <w:proofErr w:type="gramStart"/>
      <w:r w:rsidRPr="00206235">
        <w:t>with regards to</w:t>
      </w:r>
      <w:proofErr w:type="gramEnd"/>
      <w:r w:rsidRPr="00206235">
        <w:t xml:space="preserve"> supply chain management, have received attention from the department in the past three years. </w:t>
      </w:r>
      <w:r>
        <w:t>There were</w:t>
      </w:r>
      <w:r w:rsidRPr="00206235">
        <w:t xml:space="preserve"> </w:t>
      </w:r>
      <w:proofErr w:type="gramStart"/>
      <w:r w:rsidRPr="00206235">
        <w:t>however</w:t>
      </w:r>
      <w:proofErr w:type="gramEnd"/>
      <w:r w:rsidRPr="00206235">
        <w:t xml:space="preserve"> </w:t>
      </w:r>
      <w:r>
        <w:t xml:space="preserve">serious </w:t>
      </w:r>
      <w:r w:rsidR="006A70C3" w:rsidRPr="00206235">
        <w:t>concern</w:t>
      </w:r>
      <w:r w:rsidR="006A70C3">
        <w:t>s</w:t>
      </w:r>
      <w:r w:rsidR="006A70C3" w:rsidRPr="00206235">
        <w:t xml:space="preserve"> </w:t>
      </w:r>
      <w:r w:rsidRPr="00206235">
        <w:t xml:space="preserve">noted with that measures and methods applied in monitoring state </w:t>
      </w:r>
      <w:r w:rsidR="00D73095">
        <w:t xml:space="preserve">funerals and state </w:t>
      </w:r>
      <w:r w:rsidRPr="00206235">
        <w:t>events contracts were insufficient to ensure effective contract management, as instances of non-compliance were noted in the current year which resulted in material amounts of irregular expenditure being incurred</w:t>
      </w:r>
      <w:r w:rsidR="00B949B2">
        <w:t>.</w:t>
      </w:r>
    </w:p>
    <w:p w14:paraId="74282272" w14:textId="1A8FF86C" w:rsidR="00FC16A3" w:rsidRPr="0077659B" w:rsidRDefault="00FC16A3" w:rsidP="000142F4">
      <w:pPr>
        <w:pStyle w:val="Heading5"/>
        <w:rPr>
          <w:rFonts w:eastAsia="MS Mincho"/>
        </w:rPr>
      </w:pPr>
      <w:r w:rsidRPr="0077659B">
        <w:rPr>
          <w:rFonts w:eastAsia="MS Mincho"/>
        </w:rPr>
        <w:lastRenderedPageBreak/>
        <w:t>Human resource management</w:t>
      </w:r>
    </w:p>
    <w:p w14:paraId="42BE7370" w14:textId="77777777" w:rsidR="0015169F" w:rsidRPr="0077659B" w:rsidRDefault="0015169F" w:rsidP="00223FB6">
      <w:pPr>
        <w:pStyle w:val="Numbernormal"/>
        <w:numPr>
          <w:ilvl w:val="0"/>
          <w:numId w:val="26"/>
        </w:numPr>
      </w:pPr>
      <w:r>
        <w:t>The overall vacancy rate at year-end increased from 7% in the previous year to 10.80% in the current year. The senior management vacancy rate at year-end was 23.7% in the current year</w:t>
      </w:r>
      <w:r w:rsidRPr="0077659B">
        <w:t xml:space="preserve"> </w:t>
      </w:r>
    </w:p>
    <w:p w14:paraId="1F5F6BA0" w14:textId="07CA06AE" w:rsidR="0015169F" w:rsidRDefault="0065322C" w:rsidP="00223FB6">
      <w:pPr>
        <w:pStyle w:val="Numbernormal"/>
        <w:numPr>
          <w:ilvl w:val="0"/>
          <w:numId w:val="26"/>
        </w:numPr>
      </w:pPr>
      <w:r w:rsidRPr="0065322C">
        <w:t xml:space="preserve">The main concern continues to be the key positions that remain vacant, which include among others, the heads of key programmes such as DDG: Supply Chain Management (SCM), DDG: Inter-Governmental Relations (IGR), DDG: Policy, </w:t>
      </w:r>
      <w:proofErr w:type="gramStart"/>
      <w:r w:rsidRPr="0065322C">
        <w:t>Research and Regulations</w:t>
      </w:r>
      <w:proofErr w:type="gramEnd"/>
      <w:r w:rsidRPr="0065322C">
        <w:t xml:space="preserve"> and DDG: Expanded Public Works Programme (EPWP). This instability in key leadership positions </w:t>
      </w:r>
      <w:proofErr w:type="gramStart"/>
      <w:r w:rsidR="00765AE9">
        <w:t>has continuously been highlighted</w:t>
      </w:r>
      <w:proofErr w:type="gramEnd"/>
      <w:r w:rsidR="00765AE9">
        <w:t xml:space="preserve"> as a key root cause for </w:t>
      </w:r>
      <w:r w:rsidR="007D0BB4">
        <w:t xml:space="preserve">the </w:t>
      </w:r>
      <w:r w:rsidR="007D0BB4" w:rsidRPr="0065322C">
        <w:t>stagnation</w:t>
      </w:r>
      <w:r w:rsidRPr="0065322C">
        <w:t xml:space="preserve"> </w:t>
      </w:r>
      <w:r w:rsidR="00765AE9">
        <w:t xml:space="preserve">in </w:t>
      </w:r>
      <w:r w:rsidRPr="0065322C">
        <w:t>the audit outcomes of the department</w:t>
      </w:r>
      <w:r w:rsidR="00765AE9">
        <w:t xml:space="preserve">. </w:t>
      </w:r>
    </w:p>
    <w:p w14:paraId="2AB0AE18" w14:textId="6C6EE8FF" w:rsidR="00FC16A3" w:rsidRPr="0077659B" w:rsidRDefault="00FC16A3" w:rsidP="000142F4">
      <w:pPr>
        <w:pStyle w:val="Heading5"/>
        <w:rPr>
          <w:rFonts w:eastAsia="MS Mincho"/>
        </w:rPr>
      </w:pPr>
      <w:r w:rsidRPr="0077659B">
        <w:rPr>
          <w:rFonts w:eastAsia="MS Mincho"/>
        </w:rPr>
        <w:t>Policies and procedures</w:t>
      </w:r>
    </w:p>
    <w:p w14:paraId="5713A7CF" w14:textId="58D0D447" w:rsidR="00FC16A3" w:rsidRPr="0077659B" w:rsidRDefault="00765AE9" w:rsidP="00223FB6">
      <w:pPr>
        <w:pStyle w:val="Numbernormal"/>
        <w:numPr>
          <w:ilvl w:val="0"/>
          <w:numId w:val="26"/>
        </w:numPr>
      </w:pPr>
      <w:r w:rsidRPr="00765AE9">
        <w:t xml:space="preserve">The department should ensure that the existing policies </w:t>
      </w:r>
      <w:proofErr w:type="gramStart"/>
      <w:r w:rsidRPr="00765AE9">
        <w:t>are implemented</w:t>
      </w:r>
      <w:proofErr w:type="gramEnd"/>
      <w:r w:rsidRPr="00765AE9">
        <w:t xml:space="preserve"> and the implementation is regularly monitored. Non-implementation of the existing policies </w:t>
      </w:r>
      <w:r w:rsidR="00D73095">
        <w:t xml:space="preserve">and regulations </w:t>
      </w:r>
      <w:r w:rsidRPr="00765AE9">
        <w:t xml:space="preserve">with respect to </w:t>
      </w:r>
      <w:r w:rsidR="00D73095">
        <w:t xml:space="preserve">appointments </w:t>
      </w:r>
      <w:r w:rsidRPr="00765AE9">
        <w:t xml:space="preserve">was the root cause of irregular expenditure </w:t>
      </w:r>
      <w:proofErr w:type="gramStart"/>
      <w:r w:rsidRPr="00765AE9">
        <w:t>being incurred</w:t>
      </w:r>
      <w:proofErr w:type="gramEnd"/>
      <w:r w:rsidRPr="00765AE9">
        <w:t xml:space="preserve"> by the department on </w:t>
      </w:r>
      <w:r w:rsidR="00FC4734">
        <w:t>the irregular appointments identified by the Public Service Commission</w:t>
      </w:r>
      <w:r>
        <w:t>.</w:t>
      </w:r>
      <w:r w:rsidR="00D73095">
        <w:t xml:space="preserve"> </w:t>
      </w:r>
      <w:r w:rsidR="00FC4734">
        <w:t>In addition, the department committed to revise the policy with respect to state funerals and state events, however this was not yet finalised during the year under review.</w:t>
      </w:r>
      <w:r w:rsidR="00D73095">
        <w:t xml:space="preserve"> </w:t>
      </w:r>
    </w:p>
    <w:p w14:paraId="281988EB" w14:textId="5E6C8D05" w:rsidR="00FC16A3" w:rsidRPr="0077659B" w:rsidRDefault="00FC16A3" w:rsidP="000142F4">
      <w:pPr>
        <w:pStyle w:val="Heading5"/>
        <w:rPr>
          <w:rFonts w:eastAsia="MS Mincho"/>
        </w:rPr>
      </w:pPr>
      <w:r w:rsidRPr="0077659B">
        <w:rPr>
          <w:rFonts w:eastAsia="MS Mincho"/>
        </w:rPr>
        <w:t>Action plans to address internal control deficiencies</w:t>
      </w:r>
    </w:p>
    <w:p w14:paraId="76A6553E" w14:textId="31D6A9C3" w:rsidR="00765AE9" w:rsidRPr="00765AE9" w:rsidRDefault="00765AE9" w:rsidP="00615FC6">
      <w:pPr>
        <w:pStyle w:val="Numbernormal"/>
        <w:numPr>
          <w:ilvl w:val="0"/>
          <w:numId w:val="26"/>
        </w:numPr>
        <w:rPr>
          <w:b/>
        </w:rPr>
      </w:pPr>
      <w:r w:rsidRPr="00765AE9">
        <w:t xml:space="preserve">Implementation of the audit actions plan has not transpired in all instances. It is a concern that </w:t>
      </w:r>
      <w:r w:rsidR="00A6363C">
        <w:t>the majority of issues identified have been recurring for a number of years</w:t>
      </w:r>
      <w:r w:rsidR="00615FC6">
        <w:t xml:space="preserve"> and </w:t>
      </w:r>
      <w:proofErr w:type="gramStart"/>
      <w:r w:rsidR="00615FC6">
        <w:t>were also raised</w:t>
      </w:r>
      <w:proofErr w:type="gramEnd"/>
      <w:r w:rsidR="00615FC6">
        <w:t xml:space="preserve"> during interim audit, and have not yet been adequately addressed</w:t>
      </w:r>
      <w:r w:rsidRPr="00765AE9">
        <w:t>.</w:t>
      </w:r>
      <w:r w:rsidR="00615FC6">
        <w:t xml:space="preserve"> The lack of an effective leadership culture and slow response by senior management to implement action plans has combined to create an environment where </w:t>
      </w:r>
      <w:r w:rsidR="00615FC6" w:rsidRPr="00615FC6">
        <w:t xml:space="preserve">people </w:t>
      </w:r>
      <w:proofErr w:type="gramStart"/>
      <w:r w:rsidR="00615FC6">
        <w:t>are not held</w:t>
      </w:r>
      <w:proofErr w:type="gramEnd"/>
      <w:r w:rsidR="00615FC6">
        <w:t xml:space="preserve"> </w:t>
      </w:r>
      <w:r w:rsidR="00615FC6" w:rsidRPr="00615FC6">
        <w:t>accountable for causing the department to incur irregular, and fruitless and wasteful expenditure</w:t>
      </w:r>
      <w:r w:rsidR="00615FC6">
        <w:t>, or for the department obtaining negative audit outcomes.</w:t>
      </w:r>
    </w:p>
    <w:p w14:paraId="66211C5D" w14:textId="77777777" w:rsidR="00FC16A3" w:rsidRPr="0077659B" w:rsidRDefault="00765AE9" w:rsidP="00223FB6">
      <w:pPr>
        <w:pStyle w:val="Numbernormal"/>
        <w:numPr>
          <w:ilvl w:val="0"/>
          <w:numId w:val="26"/>
        </w:numPr>
      </w:pPr>
      <w:r w:rsidRPr="00765AE9">
        <w:t xml:space="preserve">Management should also review audit action plans currently in place to confirm their effectiveness, </w:t>
      </w:r>
      <w:r>
        <w:t xml:space="preserve">especially </w:t>
      </w:r>
      <w:proofErr w:type="gramStart"/>
      <w:r>
        <w:t>with regards to</w:t>
      </w:r>
      <w:proofErr w:type="gramEnd"/>
      <w:r>
        <w:t xml:space="preserve"> EPWP. While there has been a slight improvement noted with respect to document retention for reported work opportunities (mainly in relation to DPWI implemented projects), the issue of under reporting </w:t>
      </w:r>
      <w:r w:rsidR="00046A45">
        <w:t>remains a serious area of concern for all projects</w:t>
      </w:r>
      <w:r w:rsidRPr="00765AE9">
        <w:t>. This indicates that the current action plan is not addressing the root cause of the issues identified</w:t>
      </w:r>
      <w:r w:rsidR="00046A45">
        <w:t>.</w:t>
      </w:r>
    </w:p>
    <w:p w14:paraId="1F4A0AE8" w14:textId="133B688C" w:rsidR="00FC16A3" w:rsidRPr="0077659B" w:rsidRDefault="00FC16A3" w:rsidP="000142F4">
      <w:pPr>
        <w:pStyle w:val="Heading5"/>
        <w:rPr>
          <w:rFonts w:eastAsia="MS Mincho"/>
        </w:rPr>
      </w:pPr>
      <w:r w:rsidRPr="0077659B">
        <w:rPr>
          <w:rFonts w:eastAsia="MS Mincho"/>
        </w:rPr>
        <w:t>Information technology governance framework</w:t>
      </w:r>
    </w:p>
    <w:p w14:paraId="76912811" w14:textId="77777777" w:rsidR="00FC16A3" w:rsidRPr="00051839" w:rsidRDefault="00051839" w:rsidP="00223FB6">
      <w:pPr>
        <w:pStyle w:val="Numbernormal"/>
        <w:numPr>
          <w:ilvl w:val="0"/>
          <w:numId w:val="26"/>
        </w:numPr>
      </w:pPr>
      <w:r>
        <w:t>I</w:t>
      </w:r>
      <w:r w:rsidRPr="000004E4">
        <w:rPr>
          <w:rFonts w:eastAsia="Times New Roman"/>
          <w:szCs w:val="36"/>
        </w:rPr>
        <w:t>nformation technology governance was found to be inadequately designed and implemented</w:t>
      </w:r>
      <w:r w:rsidRPr="003017E1">
        <w:rPr>
          <w:rFonts w:eastAsia="Times New Roman"/>
          <w:szCs w:val="36"/>
        </w:rPr>
        <w:t xml:space="preserve"> with the following internal control deficiencies to be considered by management:</w:t>
      </w:r>
    </w:p>
    <w:p w14:paraId="39BB0073" w14:textId="77777777" w:rsidR="00051839" w:rsidRPr="0001288D" w:rsidRDefault="00051839"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sidRPr="007D7752">
        <w:rPr>
          <w:rFonts w:ascii="Arial" w:hAnsi="Arial" w:cs="Arial"/>
          <w:lang w:val="en-US"/>
        </w:rPr>
        <w:t xml:space="preserve">The </w:t>
      </w:r>
      <w:r>
        <w:rPr>
          <w:rFonts w:ascii="Arial" w:hAnsi="Arial" w:cs="Arial"/>
          <w:lang w:val="en-US"/>
        </w:rPr>
        <w:t xml:space="preserve">ICT </w:t>
      </w:r>
      <w:r w:rsidRPr="007D7752">
        <w:rPr>
          <w:rFonts w:ascii="Arial" w:hAnsi="Arial" w:cs="Arial"/>
          <w:lang w:val="en-US"/>
        </w:rPr>
        <w:t xml:space="preserve">structure was recently </w:t>
      </w:r>
      <w:proofErr w:type="gramStart"/>
      <w:r w:rsidRPr="007D7752">
        <w:rPr>
          <w:rFonts w:ascii="Arial" w:hAnsi="Arial" w:cs="Arial"/>
          <w:lang w:val="en-US"/>
        </w:rPr>
        <w:t>approved,</w:t>
      </w:r>
      <w:proofErr w:type="gramEnd"/>
      <w:r w:rsidRPr="007D7752">
        <w:rPr>
          <w:rFonts w:ascii="Arial" w:hAnsi="Arial" w:cs="Arial"/>
          <w:lang w:val="en-US"/>
        </w:rPr>
        <w:t xml:space="preserve"> </w:t>
      </w:r>
      <w:r>
        <w:rPr>
          <w:rFonts w:ascii="Arial" w:hAnsi="Arial" w:cs="Arial"/>
          <w:lang w:val="en-US"/>
        </w:rPr>
        <w:t>t</w:t>
      </w:r>
      <w:r w:rsidRPr="0001288D">
        <w:rPr>
          <w:rFonts w:ascii="Arial" w:hAnsi="Arial" w:cs="Arial"/>
          <w:lang w:val="en-US"/>
        </w:rPr>
        <w:t xml:space="preserve">he new Minister requested a re-evaluation of the </w:t>
      </w:r>
      <w:proofErr w:type="spellStart"/>
      <w:r w:rsidRPr="0001288D">
        <w:rPr>
          <w:rFonts w:ascii="Arial" w:hAnsi="Arial" w:cs="Arial"/>
          <w:lang w:val="en-US"/>
        </w:rPr>
        <w:t>organisational</w:t>
      </w:r>
      <w:proofErr w:type="spellEnd"/>
      <w:r w:rsidRPr="0001288D">
        <w:rPr>
          <w:rFonts w:ascii="Arial" w:hAnsi="Arial" w:cs="Arial"/>
          <w:lang w:val="en-US"/>
        </w:rPr>
        <w:t xml:space="preserve"> structure to be align to the new mandate of DPWI</w:t>
      </w:r>
      <w:r>
        <w:rPr>
          <w:rFonts w:ascii="Arial" w:hAnsi="Arial" w:cs="Arial"/>
          <w:lang w:val="en-US"/>
        </w:rPr>
        <w:t xml:space="preserve">. Following </w:t>
      </w:r>
      <w:r w:rsidRPr="0001288D">
        <w:rPr>
          <w:rFonts w:ascii="Arial" w:hAnsi="Arial" w:cs="Arial"/>
          <w:lang w:val="en-US"/>
        </w:rPr>
        <w:t xml:space="preserve">the re-evaluation of the </w:t>
      </w:r>
      <w:proofErr w:type="spellStart"/>
      <w:r w:rsidRPr="0001288D">
        <w:rPr>
          <w:rFonts w:ascii="Arial" w:hAnsi="Arial" w:cs="Arial"/>
          <w:lang w:val="en-US"/>
        </w:rPr>
        <w:t>organisational</w:t>
      </w:r>
      <w:proofErr w:type="spellEnd"/>
      <w:r w:rsidRPr="0001288D">
        <w:rPr>
          <w:rFonts w:ascii="Arial" w:hAnsi="Arial" w:cs="Arial"/>
          <w:lang w:val="en-US"/>
        </w:rPr>
        <w:t xml:space="preserve"> </w:t>
      </w:r>
      <w:r>
        <w:rPr>
          <w:rFonts w:ascii="Arial" w:hAnsi="Arial" w:cs="Arial"/>
          <w:lang w:val="en-US"/>
        </w:rPr>
        <w:t xml:space="preserve">structure, ICT has started advertising </w:t>
      </w:r>
      <w:r w:rsidRPr="0001288D">
        <w:rPr>
          <w:rFonts w:ascii="Arial" w:hAnsi="Arial" w:cs="Arial"/>
          <w:lang w:val="en-US"/>
        </w:rPr>
        <w:t xml:space="preserve">the </w:t>
      </w:r>
      <w:r>
        <w:rPr>
          <w:rFonts w:ascii="Arial" w:hAnsi="Arial" w:cs="Arial"/>
          <w:lang w:val="en-US"/>
        </w:rPr>
        <w:t>key positions.</w:t>
      </w:r>
      <w:r w:rsidRPr="0001288D">
        <w:rPr>
          <w:rFonts w:ascii="Arial" w:hAnsi="Arial" w:cs="Arial"/>
          <w:lang w:val="en-US"/>
        </w:rPr>
        <w:t xml:space="preserve"> </w:t>
      </w:r>
      <w:r>
        <w:rPr>
          <w:rFonts w:ascii="Arial" w:hAnsi="Arial" w:cs="Arial"/>
          <w:lang w:val="en-US"/>
        </w:rPr>
        <w:t>Furthermore, the department</w:t>
      </w:r>
      <w:r w:rsidRPr="0001288D">
        <w:rPr>
          <w:rFonts w:ascii="Arial" w:hAnsi="Arial" w:cs="Arial"/>
          <w:lang w:val="en-US"/>
        </w:rPr>
        <w:t xml:space="preserve"> did not receive qualifying candidates for positions that </w:t>
      </w:r>
      <w:proofErr w:type="gramStart"/>
      <w:r w:rsidRPr="0001288D">
        <w:rPr>
          <w:rFonts w:ascii="Arial" w:hAnsi="Arial" w:cs="Arial"/>
          <w:lang w:val="en-US"/>
        </w:rPr>
        <w:t>were advertised</w:t>
      </w:r>
      <w:proofErr w:type="gramEnd"/>
      <w:r w:rsidRPr="0001288D">
        <w:rPr>
          <w:rFonts w:ascii="Arial" w:hAnsi="Arial" w:cs="Arial"/>
          <w:lang w:val="en-US"/>
        </w:rPr>
        <w:t>. As a result, key vacancies within ICT remain a concern as</w:t>
      </w:r>
      <w:r>
        <w:rPr>
          <w:rFonts w:ascii="Arial" w:hAnsi="Arial" w:cs="Arial"/>
          <w:lang w:val="en-US"/>
        </w:rPr>
        <w:t xml:space="preserve"> two</w:t>
      </w:r>
      <w:r w:rsidRPr="0001288D">
        <w:rPr>
          <w:rFonts w:ascii="Arial" w:hAnsi="Arial" w:cs="Arial"/>
          <w:lang w:val="en-US"/>
        </w:rPr>
        <w:t xml:space="preserve"> (</w:t>
      </w:r>
      <w:r>
        <w:rPr>
          <w:rFonts w:ascii="Arial" w:hAnsi="Arial" w:cs="Arial"/>
          <w:lang w:val="en-US"/>
        </w:rPr>
        <w:t>2</w:t>
      </w:r>
      <w:r w:rsidRPr="0001288D">
        <w:rPr>
          <w:rFonts w:ascii="Arial" w:hAnsi="Arial" w:cs="Arial"/>
          <w:lang w:val="en-US"/>
        </w:rPr>
        <w:t xml:space="preserve">) key ICT </w:t>
      </w:r>
      <w:r w:rsidRPr="0001288D">
        <w:rPr>
          <w:rFonts w:ascii="Arial" w:hAnsi="Arial" w:cs="Arial"/>
          <w:lang w:val="en-US"/>
        </w:rPr>
        <w:lastRenderedPageBreak/>
        <w:t xml:space="preserve">vacancies </w:t>
      </w:r>
      <w:proofErr w:type="gramStart"/>
      <w:r w:rsidRPr="0001288D">
        <w:rPr>
          <w:rFonts w:ascii="Arial" w:hAnsi="Arial" w:cs="Arial"/>
          <w:lang w:val="en-US"/>
        </w:rPr>
        <w:t>were still not filled</w:t>
      </w:r>
      <w:proofErr w:type="gramEnd"/>
      <w:r>
        <w:rPr>
          <w:rFonts w:ascii="Arial" w:hAnsi="Arial" w:cs="Arial"/>
          <w:lang w:val="en-US"/>
        </w:rPr>
        <w:t xml:space="preserve"> at the end of March 2020</w:t>
      </w:r>
      <w:r w:rsidRPr="0001288D">
        <w:rPr>
          <w:rFonts w:ascii="Arial" w:hAnsi="Arial" w:cs="Arial"/>
          <w:lang w:val="en-US"/>
        </w:rPr>
        <w:t xml:space="preserve">. If the ICT function </w:t>
      </w:r>
      <w:proofErr w:type="gramStart"/>
      <w:r w:rsidRPr="0001288D">
        <w:rPr>
          <w:rFonts w:ascii="Arial" w:hAnsi="Arial" w:cs="Arial"/>
          <w:lang w:val="en-US"/>
        </w:rPr>
        <w:t>is not fully capacitated</w:t>
      </w:r>
      <w:proofErr w:type="gramEnd"/>
      <w:r w:rsidRPr="0001288D">
        <w:rPr>
          <w:rFonts w:ascii="Arial" w:hAnsi="Arial" w:cs="Arial"/>
          <w:lang w:val="en-US"/>
        </w:rPr>
        <w:t>, some ICT resources may be overloaded with more responsibilities. This may result in lack of ability by other ICT resources to perform critical ICT activities leading to an increase in the number and impact of incidents caused by unavailability of essential skills.</w:t>
      </w:r>
    </w:p>
    <w:p w14:paraId="560D0162" w14:textId="23E38E51" w:rsidR="00051839" w:rsidRDefault="00051839" w:rsidP="000913DD">
      <w:pPr>
        <w:pStyle w:val="ListParagraph"/>
        <w:numPr>
          <w:ilvl w:val="0"/>
          <w:numId w:val="0"/>
        </w:numPr>
        <w:autoSpaceDE/>
        <w:autoSpaceDN/>
        <w:adjustRightInd/>
        <w:spacing w:before="240" w:after="0" w:line="276" w:lineRule="auto"/>
        <w:ind w:left="714"/>
        <w:jc w:val="both"/>
        <w:rPr>
          <w:rFonts w:ascii="Arial" w:hAnsi="Arial" w:cs="Arial"/>
          <w:lang w:val="en-US"/>
        </w:rPr>
      </w:pPr>
    </w:p>
    <w:p w14:paraId="4BFB02FD" w14:textId="77777777" w:rsidR="00051839" w:rsidRPr="00051839" w:rsidRDefault="00051839" w:rsidP="00051839">
      <w:pPr>
        <w:pStyle w:val="ListParagraph"/>
        <w:spacing w:before="240" w:line="276" w:lineRule="auto"/>
        <w:rPr>
          <w:rFonts w:ascii="Arial" w:hAnsi="Arial" w:cs="Arial"/>
          <w:lang w:val="en-US"/>
        </w:rPr>
      </w:pPr>
      <w:r w:rsidRPr="00051839">
        <w:rPr>
          <w:rFonts w:ascii="Arial" w:hAnsi="Arial" w:cs="Arial"/>
          <w:lang w:val="en-US"/>
        </w:rPr>
        <w:t xml:space="preserve">The contract between </w:t>
      </w:r>
      <w:proofErr w:type="spellStart"/>
      <w:r w:rsidRPr="00051839">
        <w:rPr>
          <w:rFonts w:ascii="Arial" w:hAnsi="Arial" w:cs="Arial"/>
          <w:lang w:val="en-US"/>
        </w:rPr>
        <w:t>Kwantu</w:t>
      </w:r>
      <w:proofErr w:type="spellEnd"/>
      <w:r w:rsidRPr="00051839">
        <w:rPr>
          <w:rFonts w:ascii="Arial" w:hAnsi="Arial" w:cs="Arial"/>
          <w:lang w:val="en-US"/>
        </w:rPr>
        <w:t xml:space="preserve"> information technology (PTY) LTD and the department for the system support services for the Expanded Public Works Programme (EPWP) to the department for the period of eight (8) months (01 August 2018 to 31 March 2019) had expired and currently there is no formal agreement in place between the department and </w:t>
      </w:r>
      <w:proofErr w:type="spellStart"/>
      <w:r w:rsidRPr="00051839">
        <w:rPr>
          <w:rFonts w:ascii="Arial" w:hAnsi="Arial" w:cs="Arial"/>
          <w:lang w:val="en-US"/>
        </w:rPr>
        <w:t>Kwantu</w:t>
      </w:r>
      <w:proofErr w:type="spellEnd"/>
      <w:r w:rsidRPr="00051839">
        <w:rPr>
          <w:rFonts w:ascii="Arial" w:hAnsi="Arial" w:cs="Arial"/>
          <w:lang w:val="en-US"/>
        </w:rPr>
        <w:t xml:space="preserve"> (PTY). In the absence of clearly defined service levels measures, the department may fail </w:t>
      </w:r>
      <w:proofErr w:type="gramStart"/>
      <w:r w:rsidRPr="00051839">
        <w:rPr>
          <w:rFonts w:ascii="Arial" w:hAnsi="Arial" w:cs="Arial"/>
          <w:lang w:val="en-US"/>
        </w:rPr>
        <w:t>to closely monitor</w:t>
      </w:r>
      <w:proofErr w:type="gramEnd"/>
      <w:r w:rsidRPr="00051839">
        <w:rPr>
          <w:rFonts w:ascii="Arial" w:hAnsi="Arial" w:cs="Arial"/>
          <w:lang w:val="en-US"/>
        </w:rPr>
        <w:t xml:space="preserve"> services being provided by </w:t>
      </w:r>
      <w:proofErr w:type="spellStart"/>
      <w:r w:rsidRPr="00051839">
        <w:rPr>
          <w:rFonts w:ascii="Arial" w:hAnsi="Arial" w:cs="Arial"/>
          <w:lang w:val="en-US"/>
        </w:rPr>
        <w:t>Kwantu</w:t>
      </w:r>
      <w:proofErr w:type="spellEnd"/>
      <w:r w:rsidRPr="00051839">
        <w:rPr>
          <w:rFonts w:ascii="Arial" w:hAnsi="Arial" w:cs="Arial"/>
          <w:lang w:val="en-US"/>
        </w:rPr>
        <w:t xml:space="preserve"> (PTY) Ltd. Consequently, the department may continue to spend enormous amounts not in line with the contract signed even if the service providers do not deliver basic service required</w:t>
      </w:r>
    </w:p>
    <w:p w14:paraId="77AE7D72" w14:textId="77777777" w:rsidR="001F4789" w:rsidRPr="0077659B" w:rsidRDefault="001F4789" w:rsidP="000142F4">
      <w:pPr>
        <w:pStyle w:val="Heading4"/>
      </w:pPr>
      <w:bookmarkStart w:id="112" w:name="_Toc447106600"/>
      <w:r w:rsidRPr="0077659B">
        <w:t xml:space="preserve">Financial and performance management </w:t>
      </w:r>
    </w:p>
    <w:p w14:paraId="7C0F80F0" w14:textId="6BD770CC" w:rsidR="00FC16A3" w:rsidRPr="0077659B" w:rsidRDefault="00FC16A3" w:rsidP="000142F4">
      <w:pPr>
        <w:pStyle w:val="Heading5"/>
        <w:rPr>
          <w:rFonts w:eastAsia="MS Mincho"/>
        </w:rPr>
      </w:pPr>
      <w:r w:rsidRPr="0077659B">
        <w:rPr>
          <w:rFonts w:eastAsia="MS Mincho"/>
        </w:rPr>
        <w:t>Proper record keeping</w:t>
      </w:r>
    </w:p>
    <w:p w14:paraId="79D26135" w14:textId="5E523577" w:rsidR="00FC16A3" w:rsidRPr="0077659B" w:rsidRDefault="006D2DC7" w:rsidP="00223FB6">
      <w:pPr>
        <w:pStyle w:val="Numbernormal"/>
        <w:numPr>
          <w:ilvl w:val="0"/>
          <w:numId w:val="26"/>
        </w:numPr>
      </w:pPr>
      <w:r>
        <w:t xml:space="preserve">Obtaining sufficient appropriate evidence to substantiate the </w:t>
      </w:r>
      <w:r w:rsidRPr="006D2DC7">
        <w:t xml:space="preserve">reported </w:t>
      </w:r>
      <w:r w:rsidR="00FB6CA3">
        <w:t xml:space="preserve">performance </w:t>
      </w:r>
      <w:r w:rsidRPr="006D2DC7">
        <w:t xml:space="preserve">for a significant number of projects included </w:t>
      </w:r>
      <w:r>
        <w:t xml:space="preserve">in </w:t>
      </w:r>
      <w:r w:rsidRPr="006D2DC7">
        <w:t xml:space="preserve">Programme 3: </w:t>
      </w:r>
      <w:r w:rsidRPr="006D2DC7">
        <w:rPr>
          <w:i/>
        </w:rPr>
        <w:t>EPWP</w:t>
      </w:r>
      <w:r>
        <w:t xml:space="preserve"> remains a significant challenge, especially relating to projects implemented by public bodies other than the department. </w:t>
      </w:r>
      <w:r w:rsidRPr="006D2DC7">
        <w:t>This includes reliable supporting evidence, such as identity documents, attendance registers and proof of payment, despite the fact that the department validated these work opportunities. This contributed to the negative audit outcome for Programme 3.</w:t>
      </w:r>
    </w:p>
    <w:p w14:paraId="16E82F5C" w14:textId="77777777" w:rsidR="00FC16A3" w:rsidRPr="0077659B" w:rsidRDefault="00FC16A3" w:rsidP="000142F4">
      <w:pPr>
        <w:pStyle w:val="Heading5"/>
        <w:rPr>
          <w:rFonts w:eastAsia="MS Mincho"/>
        </w:rPr>
      </w:pPr>
      <w:r w:rsidRPr="0077659B">
        <w:rPr>
          <w:rFonts w:eastAsia="MS Mincho"/>
        </w:rPr>
        <w:t>Regular, accurate and complete financial and performance reports</w:t>
      </w:r>
    </w:p>
    <w:p w14:paraId="646D8EB2" w14:textId="743004AB" w:rsidR="00FC16A3" w:rsidRPr="0077659B" w:rsidRDefault="006D2DC7" w:rsidP="00223FB6">
      <w:pPr>
        <w:pStyle w:val="Numbernormal"/>
        <w:numPr>
          <w:ilvl w:val="0"/>
          <w:numId w:val="26"/>
        </w:numPr>
      </w:pPr>
      <w:r w:rsidRPr="006D2DC7">
        <w:t xml:space="preserve">The reported achievements for predetermined objectives included in the annual performance report </w:t>
      </w:r>
      <w:proofErr w:type="gramStart"/>
      <w:r w:rsidRPr="006D2DC7">
        <w:t>were not supported</w:t>
      </w:r>
      <w:proofErr w:type="gramEnd"/>
      <w:r w:rsidRPr="006D2DC7">
        <w:t xml:space="preserve"> by appropriate audit evidence throughout the year. Significant findings were raised by internal audit with respect to quarterly reporting which </w:t>
      </w:r>
      <w:proofErr w:type="gramStart"/>
      <w:r w:rsidRPr="006D2DC7">
        <w:t>were not addressed by management</w:t>
      </w:r>
      <w:proofErr w:type="gramEnd"/>
      <w:r w:rsidRPr="006D2DC7">
        <w:t>.</w:t>
      </w:r>
      <w:r w:rsidR="00FB6CA3">
        <w:t xml:space="preserve"> In addition, similar findings with respect to under reporting as well as lack of adequate supporting documentation </w:t>
      </w:r>
      <w:proofErr w:type="gramStart"/>
      <w:r w:rsidR="00FB6CA3">
        <w:t>were reported</w:t>
      </w:r>
      <w:proofErr w:type="gramEnd"/>
      <w:r w:rsidR="00FB6CA3">
        <w:t xml:space="preserve"> during interim audit done on quarter three data by the external auditors. While some matters were subsequently resolved, the remaining unresolved matters combined with similar findings raised during final audit resulted in the negative audit outcome received for the programme.</w:t>
      </w:r>
    </w:p>
    <w:p w14:paraId="5A083E4B" w14:textId="77777777" w:rsidR="00FC16A3" w:rsidRPr="0077659B" w:rsidRDefault="00FC16A3" w:rsidP="000142F4">
      <w:pPr>
        <w:pStyle w:val="Heading5"/>
        <w:rPr>
          <w:rFonts w:eastAsia="MS Mincho"/>
        </w:rPr>
      </w:pPr>
      <w:r w:rsidRPr="0077659B">
        <w:rPr>
          <w:rFonts w:eastAsia="MS Mincho"/>
        </w:rPr>
        <w:t>Compliance monitoring</w:t>
      </w:r>
    </w:p>
    <w:p w14:paraId="094AB836" w14:textId="430F24DD" w:rsidR="00FC16A3" w:rsidRDefault="00FE47A8" w:rsidP="00223FB6">
      <w:pPr>
        <w:pStyle w:val="Numbernormal"/>
        <w:numPr>
          <w:ilvl w:val="0"/>
          <w:numId w:val="26"/>
        </w:numPr>
      </w:pPr>
      <w:r w:rsidRPr="00FE47A8">
        <w:t xml:space="preserve">Some instances of </w:t>
      </w:r>
      <w:r w:rsidRPr="000913DD">
        <w:rPr>
          <w:highlight w:val="yellow"/>
        </w:rPr>
        <w:t xml:space="preserve">non-compliance </w:t>
      </w:r>
      <w:proofErr w:type="gramStart"/>
      <w:r w:rsidRPr="000913DD">
        <w:rPr>
          <w:highlight w:val="yellow"/>
        </w:rPr>
        <w:t>have been identified</w:t>
      </w:r>
      <w:proofErr w:type="gramEnd"/>
      <w:r w:rsidRPr="00FE47A8">
        <w:t xml:space="preserve"> in the current audit cycle</w:t>
      </w:r>
      <w:r>
        <w:t xml:space="preserve"> with respect to expenditure management</w:t>
      </w:r>
      <w:r w:rsidRPr="00FE47A8">
        <w:t xml:space="preserve">, </w:t>
      </w:r>
      <w:r w:rsidRPr="000913DD">
        <w:rPr>
          <w:highlight w:val="yellow"/>
        </w:rPr>
        <w:t>resulting in irregular expenditure</w:t>
      </w:r>
      <w:r w:rsidR="00615FC6">
        <w:rPr>
          <w:highlight w:val="yellow"/>
        </w:rPr>
        <w:t xml:space="preserve"> being incurred by the department.</w:t>
      </w:r>
      <w:r w:rsidR="006D2DC7" w:rsidRPr="000913DD">
        <w:rPr>
          <w:rFonts w:eastAsia="Times New Roman"/>
          <w:highlight w:val="yellow"/>
        </w:rPr>
        <w:t xml:space="preserve"> </w:t>
      </w:r>
      <w:r w:rsidR="00615FC6">
        <w:rPr>
          <w:rFonts w:eastAsia="Times New Roman"/>
          <w:highlight w:val="yellow"/>
        </w:rPr>
        <w:t>This n</w:t>
      </w:r>
      <w:r w:rsidR="00615FC6" w:rsidRPr="000913DD">
        <w:rPr>
          <w:rFonts w:eastAsia="Times New Roman"/>
          <w:highlight w:val="yellow"/>
        </w:rPr>
        <w:t>on</w:t>
      </w:r>
      <w:r w:rsidR="006D2DC7" w:rsidRPr="000913DD">
        <w:rPr>
          <w:rFonts w:eastAsia="Times New Roman"/>
          <w:highlight w:val="yellow"/>
        </w:rPr>
        <w:t>-compliance</w:t>
      </w:r>
      <w:r w:rsidR="006D2DC7" w:rsidRPr="006248F0">
        <w:rPr>
          <w:rFonts w:eastAsia="Times New Roman"/>
        </w:rPr>
        <w:t xml:space="preserve"> with legislation </w:t>
      </w:r>
      <w:proofErr w:type="gramStart"/>
      <w:r w:rsidR="006D2DC7" w:rsidRPr="006248F0">
        <w:rPr>
          <w:rFonts w:eastAsia="Times New Roman"/>
        </w:rPr>
        <w:t>could have been prevented</w:t>
      </w:r>
      <w:proofErr w:type="gramEnd"/>
      <w:r w:rsidR="006D2DC7" w:rsidRPr="006248F0">
        <w:rPr>
          <w:rFonts w:eastAsia="Times New Roman"/>
        </w:rPr>
        <w:t xml:space="preserve"> had compliance been properly reviewed and</w:t>
      </w:r>
      <w:r>
        <w:t xml:space="preserve"> monitored when approving payments to suppliers.</w:t>
      </w:r>
    </w:p>
    <w:p w14:paraId="1289B7DA" w14:textId="77777777" w:rsidR="00EC5960" w:rsidRPr="0077659B" w:rsidRDefault="00EC5960" w:rsidP="00223FB6">
      <w:pPr>
        <w:pStyle w:val="Numbernormal"/>
        <w:numPr>
          <w:ilvl w:val="0"/>
          <w:numId w:val="26"/>
        </w:numPr>
      </w:pPr>
      <w:r>
        <w:t xml:space="preserve">Improvement </w:t>
      </w:r>
      <w:proofErr w:type="gramStart"/>
      <w:r>
        <w:t>was noted</w:t>
      </w:r>
      <w:proofErr w:type="gramEnd"/>
      <w:r>
        <w:t xml:space="preserve"> with respect to payments being made within 30 days, which was not included as a non-compliance item for the </w:t>
      </w:r>
      <w:r w:rsidR="00BF178F">
        <w:t xml:space="preserve">current financial period. The action plans with respect to this item </w:t>
      </w:r>
      <w:proofErr w:type="gramStart"/>
      <w:r w:rsidR="00BF178F">
        <w:t>were thus effectively implemented</w:t>
      </w:r>
      <w:proofErr w:type="gramEnd"/>
      <w:r w:rsidR="00BF178F">
        <w:t>.</w:t>
      </w:r>
    </w:p>
    <w:p w14:paraId="485EDD91" w14:textId="37061BB6" w:rsidR="00FC16A3" w:rsidRPr="0077659B" w:rsidRDefault="00FC16A3" w:rsidP="000142F4">
      <w:pPr>
        <w:pStyle w:val="Heading5"/>
        <w:rPr>
          <w:rFonts w:eastAsia="MS Mincho"/>
        </w:rPr>
      </w:pPr>
      <w:r w:rsidRPr="0077659B">
        <w:rPr>
          <w:rFonts w:eastAsia="MS Mincho"/>
        </w:rPr>
        <w:lastRenderedPageBreak/>
        <w:t>Information technology systems</w:t>
      </w:r>
    </w:p>
    <w:p w14:paraId="7A66E66E" w14:textId="77777777" w:rsidR="00FC16A3" w:rsidRPr="00B60CDF" w:rsidRDefault="00FE47A8" w:rsidP="00223FB6">
      <w:pPr>
        <w:pStyle w:val="Numbernormal"/>
        <w:numPr>
          <w:ilvl w:val="0"/>
          <w:numId w:val="26"/>
        </w:numPr>
      </w:pPr>
      <w:r w:rsidRPr="00FE47A8">
        <w:rPr>
          <w:lang w:val="en-GB"/>
        </w:rPr>
        <w:t>IT controls pertaining to service continuity, security management, user access management and change control management were not effectively designed and implemented due to the following key internal control deficiencies</w:t>
      </w:r>
      <w:r>
        <w:rPr>
          <w:lang w:val="en-GB"/>
        </w:rPr>
        <w:t>:</w:t>
      </w:r>
    </w:p>
    <w:p w14:paraId="58A2F33C" w14:textId="77777777" w:rsidR="00B60CDF"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sidRPr="0001288D">
        <w:rPr>
          <w:rFonts w:ascii="Arial" w:hAnsi="Arial" w:cs="Arial"/>
          <w:lang w:val="en-US"/>
        </w:rPr>
        <w:t xml:space="preserve">The Business Continuity Plan (BCP) </w:t>
      </w:r>
      <w:proofErr w:type="gramStart"/>
      <w:r w:rsidRPr="0001288D">
        <w:rPr>
          <w:rFonts w:ascii="Arial" w:hAnsi="Arial" w:cs="Arial"/>
          <w:lang w:val="en-US"/>
        </w:rPr>
        <w:t>is currently being developed</w:t>
      </w:r>
      <w:proofErr w:type="gramEnd"/>
      <w:r w:rsidRPr="0001288D">
        <w:rPr>
          <w:rFonts w:ascii="Arial" w:hAnsi="Arial" w:cs="Arial"/>
          <w:lang w:val="en-US"/>
        </w:rPr>
        <w:t xml:space="preserve">, as a result the draft Disaster Recovery Plan (DRP) is not aligned to the BCP and therefore could not be finalised. The backup and recovery solution </w:t>
      </w:r>
      <w:proofErr w:type="gramStart"/>
      <w:r w:rsidRPr="0001288D">
        <w:rPr>
          <w:rFonts w:ascii="Arial" w:hAnsi="Arial" w:cs="Arial"/>
          <w:lang w:val="en-US"/>
        </w:rPr>
        <w:t>was implemented</w:t>
      </w:r>
      <w:proofErr w:type="gramEnd"/>
      <w:r w:rsidRPr="0001288D">
        <w:rPr>
          <w:rFonts w:ascii="Arial" w:hAnsi="Arial" w:cs="Arial"/>
          <w:lang w:val="en-US"/>
        </w:rPr>
        <w:t xml:space="preserve"> in the last quarter of 2018-19 financial year and could not func</w:t>
      </w:r>
      <w:r>
        <w:rPr>
          <w:rFonts w:ascii="Arial" w:hAnsi="Arial" w:cs="Arial"/>
          <w:lang w:val="en-US"/>
        </w:rPr>
        <w:t>tion adequately.</w:t>
      </w:r>
      <w:r w:rsidRPr="009F1540">
        <w:rPr>
          <w:rFonts w:ascii="Arial" w:hAnsi="Arial" w:cs="Arial"/>
          <w:lang w:val="en-US"/>
        </w:rPr>
        <w:t xml:space="preserve"> </w:t>
      </w:r>
      <w:proofErr w:type="gramStart"/>
      <w:r w:rsidRPr="009F1540">
        <w:rPr>
          <w:rFonts w:ascii="Arial" w:hAnsi="Arial" w:cs="Arial"/>
          <w:lang w:val="en-US"/>
        </w:rP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roofErr w:type="gramEnd"/>
    </w:p>
    <w:p w14:paraId="7E5A2693" w14:textId="77777777" w:rsidR="00B60CDF" w:rsidRDefault="00B60CDF" w:rsidP="00B60CDF">
      <w:pPr>
        <w:pStyle w:val="ListParagraph"/>
        <w:numPr>
          <w:ilvl w:val="0"/>
          <w:numId w:val="0"/>
        </w:numPr>
        <w:autoSpaceDE/>
        <w:autoSpaceDN/>
        <w:adjustRightInd/>
        <w:spacing w:before="240" w:after="200" w:line="276" w:lineRule="auto"/>
        <w:ind w:left="714"/>
        <w:contextualSpacing/>
        <w:rPr>
          <w:rFonts w:ascii="Arial" w:hAnsi="Arial" w:cs="Arial"/>
          <w:lang w:val="en-US"/>
        </w:rPr>
      </w:pPr>
    </w:p>
    <w:p w14:paraId="6386D72D" w14:textId="77777777" w:rsidR="00B60CDF" w:rsidRPr="009F1540"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Pr>
          <w:rFonts w:ascii="Arial" w:hAnsi="Arial" w:cs="Arial"/>
          <w:lang w:val="en-US"/>
        </w:rPr>
        <w:t>T</w:t>
      </w:r>
      <w:r w:rsidRPr="009F1540">
        <w:rPr>
          <w:rFonts w:ascii="Arial" w:hAnsi="Arial" w:cs="Arial"/>
          <w:lang w:val="en-US"/>
        </w:rPr>
        <w:t>he following security management processes weaknesses were noted:</w:t>
      </w:r>
    </w:p>
    <w:p w14:paraId="46F9CA44"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The ICT Security Policy was still in draft format;</w:t>
      </w:r>
    </w:p>
    <w:p w14:paraId="77D16246"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There was no process in place to review the activity logs on active directory for security significant events;</w:t>
      </w:r>
    </w:p>
    <w:p w14:paraId="36B413E3" w14:textId="77777777" w:rsidR="00B60CDF"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Furthermore, the pas</w:t>
      </w:r>
      <w:r>
        <w:rPr>
          <w:rFonts w:ascii="Arial" w:hAnsi="Arial" w:cs="Arial"/>
        </w:rPr>
        <w:t xml:space="preserve">sword security settings to the </w:t>
      </w:r>
      <w:proofErr w:type="spellStart"/>
      <w:r>
        <w:rPr>
          <w:rFonts w:ascii="Arial" w:hAnsi="Arial" w:cs="Arial"/>
        </w:rPr>
        <w:t>A</w:t>
      </w:r>
      <w:r w:rsidRPr="009F1540">
        <w:rPr>
          <w:rFonts w:ascii="Arial" w:hAnsi="Arial" w:cs="Arial"/>
        </w:rPr>
        <w:t>rchibus</w:t>
      </w:r>
      <w:proofErr w:type="spellEnd"/>
      <w:r w:rsidRPr="009F1540">
        <w:rPr>
          <w:rFonts w:ascii="Arial" w:hAnsi="Arial" w:cs="Arial"/>
        </w:rPr>
        <w:t>, EPWP, PMIS and SAGE systems were not in line with the department’s ICT security policy</w:t>
      </w:r>
    </w:p>
    <w:p w14:paraId="356BBA11" w14:textId="77777777" w:rsidR="00B60CDF" w:rsidRPr="009F1540" w:rsidRDefault="00B60CDF" w:rsidP="00B60CDF">
      <w:pPr>
        <w:pStyle w:val="ListParagraph"/>
        <w:spacing w:before="240" w:line="276" w:lineRule="auto"/>
        <w:ind w:left="714"/>
        <w:jc w:val="both"/>
        <w:rPr>
          <w:rFonts w:ascii="Arial" w:hAnsi="Arial" w:cs="Arial"/>
          <w:szCs w:val="36"/>
        </w:rPr>
      </w:pPr>
      <w:r w:rsidRPr="009F1540">
        <w:rPr>
          <w:rFonts w:ascii="Arial" w:hAnsi="Arial" w:cs="Arial"/>
          <w:szCs w:val="36"/>
        </w:rPr>
        <w:t xml:space="preserve">Without an approved ICT security policy, the organisation might not be able </w:t>
      </w:r>
      <w:proofErr w:type="gramStart"/>
      <w:r w:rsidRPr="009F1540">
        <w:rPr>
          <w:rFonts w:ascii="Arial" w:hAnsi="Arial" w:cs="Arial"/>
          <w:szCs w:val="36"/>
        </w:rPr>
        <w:t>to adequately and effectively support</w:t>
      </w:r>
      <w:proofErr w:type="gramEnd"/>
      <w:r w:rsidRPr="009F1540">
        <w:rPr>
          <w:rFonts w:ascii="Arial" w:hAnsi="Arial" w:cs="Arial"/>
          <w:szCs w:val="36"/>
        </w:rPr>
        <w:t xml:space="preserve"> the overall objective of the organisation in terms of security. Furthermore, security breaches and incidents </w:t>
      </w:r>
      <w:proofErr w:type="gramStart"/>
      <w:r w:rsidRPr="009F1540">
        <w:rPr>
          <w:rFonts w:ascii="Arial" w:hAnsi="Arial" w:cs="Arial"/>
          <w:szCs w:val="36"/>
        </w:rPr>
        <w:t>may not be timely detected</w:t>
      </w:r>
      <w:proofErr w:type="gramEnd"/>
      <w:r w:rsidRPr="009F1540">
        <w:rPr>
          <w:rFonts w:ascii="Arial" w:hAnsi="Arial" w:cs="Arial"/>
          <w:szCs w:val="36"/>
        </w:rPr>
        <w:t>, which may affect the confidentiality, integrity and availability of the systems.</w:t>
      </w:r>
    </w:p>
    <w:p w14:paraId="00CDE669" w14:textId="77777777" w:rsidR="00B60CDF" w:rsidRPr="009F1540"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sidRPr="009F1540">
        <w:rPr>
          <w:rFonts w:ascii="Arial" w:hAnsi="Arial" w:cs="Arial"/>
          <w:lang w:val="en-US"/>
        </w:rPr>
        <w:t xml:space="preserve">The Consolidated Information and Communication Technology Policy included user access management and it </w:t>
      </w:r>
      <w:proofErr w:type="gramStart"/>
      <w:r w:rsidRPr="009F1540">
        <w:rPr>
          <w:rFonts w:ascii="Arial" w:hAnsi="Arial" w:cs="Arial"/>
          <w:lang w:val="en-US"/>
        </w:rPr>
        <w:t>was noted</w:t>
      </w:r>
      <w:proofErr w:type="gramEnd"/>
      <w:r w:rsidRPr="009F1540">
        <w:rPr>
          <w:rFonts w:ascii="Arial" w:hAnsi="Arial" w:cs="Arial"/>
          <w:lang w:val="en-US"/>
        </w:rPr>
        <w:t xml:space="preserve"> that the policy does not explicitly indicate the systems and/or applications that are covered by the policy. Furthermore, as previously reported in 2018/19 it was noted that the current policy was still in draft and does not provide adequate guidance on the process to follow when performing the below user access management activities:</w:t>
      </w:r>
    </w:p>
    <w:p w14:paraId="760D0183"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User account termination. </w:t>
      </w:r>
    </w:p>
    <w:p w14:paraId="6C0007B5"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User transfer requests.</w:t>
      </w:r>
    </w:p>
    <w:p w14:paraId="58349F91"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Monitoring of system controller actions on application security level (creation of IDs, user ID maintenance, allocating functions to users etc.) </w:t>
      </w:r>
    </w:p>
    <w:p w14:paraId="75DA5E68" w14:textId="77777777" w:rsidR="00B60CDF"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Periodic reviews of access and logon violation</w:t>
      </w:r>
    </w:p>
    <w:p w14:paraId="5564A8BA" w14:textId="77777777" w:rsidR="00B60CDF" w:rsidRDefault="00B60CDF" w:rsidP="00B60CDF">
      <w:pPr>
        <w:pStyle w:val="ListParagraph"/>
        <w:numPr>
          <w:ilvl w:val="0"/>
          <w:numId w:val="0"/>
        </w:numPr>
        <w:autoSpaceDE/>
        <w:autoSpaceDN/>
        <w:adjustRightInd/>
        <w:spacing w:before="240" w:after="0" w:line="276" w:lineRule="auto"/>
        <w:ind w:left="1298"/>
        <w:contextualSpacing/>
        <w:jc w:val="both"/>
        <w:rPr>
          <w:rFonts w:ascii="Arial" w:hAnsi="Arial" w:cs="Arial"/>
        </w:rPr>
      </w:pPr>
    </w:p>
    <w:p w14:paraId="11A9C59C" w14:textId="71D41FF5" w:rsidR="00B60CDF" w:rsidRPr="009F1540"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Pr>
          <w:rFonts w:ascii="Arial" w:hAnsi="Arial" w:cs="Arial"/>
          <w:lang w:val="en-US"/>
        </w:rPr>
        <w:t>Inadequate</w:t>
      </w:r>
      <w:r w:rsidRPr="009F1540">
        <w:rPr>
          <w:rFonts w:ascii="Arial" w:hAnsi="Arial" w:cs="Arial"/>
          <w:lang w:val="en-US"/>
        </w:rPr>
        <w:t xml:space="preserve"> implementation of user access management controls around EPWP</w:t>
      </w:r>
      <w:r>
        <w:rPr>
          <w:rFonts w:ascii="Arial" w:hAnsi="Arial" w:cs="Arial"/>
          <w:lang w:val="en-US"/>
        </w:rPr>
        <w:t>,</w:t>
      </w:r>
      <w:r w:rsidRPr="009F1540">
        <w:rPr>
          <w:rFonts w:ascii="Arial" w:hAnsi="Arial" w:cs="Arial"/>
          <w:lang w:val="en-US"/>
        </w:rPr>
        <w:t xml:space="preserve"> </w:t>
      </w:r>
      <w:proofErr w:type="spellStart"/>
      <w:r w:rsidRPr="009F1540">
        <w:rPr>
          <w:rFonts w:ascii="Arial" w:hAnsi="Arial" w:cs="Arial"/>
          <w:lang w:val="en-US"/>
        </w:rPr>
        <w:t>Reapatala</w:t>
      </w:r>
      <w:proofErr w:type="spellEnd"/>
      <w:r w:rsidR="00615FC6">
        <w:rPr>
          <w:rFonts w:ascii="Arial" w:hAnsi="Arial" w:cs="Arial"/>
          <w:lang w:val="en-US"/>
        </w:rPr>
        <w:t xml:space="preserve"> and </w:t>
      </w:r>
      <w:proofErr w:type="spellStart"/>
      <w:r>
        <w:rPr>
          <w:rFonts w:ascii="Arial" w:hAnsi="Arial" w:cs="Arial"/>
          <w:lang w:val="en-US"/>
        </w:rPr>
        <w:t>Persal</w:t>
      </w:r>
      <w:proofErr w:type="spellEnd"/>
      <w:r>
        <w:rPr>
          <w:rFonts w:ascii="Arial" w:hAnsi="Arial" w:cs="Arial"/>
          <w:lang w:val="en-US"/>
        </w:rPr>
        <w:t>.</w:t>
      </w:r>
      <w:r w:rsidRPr="009F1540">
        <w:rPr>
          <w:rFonts w:ascii="Arial" w:hAnsi="Arial" w:cs="Arial"/>
          <w:lang w:val="en-US"/>
        </w:rPr>
        <w:t xml:space="preserve"> The following deficiencies were noted with regards to the administration of user </w:t>
      </w:r>
      <w:r>
        <w:rPr>
          <w:rFonts w:ascii="Arial" w:hAnsi="Arial" w:cs="Arial"/>
          <w:lang w:val="en-US"/>
        </w:rPr>
        <w:t>access controls on the above DPW &amp;PMTE</w:t>
      </w:r>
      <w:r w:rsidRPr="009F1540">
        <w:rPr>
          <w:rFonts w:ascii="Arial" w:hAnsi="Arial" w:cs="Arial"/>
          <w:lang w:val="en-US"/>
        </w:rPr>
        <w:t xml:space="preserve"> system</w:t>
      </w:r>
      <w:r>
        <w:rPr>
          <w:rFonts w:ascii="Arial" w:hAnsi="Arial" w:cs="Arial"/>
          <w:lang w:val="en-US"/>
        </w:rPr>
        <w:t>s</w:t>
      </w:r>
      <w:r w:rsidRPr="009F1540">
        <w:rPr>
          <w:rFonts w:ascii="Arial" w:hAnsi="Arial" w:cs="Arial"/>
          <w:lang w:val="en-US"/>
        </w:rPr>
        <w:t>:</w:t>
      </w:r>
    </w:p>
    <w:p w14:paraId="390EA393" w14:textId="77777777" w:rsidR="00B60CDF"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Evidence of review performed to monitor user's access rights was not </w:t>
      </w:r>
      <w:proofErr w:type="gramStart"/>
      <w:r w:rsidRPr="009F1540">
        <w:rPr>
          <w:rFonts w:ascii="Arial" w:hAnsi="Arial" w:cs="Arial"/>
        </w:rPr>
        <w:t>adequate</w:t>
      </w:r>
      <w:proofErr w:type="gramEnd"/>
      <w:r w:rsidRPr="009F1540">
        <w:rPr>
          <w:rFonts w:ascii="Arial" w:hAnsi="Arial" w:cs="Arial"/>
        </w:rPr>
        <w:t xml:space="preserve"> as it did not entail users access</w:t>
      </w:r>
      <w:r>
        <w:rPr>
          <w:rFonts w:ascii="Arial" w:hAnsi="Arial" w:cs="Arial"/>
        </w:rPr>
        <w:t>,</w:t>
      </w:r>
      <w:r w:rsidRPr="009F1540">
        <w:rPr>
          <w:rFonts w:ascii="Arial" w:hAnsi="Arial" w:cs="Arial"/>
        </w:rPr>
        <w:t xml:space="preserve"> furthermore there was no evidence indicating that the </w:t>
      </w:r>
      <w:r w:rsidRPr="009F1540">
        <w:rPr>
          <w:rFonts w:ascii="Arial" w:hAnsi="Arial" w:cs="Arial"/>
        </w:rPr>
        <w:lastRenderedPageBreak/>
        <w:t>report/list was reviewed to ensure that the functions allocated to the users commensurate with their job responsibilities.</w:t>
      </w:r>
    </w:p>
    <w:p w14:paraId="01A61732" w14:textId="77777777" w:rsidR="00B60CDF" w:rsidRPr="00F65FBC"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F65FBC">
        <w:rPr>
          <w:rFonts w:ascii="Arial" w:hAnsi="Arial" w:cs="Arial"/>
        </w:rP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r w:rsidRPr="00F65FBC">
        <w:rPr>
          <w:rFonts w:ascii="Arial" w:hAnsi="Arial" w:cs="Arial"/>
        </w:rPr>
        <w:fldChar w:fldCharType="begin"/>
      </w:r>
      <w:r w:rsidRPr="00F65FBC">
        <w:rPr>
          <w:rFonts w:ascii="Arial" w:hAnsi="Arial" w:cs="Arial"/>
        </w:rPr>
        <w:instrText xml:space="preserve"> &lt;tm:format font-override="true"&gt; </w:instrText>
      </w:r>
      <w:r w:rsidRPr="00F65FBC">
        <w:rPr>
          <w:rFonts w:ascii="Arial" w:hAnsi="Arial" w:cs="Arial"/>
        </w:rPr>
        <w:fldChar w:fldCharType="end"/>
      </w:r>
      <w:r w:rsidRPr="00F65FBC">
        <w:rPr>
          <w:rFonts w:ascii="Arial" w:hAnsi="Arial" w:cs="Arial"/>
        </w:rPr>
        <w:fldChar w:fldCharType="begin"/>
      </w:r>
      <w:r w:rsidRPr="00F65FBC">
        <w:rPr>
          <w:rFonts w:ascii="Arial" w:hAnsi="Arial" w:cs="Arial"/>
        </w:rPr>
        <w:instrText xml:space="preserve"> &lt;xsl:value-of select="FINDING"/&gt; </w:instrText>
      </w:r>
      <w:r w:rsidRPr="00F65FBC">
        <w:rPr>
          <w:rFonts w:ascii="Arial" w:hAnsi="Arial" w:cs="Arial"/>
        </w:rPr>
        <w:fldChar w:fldCharType="end"/>
      </w:r>
      <w:r w:rsidRPr="00F65FBC">
        <w:rPr>
          <w:rFonts w:ascii="Arial" w:hAnsi="Arial" w:cs="Arial"/>
        </w:rPr>
        <w:fldChar w:fldCharType="begin"/>
      </w:r>
      <w:r w:rsidRPr="00F65FBC">
        <w:rPr>
          <w:rFonts w:ascii="Arial" w:hAnsi="Arial" w:cs="Arial"/>
        </w:rPr>
        <w:instrText xml:space="preserve"> &lt;/tm:format&gt; </w:instrText>
      </w:r>
      <w:r w:rsidRPr="00F65FBC">
        <w:rPr>
          <w:rFonts w:ascii="Arial" w:hAnsi="Arial" w:cs="Arial"/>
        </w:rPr>
        <w:fldChar w:fldCharType="end"/>
      </w:r>
    </w:p>
    <w:p w14:paraId="5BD49601" w14:textId="77777777" w:rsidR="00B60CDF" w:rsidRPr="009F1540" w:rsidRDefault="00B60CDF" w:rsidP="00B60CDF">
      <w:pPr>
        <w:pStyle w:val="ListParagraph"/>
        <w:spacing w:before="240" w:line="276" w:lineRule="auto"/>
        <w:ind w:left="714"/>
        <w:jc w:val="both"/>
        <w:rPr>
          <w:rFonts w:ascii="Arial" w:hAnsi="Arial" w:cs="Arial"/>
          <w:szCs w:val="36"/>
        </w:rPr>
      </w:pPr>
      <w:r w:rsidRPr="009F1540">
        <w:rPr>
          <w:rFonts w:ascii="Arial" w:hAnsi="Arial" w:cs="Arial"/>
          <w:szCs w:val="36"/>
        </w:rPr>
        <w:t>Inadequate user account management processes could lead to unauthorised access to the system, which could result in potential system breaches and therefore compromising the integrity of data.</w:t>
      </w:r>
    </w:p>
    <w:p w14:paraId="058B9117" w14:textId="77777777" w:rsidR="00B60CDF" w:rsidRPr="0055296A"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Pr>
          <w:rFonts w:ascii="Arial" w:hAnsi="Arial" w:cs="Arial"/>
          <w:lang w:val="en-US"/>
        </w:rPr>
        <w:t>The ICT policy</w:t>
      </w:r>
      <w:r w:rsidRPr="001356E4">
        <w:rPr>
          <w:rFonts w:ascii="Arial" w:hAnsi="Arial" w:cs="Arial"/>
          <w:lang w:val="en-US"/>
        </w:rPr>
        <w:t xml:space="preserve"> governing </w:t>
      </w:r>
      <w:r>
        <w:rPr>
          <w:rFonts w:ascii="Arial" w:hAnsi="Arial" w:cs="Arial"/>
          <w:lang w:val="en-US"/>
        </w:rPr>
        <w:t xml:space="preserve">change management and </w:t>
      </w:r>
      <w:r w:rsidRPr="001356E4">
        <w:rPr>
          <w:rFonts w:ascii="Arial" w:hAnsi="Arial" w:cs="Arial"/>
          <w:lang w:val="en-US"/>
        </w:rPr>
        <w:t xml:space="preserve">access to </w:t>
      </w:r>
      <w:proofErr w:type="spellStart"/>
      <w:r w:rsidRPr="0055296A">
        <w:rPr>
          <w:rFonts w:ascii="Arial" w:hAnsi="Arial" w:cs="Arial"/>
          <w:lang w:val="en-GB"/>
        </w:rPr>
        <w:t>Reapatala</w:t>
      </w:r>
      <w:proofErr w:type="spellEnd"/>
      <w:r w:rsidRPr="0055296A">
        <w:rPr>
          <w:rFonts w:ascii="Arial" w:hAnsi="Arial" w:cs="Arial"/>
          <w:lang w:val="en-GB"/>
        </w:rPr>
        <w:t xml:space="preserve"> and EPWP</w:t>
      </w:r>
      <w:r>
        <w:rPr>
          <w:rFonts w:ascii="Arial" w:hAnsi="Arial" w:cs="Arial"/>
          <w:lang w:val="en-US"/>
        </w:rPr>
        <w:t xml:space="preserve"> applications </w:t>
      </w:r>
      <w:r w:rsidRPr="001356E4">
        <w:rPr>
          <w:rFonts w:ascii="Arial" w:hAnsi="Arial" w:cs="Arial"/>
          <w:lang w:val="en-US"/>
        </w:rPr>
        <w:t xml:space="preserve">was </w:t>
      </w:r>
      <w:r>
        <w:rPr>
          <w:rFonts w:ascii="Arial" w:hAnsi="Arial" w:cs="Arial"/>
          <w:lang w:val="en-US"/>
        </w:rPr>
        <w:t>still in draft since August 2018,</w:t>
      </w:r>
      <w:r w:rsidRPr="001356E4">
        <w:rPr>
          <w:rFonts w:ascii="Arial" w:hAnsi="Arial" w:cs="Arial"/>
          <w:lang w:val="en-US"/>
        </w:rPr>
        <w:t xml:space="preserve"> </w:t>
      </w:r>
      <w:r>
        <w:rPr>
          <w:rFonts w:ascii="Arial" w:hAnsi="Arial" w:cs="Arial"/>
          <w:lang w:val="en-US"/>
        </w:rPr>
        <w:t xml:space="preserve">and </w:t>
      </w:r>
      <w:r w:rsidRPr="0055296A">
        <w:rPr>
          <w:rFonts w:ascii="Arial" w:hAnsi="Arial" w:cs="Arial"/>
          <w:lang w:val="en-US"/>
        </w:rPr>
        <w:t>does not provide adequate guidance on the process to be followed when:</w:t>
      </w:r>
    </w:p>
    <w:p w14:paraId="5649CD6F"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Performi</w:t>
      </w:r>
      <w:r>
        <w:rPr>
          <w:rFonts w:cs="Arial"/>
          <w:szCs w:val="22"/>
        </w:rPr>
        <w:t>ng change management activities;</w:t>
      </w:r>
    </w:p>
    <w:p w14:paraId="685B105C"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 xml:space="preserve">Migration of changes to production </w:t>
      </w:r>
    </w:p>
    <w:p w14:paraId="088F8EFD"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D</w:t>
      </w:r>
      <w:r>
        <w:rPr>
          <w:rFonts w:cs="Arial"/>
          <w:szCs w:val="22"/>
        </w:rPr>
        <w:t>evelopment of changes requested</w:t>
      </w:r>
    </w:p>
    <w:p w14:paraId="066D332A"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Testing of changes (QA and user acceptance test); and</w:t>
      </w:r>
    </w:p>
    <w:p w14:paraId="26508F07"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Implementation of changes.</w:t>
      </w:r>
    </w:p>
    <w:p w14:paraId="7B8BBEEE" w14:textId="77777777" w:rsidR="00B60CDF" w:rsidRPr="00FE47A8" w:rsidRDefault="00B60CDF" w:rsidP="00B60CDF">
      <w:pPr>
        <w:pStyle w:val="Numbernormal"/>
        <w:spacing w:before="240"/>
        <w:ind w:left="840"/>
      </w:pPr>
      <w:r w:rsidRPr="0055296A">
        <w:rPr>
          <w:rFonts w:eastAsia="Times New Roman"/>
          <w:szCs w:val="36"/>
        </w:rP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3B28A3ED" w14:textId="77777777" w:rsidR="001F4789" w:rsidRPr="0077659B" w:rsidRDefault="001F4789" w:rsidP="000142F4">
      <w:pPr>
        <w:pStyle w:val="Heading4"/>
      </w:pPr>
      <w:r w:rsidRPr="0077659B">
        <w:t>Governance</w:t>
      </w:r>
    </w:p>
    <w:p w14:paraId="2125917E" w14:textId="71DAF256" w:rsidR="00FC16A3" w:rsidRPr="0077659B" w:rsidRDefault="00FC16A3" w:rsidP="000142F4">
      <w:pPr>
        <w:pStyle w:val="Heading5"/>
        <w:rPr>
          <w:rFonts w:eastAsia="MS Mincho"/>
        </w:rPr>
      </w:pPr>
      <w:r w:rsidRPr="0077659B">
        <w:rPr>
          <w:rFonts w:eastAsia="MS Mincho"/>
        </w:rPr>
        <w:t>Risk management activities and risk strategy</w:t>
      </w:r>
    </w:p>
    <w:p w14:paraId="19B4A658" w14:textId="77777777" w:rsidR="00B60CDF" w:rsidRPr="00685E92" w:rsidRDefault="00B60CDF" w:rsidP="00223FB6">
      <w:pPr>
        <w:numPr>
          <w:ilvl w:val="0"/>
          <w:numId w:val="26"/>
        </w:numPr>
        <w:shd w:val="clear" w:color="auto" w:fill="FFFFFF"/>
        <w:spacing w:after="240"/>
        <w:jc w:val="both"/>
        <w:rPr>
          <w:rFonts w:eastAsia="Calibri" w:cs="Arial"/>
        </w:rPr>
      </w:pPr>
      <w:r w:rsidRPr="00685E92">
        <w:rPr>
          <w:rFonts w:eastAsia="Calibri" w:cs="Arial"/>
        </w:rPr>
        <w:t xml:space="preserve">We have noted that the majority of investigations </w:t>
      </w:r>
      <w:proofErr w:type="gramStart"/>
      <w:r w:rsidRPr="00685E92">
        <w:rPr>
          <w:rFonts w:eastAsia="Calibri" w:cs="Arial"/>
        </w:rPr>
        <w:t>are initiated</w:t>
      </w:r>
      <w:proofErr w:type="gramEnd"/>
      <w:r w:rsidRPr="00685E92">
        <w:rPr>
          <w:rFonts w:eastAsia="Calibri" w:cs="Arial"/>
        </w:rPr>
        <w:t xml:space="preserve"> within the required time, however investigations take extremely long to finalise depending on their complexities.</w:t>
      </w:r>
    </w:p>
    <w:p w14:paraId="425E3AF6" w14:textId="684C2374" w:rsidR="00FC16A3" w:rsidRPr="0077659B" w:rsidRDefault="00B60CDF" w:rsidP="00223FB6">
      <w:pPr>
        <w:pStyle w:val="Numbernormal"/>
        <w:numPr>
          <w:ilvl w:val="0"/>
          <w:numId w:val="26"/>
        </w:numPr>
      </w:pPr>
      <w:r w:rsidRPr="00BC3C9A">
        <w:t xml:space="preserve">Some investigations </w:t>
      </w:r>
      <w:proofErr w:type="gramStart"/>
      <w:r w:rsidRPr="00BC3C9A">
        <w:t>are referred</w:t>
      </w:r>
      <w:proofErr w:type="gramEnd"/>
      <w:r w:rsidRPr="00BC3C9A">
        <w:t xml:space="preserve"> to Special Investigations Unit or to SAPS where criminal activities are suspected. Where follow up actions are required from the department </w:t>
      </w:r>
      <w:proofErr w:type="gramStart"/>
      <w:r w:rsidRPr="00BC3C9A">
        <w:t>as a result</w:t>
      </w:r>
      <w:proofErr w:type="gramEnd"/>
      <w:r w:rsidRPr="00BC3C9A">
        <w:t xml:space="preserve"> of findings from investigations (e.g. disciplinary hearings, etc.), these are not taking place on time in some instances</w:t>
      </w:r>
      <w:r w:rsidR="00FB6CA3">
        <w:t xml:space="preserve">. In addition, we have noted that leadership has been slow to implement some of the recommendations in these reports, especially in relation to holding people accountable for causing the department to incur irregular, and fruitless and wasteful expenditure. Inadequate consequence management increases the likelihood of similar transgressions recurring, and the department not receiving value for the high costs incurred in conducting these investigations </w:t>
      </w:r>
    </w:p>
    <w:p w14:paraId="3408C3AA" w14:textId="0E406497" w:rsidR="00FC16A3" w:rsidRPr="0077659B" w:rsidRDefault="00FC16A3" w:rsidP="000142F4">
      <w:pPr>
        <w:pStyle w:val="Heading5"/>
        <w:rPr>
          <w:rFonts w:eastAsia="MS Mincho"/>
        </w:rPr>
      </w:pPr>
      <w:r w:rsidRPr="0077659B">
        <w:rPr>
          <w:rFonts w:eastAsia="MS Mincho"/>
        </w:rPr>
        <w:t>Internal audit</w:t>
      </w:r>
    </w:p>
    <w:p w14:paraId="7744559A" w14:textId="575FBC69" w:rsidR="0005745D" w:rsidRDefault="00B60CDF" w:rsidP="00223FB6">
      <w:pPr>
        <w:pStyle w:val="Numbernormal"/>
        <w:numPr>
          <w:ilvl w:val="0"/>
          <w:numId w:val="26"/>
        </w:numPr>
      </w:pPr>
      <w:r w:rsidRPr="00B60CDF">
        <w:t xml:space="preserve">While it was noted </w:t>
      </w:r>
      <w:proofErr w:type="gramStart"/>
      <w:r w:rsidRPr="00B60CDF">
        <w:t>that internal</w:t>
      </w:r>
      <w:proofErr w:type="gramEnd"/>
      <w:r w:rsidRPr="00B60CDF">
        <w:t xml:space="preserve"> audit performed a number of audits throughout the financial period</w:t>
      </w:r>
      <w:r w:rsidR="0005745D">
        <w:t xml:space="preserve"> (relating to, </w:t>
      </w:r>
      <w:r w:rsidR="0005745D">
        <w:rPr>
          <w:i/>
        </w:rPr>
        <w:t xml:space="preserve">inter alia, </w:t>
      </w:r>
      <w:r w:rsidR="0005745D">
        <w:t>quarter one performance information and contract management controls)</w:t>
      </w:r>
      <w:r w:rsidRPr="00B60CDF">
        <w:t xml:space="preserve">, it was noted </w:t>
      </w:r>
      <w:r w:rsidR="0005745D">
        <w:t xml:space="preserve">that the majority of work focused on PMTE. The main areas of concern from last year’s external audit, with the exception of EPWP, </w:t>
      </w:r>
      <w:proofErr w:type="gramStart"/>
      <w:r w:rsidR="0005745D">
        <w:t>was not</w:t>
      </w:r>
      <w:r w:rsidR="0005745D" w:rsidRPr="0005745D">
        <w:t xml:space="preserve"> </w:t>
      </w:r>
      <w:r w:rsidR="0005745D">
        <w:lastRenderedPageBreak/>
        <w:t>scoped</w:t>
      </w:r>
      <w:proofErr w:type="gramEnd"/>
      <w:r w:rsidR="0005745D">
        <w:t xml:space="preserve"> in for internal audit for the year under review. The work of internal audit should place more focus on preventative control reviews, especially for DPWI, which has stagnated at unqualified audit outcome with findings on other areas for the previous five financial periods.</w:t>
      </w:r>
    </w:p>
    <w:p w14:paraId="4F47117F" w14:textId="7480E399" w:rsidR="00FC16A3" w:rsidRDefault="00AD38E4" w:rsidP="00223FB6">
      <w:pPr>
        <w:pStyle w:val="Numbernormal"/>
        <w:numPr>
          <w:ilvl w:val="0"/>
          <w:numId w:val="26"/>
        </w:numPr>
      </w:pPr>
      <w:r>
        <w:t>M</w:t>
      </w:r>
      <w:r w:rsidR="00D33C73" w:rsidRPr="00B60CDF">
        <w:t>any</w:t>
      </w:r>
      <w:r>
        <w:t xml:space="preserve"> of the</w:t>
      </w:r>
      <w:r w:rsidR="00B60CDF" w:rsidRPr="00B60CDF">
        <w:t xml:space="preserve"> findings raised </w:t>
      </w:r>
      <w:r>
        <w:t xml:space="preserve">on the work performed </w:t>
      </w:r>
      <w:r w:rsidR="00B60CDF" w:rsidRPr="00B60CDF">
        <w:t>related to limitation of scope</w:t>
      </w:r>
      <w:r>
        <w:t>, with management providing information to internal audit late, or not providing information at all</w:t>
      </w:r>
      <w:r w:rsidR="00B60CDF" w:rsidRPr="00B60CDF">
        <w:t>. In other instances, management responses to the issues raised were not adequate to resolve the matter</w:t>
      </w:r>
      <w:r>
        <w:t>s identified</w:t>
      </w:r>
      <w:r w:rsidR="00B60CDF" w:rsidRPr="00B60CDF">
        <w:t xml:space="preserve">. The internal audit unit will not be having the desired impact on control until </w:t>
      </w:r>
      <w:r w:rsidRPr="00B60CDF">
        <w:t>management prioritises their findings</w:t>
      </w:r>
      <w:r>
        <w:t>, and embraces the value of preventative controls</w:t>
      </w:r>
      <w:r w:rsidR="00B60CDF">
        <w:t>.</w:t>
      </w:r>
    </w:p>
    <w:p w14:paraId="74770C93" w14:textId="77777777" w:rsidR="00B60CDF" w:rsidRPr="0077659B" w:rsidRDefault="00B60CDF" w:rsidP="00223FB6">
      <w:pPr>
        <w:pStyle w:val="Numbernormal"/>
        <w:numPr>
          <w:ilvl w:val="0"/>
          <w:numId w:val="26"/>
        </w:numPr>
      </w:pPr>
      <w:r>
        <w:t xml:space="preserve">We also noted that the internal audit </w:t>
      </w:r>
      <w:proofErr w:type="gramStart"/>
      <w:r>
        <w:t>was not sufficiently integrated</w:t>
      </w:r>
      <w:proofErr w:type="gramEnd"/>
      <w:r>
        <w:t xml:space="preserve"> in the process of implementing the COVID response initiatives. The internal audit unit is not being used to its full potential, and should be considered first when assurance is required on a real time basis to reduce the reliance on investigations which are more cost prohibitive, and are slow to progress as indicated above.</w:t>
      </w:r>
    </w:p>
    <w:p w14:paraId="162A62A2" w14:textId="0FA865FD" w:rsidR="00FC16A3" w:rsidRPr="0077659B" w:rsidRDefault="00FC16A3" w:rsidP="000142F4">
      <w:pPr>
        <w:pStyle w:val="Heading5"/>
        <w:rPr>
          <w:rFonts w:eastAsia="MS Mincho"/>
        </w:rPr>
      </w:pPr>
      <w:r w:rsidRPr="0077659B">
        <w:rPr>
          <w:rFonts w:eastAsia="MS Mincho"/>
        </w:rPr>
        <w:t>Audit committee</w:t>
      </w:r>
    </w:p>
    <w:p w14:paraId="7F3AFC69" w14:textId="6AF4DF4E" w:rsidR="00AD38E4" w:rsidRPr="00AD38E4" w:rsidRDefault="00AD38E4" w:rsidP="00AD38E4">
      <w:pPr>
        <w:pStyle w:val="Numbernormal"/>
        <w:numPr>
          <w:ilvl w:val="0"/>
          <w:numId w:val="26"/>
        </w:numPr>
      </w:pPr>
      <w:r w:rsidRPr="00AD38E4">
        <w:t xml:space="preserve">New members </w:t>
      </w:r>
      <w:proofErr w:type="gramStart"/>
      <w:r w:rsidRPr="00AD38E4">
        <w:t>have been appointed</w:t>
      </w:r>
      <w:proofErr w:type="gramEnd"/>
      <w:r w:rsidRPr="00AD38E4">
        <w:t xml:space="preserve"> to the audit committee after the term of the previous members </w:t>
      </w:r>
      <w:r>
        <w:t>expired mid-way through the 2019</w:t>
      </w:r>
      <w:r w:rsidRPr="00AD38E4">
        <w:t>/</w:t>
      </w:r>
      <w:r>
        <w:t>20</w:t>
      </w:r>
      <w:r w:rsidRPr="00AD38E4">
        <w:t xml:space="preserve"> financial year.  Regardless, the audit committee has consistently reported concerns with the number of control issues raised by Internal Audit and the Auditor General.  </w:t>
      </w:r>
    </w:p>
    <w:p w14:paraId="14F23C23" w14:textId="77777777" w:rsidR="00AD38E4" w:rsidRPr="00AD38E4" w:rsidRDefault="00AD38E4" w:rsidP="00AD38E4">
      <w:pPr>
        <w:pStyle w:val="Numbernormal"/>
        <w:numPr>
          <w:ilvl w:val="0"/>
          <w:numId w:val="26"/>
        </w:numPr>
      </w:pPr>
      <w:r w:rsidRPr="00AD38E4">
        <w:t xml:space="preserve">The previous members concurred at the end of the previous financial year that there were inadequate control processes and procedures, by design and implementation, to ensure the accuracy and completeness of the financial statements and performance information.  </w:t>
      </w:r>
    </w:p>
    <w:p w14:paraId="2BF9C516" w14:textId="1DC4A44A" w:rsidR="00AD38E4" w:rsidRPr="00AD38E4" w:rsidRDefault="00AD38E4" w:rsidP="00AD38E4">
      <w:pPr>
        <w:pStyle w:val="Numbernormal"/>
        <w:numPr>
          <w:ilvl w:val="0"/>
          <w:numId w:val="26"/>
        </w:numPr>
      </w:pPr>
      <w:r w:rsidRPr="00AD38E4">
        <w:t xml:space="preserve">The audit committee is currently effectively involved from a governance perspective in the </w:t>
      </w:r>
      <w:r w:rsidR="00CE43FB">
        <w:t xml:space="preserve">oversight </w:t>
      </w:r>
      <w:r w:rsidRPr="00AD38E4">
        <w:t xml:space="preserve">of the </w:t>
      </w:r>
      <w:proofErr w:type="gramStart"/>
      <w:r w:rsidRPr="00AD38E4">
        <w:t>department,</w:t>
      </w:r>
      <w:proofErr w:type="gramEnd"/>
      <w:r w:rsidRPr="00AD38E4">
        <w:t xml:space="preserve"> </w:t>
      </w:r>
      <w:r w:rsidR="00CE43FB">
        <w:t>however improvements in outcomes can only follow from effective implementation of action plans by management</w:t>
      </w:r>
      <w:r w:rsidRPr="00AD38E4">
        <w:t>.</w:t>
      </w:r>
    </w:p>
    <w:p w14:paraId="46BD8FBC" w14:textId="37ECB9A6" w:rsidR="00FC16A3" w:rsidRPr="0077659B" w:rsidRDefault="00AD38E4" w:rsidP="00AD38E4">
      <w:pPr>
        <w:pStyle w:val="Numbernormal"/>
        <w:numPr>
          <w:ilvl w:val="0"/>
          <w:numId w:val="26"/>
        </w:numPr>
      </w:pPr>
      <w:r w:rsidRPr="00AD38E4">
        <w:t>The Chairperson of the Audit Committee should meet and give regular feedback to the Minister of Public Works</w:t>
      </w:r>
      <w:r w:rsidR="00CE43FB">
        <w:t xml:space="preserve"> and Infrastructure</w:t>
      </w:r>
      <w:proofErr w:type="gramStart"/>
      <w:r w:rsidR="00CE43FB">
        <w:t>.</w:t>
      </w:r>
      <w:r w:rsidR="00B60CDF">
        <w:t>.</w:t>
      </w:r>
      <w:proofErr w:type="gramEnd"/>
    </w:p>
    <w:p w14:paraId="714006EC" w14:textId="77777777" w:rsidR="00C22F2B" w:rsidRPr="0077659B" w:rsidRDefault="00C22F2B" w:rsidP="000142F4">
      <w:pPr>
        <w:pStyle w:val="Heading4"/>
      </w:pPr>
      <w:bookmarkStart w:id="113" w:name="NewSummary"/>
      <w:bookmarkStart w:id="114" w:name="_Toc447106603"/>
      <w:bookmarkEnd w:id="112"/>
      <w:bookmarkEnd w:id="113"/>
      <w:r w:rsidRPr="0077659B">
        <w:t>Summary</w:t>
      </w:r>
      <w:bookmarkEnd w:id="114"/>
    </w:p>
    <w:p w14:paraId="40566D97" w14:textId="6F4FCCA9" w:rsidR="00C22F2B" w:rsidRPr="0077659B" w:rsidRDefault="00C22F2B" w:rsidP="00223FB6">
      <w:pPr>
        <w:pStyle w:val="Numbernormal"/>
        <w:numPr>
          <w:ilvl w:val="0"/>
          <w:numId w:val="26"/>
        </w:numPr>
      </w:pPr>
      <w:r w:rsidRPr="0077659B">
        <w:t>The matters above, as they relate to the findings on the annual performance report and findings on compliance with legislation, will be summarised in the auditor’s report as follows:</w:t>
      </w:r>
    </w:p>
    <w:p w14:paraId="4EB71C63" w14:textId="77777777" w:rsidR="00214936" w:rsidRDefault="00AB6C4A" w:rsidP="00223FB6">
      <w:pPr>
        <w:pStyle w:val="Numbernormal"/>
        <w:numPr>
          <w:ilvl w:val="0"/>
          <w:numId w:val="26"/>
        </w:numPr>
      </w:pPr>
      <w:r>
        <w:t xml:space="preserve">The department was impacted by a number of </w:t>
      </w:r>
      <w:proofErr w:type="gramStart"/>
      <w:r>
        <w:t>investigations which</w:t>
      </w:r>
      <w:proofErr w:type="gramEnd"/>
      <w:r>
        <w:t xml:space="preserve"> implicated officials occupying </w:t>
      </w:r>
      <w:r w:rsidRPr="00FD2856">
        <w:t>senior management positions</w:t>
      </w:r>
      <w:r>
        <w:t xml:space="preserve">. In addition, there were vacancies at senior management level at a number of key programmes. </w:t>
      </w:r>
      <w:r w:rsidRPr="00AB6C4A">
        <w:t xml:space="preserve">This </w:t>
      </w:r>
      <w:r>
        <w:t xml:space="preserve">combination of </w:t>
      </w:r>
      <w:r w:rsidRPr="00AB6C4A">
        <w:t>instability in leadership and lack of effective leadership culture</w:t>
      </w:r>
      <w:r>
        <w:t xml:space="preserve"> contributed to irregular expenditure </w:t>
      </w:r>
      <w:proofErr w:type="gramStart"/>
      <w:r>
        <w:t>being incurred</w:t>
      </w:r>
      <w:proofErr w:type="gramEnd"/>
      <w:r>
        <w:t xml:space="preserve"> by the department.</w:t>
      </w:r>
    </w:p>
    <w:p w14:paraId="61C8D655" w14:textId="77777777" w:rsidR="00AB6C4A" w:rsidRPr="0077659B" w:rsidRDefault="00AB6C4A" w:rsidP="00223FB6">
      <w:pPr>
        <w:pStyle w:val="Numbernormal"/>
        <w:numPr>
          <w:ilvl w:val="0"/>
          <w:numId w:val="26"/>
        </w:numPr>
      </w:pPr>
      <w:r w:rsidRPr="00AB6C4A">
        <w:t>Inadequate monitoring of action plans to address the previous year’s findings resulted in similar findings on programme 3: expanded public works programme in the current year</w:t>
      </w:r>
      <w:r>
        <w:t xml:space="preserve">. </w:t>
      </w:r>
    </w:p>
    <w:p w14:paraId="70D368F2" w14:textId="636B543F" w:rsidR="00AD6C24" w:rsidRPr="0077659B" w:rsidRDefault="0036018B" w:rsidP="00BB6EEC">
      <w:pPr>
        <w:pStyle w:val="Heading3"/>
        <w:rPr>
          <w:color w:val="365F91" w:themeColor="accent1" w:themeShade="BF"/>
          <w:szCs w:val="26"/>
        </w:rPr>
      </w:pPr>
      <w:bookmarkStart w:id="115" w:name="_Toc51154076"/>
      <w:r>
        <w:rPr>
          <w:lang w:val="en-ZA"/>
        </w:rPr>
        <w:lastRenderedPageBreak/>
        <w:t>MATERIAL IRREGULARITIES</w:t>
      </w:r>
      <w:bookmarkStart w:id="116" w:name="OR1"/>
      <w:bookmarkStart w:id="117" w:name="_Toc447106611"/>
      <w:bookmarkEnd w:id="115"/>
      <w:bookmarkEnd w:id="116"/>
    </w:p>
    <w:p w14:paraId="796E0598" w14:textId="77777777" w:rsidR="0053300F" w:rsidRDefault="0053300F" w:rsidP="00223FB6">
      <w:pPr>
        <w:pStyle w:val="Numbernormal"/>
        <w:numPr>
          <w:ilvl w:val="0"/>
          <w:numId w:val="26"/>
        </w:numPr>
      </w:pPr>
      <w:r>
        <w:t>In accordance with the PAA and the material irregularity regulations, we have a responsibility to report on material irregulari</w:t>
      </w:r>
      <w:r w:rsidR="00C7396B">
        <w:t>ties identified during an audit.</w:t>
      </w:r>
    </w:p>
    <w:p w14:paraId="0CD997D3" w14:textId="77777777" w:rsidR="0053300F" w:rsidRDefault="0053300F" w:rsidP="00223FB6">
      <w:pPr>
        <w:pStyle w:val="Numbernormal"/>
        <w:numPr>
          <w:ilvl w:val="0"/>
          <w:numId w:val="26"/>
        </w:numPr>
      </w:pPr>
      <w:r>
        <w:t xml:space="preserve">We have notified the accounting officer of material irregularities identified during the audit. </w:t>
      </w:r>
    </w:p>
    <w:p w14:paraId="12A23A05" w14:textId="77777777" w:rsidR="00AD6C24" w:rsidRPr="0077659B" w:rsidRDefault="00AD6C24" w:rsidP="00223FB6">
      <w:pPr>
        <w:pStyle w:val="Numbernormal"/>
        <w:numPr>
          <w:ilvl w:val="0"/>
          <w:numId w:val="26"/>
        </w:numPr>
      </w:pPr>
      <w:r w:rsidRPr="0077659B">
        <w:t>The auditor’s report will include the following summarised information</w:t>
      </w:r>
      <w:r w:rsidRPr="00BB6EEC">
        <w:t>:</w:t>
      </w:r>
    </w:p>
    <w:p w14:paraId="7498866A" w14:textId="77777777" w:rsidR="00E838D8" w:rsidRPr="00460C64" w:rsidRDefault="00E838D8" w:rsidP="00460C64">
      <w:pPr>
        <w:pStyle w:val="Heading5"/>
        <w:rPr>
          <w:rFonts w:eastAsia="MS Mincho"/>
        </w:rPr>
      </w:pPr>
      <w:r w:rsidRPr="00460C64">
        <w:rPr>
          <w:rFonts w:eastAsia="MS Mincho"/>
        </w:rPr>
        <w:t xml:space="preserve">Price and quantity variances pertaining to the funeral related expenditure </w:t>
      </w:r>
    </w:p>
    <w:p w14:paraId="1A697DFB" w14:textId="23FBFD4D" w:rsidR="004A16A0" w:rsidRDefault="004A16A0" w:rsidP="00223FB6">
      <w:pPr>
        <w:pStyle w:val="Numbernormal"/>
        <w:numPr>
          <w:ilvl w:val="0"/>
          <w:numId w:val="26"/>
        </w:numPr>
      </w:pPr>
      <w:r w:rsidRPr="004A16A0">
        <w:t xml:space="preserve">The department entered into a contract with </w:t>
      </w:r>
      <w:r w:rsidR="00CE43FB">
        <w:t>a supplier</w:t>
      </w:r>
      <w:r w:rsidRPr="004A16A0">
        <w:t xml:space="preserve"> on 23 May 2017 to provide services related to state events</w:t>
      </w:r>
      <w:r w:rsidR="004B6A69">
        <w:t xml:space="preserve"> and state funerals</w:t>
      </w:r>
      <w:r w:rsidRPr="004A16A0">
        <w:t xml:space="preserve">. The contract period was for 24 months, and explicitly required that prices </w:t>
      </w:r>
      <w:proofErr w:type="gramStart"/>
      <w:r w:rsidRPr="004A16A0">
        <w:t>be fixed</w:t>
      </w:r>
      <w:proofErr w:type="gramEnd"/>
      <w:r w:rsidRPr="004A16A0">
        <w:t xml:space="preserve"> for this term</w:t>
      </w:r>
      <w:r>
        <w:t xml:space="preserve">. </w:t>
      </w:r>
      <w:r w:rsidR="004B6A69">
        <w:t>A</w:t>
      </w:r>
      <w:r w:rsidR="004B6A69" w:rsidRPr="004B6A69">
        <w:t xml:space="preserve">dequate and effective internal controls were not in place for approval and processing of payments to the </w:t>
      </w:r>
      <w:r w:rsidR="004B6A69">
        <w:t>supplier</w:t>
      </w:r>
      <w:r w:rsidR="004B6A69" w:rsidRPr="004B6A69">
        <w:t>, as required by treasury regulation 8.1.1</w:t>
      </w:r>
      <w:r w:rsidR="004B6A69">
        <w:t>,</w:t>
      </w:r>
      <w:r>
        <w:t xml:space="preserve"> </w:t>
      </w:r>
      <w:r w:rsidR="004B6A69">
        <w:t>and</w:t>
      </w:r>
      <w:r>
        <w:t xml:space="preserve"> irregular payments </w:t>
      </w:r>
      <w:r w:rsidR="004B6A69">
        <w:t xml:space="preserve">were </w:t>
      </w:r>
      <w:r>
        <w:t>made on the contract which</w:t>
      </w:r>
      <w:r w:rsidRPr="004A16A0">
        <w:rPr>
          <w:lang w:val="en-US"/>
        </w:rPr>
        <w:t xml:space="preserve"> </w:t>
      </w:r>
      <w:r w:rsidRPr="007C6046">
        <w:rPr>
          <w:lang w:val="en-US"/>
        </w:rPr>
        <w:t xml:space="preserve">resulted in a material financial loss of </w:t>
      </w:r>
      <w:r>
        <w:rPr>
          <w:lang w:val="en-US"/>
        </w:rPr>
        <w:t>R8 765</w:t>
      </w:r>
      <w:r w:rsidR="004B6A69">
        <w:rPr>
          <w:lang w:val="en-US"/>
        </w:rPr>
        <w:t> </w:t>
      </w:r>
      <w:r>
        <w:rPr>
          <w:lang w:val="en-US"/>
        </w:rPr>
        <w:t>161</w:t>
      </w:r>
      <w:r w:rsidR="004B6A69">
        <w:rPr>
          <w:lang w:val="en-US"/>
        </w:rPr>
        <w:t>,</w:t>
      </w:r>
      <w:r>
        <w:rPr>
          <w:lang w:val="en-US"/>
        </w:rPr>
        <w:t xml:space="preserve"> </w:t>
      </w:r>
      <w:r w:rsidR="004B6A69">
        <w:rPr>
          <w:lang w:val="en-US"/>
        </w:rPr>
        <w:t>as listed below</w:t>
      </w:r>
      <w:r>
        <w:t>:</w:t>
      </w:r>
    </w:p>
    <w:p w14:paraId="5C12C832" w14:textId="77777777" w:rsidR="004A16A0" w:rsidRDefault="004A16A0" w:rsidP="00223FB6">
      <w:pPr>
        <w:pStyle w:val="Numbernormal"/>
        <w:numPr>
          <w:ilvl w:val="1"/>
          <w:numId w:val="26"/>
        </w:numPr>
      </w:pPr>
      <w:r>
        <w:t xml:space="preserve">The prices that </w:t>
      </w:r>
      <w:proofErr w:type="gramStart"/>
      <w:r>
        <w:t>were charged</w:t>
      </w:r>
      <w:proofErr w:type="gramEnd"/>
      <w:r>
        <w:t xml:space="preserve"> on the invoice were different from the prices that were quoted on the pricing schedule that was submitted by the supplier during the tender process.</w:t>
      </w:r>
    </w:p>
    <w:p w14:paraId="579700FA" w14:textId="77777777" w:rsidR="004A16A0" w:rsidRDefault="004A16A0" w:rsidP="00223FB6">
      <w:pPr>
        <w:pStyle w:val="Numbernormal"/>
        <w:numPr>
          <w:ilvl w:val="1"/>
          <w:numId w:val="26"/>
        </w:numPr>
      </w:pPr>
      <w:r>
        <w:t xml:space="preserve">The prices that </w:t>
      </w:r>
      <w:proofErr w:type="gramStart"/>
      <w:r>
        <w:t>were charged</w:t>
      </w:r>
      <w:proofErr w:type="gramEnd"/>
      <w:r>
        <w:t xml:space="preserve"> on the invoice were different from the prices that were quoted by the supplier prior to the event. </w:t>
      </w:r>
    </w:p>
    <w:p w14:paraId="570D565A" w14:textId="2124A633" w:rsidR="004A16A0" w:rsidRPr="000913DD" w:rsidRDefault="004A16A0" w:rsidP="00223FB6">
      <w:pPr>
        <w:pStyle w:val="Numbernormal"/>
        <w:numPr>
          <w:ilvl w:val="0"/>
          <w:numId w:val="26"/>
        </w:numPr>
      </w:pPr>
      <w:r>
        <w:rPr>
          <w:lang w:val="en-US"/>
        </w:rPr>
        <w:t>A</w:t>
      </w:r>
      <w:r w:rsidRPr="0001516C">
        <w:rPr>
          <w:lang w:val="en-US"/>
        </w:rPr>
        <w:t xml:space="preserve"> </w:t>
      </w:r>
      <w:r>
        <w:rPr>
          <w:lang w:val="en-US"/>
        </w:rPr>
        <w:t xml:space="preserve">suspected irregularity was also identified which </w:t>
      </w:r>
      <w:r w:rsidRPr="004A16A0">
        <w:rPr>
          <w:lang w:val="en-US"/>
        </w:rPr>
        <w:t>is likely to result in a material financial loss for the department of R356</w:t>
      </w:r>
      <w:r>
        <w:rPr>
          <w:lang w:val="en-US"/>
        </w:rPr>
        <w:t> </w:t>
      </w:r>
      <w:r w:rsidRPr="004A16A0">
        <w:rPr>
          <w:lang w:val="en-US"/>
        </w:rPr>
        <w:t>213</w:t>
      </w:r>
      <w:r>
        <w:rPr>
          <w:lang w:val="en-US"/>
        </w:rPr>
        <w:t xml:space="preserve">. </w:t>
      </w:r>
      <w:r w:rsidRPr="005E50AC">
        <w:rPr>
          <w:lang w:val="en-US"/>
        </w:rPr>
        <w:t xml:space="preserve">Quantities on the invoice differed from the quantities agreed to on the quotation, with no evidence of additional items </w:t>
      </w:r>
      <w:proofErr w:type="gramStart"/>
      <w:r w:rsidRPr="005E50AC">
        <w:rPr>
          <w:lang w:val="en-US"/>
        </w:rPr>
        <w:t>being requested</w:t>
      </w:r>
      <w:proofErr w:type="gramEnd"/>
      <w:r w:rsidRPr="005E50AC">
        <w:rPr>
          <w:lang w:val="en-US"/>
        </w:rPr>
        <w:t xml:space="preserve"> by the department</w:t>
      </w:r>
      <w:r>
        <w:rPr>
          <w:lang w:val="en-US"/>
        </w:rPr>
        <w:t xml:space="preserve">. </w:t>
      </w:r>
    </w:p>
    <w:p w14:paraId="1608BAE9" w14:textId="07018D3E" w:rsidR="004B6A69" w:rsidRDefault="004B6A69" w:rsidP="00223FB6">
      <w:pPr>
        <w:pStyle w:val="Numbernormal"/>
        <w:numPr>
          <w:ilvl w:val="0"/>
          <w:numId w:val="26"/>
        </w:numPr>
      </w:pPr>
      <w:r w:rsidRPr="004B6A69">
        <w:t xml:space="preserve">An investigation into the matter by the departmental investigation </w:t>
      </w:r>
      <w:r w:rsidRPr="00E14F58">
        <w:t xml:space="preserve">unit </w:t>
      </w:r>
      <w:proofErr w:type="gramStart"/>
      <w:r>
        <w:t>was concluded</w:t>
      </w:r>
      <w:proofErr w:type="gramEnd"/>
      <w:r>
        <w:t xml:space="preserve"> during the 2019-20</w:t>
      </w:r>
      <w:r w:rsidRPr="004B6A69">
        <w:t xml:space="preserve"> financial year. The accounting officer is in the process to recover the financial loss from the contractor. The accounting officer also conducted a review of the control environment to prevent a re-occurrence of the material irregularity. I will follow up on the implementation of the actions during my next audit</w:t>
      </w:r>
    </w:p>
    <w:p w14:paraId="35B6AB3D" w14:textId="77777777" w:rsidR="004A16A0" w:rsidRPr="00460C64" w:rsidRDefault="004A16A0" w:rsidP="00460C64">
      <w:pPr>
        <w:pStyle w:val="Heading5"/>
        <w:rPr>
          <w:rFonts w:eastAsia="MS Mincho"/>
        </w:rPr>
      </w:pPr>
      <w:r w:rsidRPr="00460C64">
        <w:rPr>
          <w:rFonts w:eastAsia="MS Mincho"/>
        </w:rPr>
        <w:t xml:space="preserve">Expenditure on state events exceeded contract amounts </w:t>
      </w:r>
    </w:p>
    <w:p w14:paraId="3E9664D0" w14:textId="0C5CDD56" w:rsidR="004B6A69" w:rsidRDefault="004A16A0" w:rsidP="00223FB6">
      <w:pPr>
        <w:pStyle w:val="Numbernormal"/>
        <w:numPr>
          <w:ilvl w:val="0"/>
          <w:numId w:val="26"/>
        </w:numPr>
      </w:pPr>
      <w:r w:rsidRPr="004A16A0">
        <w:t xml:space="preserve">The department entered into a contract </w:t>
      </w:r>
      <w:r w:rsidR="004B6A69" w:rsidRPr="004A16A0">
        <w:t xml:space="preserve">with </w:t>
      </w:r>
      <w:r w:rsidR="004B6A69">
        <w:t xml:space="preserve">a </w:t>
      </w:r>
      <w:proofErr w:type="gramStart"/>
      <w:r w:rsidR="004B6A69">
        <w:t>supplier</w:t>
      </w:r>
      <w:r w:rsidR="004B6A69" w:rsidRPr="004A16A0">
        <w:t xml:space="preserve"> </w:t>
      </w:r>
      <w:r w:rsidRPr="004A16A0">
        <w:t xml:space="preserve"> in</w:t>
      </w:r>
      <w:proofErr w:type="gramEnd"/>
      <w:r w:rsidRPr="004A16A0">
        <w:t xml:space="preserve"> November 2016 to provide services related to state events. The contract period was for 24 months, and explicitly required that prices </w:t>
      </w:r>
      <w:proofErr w:type="gramStart"/>
      <w:r w:rsidRPr="004A16A0">
        <w:t>be fixed</w:t>
      </w:r>
      <w:proofErr w:type="gramEnd"/>
      <w:r w:rsidRPr="004A16A0">
        <w:t xml:space="preserve"> for this term</w:t>
      </w:r>
      <w:r>
        <w:t xml:space="preserve">. </w:t>
      </w:r>
      <w:r w:rsidR="00460C64">
        <w:t xml:space="preserve">The prices that </w:t>
      </w:r>
      <w:proofErr w:type="gramStart"/>
      <w:r w:rsidR="00460C64">
        <w:t>were charged</w:t>
      </w:r>
      <w:proofErr w:type="gramEnd"/>
      <w:r w:rsidR="00460C64">
        <w:t xml:space="preserve"> on the invoice were different from the prices that were quoted on the pricing schedule that was submitted by the supplier during the tender process,</w:t>
      </w:r>
      <w:r w:rsidR="004B6A69" w:rsidRPr="00E14F58">
        <w:t xml:space="preserve"> as effective internal controls were not in place for the approval and processing of payments, as required by treasury regulation 8.1.1</w:t>
      </w:r>
      <w:r w:rsidR="004B6A69">
        <w:t xml:space="preserve">. This </w:t>
      </w:r>
      <w:r w:rsidRPr="007C6046">
        <w:rPr>
          <w:lang w:val="en-US"/>
        </w:rPr>
        <w:t xml:space="preserve">resulted in a material financial loss of </w:t>
      </w:r>
      <w:r>
        <w:rPr>
          <w:lang w:val="en-US"/>
        </w:rPr>
        <w:t>R</w:t>
      </w:r>
      <w:r>
        <w:t>808 720</w:t>
      </w:r>
      <w:r>
        <w:rPr>
          <w:lang w:val="en-US"/>
        </w:rPr>
        <w:t xml:space="preserve"> by 31 March 2020 for the</w:t>
      </w:r>
      <w:r w:rsidR="00460C64">
        <w:rPr>
          <w:lang w:val="en-US"/>
        </w:rPr>
        <w:t xml:space="preserve"> department</w:t>
      </w:r>
      <w:r>
        <w:t xml:space="preserve">. </w:t>
      </w:r>
    </w:p>
    <w:p w14:paraId="3BD41642" w14:textId="32679E6A" w:rsidR="00460C64" w:rsidRDefault="004B6A69" w:rsidP="00223FB6">
      <w:pPr>
        <w:pStyle w:val="Numbernormal"/>
        <w:numPr>
          <w:ilvl w:val="0"/>
          <w:numId w:val="26"/>
        </w:numPr>
      </w:pPr>
      <w:r w:rsidRPr="004B6A69">
        <w:t xml:space="preserve"> </w:t>
      </w:r>
      <w:r w:rsidRPr="00E14F58">
        <w:t xml:space="preserve">The accounting officer requested the </w:t>
      </w:r>
      <w:r w:rsidRPr="004B6A69">
        <w:t xml:space="preserve">departmental investigation </w:t>
      </w:r>
      <w:r w:rsidRPr="00E14F58">
        <w:t>unit to institute an investigation into</w:t>
      </w:r>
      <w:r>
        <w:t xml:space="preserve"> the material irregularity on </w:t>
      </w:r>
      <w:r w:rsidRPr="000913DD">
        <w:rPr>
          <w:highlight w:val="yellow"/>
        </w:rPr>
        <w:t>xx September 2020</w:t>
      </w:r>
      <w:r w:rsidRPr="00E14F58">
        <w:t>. The accounting officer also conducted a review of the control environment to prevent a re-occurrence of the material irregularity. I will follow up on the investigation and the implementation of the actions during my next audit.</w:t>
      </w:r>
    </w:p>
    <w:p w14:paraId="5266A64F" w14:textId="77777777" w:rsidR="00AD6C24" w:rsidRPr="0077659B" w:rsidRDefault="00AD6C24" w:rsidP="00BB6EEC">
      <w:pPr>
        <w:pStyle w:val="Numbernormal"/>
        <w:ind w:left="360"/>
      </w:pPr>
    </w:p>
    <w:p w14:paraId="470717B7" w14:textId="61A3D6BA" w:rsidR="004523B1" w:rsidRPr="00BB6EEC" w:rsidRDefault="004523B1" w:rsidP="00A3735E">
      <w:pPr>
        <w:pStyle w:val="Heading3"/>
        <w:rPr>
          <w:lang w:val="en-ZA"/>
        </w:rPr>
      </w:pPr>
      <w:bookmarkStart w:id="118" w:name="_Toc51154077"/>
      <w:r w:rsidRPr="00BB6EEC">
        <w:rPr>
          <w:lang w:val="en-ZA"/>
        </w:rPr>
        <w:t>OTHER REPORTS</w:t>
      </w:r>
      <w:bookmarkEnd w:id="117"/>
      <w:bookmarkEnd w:id="118"/>
    </w:p>
    <w:p w14:paraId="76259A59" w14:textId="77777777" w:rsidR="004523B1" w:rsidRDefault="00307DE0" w:rsidP="00223FB6">
      <w:pPr>
        <w:pStyle w:val="Numbernormal"/>
        <w:numPr>
          <w:ilvl w:val="0"/>
          <w:numId w:val="26"/>
        </w:numPr>
      </w:pPr>
      <w:r w:rsidRPr="0077659B">
        <w:t>We</w:t>
      </w:r>
      <w:r w:rsidR="004523B1" w:rsidRPr="0077659B">
        <w:t xml:space="preserve"> draw attention to the following engagements conducted by various parties that have or could potentially have an impact on the </w:t>
      </w:r>
      <w:r w:rsidR="00460C64">
        <w:t>department</w:t>
      </w:r>
      <w:r w:rsidR="004523B1" w:rsidRPr="0077659B">
        <w:t xml:space="preserve">’s financial statements, reported performance information and compliance with applicable legislation and other related matters. The reports noted do not form part of my opinion on the financial statements or my findings on the reported performance information or compliance with legislation. </w:t>
      </w:r>
      <w:r w:rsidR="00775734" w:rsidRPr="0077659B">
        <w:t>The summarised other reports will be included in the auditor’s report as follows:</w:t>
      </w:r>
    </w:p>
    <w:p w14:paraId="1B9F447E" w14:textId="77777777" w:rsidR="00460C64" w:rsidRPr="00460C64" w:rsidRDefault="00460C64" w:rsidP="00460C64">
      <w:pPr>
        <w:pStyle w:val="Heading5"/>
        <w:rPr>
          <w:rFonts w:eastAsia="MS Mincho"/>
        </w:rPr>
      </w:pPr>
      <w:r>
        <w:rPr>
          <w:rFonts w:eastAsia="MS Mincho"/>
        </w:rPr>
        <w:t>Investigations</w:t>
      </w:r>
      <w:r w:rsidRPr="00460C64">
        <w:rPr>
          <w:rFonts w:eastAsia="MS Mincho"/>
        </w:rPr>
        <w:t xml:space="preserve"> </w:t>
      </w:r>
    </w:p>
    <w:p w14:paraId="48134880" w14:textId="77777777" w:rsidR="00460C64" w:rsidRDefault="00460C64" w:rsidP="00223FB6">
      <w:pPr>
        <w:pStyle w:val="Numbernormal"/>
        <w:numPr>
          <w:ilvl w:val="0"/>
          <w:numId w:val="26"/>
        </w:numPr>
      </w:pPr>
      <w:r>
        <w:t>The Special Investigation Unit has been authorised to investigate the affairs of the Department of Public Works as follows:</w:t>
      </w:r>
    </w:p>
    <w:p w14:paraId="26D12F38" w14:textId="77777777" w:rsidR="00460C64" w:rsidRDefault="00460C64" w:rsidP="00223FB6">
      <w:pPr>
        <w:pStyle w:val="Numbernormal"/>
        <w:numPr>
          <w:ilvl w:val="1"/>
          <w:numId w:val="26"/>
        </w:numPr>
      </w:pPr>
      <w:r>
        <w:t xml:space="preserve">An investigation into supply chain management irregularities within inter alia the Prestige branch at the department, which covered the period 2003-04 to 2010-11. The report was finalised in 2018-19. The investigation </w:t>
      </w:r>
      <w:proofErr w:type="gramStart"/>
      <w:r>
        <w:t>was then extended to cover the period 2010-11 to 2015-16, and further extended to cover the period 2015-16 to 2019-20</w:t>
      </w:r>
      <w:proofErr w:type="gramEnd"/>
      <w:r>
        <w:t>. These investigations were still in progress at the date of this auditor’s report.</w:t>
      </w:r>
    </w:p>
    <w:p w14:paraId="420D2D38" w14:textId="5158A412" w:rsidR="000142F4" w:rsidRPr="0077659B" w:rsidRDefault="000142F4" w:rsidP="000142F4">
      <w:pPr>
        <w:pStyle w:val="Heading2"/>
      </w:pPr>
      <w:bookmarkStart w:id="119" w:name="_Toc51154078"/>
      <w:r w:rsidRPr="0077659B">
        <w:t>SECTION 3: Assurance providers and status of implementation of commitments and recommendations</w:t>
      </w:r>
      <w:bookmarkEnd w:id="119"/>
    </w:p>
    <w:p w14:paraId="0E8C87D3" w14:textId="77777777" w:rsidR="00C47242" w:rsidRPr="00BB6EEC" w:rsidRDefault="006C0DAE" w:rsidP="00A3735E">
      <w:pPr>
        <w:pStyle w:val="Heading3"/>
        <w:rPr>
          <w:lang w:val="en-ZA"/>
        </w:rPr>
      </w:pPr>
      <w:bookmarkStart w:id="120" w:name="NewPartF"/>
      <w:bookmarkStart w:id="121" w:name="E2_6"/>
      <w:bookmarkStart w:id="122" w:name="_Toc51154079"/>
      <w:bookmarkEnd w:id="120"/>
      <w:bookmarkEnd w:id="121"/>
      <w:r w:rsidRPr="00BB6EEC">
        <w:rPr>
          <w:lang w:val="en-ZA"/>
        </w:rPr>
        <w:t>ASSESSMENT OF ASSURANCE PROVIDERS</w:t>
      </w:r>
      <w:bookmarkEnd w:id="122"/>
    </w:p>
    <w:p w14:paraId="40437242" w14:textId="77777777" w:rsidR="00C22F2B" w:rsidRPr="0077659B" w:rsidRDefault="00C22F2B" w:rsidP="00223FB6">
      <w:pPr>
        <w:pStyle w:val="Numbernormal"/>
        <w:numPr>
          <w:ilvl w:val="0"/>
          <w:numId w:val="26"/>
        </w:numPr>
      </w:pPr>
      <w:r w:rsidRPr="0077659B">
        <w:t xml:space="preserve">The annual report </w:t>
      </w:r>
      <w:proofErr w:type="gramStart"/>
      <w:r w:rsidRPr="0077659B">
        <w:t>is used</w:t>
      </w:r>
      <w:proofErr w:type="gramEnd"/>
      <w:r w:rsidRPr="0077659B">
        <w:t xml:space="preserve"> to report on the financial position of auditees, their performance against predetermined objectives</w:t>
      </w:r>
      <w:r w:rsidR="00C478A6">
        <w:t xml:space="preserve"> </w:t>
      </w:r>
      <w:r w:rsidRPr="0077659B">
        <w:t>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w:t>
      </w:r>
      <w:r w:rsidR="006C52DC" w:rsidRPr="0077659B">
        <w:t>,</w:t>
      </w:r>
      <w:r w:rsidRPr="0077659B">
        <w:t xml:space="preserve"> as well as on the auditee’s compliance with legislation. </w:t>
      </w:r>
    </w:p>
    <w:p w14:paraId="76832830" w14:textId="77777777" w:rsidR="00C22F2B" w:rsidRPr="0077659B" w:rsidRDefault="00C22F2B" w:rsidP="00223FB6">
      <w:pPr>
        <w:pStyle w:val="Numbernormal"/>
        <w:numPr>
          <w:ilvl w:val="0"/>
          <w:numId w:val="26"/>
        </w:numPr>
      </w:pPr>
      <w:r w:rsidRPr="0077659B">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w:t>
      </w:r>
      <w:proofErr w:type="gramStart"/>
      <w:r w:rsidRPr="0077659B">
        <w:t>are implemented</w:t>
      </w:r>
      <w:proofErr w:type="gramEnd"/>
      <w:r w:rsidRPr="0077659B">
        <w:t xml:space="preserve">. </w:t>
      </w:r>
    </w:p>
    <w:p w14:paraId="20A9ADF4" w14:textId="77777777" w:rsidR="00381C53" w:rsidRPr="0077659B" w:rsidRDefault="00C22F2B" w:rsidP="00223FB6">
      <w:pPr>
        <w:pStyle w:val="Numbernormal"/>
        <w:numPr>
          <w:ilvl w:val="0"/>
          <w:numId w:val="26"/>
        </w:numPr>
      </w:pPr>
      <w:r w:rsidRPr="0077659B">
        <w:t>We assess the level of assurance provided by these assurance providers based on the status of internal controls (as reported in section</w:t>
      </w:r>
      <w:r w:rsidR="00F52458" w:rsidRPr="0077659B">
        <w:t xml:space="preserve"> 2.6</w:t>
      </w:r>
      <w:r w:rsidRPr="0077659B">
        <w:t>) and the impact of the different role players on these controls. We provide our assessment for this audit cycle below.</w:t>
      </w:r>
      <w:bookmarkStart w:id="123" w:name="_Toc447106605"/>
    </w:p>
    <w:p w14:paraId="28832E80" w14:textId="6BF9469B" w:rsidR="00722F26" w:rsidRPr="0077659B" w:rsidRDefault="00722F26" w:rsidP="000142F4">
      <w:pPr>
        <w:pStyle w:val="Heading5"/>
        <w:rPr>
          <w:rFonts w:eastAsia="Calibri"/>
        </w:rPr>
      </w:pPr>
      <w:r w:rsidRPr="0077659B">
        <w:t>Senior management</w:t>
      </w:r>
      <w:bookmarkEnd w:id="123"/>
      <w:r w:rsidR="00FE6B42" w:rsidRPr="0077659B">
        <w:t xml:space="preserve">: </w:t>
      </w:r>
      <w:r w:rsidR="00381C53" w:rsidRPr="0077659B">
        <w:t>p</w:t>
      </w:r>
      <w:r w:rsidRPr="0077659B">
        <w:t xml:space="preserve">rovides </w:t>
      </w:r>
      <w:r w:rsidR="001E570A" w:rsidRPr="0077659B">
        <w:rPr>
          <w:color w:val="C0504D"/>
        </w:rPr>
        <w:t>limited assurance</w:t>
      </w:r>
      <w:r w:rsidR="001E570A" w:rsidRPr="0077659B" w:rsidDel="001E570A">
        <w:rPr>
          <w:color w:val="FFC000"/>
        </w:rPr>
        <w:t xml:space="preserve"> </w:t>
      </w:r>
    </w:p>
    <w:p w14:paraId="4CD22510" w14:textId="40ECEDE3" w:rsidR="001E570A" w:rsidRDefault="001E570A" w:rsidP="00DB3040">
      <w:pPr>
        <w:pStyle w:val="Numbernormal"/>
        <w:numPr>
          <w:ilvl w:val="0"/>
          <w:numId w:val="8"/>
        </w:numPr>
        <w:spacing w:before="0" w:after="240"/>
        <w:ind w:left="851" w:hanging="284"/>
        <w:jc w:val="both"/>
      </w:pPr>
      <w:r>
        <w:t xml:space="preserve">Some members of senior management were found to have been responsible for the department incurring irregular expenditure, as well as financial losses, during the financial </w:t>
      </w:r>
      <w:proofErr w:type="gramStart"/>
      <w:r>
        <w:t>year which</w:t>
      </w:r>
      <w:proofErr w:type="gramEnd"/>
      <w:r>
        <w:t xml:space="preserve"> significantly limited the level of assurance that may be obtained. In addition, the </w:t>
      </w:r>
      <w:r>
        <w:lastRenderedPageBreak/>
        <w:t xml:space="preserve">Public Service Commission found a number of senior management officials </w:t>
      </w:r>
      <w:proofErr w:type="gramStart"/>
      <w:r>
        <w:t>were appointed</w:t>
      </w:r>
      <w:proofErr w:type="gramEnd"/>
      <w:r>
        <w:t xml:space="preserve"> irregularly, with some not having the requisite qualifications for their positions.</w:t>
      </w:r>
    </w:p>
    <w:p w14:paraId="4B9BBB91" w14:textId="551686DE" w:rsidR="00DB3040" w:rsidRDefault="00DB3040" w:rsidP="00DB3040">
      <w:pPr>
        <w:pStyle w:val="Numbernormal"/>
        <w:numPr>
          <w:ilvl w:val="0"/>
          <w:numId w:val="8"/>
        </w:numPr>
        <w:spacing w:before="0" w:after="240"/>
        <w:ind w:left="851" w:hanging="284"/>
        <w:jc w:val="both"/>
      </w:pPr>
      <w:r w:rsidRPr="00E75383">
        <w:t>Senior management</w:t>
      </w:r>
      <w:r>
        <w:t xml:space="preserve"> have </w:t>
      </w:r>
      <w:r w:rsidRPr="00DC108A">
        <w:t>put initiatives in place to provide assurance</w:t>
      </w:r>
      <w:r>
        <w:t>, such as detailed audit action plans. They</w:t>
      </w:r>
      <w:r w:rsidRPr="00E75383">
        <w:t xml:space="preserve">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w:t>
      </w:r>
    </w:p>
    <w:p w14:paraId="30778610" w14:textId="77777777" w:rsidR="00722F26" w:rsidRPr="0077659B" w:rsidRDefault="00DB3040" w:rsidP="00DB3040">
      <w:pPr>
        <w:pStyle w:val="Bulletedlist"/>
        <w:ind w:left="851" w:hanging="284"/>
      </w:pPr>
      <w:r>
        <w:t>Senior m</w:t>
      </w:r>
      <w:r w:rsidRPr="00B836F9">
        <w:t>anagement should monitor contracts on a regular basis and ensure that m</w:t>
      </w:r>
      <w:r w:rsidRPr="00E5038F">
        <w:t xml:space="preserve">easures and methods applied in monitoring </w:t>
      </w:r>
      <w:r>
        <w:t xml:space="preserve">these </w:t>
      </w:r>
      <w:r w:rsidRPr="00E5038F">
        <w:t xml:space="preserve">contracts </w:t>
      </w:r>
      <w:r>
        <w:t xml:space="preserve">are </w:t>
      </w:r>
      <w:r w:rsidRPr="00E5038F">
        <w:t xml:space="preserve">sufficient </w:t>
      </w:r>
      <w:r>
        <w:t>and</w:t>
      </w:r>
      <w:r w:rsidRPr="00E5038F">
        <w:t xml:space="preserve"> effective</w:t>
      </w:r>
      <w:r>
        <w:t xml:space="preserve"> in order to prevent irregular expenditure</w:t>
      </w:r>
      <w:r w:rsidR="00722F26" w:rsidRPr="0077659B">
        <w:t xml:space="preserve"> </w:t>
      </w:r>
    </w:p>
    <w:p w14:paraId="745EEC3A" w14:textId="77777777" w:rsidR="00722F26" w:rsidRPr="0077659B" w:rsidRDefault="00722F26" w:rsidP="000142F4">
      <w:pPr>
        <w:pStyle w:val="Heading5"/>
      </w:pPr>
      <w:bookmarkStart w:id="124" w:name="_Toc447106606"/>
      <w:r w:rsidRPr="0077659B">
        <w:t>Accounting officer</w:t>
      </w:r>
      <w:bookmarkEnd w:id="124"/>
      <w:r w:rsidR="00FE6B42" w:rsidRPr="0077659B">
        <w:t xml:space="preserve"> </w:t>
      </w:r>
      <w:r w:rsidR="00381C53" w:rsidRPr="0077659B">
        <w:t>p</w:t>
      </w:r>
      <w:r w:rsidRPr="0077659B">
        <w:t xml:space="preserve">rovides </w:t>
      </w:r>
      <w:r w:rsidR="00C478A6" w:rsidRPr="0077659B">
        <w:rPr>
          <w:color w:val="C0504D"/>
        </w:rPr>
        <w:t>limited assurance</w:t>
      </w:r>
    </w:p>
    <w:p w14:paraId="789953CB" w14:textId="77777777" w:rsidR="00722F26" w:rsidRPr="0077659B" w:rsidRDefault="00DB3040" w:rsidP="00C638D5">
      <w:pPr>
        <w:pStyle w:val="Bulletedlist"/>
        <w:ind w:left="851" w:hanging="284"/>
      </w:pPr>
      <w:r>
        <w:t xml:space="preserve">The accounting officer </w:t>
      </w:r>
      <w:proofErr w:type="gramStart"/>
      <w:r>
        <w:t>was placed</w:t>
      </w:r>
      <w:proofErr w:type="gramEnd"/>
      <w:r>
        <w:t xml:space="preserve"> on suspension pending the outcome of a disciplinary process due to findings made </w:t>
      </w:r>
      <w:r w:rsidR="00433D02">
        <w:t xml:space="preserve">against him in the investigations conducted by SIU, Public Service Commission as well as the department’s internal investigations into state funerals. </w:t>
      </w:r>
    </w:p>
    <w:p w14:paraId="2D309426" w14:textId="77777777" w:rsidR="00722F26" w:rsidRPr="0077659B" w:rsidRDefault="00722F26" w:rsidP="000142F4">
      <w:pPr>
        <w:pStyle w:val="Heading5"/>
      </w:pPr>
      <w:r w:rsidRPr="0077659B">
        <w:t>Executive authority</w:t>
      </w:r>
      <w:r w:rsidR="00FE6B42" w:rsidRPr="0077659B">
        <w:t xml:space="preserve"> </w:t>
      </w:r>
      <w:r w:rsidR="000142F4" w:rsidRPr="0077659B">
        <w:t>p</w:t>
      </w:r>
      <w:r w:rsidRPr="0077659B">
        <w:t xml:space="preserve">rovides </w:t>
      </w:r>
      <w:r w:rsidR="00433D02" w:rsidRPr="0077659B">
        <w:rPr>
          <w:color w:val="FFC000"/>
        </w:rPr>
        <w:t>some assurance</w:t>
      </w:r>
    </w:p>
    <w:p w14:paraId="3BB043F5" w14:textId="2C642D6D" w:rsidR="00722F26" w:rsidRPr="0077659B" w:rsidRDefault="00433D02" w:rsidP="00C638D5">
      <w:pPr>
        <w:pStyle w:val="Bulletedlist"/>
        <w:ind w:left="851" w:hanging="284"/>
      </w:pPr>
      <w:r>
        <w:t xml:space="preserve">The executive authority has been receptive to recommendations from the auditors, and it </w:t>
      </w:r>
      <w:proofErr w:type="gramStart"/>
      <w:r>
        <w:t>was noted</w:t>
      </w:r>
      <w:proofErr w:type="gramEnd"/>
      <w:r>
        <w:t xml:space="preserve"> that she had requested investigations into certain irregularities identified at the department during the year under review</w:t>
      </w:r>
      <w:r w:rsidR="00C00714">
        <w:t>.</w:t>
      </w:r>
      <w:r w:rsidR="00C00714" w:rsidRPr="00C00714">
        <w:t xml:space="preserve"> </w:t>
      </w:r>
      <w:bookmarkStart w:id="125" w:name="_GoBack"/>
      <w:bookmarkEnd w:id="125"/>
      <w:r w:rsidR="00C00714">
        <w:t xml:space="preserve">It was however also noted that concerns were raised by </w:t>
      </w:r>
      <w:proofErr w:type="spellStart"/>
      <w:r w:rsidR="00C00714">
        <w:t>SCoPA</w:t>
      </w:r>
      <w:proofErr w:type="spellEnd"/>
      <w:r w:rsidR="00C00714">
        <w:t xml:space="preserve"> over the Minister’s role in implementing disciplinary action timeously when recommended by the outcomes of investigations conducted</w:t>
      </w:r>
      <w:r>
        <w:t>.</w:t>
      </w:r>
    </w:p>
    <w:p w14:paraId="742BD2C9" w14:textId="3E4A9990" w:rsidR="00722F26" w:rsidRPr="0077659B" w:rsidRDefault="00722F26" w:rsidP="000142F4">
      <w:pPr>
        <w:pStyle w:val="Heading5"/>
      </w:pPr>
      <w:bookmarkStart w:id="126" w:name="_Toc447106608"/>
      <w:r w:rsidRPr="0077659B">
        <w:t>Internal audit</w:t>
      </w:r>
      <w:bookmarkEnd w:id="126"/>
      <w:r w:rsidR="00FE6B42" w:rsidRPr="0077659B">
        <w:t xml:space="preserve"> provides</w:t>
      </w:r>
      <w:r w:rsidR="00CA3037">
        <w:rPr>
          <w:color w:val="00B050"/>
        </w:rPr>
        <w:t xml:space="preserve"> </w:t>
      </w:r>
      <w:r w:rsidR="001E570A" w:rsidRPr="0077659B">
        <w:rPr>
          <w:color w:val="FFC000"/>
        </w:rPr>
        <w:t>some assurance</w:t>
      </w:r>
      <w:r w:rsidR="001E570A" w:rsidRPr="0077659B" w:rsidDel="001E570A">
        <w:rPr>
          <w:color w:val="00B050"/>
        </w:rPr>
        <w:t xml:space="preserve"> </w:t>
      </w:r>
    </w:p>
    <w:p w14:paraId="50425F7B" w14:textId="77777777" w:rsidR="00722F26" w:rsidRPr="0077659B" w:rsidRDefault="00722F26" w:rsidP="00C638D5">
      <w:pPr>
        <w:pStyle w:val="Bulletedlist"/>
        <w:ind w:left="851" w:hanging="284"/>
      </w:pPr>
      <w:r w:rsidRPr="0077659B">
        <w:t xml:space="preserve">Legislation in South Africa requires the establishment, roles and responsibilities of internal audit units. Internal audit units form part of the internal control and governance structures of the </w:t>
      </w:r>
      <w:r w:rsidR="00CE1E95">
        <w:t>department</w:t>
      </w:r>
      <w:r w:rsidRPr="0077659B">
        <w:t xml:space="preserve"> and play an important role in its monitoring activities. Internal audit provides an independent assessment of the </w:t>
      </w:r>
      <w:r w:rsidR="00CE1E95">
        <w:t>department</w:t>
      </w:r>
      <w:r w:rsidR="006B1D3E" w:rsidRPr="0077659B">
        <w:t>’s</w:t>
      </w:r>
      <w:r w:rsidRPr="0077659B">
        <w:t xml:space="preserve"> governance, risk management and internal control processes.</w:t>
      </w:r>
    </w:p>
    <w:p w14:paraId="1D55D245" w14:textId="77777777" w:rsidR="00722F26" w:rsidRPr="0077659B" w:rsidRDefault="00722F26" w:rsidP="00C638D5">
      <w:pPr>
        <w:pStyle w:val="Bulletedlist"/>
        <w:ind w:left="851" w:hanging="284"/>
      </w:pPr>
      <w:r w:rsidRPr="0077659B">
        <w:t xml:space="preserve">The internal audit unit of </w:t>
      </w:r>
      <w:r w:rsidR="006B1D3E" w:rsidRPr="0077659B">
        <w:t xml:space="preserve">the </w:t>
      </w:r>
      <w:r w:rsidR="00CE1E95">
        <w:t>department</w:t>
      </w:r>
      <w:r w:rsidRPr="0077659B">
        <w:t xml:space="preserve"> must prepare a risk-based audit plan and internal audit programme for each financial year. It must advise the </w:t>
      </w:r>
      <w:r w:rsidR="00881F76">
        <w:t>accounting officer</w:t>
      </w:r>
      <w:r w:rsidRPr="0077659B">
        <w:t xml:space="preserve"> and report to the audit committee on </w:t>
      </w:r>
      <w:r w:rsidR="000262C0" w:rsidRPr="0077659B">
        <w:t xml:space="preserve">the implementation of </w:t>
      </w:r>
      <w:r w:rsidRPr="0077659B">
        <w:t>the internal audit plan and matters relating to internal audit</w:t>
      </w:r>
      <w:r w:rsidR="000262C0" w:rsidRPr="0077659B">
        <w:t>,</w:t>
      </w:r>
      <w:r w:rsidRPr="0077659B">
        <w:t xml:space="preserve"> internal controls</w:t>
      </w:r>
      <w:r w:rsidR="000262C0" w:rsidRPr="0077659B">
        <w:t>,</w:t>
      </w:r>
      <w:r w:rsidRPr="0077659B">
        <w:t xml:space="preserve"> accounting procedures and practices</w:t>
      </w:r>
      <w:r w:rsidR="000262C0" w:rsidRPr="0077659B">
        <w:t>,</w:t>
      </w:r>
      <w:r w:rsidRPr="0077659B">
        <w:t xml:space="preserve"> risk and risk management</w:t>
      </w:r>
      <w:r w:rsidR="000262C0" w:rsidRPr="0077659B">
        <w:t>,</w:t>
      </w:r>
      <w:r w:rsidRPr="0077659B">
        <w:t xml:space="preserve"> performance management</w:t>
      </w:r>
      <w:r w:rsidR="000262C0" w:rsidRPr="0077659B">
        <w:t>,</w:t>
      </w:r>
      <w:r w:rsidRPr="0077659B">
        <w:t xml:space="preserve"> loss con</w:t>
      </w:r>
      <w:r w:rsidR="00D505CC" w:rsidRPr="0077659B">
        <w:t>trol and compliance with the P</w:t>
      </w:r>
      <w:r w:rsidRPr="0077659B">
        <w:t xml:space="preserve">FMA. The internal audit unit must also perform such other duties as may be assigned by the </w:t>
      </w:r>
      <w:r w:rsidR="00CA3037">
        <w:t>accounting officer</w:t>
      </w:r>
      <w:r w:rsidRPr="0077659B">
        <w:t>.</w:t>
      </w:r>
    </w:p>
    <w:p w14:paraId="007059B7" w14:textId="77777777" w:rsidR="00722F26" w:rsidRPr="0077659B" w:rsidRDefault="00CA3037" w:rsidP="00C638D5">
      <w:pPr>
        <w:pStyle w:val="Bulletedlist"/>
        <w:ind w:left="851" w:hanging="284"/>
      </w:pPr>
      <w:r>
        <w:t xml:space="preserve">While we note that the quality and scope of the internal audits performed were of the required standard, the department is yet </w:t>
      </w:r>
      <w:proofErr w:type="gramStart"/>
      <w:r>
        <w:t>to fully realise</w:t>
      </w:r>
      <w:proofErr w:type="gramEnd"/>
      <w:r>
        <w:t xml:space="preserve"> the benefits of this work, because tangible improvements will only be realised once management effectively and timeously implements the recommendations from the outcomes of these audits.</w:t>
      </w:r>
    </w:p>
    <w:p w14:paraId="712E813E" w14:textId="77777777" w:rsidR="00722F26" w:rsidRPr="0077659B" w:rsidRDefault="00722F26" w:rsidP="000142F4">
      <w:pPr>
        <w:pStyle w:val="Heading5"/>
      </w:pPr>
      <w:bookmarkStart w:id="127" w:name="_Toc447106609"/>
      <w:r w:rsidRPr="0077659B">
        <w:lastRenderedPageBreak/>
        <w:t>Audit committee</w:t>
      </w:r>
      <w:bookmarkEnd w:id="127"/>
      <w:r w:rsidR="00FE6B42" w:rsidRPr="0077659B">
        <w:t>: pr</w:t>
      </w:r>
      <w:r w:rsidRPr="0077659B">
        <w:t xml:space="preserve">ovides </w:t>
      </w:r>
      <w:r w:rsidR="00CA3037" w:rsidRPr="00602E29">
        <w:rPr>
          <w:rFonts w:cs="Times New Roman"/>
          <w:color w:val="00B050"/>
          <w:szCs w:val="20"/>
        </w:rPr>
        <w:t>assurance</w:t>
      </w:r>
    </w:p>
    <w:p w14:paraId="5801F9B9" w14:textId="77777777" w:rsidR="00722F26" w:rsidRPr="0077659B" w:rsidRDefault="00CA3037" w:rsidP="00C638D5">
      <w:pPr>
        <w:pStyle w:val="Bulletedlist"/>
        <w:ind w:left="851" w:hanging="284"/>
      </w:pPr>
      <w:r w:rsidRPr="002B6AFC">
        <w:t>The audit committee met regularly throughout the year. The committee reviewed and approved the annual financial statements and annual report before submission. The audit committee also follows up with management on the implementation of internal and external audit recommendations</w:t>
      </w:r>
      <w:r w:rsidRPr="00C516E8">
        <w:t>.</w:t>
      </w:r>
      <w:r>
        <w:t xml:space="preserve"> The impact of the interventions put in place by the audit committee </w:t>
      </w:r>
      <w:proofErr w:type="gramStart"/>
      <w:r>
        <w:t>is however limited</w:t>
      </w:r>
      <w:proofErr w:type="gramEnd"/>
      <w:r>
        <w:t xml:space="preserve"> by the fact that management has not timeously or adequately implemented these action plans.</w:t>
      </w:r>
      <w:r w:rsidR="00722F26" w:rsidRPr="0077659B">
        <w:t xml:space="preserve"> </w:t>
      </w:r>
    </w:p>
    <w:p w14:paraId="5ED60965" w14:textId="7F552DFB" w:rsidR="00C22F2B" w:rsidRPr="00BB6EEC" w:rsidRDefault="006C0DAE" w:rsidP="00A3735E">
      <w:pPr>
        <w:pStyle w:val="Heading3"/>
        <w:rPr>
          <w:lang w:val="en-ZA"/>
        </w:rPr>
      </w:pPr>
      <w:bookmarkStart w:id="128" w:name="Back33"/>
      <w:bookmarkStart w:id="129" w:name="_Toc51154080"/>
      <w:bookmarkStart w:id="130" w:name="_Toc447106610"/>
      <w:bookmarkEnd w:id="128"/>
      <w:r w:rsidRPr="00BB6EEC">
        <w:rPr>
          <w:lang w:val="en-ZA"/>
        </w:rPr>
        <w:t>STATUS OF IMPLEMENTING COMMITMENTS AND RECOMMENDATIONS</w:t>
      </w:r>
      <w:bookmarkEnd w:id="129"/>
      <w:r w:rsidRPr="00BB6EEC">
        <w:rPr>
          <w:lang w:val="en-ZA"/>
        </w:rPr>
        <w:t xml:space="preserve"> </w:t>
      </w:r>
      <w:bookmarkEnd w:id="130"/>
    </w:p>
    <w:p w14:paraId="543343B4" w14:textId="76660E7F" w:rsidR="00C22F2B" w:rsidRPr="0077659B" w:rsidRDefault="00C22F2B" w:rsidP="00223FB6">
      <w:pPr>
        <w:pStyle w:val="Numbernormal"/>
        <w:numPr>
          <w:ilvl w:val="0"/>
          <w:numId w:val="26"/>
        </w:numPr>
      </w:pPr>
      <w:r w:rsidRPr="0077659B">
        <w:t xml:space="preserve">Below is our assessment of the progress in implementing the commitments made by the </w:t>
      </w:r>
      <w:r w:rsidR="00A301F9">
        <w:t>department</w:t>
      </w:r>
      <w:r w:rsidRPr="0077659B">
        <w:t xml:space="preserve"> to address the prior and current year’s audit findings. </w:t>
      </w:r>
    </w:p>
    <w:tbl>
      <w:tblPr>
        <w:tblStyle w:val="TableGrid"/>
        <w:tblW w:w="0" w:type="auto"/>
        <w:tblLook w:val="04A0" w:firstRow="1" w:lastRow="0" w:firstColumn="1" w:lastColumn="0" w:noHBand="0" w:noVBand="1"/>
      </w:tblPr>
      <w:tblGrid>
        <w:gridCol w:w="535"/>
        <w:gridCol w:w="4130"/>
        <w:gridCol w:w="1805"/>
        <w:gridCol w:w="1801"/>
        <w:gridCol w:w="1357"/>
      </w:tblGrid>
      <w:tr w:rsidR="00E24250" w:rsidRPr="00540594" w14:paraId="2026FC34" w14:textId="77777777" w:rsidTr="00E24250">
        <w:trPr>
          <w:tblHeader/>
        </w:trPr>
        <w:tc>
          <w:tcPr>
            <w:tcW w:w="535" w:type="dxa"/>
            <w:shd w:val="clear" w:color="auto" w:fill="D9D9D9" w:themeFill="background1" w:themeFillShade="D9"/>
          </w:tcPr>
          <w:p w14:paraId="4DB92C54" w14:textId="77777777" w:rsidR="00E24250" w:rsidRPr="00540594" w:rsidRDefault="00E24250" w:rsidP="00A96316">
            <w:pPr>
              <w:spacing w:before="120"/>
              <w:jc w:val="both"/>
              <w:rPr>
                <w:rFonts w:cs="Arial"/>
                <w:b/>
                <w:sz w:val="18"/>
                <w:szCs w:val="18"/>
              </w:rPr>
            </w:pPr>
            <w:r w:rsidRPr="00540594">
              <w:rPr>
                <w:rFonts w:cs="Arial"/>
                <w:b/>
                <w:sz w:val="18"/>
                <w:szCs w:val="18"/>
              </w:rPr>
              <w:t>No</w:t>
            </w:r>
          </w:p>
        </w:tc>
        <w:tc>
          <w:tcPr>
            <w:tcW w:w="4130" w:type="dxa"/>
            <w:shd w:val="clear" w:color="auto" w:fill="D9D9D9" w:themeFill="background1" w:themeFillShade="D9"/>
          </w:tcPr>
          <w:p w14:paraId="53E6677C" w14:textId="77777777" w:rsidR="00E24250" w:rsidRPr="00540594" w:rsidRDefault="00E24250" w:rsidP="00A96316">
            <w:pPr>
              <w:spacing w:before="120"/>
              <w:jc w:val="both"/>
              <w:rPr>
                <w:rFonts w:cs="Arial"/>
                <w:b/>
                <w:sz w:val="18"/>
                <w:szCs w:val="18"/>
              </w:rPr>
            </w:pPr>
            <w:r w:rsidRPr="00540594">
              <w:rPr>
                <w:rFonts w:cs="Arial"/>
                <w:b/>
                <w:sz w:val="18"/>
                <w:szCs w:val="18"/>
              </w:rPr>
              <w:t>Commitments</w:t>
            </w:r>
          </w:p>
        </w:tc>
        <w:tc>
          <w:tcPr>
            <w:tcW w:w="1805" w:type="dxa"/>
            <w:shd w:val="clear" w:color="auto" w:fill="D9D9D9" w:themeFill="background1" w:themeFillShade="D9"/>
          </w:tcPr>
          <w:p w14:paraId="491CD923" w14:textId="77777777" w:rsidR="00E24250" w:rsidRPr="00540594" w:rsidRDefault="00E24250" w:rsidP="00A96316">
            <w:pPr>
              <w:spacing w:before="120"/>
              <w:jc w:val="both"/>
              <w:rPr>
                <w:rFonts w:cs="Arial"/>
                <w:b/>
                <w:sz w:val="18"/>
                <w:szCs w:val="18"/>
              </w:rPr>
            </w:pPr>
            <w:r w:rsidRPr="00540594">
              <w:rPr>
                <w:rFonts w:cs="Arial"/>
                <w:b/>
                <w:sz w:val="18"/>
                <w:szCs w:val="18"/>
              </w:rPr>
              <w:t xml:space="preserve">Made by </w:t>
            </w:r>
          </w:p>
        </w:tc>
        <w:tc>
          <w:tcPr>
            <w:tcW w:w="1801" w:type="dxa"/>
            <w:shd w:val="clear" w:color="auto" w:fill="D9D9D9" w:themeFill="background1" w:themeFillShade="D9"/>
          </w:tcPr>
          <w:p w14:paraId="72C2EC6D" w14:textId="77777777" w:rsidR="00E24250" w:rsidRPr="00540594" w:rsidRDefault="00E24250" w:rsidP="00A96316">
            <w:pPr>
              <w:spacing w:before="120"/>
              <w:jc w:val="both"/>
              <w:rPr>
                <w:rFonts w:cs="Arial"/>
                <w:b/>
                <w:sz w:val="18"/>
                <w:szCs w:val="18"/>
              </w:rPr>
            </w:pPr>
            <w:r w:rsidRPr="00540594">
              <w:rPr>
                <w:rFonts w:cs="Arial"/>
                <w:b/>
                <w:sz w:val="18"/>
                <w:szCs w:val="18"/>
              </w:rPr>
              <w:t>Auditors comments</w:t>
            </w:r>
          </w:p>
        </w:tc>
        <w:tc>
          <w:tcPr>
            <w:tcW w:w="1357" w:type="dxa"/>
            <w:shd w:val="clear" w:color="auto" w:fill="D9D9D9" w:themeFill="background1" w:themeFillShade="D9"/>
          </w:tcPr>
          <w:p w14:paraId="3AF51433" w14:textId="77777777" w:rsidR="00E24250" w:rsidRPr="00540594" w:rsidRDefault="00E24250" w:rsidP="00A96316">
            <w:pPr>
              <w:spacing w:before="120"/>
              <w:jc w:val="both"/>
              <w:rPr>
                <w:rFonts w:cs="Arial"/>
                <w:b/>
                <w:sz w:val="18"/>
                <w:szCs w:val="18"/>
              </w:rPr>
            </w:pPr>
            <w:r w:rsidRPr="00540594">
              <w:rPr>
                <w:rFonts w:cs="Arial"/>
                <w:b/>
                <w:sz w:val="18"/>
                <w:szCs w:val="18"/>
              </w:rPr>
              <w:t>Status</w:t>
            </w:r>
          </w:p>
          <w:p w14:paraId="6714B314" w14:textId="77777777" w:rsidR="00E24250" w:rsidRPr="00540594" w:rsidRDefault="00E24250" w:rsidP="00A96316">
            <w:pPr>
              <w:spacing w:before="120"/>
              <w:jc w:val="both"/>
              <w:rPr>
                <w:rFonts w:cs="Arial"/>
                <w:b/>
                <w:sz w:val="18"/>
                <w:szCs w:val="18"/>
              </w:rPr>
            </w:pPr>
          </w:p>
        </w:tc>
      </w:tr>
      <w:tr w:rsidR="00E24250" w:rsidRPr="00540594" w14:paraId="4C5F3E65" w14:textId="77777777" w:rsidTr="00E24250">
        <w:tc>
          <w:tcPr>
            <w:tcW w:w="535" w:type="dxa"/>
            <w:vAlign w:val="center"/>
          </w:tcPr>
          <w:p w14:paraId="12A62CFC" w14:textId="77777777" w:rsidR="00E24250" w:rsidRPr="00540594" w:rsidRDefault="00E24250" w:rsidP="00A96316">
            <w:pPr>
              <w:rPr>
                <w:rFonts w:cs="Arial"/>
                <w:sz w:val="18"/>
                <w:szCs w:val="18"/>
              </w:rPr>
            </w:pPr>
            <w:r w:rsidRPr="00540594">
              <w:rPr>
                <w:rFonts w:cs="Arial"/>
                <w:sz w:val="18"/>
                <w:szCs w:val="18"/>
              </w:rPr>
              <w:t>1</w:t>
            </w:r>
          </w:p>
        </w:tc>
        <w:tc>
          <w:tcPr>
            <w:tcW w:w="4130" w:type="dxa"/>
            <w:vAlign w:val="center"/>
          </w:tcPr>
          <w:p w14:paraId="0C188E13" w14:textId="77777777" w:rsidR="00E24250" w:rsidRPr="00540594" w:rsidRDefault="00E24250" w:rsidP="00A96316">
            <w:pPr>
              <w:rPr>
                <w:rFonts w:cs="Arial"/>
                <w:b/>
                <w:sz w:val="18"/>
                <w:szCs w:val="18"/>
                <w:u w:val="single"/>
              </w:rPr>
            </w:pPr>
            <w:r w:rsidRPr="00540594">
              <w:rPr>
                <w:rFonts w:cs="Arial"/>
                <w:b/>
                <w:sz w:val="18"/>
                <w:szCs w:val="18"/>
                <w:u w:val="single"/>
              </w:rPr>
              <w:t>Understatement of Accruals</w:t>
            </w:r>
          </w:p>
          <w:p w14:paraId="250F302B" w14:textId="77777777" w:rsidR="00E24250" w:rsidRPr="00540594" w:rsidRDefault="00E24250" w:rsidP="00A96316">
            <w:pPr>
              <w:rPr>
                <w:rFonts w:cs="Arial"/>
                <w:sz w:val="18"/>
                <w:szCs w:val="18"/>
              </w:rPr>
            </w:pPr>
          </w:p>
          <w:p w14:paraId="52B79D1D" w14:textId="77777777" w:rsidR="00E24250" w:rsidRPr="00540594" w:rsidRDefault="00E24250" w:rsidP="00A96316">
            <w:pPr>
              <w:rPr>
                <w:rFonts w:cs="Arial"/>
                <w:sz w:val="18"/>
                <w:szCs w:val="18"/>
              </w:rPr>
            </w:pPr>
            <w:r w:rsidRPr="00540594">
              <w:rPr>
                <w:rFonts w:cs="Arial"/>
                <w:sz w:val="18"/>
                <w:szCs w:val="18"/>
              </w:rPr>
              <w:t>a) Accrual schedules not accepted without valid supporting documents.</w:t>
            </w:r>
          </w:p>
          <w:p w14:paraId="691343EA" w14:textId="77777777" w:rsidR="00E24250" w:rsidRPr="00540594" w:rsidRDefault="00E24250" w:rsidP="00A96316">
            <w:pPr>
              <w:rPr>
                <w:rFonts w:cs="Arial"/>
                <w:sz w:val="18"/>
                <w:szCs w:val="18"/>
              </w:rPr>
            </w:pPr>
            <w:r w:rsidRPr="00540594">
              <w:rPr>
                <w:rFonts w:cs="Arial"/>
                <w:sz w:val="18"/>
                <w:szCs w:val="18"/>
              </w:rPr>
              <w:t>b) Escalate non-submission of accruals schedule and supporting documents on time.</w:t>
            </w:r>
          </w:p>
          <w:p w14:paraId="232154CE" w14:textId="77777777" w:rsidR="00E24250" w:rsidRPr="00540594" w:rsidRDefault="00E24250" w:rsidP="00A96316">
            <w:pPr>
              <w:rPr>
                <w:rFonts w:cs="Arial"/>
                <w:sz w:val="18"/>
                <w:szCs w:val="18"/>
              </w:rPr>
            </w:pPr>
            <w:r w:rsidRPr="00540594">
              <w:rPr>
                <w:rFonts w:cs="Arial"/>
                <w:sz w:val="18"/>
                <w:szCs w:val="18"/>
              </w:rPr>
              <w:t>c) Develop a checklist for the review of accruals inputs schedules.</w:t>
            </w:r>
          </w:p>
          <w:p w14:paraId="50BF32C9" w14:textId="77777777" w:rsidR="00E24250" w:rsidRPr="00540594" w:rsidRDefault="00E24250" w:rsidP="00A96316">
            <w:pPr>
              <w:rPr>
                <w:rFonts w:cs="Arial"/>
                <w:sz w:val="18"/>
                <w:szCs w:val="18"/>
              </w:rPr>
            </w:pPr>
            <w:r w:rsidRPr="00540594">
              <w:rPr>
                <w:rFonts w:cs="Arial"/>
                <w:sz w:val="18"/>
                <w:szCs w:val="18"/>
              </w:rPr>
              <w:t xml:space="preserve">d) Accruals schedules to </w:t>
            </w:r>
            <w:proofErr w:type="gramStart"/>
            <w:r w:rsidRPr="00540594">
              <w:rPr>
                <w:rFonts w:cs="Arial"/>
                <w:sz w:val="18"/>
                <w:szCs w:val="18"/>
              </w:rPr>
              <w:t>be accompanied</w:t>
            </w:r>
            <w:proofErr w:type="gramEnd"/>
            <w:r w:rsidRPr="00540594">
              <w:rPr>
                <w:rFonts w:cs="Arial"/>
                <w:sz w:val="18"/>
                <w:szCs w:val="18"/>
              </w:rPr>
              <w:t xml:space="preserve"> by a completed and signed off checklist.</w:t>
            </w:r>
          </w:p>
          <w:p w14:paraId="520C1B97" w14:textId="77777777" w:rsidR="00E24250" w:rsidRPr="00540594" w:rsidRDefault="00E24250" w:rsidP="00A96316">
            <w:pPr>
              <w:rPr>
                <w:rFonts w:cs="Arial"/>
                <w:sz w:val="18"/>
                <w:szCs w:val="18"/>
              </w:rPr>
            </w:pPr>
          </w:p>
        </w:tc>
        <w:tc>
          <w:tcPr>
            <w:tcW w:w="1805" w:type="dxa"/>
            <w:vAlign w:val="center"/>
          </w:tcPr>
          <w:p w14:paraId="358B5024" w14:textId="77777777" w:rsidR="00E24250" w:rsidRPr="00540594" w:rsidRDefault="00E24250" w:rsidP="00A96316">
            <w:pPr>
              <w:rPr>
                <w:rFonts w:cs="Arial"/>
                <w:sz w:val="18"/>
                <w:szCs w:val="18"/>
              </w:rPr>
            </w:pPr>
            <w:r w:rsidRPr="00540594">
              <w:rPr>
                <w:rFonts w:cs="Arial"/>
                <w:sz w:val="18"/>
                <w:szCs w:val="18"/>
              </w:rPr>
              <w:t>M. Sithole (Chief Financial Officer)</w:t>
            </w:r>
          </w:p>
        </w:tc>
        <w:tc>
          <w:tcPr>
            <w:tcW w:w="1801" w:type="dxa"/>
            <w:vAlign w:val="center"/>
          </w:tcPr>
          <w:p w14:paraId="3C8E3837" w14:textId="77777777" w:rsidR="00E24250" w:rsidRPr="00540594" w:rsidRDefault="00E24250" w:rsidP="00A96316">
            <w:pPr>
              <w:rPr>
                <w:rFonts w:cs="Arial"/>
                <w:sz w:val="18"/>
                <w:szCs w:val="18"/>
              </w:rPr>
            </w:pPr>
            <w:r w:rsidRPr="00540594">
              <w:rPr>
                <w:rFonts w:cs="Arial"/>
                <w:sz w:val="18"/>
                <w:szCs w:val="18"/>
              </w:rPr>
              <w:t xml:space="preserve">AFS </w:t>
            </w:r>
            <w:proofErr w:type="gramStart"/>
            <w:r w:rsidRPr="00540594">
              <w:rPr>
                <w:rFonts w:cs="Arial"/>
                <w:sz w:val="18"/>
                <w:szCs w:val="18"/>
              </w:rPr>
              <w:t>were accompanied</w:t>
            </w:r>
            <w:proofErr w:type="gramEnd"/>
            <w:r w:rsidRPr="00540594">
              <w:rPr>
                <w:rFonts w:cs="Arial"/>
                <w:sz w:val="18"/>
                <w:szCs w:val="18"/>
              </w:rPr>
              <w:t xml:space="preserve"> by accruals schedule with a completed and signed off checklist.</w:t>
            </w:r>
          </w:p>
          <w:p w14:paraId="370F663B" w14:textId="77777777" w:rsidR="00E24250" w:rsidRPr="00540594" w:rsidRDefault="00E24250" w:rsidP="00A96316">
            <w:pPr>
              <w:rPr>
                <w:rFonts w:cs="Arial"/>
                <w:sz w:val="18"/>
                <w:szCs w:val="18"/>
              </w:rPr>
            </w:pPr>
          </w:p>
          <w:p w14:paraId="64D1AD83" w14:textId="77777777" w:rsidR="00E24250" w:rsidRPr="00540594" w:rsidRDefault="00E24250" w:rsidP="00A96316">
            <w:pPr>
              <w:rPr>
                <w:rFonts w:cs="Arial"/>
                <w:sz w:val="18"/>
                <w:szCs w:val="18"/>
              </w:rPr>
            </w:pPr>
            <w:r>
              <w:rPr>
                <w:rFonts w:cs="Arial"/>
                <w:sz w:val="18"/>
                <w:szCs w:val="18"/>
              </w:rPr>
              <w:t>The findings identified in previous years did not recur</w:t>
            </w:r>
          </w:p>
        </w:tc>
        <w:tc>
          <w:tcPr>
            <w:tcW w:w="1357" w:type="dxa"/>
            <w:vAlign w:val="center"/>
          </w:tcPr>
          <w:p w14:paraId="5AFA70C0" w14:textId="77777777" w:rsidR="00E24250" w:rsidRDefault="00E24250" w:rsidP="00A96316">
            <w:pPr>
              <w:rPr>
                <w:rFonts w:cs="Arial"/>
                <w:sz w:val="18"/>
                <w:szCs w:val="18"/>
              </w:rPr>
            </w:pPr>
            <w:r>
              <w:rPr>
                <w:rFonts w:cs="Arial"/>
                <w:sz w:val="18"/>
                <w:szCs w:val="18"/>
              </w:rPr>
              <w:t>Resolved</w:t>
            </w:r>
          </w:p>
          <w:p w14:paraId="54C460BF" w14:textId="77777777" w:rsidR="00E24250" w:rsidRDefault="00E24250" w:rsidP="00A96316">
            <w:pPr>
              <w:rPr>
                <w:rFonts w:cs="Arial"/>
                <w:sz w:val="18"/>
                <w:szCs w:val="18"/>
              </w:rPr>
            </w:pPr>
          </w:p>
          <w:p w14:paraId="0CC067EA" w14:textId="77777777" w:rsidR="00E24250" w:rsidRPr="00540594" w:rsidRDefault="00E24250" w:rsidP="00A96316">
            <w:pPr>
              <w:rPr>
                <w:rFonts w:cs="Arial"/>
                <w:sz w:val="18"/>
                <w:szCs w:val="18"/>
              </w:rPr>
            </w:pPr>
          </w:p>
        </w:tc>
      </w:tr>
      <w:tr w:rsidR="00E24250" w:rsidRPr="00540594" w14:paraId="5D1392B4" w14:textId="77777777" w:rsidTr="00E24250">
        <w:tc>
          <w:tcPr>
            <w:tcW w:w="535" w:type="dxa"/>
            <w:vAlign w:val="center"/>
          </w:tcPr>
          <w:p w14:paraId="7CE97FFB" w14:textId="77777777" w:rsidR="00E24250" w:rsidRPr="00540594" w:rsidRDefault="00E24250" w:rsidP="00A96316">
            <w:pPr>
              <w:rPr>
                <w:rFonts w:cs="Arial"/>
                <w:sz w:val="18"/>
                <w:szCs w:val="18"/>
              </w:rPr>
            </w:pPr>
            <w:r w:rsidRPr="00540594">
              <w:rPr>
                <w:rFonts w:cs="Arial"/>
                <w:sz w:val="18"/>
                <w:szCs w:val="18"/>
              </w:rPr>
              <w:t>2</w:t>
            </w:r>
          </w:p>
        </w:tc>
        <w:tc>
          <w:tcPr>
            <w:tcW w:w="4130" w:type="dxa"/>
            <w:vAlign w:val="center"/>
          </w:tcPr>
          <w:p w14:paraId="24DFB17A" w14:textId="77777777" w:rsidR="00E24250" w:rsidRPr="00540594" w:rsidRDefault="00E24250" w:rsidP="00A96316">
            <w:pPr>
              <w:rPr>
                <w:rFonts w:cs="Arial"/>
                <w:b/>
                <w:sz w:val="18"/>
                <w:szCs w:val="18"/>
                <w:u w:val="single"/>
              </w:rPr>
            </w:pPr>
            <w:r w:rsidRPr="00540594">
              <w:rPr>
                <w:rFonts w:cs="Arial"/>
                <w:b/>
                <w:sz w:val="18"/>
                <w:szCs w:val="18"/>
                <w:u w:val="single"/>
              </w:rPr>
              <w:t>Incorrect classification of expenditure</w:t>
            </w:r>
          </w:p>
          <w:p w14:paraId="34A86160" w14:textId="77777777" w:rsidR="00E24250" w:rsidRPr="00540594" w:rsidRDefault="00E24250" w:rsidP="00A96316">
            <w:pPr>
              <w:rPr>
                <w:rFonts w:cs="Arial"/>
                <w:b/>
                <w:sz w:val="18"/>
                <w:szCs w:val="18"/>
                <w:u w:val="single"/>
              </w:rPr>
            </w:pPr>
          </w:p>
          <w:p w14:paraId="3AAC615D" w14:textId="77777777" w:rsidR="00E24250" w:rsidRPr="00540594" w:rsidRDefault="00E24250" w:rsidP="00A96316">
            <w:pPr>
              <w:rPr>
                <w:rFonts w:cs="Arial"/>
                <w:sz w:val="18"/>
                <w:szCs w:val="18"/>
              </w:rPr>
            </w:pPr>
            <w:r w:rsidRPr="00540594">
              <w:rPr>
                <w:rFonts w:cs="Arial"/>
                <w:sz w:val="18"/>
                <w:szCs w:val="18"/>
              </w:rPr>
              <w:t>a) Payments to be verified prior to processing to ensure full compliance;</w:t>
            </w:r>
          </w:p>
          <w:p w14:paraId="021FFD30" w14:textId="77777777" w:rsidR="00E24250" w:rsidRPr="00540594" w:rsidRDefault="00E24250" w:rsidP="00A96316">
            <w:pPr>
              <w:rPr>
                <w:rFonts w:cs="Arial"/>
                <w:sz w:val="18"/>
                <w:szCs w:val="18"/>
              </w:rPr>
            </w:pPr>
            <w:r w:rsidRPr="00540594">
              <w:rPr>
                <w:rFonts w:cs="Arial"/>
                <w:sz w:val="18"/>
                <w:szCs w:val="18"/>
              </w:rPr>
              <w:t>b)  Monthly review of the expenditure, and processing of journals to ensure correction of all misallocations. All expenditure misallocation from April 2019 are being corrected through journals and the project is estimated to be completed the end of September 2019;</w:t>
            </w:r>
          </w:p>
          <w:p w14:paraId="2040CA18" w14:textId="77777777" w:rsidR="00E24250" w:rsidRPr="00540594" w:rsidRDefault="00E24250" w:rsidP="00A96316">
            <w:pPr>
              <w:rPr>
                <w:rFonts w:cs="Arial"/>
                <w:sz w:val="18"/>
                <w:szCs w:val="18"/>
              </w:rPr>
            </w:pPr>
            <w:r w:rsidRPr="00540594">
              <w:rPr>
                <w:rFonts w:cs="Arial"/>
                <w:sz w:val="18"/>
                <w:szCs w:val="18"/>
              </w:rPr>
              <w:t>c) Regular checking of the new Practise notes for implementation. Communication regarding the expenditure items changes to be sent out to all employees for compliance</w:t>
            </w:r>
          </w:p>
          <w:p w14:paraId="7095C246" w14:textId="77777777" w:rsidR="00E24250" w:rsidRPr="00540594" w:rsidRDefault="00E24250" w:rsidP="00A96316">
            <w:pPr>
              <w:rPr>
                <w:rFonts w:cs="Arial"/>
                <w:sz w:val="18"/>
                <w:szCs w:val="18"/>
              </w:rPr>
            </w:pPr>
          </w:p>
        </w:tc>
        <w:tc>
          <w:tcPr>
            <w:tcW w:w="1805" w:type="dxa"/>
            <w:vAlign w:val="center"/>
          </w:tcPr>
          <w:p w14:paraId="3C4AFA2E" w14:textId="77777777" w:rsidR="00E24250" w:rsidRPr="00540594" w:rsidRDefault="00E24250" w:rsidP="00A96316">
            <w:pPr>
              <w:rPr>
                <w:rFonts w:cs="Arial"/>
                <w:sz w:val="18"/>
                <w:szCs w:val="18"/>
              </w:rPr>
            </w:pPr>
            <w:r w:rsidRPr="00540594">
              <w:rPr>
                <w:rFonts w:cs="Arial"/>
                <w:sz w:val="18"/>
                <w:szCs w:val="18"/>
              </w:rPr>
              <w:t>M. Sithole (Chief Financial Officer)</w:t>
            </w:r>
          </w:p>
        </w:tc>
        <w:tc>
          <w:tcPr>
            <w:tcW w:w="1801" w:type="dxa"/>
            <w:vAlign w:val="center"/>
          </w:tcPr>
          <w:p w14:paraId="236C8F34" w14:textId="77777777" w:rsidR="00E24250" w:rsidRPr="00540594" w:rsidRDefault="00E24250" w:rsidP="00A96316">
            <w:pPr>
              <w:rPr>
                <w:rFonts w:cs="Arial"/>
                <w:sz w:val="18"/>
                <w:szCs w:val="18"/>
              </w:rPr>
            </w:pPr>
            <w:r>
              <w:rPr>
                <w:rFonts w:cs="Arial"/>
                <w:sz w:val="18"/>
                <w:szCs w:val="18"/>
              </w:rPr>
              <w:t>The findings identified in previous years did not recur</w:t>
            </w:r>
          </w:p>
        </w:tc>
        <w:tc>
          <w:tcPr>
            <w:tcW w:w="1357" w:type="dxa"/>
            <w:vAlign w:val="center"/>
          </w:tcPr>
          <w:p w14:paraId="16BE853A" w14:textId="77777777" w:rsidR="00E24250" w:rsidRDefault="00E24250" w:rsidP="00E24250">
            <w:pPr>
              <w:rPr>
                <w:rFonts w:cs="Arial"/>
                <w:sz w:val="18"/>
                <w:szCs w:val="18"/>
              </w:rPr>
            </w:pPr>
            <w:r>
              <w:rPr>
                <w:rFonts w:cs="Arial"/>
                <w:sz w:val="18"/>
                <w:szCs w:val="18"/>
              </w:rPr>
              <w:t>Resolved</w:t>
            </w:r>
          </w:p>
          <w:p w14:paraId="2609B28D" w14:textId="77777777" w:rsidR="00E24250" w:rsidRPr="00540594" w:rsidRDefault="00E24250" w:rsidP="00A96316">
            <w:pPr>
              <w:rPr>
                <w:rFonts w:cs="Arial"/>
                <w:sz w:val="18"/>
                <w:szCs w:val="18"/>
              </w:rPr>
            </w:pPr>
          </w:p>
        </w:tc>
      </w:tr>
      <w:tr w:rsidR="00E24250" w:rsidRPr="00540594" w14:paraId="1DC41571" w14:textId="77777777" w:rsidTr="00E24250">
        <w:tc>
          <w:tcPr>
            <w:tcW w:w="535" w:type="dxa"/>
            <w:vAlign w:val="center"/>
          </w:tcPr>
          <w:p w14:paraId="52EFE82B" w14:textId="77777777" w:rsidR="00E24250" w:rsidRPr="00540594" w:rsidRDefault="00E24250" w:rsidP="00A96316">
            <w:pPr>
              <w:rPr>
                <w:rFonts w:cs="Arial"/>
                <w:sz w:val="18"/>
                <w:szCs w:val="18"/>
              </w:rPr>
            </w:pPr>
            <w:r>
              <w:rPr>
                <w:rFonts w:cs="Arial"/>
                <w:sz w:val="18"/>
                <w:szCs w:val="18"/>
              </w:rPr>
              <w:t>3</w:t>
            </w:r>
          </w:p>
        </w:tc>
        <w:tc>
          <w:tcPr>
            <w:tcW w:w="4130" w:type="dxa"/>
          </w:tcPr>
          <w:p w14:paraId="58AA9F39" w14:textId="77777777" w:rsidR="00E24250" w:rsidRPr="00540594" w:rsidRDefault="00E24250" w:rsidP="00A96316">
            <w:pPr>
              <w:rPr>
                <w:rFonts w:cs="Arial"/>
                <w:b/>
                <w:sz w:val="18"/>
                <w:szCs w:val="18"/>
                <w:u w:val="single"/>
              </w:rPr>
            </w:pPr>
            <w:r w:rsidRPr="00540594">
              <w:rPr>
                <w:rFonts w:cs="Arial"/>
                <w:b/>
                <w:sz w:val="18"/>
                <w:szCs w:val="18"/>
                <w:u w:val="single"/>
              </w:rPr>
              <w:t>Understatement of Commitments</w:t>
            </w:r>
          </w:p>
          <w:p w14:paraId="24AB333D" w14:textId="77777777" w:rsidR="00E24250" w:rsidRPr="00540594" w:rsidRDefault="00E24250" w:rsidP="00A96316">
            <w:pPr>
              <w:jc w:val="both"/>
              <w:rPr>
                <w:rFonts w:cs="Arial"/>
                <w:sz w:val="18"/>
                <w:szCs w:val="18"/>
              </w:rPr>
            </w:pPr>
          </w:p>
          <w:p w14:paraId="56D9635B" w14:textId="77777777" w:rsidR="00E24250" w:rsidRPr="00540594" w:rsidRDefault="00E24250" w:rsidP="00A96316">
            <w:pPr>
              <w:jc w:val="both"/>
              <w:rPr>
                <w:rFonts w:cs="Arial"/>
                <w:sz w:val="18"/>
                <w:szCs w:val="18"/>
              </w:rPr>
            </w:pPr>
            <w:r w:rsidRPr="00540594">
              <w:rPr>
                <w:rFonts w:cs="Arial"/>
                <w:sz w:val="18"/>
                <w:szCs w:val="18"/>
              </w:rPr>
              <w:t xml:space="preserve">a) Develop a checklist for the review of commitments inputs schedules. </w:t>
            </w:r>
          </w:p>
          <w:p w14:paraId="6CC57CBD" w14:textId="77777777" w:rsidR="00E24250" w:rsidRPr="00540594" w:rsidRDefault="00E24250" w:rsidP="00A96316">
            <w:pPr>
              <w:jc w:val="both"/>
              <w:rPr>
                <w:rFonts w:cs="Arial"/>
                <w:sz w:val="18"/>
                <w:szCs w:val="18"/>
              </w:rPr>
            </w:pPr>
            <w:proofErr w:type="gramStart"/>
            <w:r w:rsidRPr="00540594">
              <w:rPr>
                <w:rFonts w:cs="Arial"/>
                <w:sz w:val="18"/>
                <w:szCs w:val="18"/>
              </w:rPr>
              <w:t>b</w:t>
            </w:r>
            <w:proofErr w:type="gramEnd"/>
            <w:r w:rsidRPr="00540594">
              <w:rPr>
                <w:rFonts w:cs="Arial"/>
                <w:sz w:val="18"/>
                <w:szCs w:val="18"/>
              </w:rPr>
              <w:t>) Signed off tender register will form part of Commitments schedule supporting documents.</w:t>
            </w:r>
          </w:p>
          <w:p w14:paraId="6F4F40F7" w14:textId="77777777" w:rsidR="00E24250" w:rsidRPr="00540594" w:rsidRDefault="00E24250" w:rsidP="00A96316">
            <w:pPr>
              <w:jc w:val="both"/>
              <w:rPr>
                <w:rFonts w:cs="Arial"/>
                <w:sz w:val="18"/>
                <w:szCs w:val="18"/>
              </w:rPr>
            </w:pPr>
            <w:r w:rsidRPr="00540594">
              <w:rPr>
                <w:rFonts w:cs="Arial"/>
                <w:sz w:val="18"/>
                <w:szCs w:val="18"/>
              </w:rPr>
              <w:lastRenderedPageBreak/>
              <w:t xml:space="preserve">c)  Commitments schedules to </w:t>
            </w:r>
            <w:proofErr w:type="gramStart"/>
            <w:r w:rsidRPr="00540594">
              <w:rPr>
                <w:rFonts w:cs="Arial"/>
                <w:sz w:val="18"/>
                <w:szCs w:val="18"/>
              </w:rPr>
              <w:t>be accompanied</w:t>
            </w:r>
            <w:proofErr w:type="gramEnd"/>
            <w:r w:rsidRPr="00540594">
              <w:rPr>
                <w:rFonts w:cs="Arial"/>
                <w:sz w:val="18"/>
                <w:szCs w:val="18"/>
              </w:rPr>
              <w:t xml:space="preserve"> by a completed and signed off checklist.</w:t>
            </w:r>
          </w:p>
          <w:p w14:paraId="4E7C298F" w14:textId="77777777" w:rsidR="00E24250" w:rsidRPr="00540594" w:rsidRDefault="00E24250" w:rsidP="00A96316">
            <w:pPr>
              <w:jc w:val="both"/>
              <w:rPr>
                <w:rFonts w:cs="Arial"/>
                <w:sz w:val="18"/>
                <w:szCs w:val="18"/>
              </w:rPr>
            </w:pPr>
            <w:r w:rsidRPr="00540594">
              <w:rPr>
                <w:rFonts w:cs="Arial"/>
                <w:sz w:val="18"/>
                <w:szCs w:val="18"/>
              </w:rPr>
              <w:t>d) Quarterly review of the commitments against Legal and SCM registers (awards and tender) to ensure full disclosure</w:t>
            </w:r>
          </w:p>
        </w:tc>
        <w:tc>
          <w:tcPr>
            <w:tcW w:w="1805" w:type="dxa"/>
            <w:vAlign w:val="center"/>
          </w:tcPr>
          <w:p w14:paraId="0C532719" w14:textId="77777777" w:rsidR="00E24250" w:rsidRPr="00540594" w:rsidRDefault="00E24250" w:rsidP="00A96316">
            <w:pPr>
              <w:rPr>
                <w:rFonts w:cs="Arial"/>
                <w:sz w:val="18"/>
                <w:szCs w:val="18"/>
              </w:rPr>
            </w:pPr>
            <w:r w:rsidRPr="00540594">
              <w:rPr>
                <w:rFonts w:cs="Arial"/>
                <w:sz w:val="18"/>
                <w:szCs w:val="18"/>
              </w:rPr>
              <w:lastRenderedPageBreak/>
              <w:t>M. Sithole (Chief Financial Officer)</w:t>
            </w:r>
          </w:p>
        </w:tc>
        <w:tc>
          <w:tcPr>
            <w:tcW w:w="1801" w:type="dxa"/>
            <w:vAlign w:val="center"/>
          </w:tcPr>
          <w:p w14:paraId="6D0F9CE2" w14:textId="77777777" w:rsidR="00E24250" w:rsidRPr="00540594" w:rsidRDefault="00E24250" w:rsidP="00A96316">
            <w:pPr>
              <w:rPr>
                <w:rFonts w:cs="Arial"/>
                <w:sz w:val="18"/>
                <w:szCs w:val="18"/>
              </w:rPr>
            </w:pPr>
            <w:r>
              <w:rPr>
                <w:rFonts w:cs="Arial"/>
                <w:sz w:val="18"/>
                <w:szCs w:val="18"/>
              </w:rPr>
              <w:t>The findings identified in previous years did not recur</w:t>
            </w:r>
          </w:p>
        </w:tc>
        <w:tc>
          <w:tcPr>
            <w:tcW w:w="1357" w:type="dxa"/>
            <w:vAlign w:val="center"/>
          </w:tcPr>
          <w:p w14:paraId="0B0269CA" w14:textId="77777777" w:rsidR="00E24250" w:rsidRDefault="00E24250" w:rsidP="00E24250">
            <w:pPr>
              <w:rPr>
                <w:rFonts w:cs="Arial"/>
                <w:sz w:val="18"/>
                <w:szCs w:val="18"/>
              </w:rPr>
            </w:pPr>
            <w:r>
              <w:rPr>
                <w:rFonts w:cs="Arial"/>
                <w:sz w:val="18"/>
                <w:szCs w:val="18"/>
              </w:rPr>
              <w:t>Resolved</w:t>
            </w:r>
          </w:p>
          <w:p w14:paraId="76A11C35" w14:textId="77777777" w:rsidR="00E24250" w:rsidRPr="00540594" w:rsidRDefault="00E24250" w:rsidP="00A96316">
            <w:pPr>
              <w:rPr>
                <w:rFonts w:cs="Arial"/>
                <w:sz w:val="18"/>
                <w:szCs w:val="18"/>
              </w:rPr>
            </w:pPr>
          </w:p>
        </w:tc>
      </w:tr>
      <w:tr w:rsidR="00E24250" w:rsidRPr="00540594" w14:paraId="757EB773" w14:textId="77777777" w:rsidTr="00E24250">
        <w:tc>
          <w:tcPr>
            <w:tcW w:w="535" w:type="dxa"/>
            <w:vAlign w:val="center"/>
          </w:tcPr>
          <w:p w14:paraId="06775104" w14:textId="77777777" w:rsidR="00E24250" w:rsidRPr="00540594" w:rsidRDefault="00E24250" w:rsidP="00A96316">
            <w:pPr>
              <w:rPr>
                <w:rFonts w:cs="Arial"/>
                <w:sz w:val="18"/>
                <w:szCs w:val="18"/>
              </w:rPr>
            </w:pPr>
            <w:r>
              <w:rPr>
                <w:rFonts w:cs="Arial"/>
                <w:sz w:val="18"/>
                <w:szCs w:val="18"/>
              </w:rPr>
              <w:t>4</w:t>
            </w:r>
          </w:p>
        </w:tc>
        <w:tc>
          <w:tcPr>
            <w:tcW w:w="4130" w:type="dxa"/>
          </w:tcPr>
          <w:p w14:paraId="2A6BCC70" w14:textId="77777777" w:rsidR="00E24250" w:rsidRPr="0077066D" w:rsidRDefault="00E24250" w:rsidP="00A96316">
            <w:pPr>
              <w:jc w:val="both"/>
              <w:rPr>
                <w:rFonts w:cs="Arial"/>
                <w:b/>
                <w:sz w:val="18"/>
                <w:szCs w:val="18"/>
                <w:u w:val="single"/>
              </w:rPr>
            </w:pPr>
            <w:r w:rsidRPr="0077066D">
              <w:rPr>
                <w:rFonts w:cs="Arial"/>
                <w:b/>
                <w:sz w:val="18"/>
                <w:szCs w:val="18"/>
                <w:u w:val="single"/>
              </w:rPr>
              <w:t>The KPIs and targets were not measurable due to inadequate records management.</w:t>
            </w:r>
          </w:p>
          <w:p w14:paraId="048EB131" w14:textId="77777777" w:rsidR="00E24250" w:rsidRDefault="00E24250" w:rsidP="00A96316">
            <w:pPr>
              <w:jc w:val="both"/>
              <w:rPr>
                <w:rFonts w:cs="Arial"/>
                <w:sz w:val="18"/>
                <w:szCs w:val="18"/>
              </w:rPr>
            </w:pPr>
          </w:p>
          <w:p w14:paraId="713069BB" w14:textId="77777777" w:rsidR="00E24250" w:rsidRPr="0077066D" w:rsidRDefault="00E24250" w:rsidP="00A96316">
            <w:pPr>
              <w:jc w:val="both"/>
              <w:rPr>
                <w:rFonts w:cs="Arial"/>
                <w:b/>
                <w:i/>
                <w:sz w:val="18"/>
                <w:szCs w:val="18"/>
              </w:rPr>
            </w:pPr>
            <w:r w:rsidRPr="0077066D">
              <w:rPr>
                <w:rFonts w:cs="Arial"/>
                <w:b/>
                <w:i/>
                <w:sz w:val="18"/>
                <w:szCs w:val="18"/>
              </w:rPr>
              <w:t>Expanded Public Works Programme</w:t>
            </w:r>
          </w:p>
          <w:p w14:paraId="69552F54" w14:textId="77777777" w:rsidR="00E24250" w:rsidRPr="00540594" w:rsidRDefault="00E24250" w:rsidP="00A96316">
            <w:pPr>
              <w:jc w:val="both"/>
              <w:rPr>
                <w:rFonts w:cs="Arial"/>
                <w:sz w:val="18"/>
                <w:szCs w:val="18"/>
              </w:rPr>
            </w:pPr>
            <w:r w:rsidRPr="00540594">
              <w:rPr>
                <w:rFonts w:cs="Arial"/>
                <w:sz w:val="18"/>
                <w:szCs w:val="18"/>
              </w:rPr>
              <w:t xml:space="preserve">a) To conduct Public Body Visits throughout the year in the format of mini audits.  These visits focus on the public body, rather than specific projects, to ensure public bodies with recurring audit findings </w:t>
            </w:r>
            <w:proofErr w:type="gramStart"/>
            <w:r w:rsidRPr="00540594">
              <w:rPr>
                <w:rFonts w:cs="Arial"/>
                <w:sz w:val="18"/>
                <w:szCs w:val="18"/>
              </w:rPr>
              <w:t>are assisted</w:t>
            </w:r>
            <w:proofErr w:type="gramEnd"/>
            <w:r w:rsidRPr="00540594">
              <w:rPr>
                <w:rFonts w:cs="Arial"/>
                <w:sz w:val="18"/>
                <w:szCs w:val="18"/>
              </w:rPr>
              <w:t xml:space="preserve">. </w:t>
            </w:r>
          </w:p>
          <w:p w14:paraId="0405A839" w14:textId="77777777" w:rsidR="00E24250" w:rsidRPr="00540594" w:rsidRDefault="00E24250" w:rsidP="00A96316">
            <w:pPr>
              <w:jc w:val="both"/>
              <w:rPr>
                <w:rFonts w:cs="Arial"/>
                <w:sz w:val="18"/>
                <w:szCs w:val="18"/>
              </w:rPr>
            </w:pPr>
            <w:r w:rsidRPr="00540594">
              <w:rPr>
                <w:rFonts w:cs="Arial"/>
                <w:sz w:val="18"/>
                <w:szCs w:val="18"/>
              </w:rPr>
              <w:t xml:space="preserve">b) To manage an Intervention Register of all non-compliance issues noted at these visits.  In this register responsibility for and timelines for resolution </w:t>
            </w:r>
            <w:proofErr w:type="gramStart"/>
            <w:r w:rsidRPr="00540594">
              <w:rPr>
                <w:rFonts w:cs="Arial"/>
                <w:sz w:val="18"/>
                <w:szCs w:val="18"/>
              </w:rPr>
              <w:t>are assigned</w:t>
            </w:r>
            <w:proofErr w:type="gramEnd"/>
            <w:r w:rsidRPr="00540594">
              <w:rPr>
                <w:rFonts w:cs="Arial"/>
                <w:sz w:val="18"/>
                <w:szCs w:val="18"/>
              </w:rPr>
              <w:t xml:space="preserve"> to responsible parties. </w:t>
            </w:r>
          </w:p>
          <w:p w14:paraId="68134C1A" w14:textId="77777777" w:rsidR="00E24250" w:rsidRPr="00540594" w:rsidRDefault="00E24250" w:rsidP="00A96316">
            <w:pPr>
              <w:jc w:val="both"/>
              <w:rPr>
                <w:rFonts w:cs="Arial"/>
                <w:sz w:val="18"/>
                <w:szCs w:val="18"/>
              </w:rPr>
            </w:pPr>
            <w:r w:rsidRPr="00540594">
              <w:rPr>
                <w:rFonts w:cs="Arial"/>
                <w:sz w:val="18"/>
                <w:szCs w:val="18"/>
              </w:rPr>
              <w:t xml:space="preserve">c) To follow up with escalation to Accounting Officers and to relevant administrative and political heads the non-resolution within the specified timelines of non-compliance issues. </w:t>
            </w:r>
          </w:p>
          <w:p w14:paraId="475B6087" w14:textId="77777777" w:rsidR="00E24250" w:rsidRPr="00540594" w:rsidRDefault="00E24250" w:rsidP="00A96316">
            <w:pPr>
              <w:jc w:val="both"/>
              <w:rPr>
                <w:rFonts w:cs="Arial"/>
                <w:sz w:val="18"/>
                <w:szCs w:val="18"/>
              </w:rPr>
            </w:pPr>
            <w:r w:rsidRPr="00540594">
              <w:rPr>
                <w:rFonts w:cs="Arial"/>
                <w:sz w:val="18"/>
                <w:szCs w:val="18"/>
              </w:rPr>
              <w:t>d) To keep a paper trail of the escalation as proof of the Department fulfilling its coordination mandate.</w:t>
            </w:r>
          </w:p>
          <w:p w14:paraId="17930824" w14:textId="77777777" w:rsidR="00E24250" w:rsidRPr="00540594" w:rsidRDefault="00E24250" w:rsidP="00A96316">
            <w:pPr>
              <w:jc w:val="both"/>
              <w:rPr>
                <w:rFonts w:cs="Arial"/>
                <w:sz w:val="18"/>
                <w:szCs w:val="18"/>
              </w:rPr>
            </w:pPr>
            <w:r w:rsidRPr="00540594">
              <w:rPr>
                <w:rFonts w:cs="Arial"/>
                <w:sz w:val="18"/>
                <w:szCs w:val="18"/>
              </w:rPr>
              <w:t>e) To withhold payments to public bodies receiving grants for non-compliant projects.</w:t>
            </w:r>
          </w:p>
          <w:p w14:paraId="7EAC1288" w14:textId="77777777" w:rsidR="00E24250" w:rsidRPr="00540594" w:rsidRDefault="00E24250" w:rsidP="00A96316">
            <w:pPr>
              <w:jc w:val="both"/>
              <w:rPr>
                <w:rFonts w:cs="Arial"/>
                <w:sz w:val="18"/>
                <w:szCs w:val="18"/>
              </w:rPr>
            </w:pPr>
            <w:r w:rsidRPr="00540594">
              <w:rPr>
                <w:rFonts w:cs="Arial"/>
                <w:sz w:val="18"/>
                <w:szCs w:val="18"/>
              </w:rPr>
              <w:t>To continue to provide training on EPWP frameworks to public bodies.</w:t>
            </w:r>
          </w:p>
          <w:p w14:paraId="2A4FFA39" w14:textId="77777777" w:rsidR="00E24250" w:rsidRPr="00540594" w:rsidRDefault="00E24250" w:rsidP="00A96316">
            <w:pPr>
              <w:jc w:val="both"/>
              <w:rPr>
                <w:rFonts w:cs="Arial"/>
                <w:sz w:val="18"/>
                <w:szCs w:val="18"/>
              </w:rPr>
            </w:pPr>
            <w:r w:rsidRPr="00540594">
              <w:rPr>
                <w:rFonts w:cs="Arial"/>
                <w:sz w:val="18"/>
                <w:szCs w:val="18"/>
              </w:rPr>
              <w:t>f) To develop and consult on the viability of implementing an EPWP Audit Practice Note aimed at providing guidance on the roles and responsibilities of all EPWP stakeholders with regard to auditing processes and records-management requirements of the EPWP.</w:t>
            </w:r>
          </w:p>
          <w:p w14:paraId="593F1846" w14:textId="77777777" w:rsidR="00E24250" w:rsidRDefault="00E24250" w:rsidP="00A96316">
            <w:pPr>
              <w:jc w:val="both"/>
              <w:rPr>
                <w:rFonts w:cs="Arial"/>
                <w:sz w:val="18"/>
                <w:szCs w:val="18"/>
              </w:rPr>
            </w:pPr>
            <w:r w:rsidRPr="00540594">
              <w:rPr>
                <w:rFonts w:cs="Arial"/>
                <w:sz w:val="18"/>
                <w:szCs w:val="18"/>
              </w:rPr>
              <w:t>g) To forward a letter to the Head of Construction Project Management to instruct the branch to take responsibility for the reporting and capturing of its EPWP data.</w:t>
            </w:r>
          </w:p>
          <w:p w14:paraId="64931EC7" w14:textId="77777777" w:rsidR="00E24250" w:rsidRDefault="00E24250" w:rsidP="00A96316">
            <w:pPr>
              <w:jc w:val="both"/>
              <w:rPr>
                <w:rFonts w:cs="Arial"/>
                <w:sz w:val="18"/>
                <w:szCs w:val="18"/>
              </w:rPr>
            </w:pPr>
          </w:p>
          <w:p w14:paraId="7B10A0F7" w14:textId="77777777" w:rsidR="00E24250" w:rsidRDefault="00E24250" w:rsidP="00A96316">
            <w:pPr>
              <w:jc w:val="both"/>
              <w:rPr>
                <w:rFonts w:cs="Arial"/>
                <w:b/>
                <w:i/>
                <w:sz w:val="18"/>
                <w:szCs w:val="18"/>
              </w:rPr>
            </w:pPr>
            <w:r w:rsidRPr="0077066D">
              <w:rPr>
                <w:rFonts w:cs="Arial"/>
                <w:b/>
                <w:i/>
                <w:sz w:val="18"/>
                <w:szCs w:val="18"/>
              </w:rPr>
              <w:t>Prestige</w:t>
            </w:r>
          </w:p>
          <w:p w14:paraId="47FC1A6B" w14:textId="77777777" w:rsidR="00E24250" w:rsidRPr="0077066D" w:rsidRDefault="00E24250" w:rsidP="00A96316">
            <w:pPr>
              <w:jc w:val="both"/>
              <w:rPr>
                <w:rFonts w:cs="Arial"/>
                <w:sz w:val="18"/>
                <w:szCs w:val="18"/>
              </w:rPr>
            </w:pPr>
            <w:r w:rsidRPr="0077066D">
              <w:rPr>
                <w:rFonts w:cs="Arial"/>
                <w:sz w:val="18"/>
                <w:szCs w:val="18"/>
              </w:rPr>
              <w:t xml:space="preserve">(a) Liaise with ICT for creation of the shared drive and implementation of </w:t>
            </w:r>
            <w:r>
              <w:rPr>
                <w:rFonts w:cs="Arial"/>
                <w:sz w:val="18"/>
                <w:szCs w:val="18"/>
              </w:rPr>
              <w:t>p</w:t>
            </w:r>
            <w:r w:rsidRPr="0077066D">
              <w:rPr>
                <w:rFonts w:cs="Arial"/>
                <w:sz w:val="18"/>
                <w:szCs w:val="18"/>
              </w:rPr>
              <w:t xml:space="preserve">aper </w:t>
            </w:r>
            <w:r>
              <w:rPr>
                <w:rFonts w:cs="Arial"/>
                <w:sz w:val="18"/>
                <w:szCs w:val="18"/>
              </w:rPr>
              <w:t>t</w:t>
            </w:r>
            <w:r w:rsidRPr="0077066D">
              <w:rPr>
                <w:rFonts w:cs="Arial"/>
                <w:sz w:val="18"/>
                <w:szCs w:val="18"/>
              </w:rPr>
              <w:t>rail System</w:t>
            </w:r>
          </w:p>
          <w:p w14:paraId="2D8E49EC" w14:textId="77777777" w:rsidR="00E24250" w:rsidRDefault="00E24250" w:rsidP="00A96316">
            <w:pPr>
              <w:jc w:val="both"/>
              <w:rPr>
                <w:rFonts w:cs="Arial"/>
                <w:sz w:val="18"/>
                <w:szCs w:val="18"/>
              </w:rPr>
            </w:pPr>
            <w:r w:rsidRPr="0077066D">
              <w:rPr>
                <w:rFonts w:cs="Arial"/>
                <w:sz w:val="18"/>
                <w:szCs w:val="18"/>
              </w:rPr>
              <w:t>(b) Maintain manual filing system until the electronic system is functional</w:t>
            </w:r>
          </w:p>
          <w:p w14:paraId="46B6AE69" w14:textId="77777777" w:rsidR="00E24250" w:rsidRPr="00540594" w:rsidRDefault="00E24250" w:rsidP="00A96316">
            <w:pPr>
              <w:jc w:val="both"/>
              <w:rPr>
                <w:rFonts w:cs="Arial"/>
                <w:sz w:val="18"/>
                <w:szCs w:val="18"/>
              </w:rPr>
            </w:pPr>
          </w:p>
        </w:tc>
        <w:tc>
          <w:tcPr>
            <w:tcW w:w="1805" w:type="dxa"/>
            <w:vAlign w:val="center"/>
          </w:tcPr>
          <w:p w14:paraId="694DDD84" w14:textId="77777777" w:rsidR="00E24250" w:rsidRDefault="00E24250" w:rsidP="00A96316">
            <w:pPr>
              <w:rPr>
                <w:rFonts w:cs="Arial"/>
                <w:sz w:val="18"/>
                <w:szCs w:val="18"/>
              </w:rPr>
            </w:pPr>
          </w:p>
          <w:p w14:paraId="6B37F5F4" w14:textId="77777777" w:rsidR="00E24250" w:rsidRDefault="00E24250" w:rsidP="00A96316">
            <w:pPr>
              <w:rPr>
                <w:rFonts w:cs="Arial"/>
                <w:sz w:val="18"/>
                <w:szCs w:val="18"/>
              </w:rPr>
            </w:pPr>
          </w:p>
          <w:p w14:paraId="5CE38C26" w14:textId="77777777" w:rsidR="00E24250" w:rsidRDefault="00E24250" w:rsidP="00A96316">
            <w:pPr>
              <w:rPr>
                <w:rFonts w:cs="Arial"/>
                <w:sz w:val="18"/>
                <w:szCs w:val="18"/>
              </w:rPr>
            </w:pPr>
          </w:p>
          <w:p w14:paraId="2084670C" w14:textId="77777777" w:rsidR="00E24250" w:rsidRDefault="00E24250" w:rsidP="00A96316">
            <w:pPr>
              <w:rPr>
                <w:rFonts w:cs="Arial"/>
                <w:sz w:val="18"/>
                <w:szCs w:val="18"/>
              </w:rPr>
            </w:pPr>
          </w:p>
          <w:p w14:paraId="1271F7A7" w14:textId="77777777" w:rsidR="00E24250" w:rsidRDefault="00E24250" w:rsidP="00A96316">
            <w:pPr>
              <w:rPr>
                <w:rFonts w:cs="Arial"/>
                <w:sz w:val="18"/>
                <w:szCs w:val="18"/>
              </w:rPr>
            </w:pPr>
          </w:p>
          <w:p w14:paraId="39366F4D" w14:textId="77777777" w:rsidR="00E24250" w:rsidRDefault="00E24250" w:rsidP="00A96316">
            <w:pPr>
              <w:rPr>
                <w:rFonts w:cs="Arial"/>
                <w:sz w:val="18"/>
                <w:szCs w:val="18"/>
              </w:rPr>
            </w:pPr>
          </w:p>
          <w:p w14:paraId="7858A833" w14:textId="77777777" w:rsidR="00E24250" w:rsidRDefault="00E24250" w:rsidP="00A96316">
            <w:pPr>
              <w:rPr>
                <w:rFonts w:cs="Arial"/>
                <w:sz w:val="18"/>
                <w:szCs w:val="18"/>
              </w:rPr>
            </w:pPr>
          </w:p>
          <w:p w14:paraId="7C399473" w14:textId="77777777" w:rsidR="00E24250" w:rsidRDefault="00E24250" w:rsidP="00A96316">
            <w:pPr>
              <w:rPr>
                <w:rFonts w:cs="Arial"/>
                <w:sz w:val="18"/>
                <w:szCs w:val="18"/>
              </w:rPr>
            </w:pPr>
          </w:p>
          <w:p w14:paraId="4800FD95" w14:textId="77777777" w:rsidR="00E24250" w:rsidRDefault="00E24250" w:rsidP="00A96316">
            <w:pPr>
              <w:rPr>
                <w:rFonts w:cs="Arial"/>
                <w:sz w:val="18"/>
                <w:szCs w:val="18"/>
              </w:rPr>
            </w:pPr>
          </w:p>
          <w:p w14:paraId="690D1611" w14:textId="77777777" w:rsidR="00E24250" w:rsidRDefault="00E24250" w:rsidP="00A96316">
            <w:pPr>
              <w:rPr>
                <w:rFonts w:cs="Arial"/>
                <w:sz w:val="18"/>
                <w:szCs w:val="18"/>
              </w:rPr>
            </w:pPr>
          </w:p>
          <w:p w14:paraId="36147B52" w14:textId="77777777" w:rsidR="00E24250" w:rsidRDefault="00E24250" w:rsidP="00A96316">
            <w:pPr>
              <w:rPr>
                <w:rFonts w:cs="Arial"/>
                <w:sz w:val="18"/>
                <w:szCs w:val="18"/>
              </w:rPr>
            </w:pPr>
            <w:r w:rsidRPr="0077066D">
              <w:rPr>
                <w:rFonts w:cs="Arial"/>
                <w:sz w:val="18"/>
                <w:szCs w:val="18"/>
              </w:rPr>
              <w:t>S</w:t>
            </w:r>
            <w:r>
              <w:rPr>
                <w:rFonts w:cs="Arial"/>
                <w:sz w:val="18"/>
                <w:szCs w:val="18"/>
              </w:rPr>
              <w:t>.</w:t>
            </w:r>
            <w:r w:rsidRPr="0077066D">
              <w:rPr>
                <w:rFonts w:cs="Arial"/>
                <w:sz w:val="18"/>
                <w:szCs w:val="18"/>
              </w:rPr>
              <w:t xml:space="preserve"> Henderson</w:t>
            </w:r>
            <w:r>
              <w:rPr>
                <w:rFonts w:cs="Arial"/>
                <w:sz w:val="18"/>
                <w:szCs w:val="18"/>
              </w:rPr>
              <w:t xml:space="preserve"> (previous DDG- EPWP)</w:t>
            </w:r>
          </w:p>
          <w:p w14:paraId="4ACBB6E7" w14:textId="77777777" w:rsidR="00E24250" w:rsidRDefault="00E24250" w:rsidP="00A96316">
            <w:pPr>
              <w:rPr>
                <w:rFonts w:cs="Arial"/>
                <w:sz w:val="18"/>
                <w:szCs w:val="18"/>
              </w:rPr>
            </w:pPr>
          </w:p>
          <w:p w14:paraId="0434AC04" w14:textId="77777777" w:rsidR="00E24250" w:rsidRDefault="00E24250" w:rsidP="00A96316">
            <w:pPr>
              <w:rPr>
                <w:rFonts w:cs="Arial"/>
                <w:sz w:val="18"/>
                <w:szCs w:val="18"/>
              </w:rPr>
            </w:pPr>
          </w:p>
          <w:p w14:paraId="73B7BEBC" w14:textId="77777777" w:rsidR="00E24250" w:rsidRDefault="00E24250" w:rsidP="00A96316">
            <w:pPr>
              <w:rPr>
                <w:rFonts w:cs="Arial"/>
                <w:sz w:val="18"/>
                <w:szCs w:val="18"/>
              </w:rPr>
            </w:pPr>
          </w:p>
          <w:p w14:paraId="6B1D35B8" w14:textId="77777777" w:rsidR="00E24250" w:rsidRDefault="00E24250" w:rsidP="00A96316">
            <w:pPr>
              <w:rPr>
                <w:rFonts w:cs="Arial"/>
                <w:sz w:val="18"/>
                <w:szCs w:val="18"/>
              </w:rPr>
            </w:pPr>
          </w:p>
          <w:p w14:paraId="5AA2C4C2" w14:textId="77777777" w:rsidR="00E24250" w:rsidRDefault="00E24250" w:rsidP="00A96316">
            <w:pPr>
              <w:rPr>
                <w:rFonts w:cs="Arial"/>
                <w:sz w:val="18"/>
                <w:szCs w:val="18"/>
              </w:rPr>
            </w:pPr>
          </w:p>
          <w:p w14:paraId="31633C7D" w14:textId="77777777" w:rsidR="00E24250" w:rsidRDefault="00E24250" w:rsidP="00A96316">
            <w:pPr>
              <w:rPr>
                <w:rFonts w:cs="Arial"/>
                <w:sz w:val="18"/>
                <w:szCs w:val="18"/>
              </w:rPr>
            </w:pPr>
          </w:p>
          <w:p w14:paraId="47146479" w14:textId="77777777" w:rsidR="00E24250" w:rsidRDefault="00E24250" w:rsidP="00A96316">
            <w:pPr>
              <w:rPr>
                <w:rFonts w:cs="Arial"/>
                <w:sz w:val="18"/>
                <w:szCs w:val="18"/>
              </w:rPr>
            </w:pPr>
          </w:p>
          <w:p w14:paraId="745F405C" w14:textId="77777777" w:rsidR="00E24250" w:rsidRDefault="00E24250" w:rsidP="00A96316">
            <w:pPr>
              <w:rPr>
                <w:rFonts w:cs="Arial"/>
                <w:sz w:val="18"/>
                <w:szCs w:val="18"/>
              </w:rPr>
            </w:pPr>
          </w:p>
          <w:p w14:paraId="0534F16D" w14:textId="77777777" w:rsidR="00E24250" w:rsidRDefault="00E24250" w:rsidP="00A96316">
            <w:pPr>
              <w:rPr>
                <w:rFonts w:cs="Arial"/>
                <w:sz w:val="18"/>
                <w:szCs w:val="18"/>
              </w:rPr>
            </w:pPr>
          </w:p>
          <w:p w14:paraId="5B1E9A91" w14:textId="77777777" w:rsidR="00E24250" w:rsidRDefault="00E24250" w:rsidP="00A96316">
            <w:pPr>
              <w:rPr>
                <w:rFonts w:cs="Arial"/>
                <w:sz w:val="18"/>
                <w:szCs w:val="18"/>
              </w:rPr>
            </w:pPr>
          </w:p>
          <w:p w14:paraId="401CA0D1" w14:textId="77777777" w:rsidR="00E24250" w:rsidRDefault="00E24250" w:rsidP="00A96316">
            <w:pPr>
              <w:rPr>
                <w:rFonts w:cs="Arial"/>
                <w:sz w:val="18"/>
                <w:szCs w:val="18"/>
              </w:rPr>
            </w:pPr>
          </w:p>
          <w:p w14:paraId="25523A3C" w14:textId="77777777" w:rsidR="00E24250" w:rsidRDefault="00E24250" w:rsidP="00A96316">
            <w:pPr>
              <w:rPr>
                <w:rFonts w:cs="Arial"/>
                <w:sz w:val="18"/>
                <w:szCs w:val="18"/>
              </w:rPr>
            </w:pPr>
          </w:p>
          <w:p w14:paraId="5E90CE23" w14:textId="77777777" w:rsidR="00E24250" w:rsidRDefault="00E24250" w:rsidP="00A96316">
            <w:pPr>
              <w:rPr>
                <w:rFonts w:cs="Arial"/>
                <w:sz w:val="18"/>
                <w:szCs w:val="18"/>
              </w:rPr>
            </w:pPr>
          </w:p>
          <w:p w14:paraId="7440F359" w14:textId="77777777" w:rsidR="00E24250" w:rsidRDefault="00E24250" w:rsidP="00A96316">
            <w:pPr>
              <w:rPr>
                <w:rFonts w:cs="Arial"/>
                <w:sz w:val="18"/>
                <w:szCs w:val="18"/>
              </w:rPr>
            </w:pPr>
          </w:p>
          <w:p w14:paraId="7AC486FA" w14:textId="77777777" w:rsidR="00E24250" w:rsidRPr="00540594" w:rsidRDefault="00E24250" w:rsidP="00A96316">
            <w:pPr>
              <w:rPr>
                <w:rFonts w:cs="Arial"/>
                <w:sz w:val="18"/>
                <w:szCs w:val="18"/>
              </w:rPr>
            </w:pPr>
            <w:r>
              <w:rPr>
                <w:rFonts w:cs="Arial"/>
                <w:sz w:val="18"/>
                <w:szCs w:val="18"/>
              </w:rPr>
              <w:t xml:space="preserve">M. </w:t>
            </w:r>
            <w:proofErr w:type="spellStart"/>
            <w:r w:rsidRPr="00763703">
              <w:rPr>
                <w:rFonts w:cs="Arial"/>
                <w:sz w:val="18"/>
                <w:szCs w:val="18"/>
              </w:rPr>
              <w:t>Sazona</w:t>
            </w:r>
            <w:proofErr w:type="spellEnd"/>
            <w:r>
              <w:rPr>
                <w:rFonts w:cs="Arial"/>
                <w:sz w:val="18"/>
                <w:szCs w:val="18"/>
              </w:rPr>
              <w:t xml:space="preserve"> (Chief Director: Prestige)</w:t>
            </w:r>
          </w:p>
        </w:tc>
        <w:tc>
          <w:tcPr>
            <w:tcW w:w="1801" w:type="dxa"/>
            <w:vAlign w:val="center"/>
          </w:tcPr>
          <w:p w14:paraId="607B2984" w14:textId="77777777" w:rsidR="00E24250" w:rsidRDefault="00E24250" w:rsidP="00A96316">
            <w:pPr>
              <w:rPr>
                <w:rFonts w:cs="Arial"/>
                <w:sz w:val="18"/>
                <w:szCs w:val="18"/>
              </w:rPr>
            </w:pPr>
          </w:p>
          <w:p w14:paraId="6FF4A12A" w14:textId="77777777" w:rsidR="00E24250" w:rsidRDefault="00E24250" w:rsidP="00A96316">
            <w:pPr>
              <w:rPr>
                <w:rFonts w:cs="Arial"/>
                <w:sz w:val="18"/>
                <w:szCs w:val="18"/>
              </w:rPr>
            </w:pPr>
          </w:p>
          <w:p w14:paraId="16D7BDE6" w14:textId="77777777" w:rsidR="00E24250" w:rsidRDefault="00E24250" w:rsidP="00A96316">
            <w:pPr>
              <w:rPr>
                <w:rFonts w:cs="Arial"/>
                <w:sz w:val="18"/>
                <w:szCs w:val="18"/>
              </w:rPr>
            </w:pPr>
          </w:p>
          <w:p w14:paraId="6D9CDAEC" w14:textId="77777777" w:rsidR="00E24250" w:rsidRDefault="00E24250" w:rsidP="00A96316">
            <w:pPr>
              <w:rPr>
                <w:rFonts w:cs="Arial"/>
                <w:sz w:val="18"/>
                <w:szCs w:val="18"/>
              </w:rPr>
            </w:pPr>
          </w:p>
          <w:p w14:paraId="35877CAE" w14:textId="77777777" w:rsidR="00E24250" w:rsidRDefault="00E24250" w:rsidP="00A96316">
            <w:pPr>
              <w:rPr>
                <w:rFonts w:cs="Arial"/>
                <w:sz w:val="18"/>
                <w:szCs w:val="18"/>
              </w:rPr>
            </w:pPr>
          </w:p>
          <w:p w14:paraId="29C6FD3F" w14:textId="77777777" w:rsidR="00E24250" w:rsidRDefault="00E24250" w:rsidP="00A96316">
            <w:pPr>
              <w:rPr>
                <w:rFonts w:cs="Arial"/>
                <w:sz w:val="18"/>
                <w:szCs w:val="18"/>
              </w:rPr>
            </w:pPr>
          </w:p>
          <w:p w14:paraId="51EE3227" w14:textId="77777777" w:rsidR="00E24250" w:rsidRDefault="00E24250" w:rsidP="00A96316">
            <w:pPr>
              <w:rPr>
                <w:rFonts w:cs="Arial"/>
                <w:sz w:val="18"/>
                <w:szCs w:val="18"/>
              </w:rPr>
            </w:pPr>
          </w:p>
          <w:p w14:paraId="3A06DAF5" w14:textId="77777777" w:rsidR="00E24250" w:rsidRDefault="00E24250" w:rsidP="00A96316">
            <w:pPr>
              <w:rPr>
                <w:rFonts w:cs="Arial"/>
                <w:sz w:val="18"/>
                <w:szCs w:val="18"/>
              </w:rPr>
            </w:pPr>
          </w:p>
          <w:p w14:paraId="340ACC36" w14:textId="77777777" w:rsidR="00E24250" w:rsidRDefault="00E24250" w:rsidP="00A96316">
            <w:pPr>
              <w:rPr>
                <w:rFonts w:cs="Arial"/>
                <w:sz w:val="18"/>
                <w:szCs w:val="18"/>
              </w:rPr>
            </w:pPr>
          </w:p>
          <w:p w14:paraId="1D48F9FA" w14:textId="77777777" w:rsidR="00E24250" w:rsidRDefault="00E24250" w:rsidP="00A96316">
            <w:pPr>
              <w:rPr>
                <w:rFonts w:cs="Arial"/>
                <w:sz w:val="18"/>
                <w:szCs w:val="18"/>
              </w:rPr>
            </w:pPr>
          </w:p>
          <w:p w14:paraId="13AAB4CE" w14:textId="77777777" w:rsidR="00E24250" w:rsidRDefault="00E24250" w:rsidP="00A96316">
            <w:pPr>
              <w:rPr>
                <w:rFonts w:cs="Arial"/>
                <w:sz w:val="18"/>
                <w:szCs w:val="18"/>
              </w:rPr>
            </w:pPr>
            <w:r>
              <w:rPr>
                <w:rFonts w:cs="Arial"/>
                <w:sz w:val="18"/>
                <w:szCs w:val="18"/>
              </w:rPr>
              <w:t xml:space="preserve">Similar findings were identified </w:t>
            </w:r>
            <w:r w:rsidRPr="00540594">
              <w:rPr>
                <w:rFonts w:cs="Arial"/>
                <w:sz w:val="18"/>
                <w:szCs w:val="18"/>
              </w:rPr>
              <w:t xml:space="preserve">during interim </w:t>
            </w:r>
            <w:r>
              <w:rPr>
                <w:rFonts w:cs="Arial"/>
                <w:sz w:val="18"/>
                <w:szCs w:val="18"/>
              </w:rPr>
              <w:t xml:space="preserve">and final </w:t>
            </w:r>
            <w:r w:rsidRPr="00540594">
              <w:rPr>
                <w:rFonts w:cs="Arial"/>
                <w:sz w:val="18"/>
                <w:szCs w:val="18"/>
              </w:rPr>
              <w:t>audit</w:t>
            </w:r>
          </w:p>
          <w:p w14:paraId="16E6F32B" w14:textId="77777777" w:rsidR="00E24250" w:rsidRDefault="00E24250" w:rsidP="00A96316">
            <w:pPr>
              <w:rPr>
                <w:rFonts w:cs="Arial"/>
                <w:sz w:val="18"/>
                <w:szCs w:val="18"/>
              </w:rPr>
            </w:pPr>
          </w:p>
          <w:p w14:paraId="350B722B" w14:textId="77777777" w:rsidR="00E24250" w:rsidRDefault="00E24250" w:rsidP="00A96316">
            <w:pPr>
              <w:rPr>
                <w:rFonts w:cs="Arial"/>
                <w:sz w:val="18"/>
                <w:szCs w:val="18"/>
              </w:rPr>
            </w:pPr>
          </w:p>
          <w:p w14:paraId="1327A248" w14:textId="77777777" w:rsidR="00E24250" w:rsidRDefault="00E24250" w:rsidP="00A96316">
            <w:pPr>
              <w:rPr>
                <w:rFonts w:cs="Arial"/>
                <w:sz w:val="18"/>
                <w:szCs w:val="18"/>
              </w:rPr>
            </w:pPr>
          </w:p>
          <w:p w14:paraId="728962A5" w14:textId="77777777" w:rsidR="00E24250" w:rsidRDefault="00E24250" w:rsidP="00A96316">
            <w:pPr>
              <w:rPr>
                <w:rFonts w:cs="Arial"/>
                <w:sz w:val="18"/>
                <w:szCs w:val="18"/>
              </w:rPr>
            </w:pPr>
          </w:p>
          <w:p w14:paraId="1B9A4084" w14:textId="77777777" w:rsidR="00E24250" w:rsidRDefault="00E24250" w:rsidP="00A96316">
            <w:pPr>
              <w:rPr>
                <w:rFonts w:cs="Arial"/>
                <w:sz w:val="18"/>
                <w:szCs w:val="18"/>
              </w:rPr>
            </w:pPr>
          </w:p>
          <w:p w14:paraId="07A9C313" w14:textId="77777777" w:rsidR="00E24250" w:rsidRDefault="00E24250" w:rsidP="00A96316">
            <w:pPr>
              <w:rPr>
                <w:rFonts w:cs="Arial"/>
                <w:sz w:val="18"/>
                <w:szCs w:val="18"/>
              </w:rPr>
            </w:pPr>
          </w:p>
          <w:p w14:paraId="16AD6F72" w14:textId="77777777" w:rsidR="00E24250" w:rsidRDefault="00E24250" w:rsidP="00A96316">
            <w:pPr>
              <w:rPr>
                <w:rFonts w:cs="Arial"/>
                <w:sz w:val="18"/>
                <w:szCs w:val="18"/>
              </w:rPr>
            </w:pPr>
          </w:p>
          <w:p w14:paraId="16991D17" w14:textId="77777777" w:rsidR="00E24250" w:rsidRDefault="00E24250" w:rsidP="00A96316">
            <w:pPr>
              <w:rPr>
                <w:rFonts w:cs="Arial"/>
                <w:sz w:val="18"/>
                <w:szCs w:val="18"/>
              </w:rPr>
            </w:pPr>
          </w:p>
          <w:p w14:paraId="0AFDC96F" w14:textId="77777777" w:rsidR="00E24250" w:rsidRDefault="00E24250" w:rsidP="00A96316">
            <w:pPr>
              <w:rPr>
                <w:rFonts w:cs="Arial"/>
                <w:sz w:val="18"/>
                <w:szCs w:val="18"/>
              </w:rPr>
            </w:pPr>
          </w:p>
          <w:p w14:paraId="45256524" w14:textId="77777777" w:rsidR="00E24250" w:rsidRDefault="00E24250" w:rsidP="00A96316">
            <w:pPr>
              <w:rPr>
                <w:rFonts w:cs="Arial"/>
                <w:sz w:val="18"/>
                <w:szCs w:val="18"/>
              </w:rPr>
            </w:pPr>
          </w:p>
          <w:p w14:paraId="46A5EA4C" w14:textId="77777777" w:rsidR="00E24250" w:rsidRDefault="00E24250" w:rsidP="00A96316">
            <w:pPr>
              <w:rPr>
                <w:rFonts w:cs="Arial"/>
                <w:sz w:val="18"/>
                <w:szCs w:val="18"/>
              </w:rPr>
            </w:pPr>
          </w:p>
          <w:p w14:paraId="661A45BE" w14:textId="77777777" w:rsidR="00E24250" w:rsidRDefault="00E24250" w:rsidP="00A96316">
            <w:pPr>
              <w:rPr>
                <w:rFonts w:cs="Arial"/>
                <w:sz w:val="18"/>
                <w:szCs w:val="18"/>
              </w:rPr>
            </w:pPr>
          </w:p>
          <w:p w14:paraId="18F26597" w14:textId="77777777" w:rsidR="00E24250" w:rsidRDefault="00E24250" w:rsidP="00A96316">
            <w:pPr>
              <w:rPr>
                <w:rFonts w:cs="Arial"/>
                <w:sz w:val="18"/>
                <w:szCs w:val="18"/>
              </w:rPr>
            </w:pPr>
          </w:p>
          <w:p w14:paraId="263003FC" w14:textId="77777777" w:rsidR="00E24250" w:rsidRDefault="00E24250" w:rsidP="00A96316">
            <w:pPr>
              <w:rPr>
                <w:rFonts w:cs="Arial"/>
                <w:sz w:val="18"/>
                <w:szCs w:val="18"/>
              </w:rPr>
            </w:pPr>
          </w:p>
          <w:p w14:paraId="1B15A1E2" w14:textId="77777777" w:rsidR="00E24250" w:rsidRDefault="00E24250" w:rsidP="00A96316">
            <w:pPr>
              <w:rPr>
                <w:rFonts w:cs="Arial"/>
                <w:sz w:val="18"/>
                <w:szCs w:val="18"/>
              </w:rPr>
            </w:pPr>
            <w:r>
              <w:rPr>
                <w:rFonts w:cs="Arial"/>
                <w:sz w:val="18"/>
                <w:szCs w:val="18"/>
              </w:rPr>
              <w:t>Prestige was not scoped in in the current year</w:t>
            </w:r>
          </w:p>
          <w:p w14:paraId="27F00B95" w14:textId="77777777" w:rsidR="00E24250" w:rsidRPr="00540594" w:rsidRDefault="00E24250" w:rsidP="00A96316">
            <w:pPr>
              <w:rPr>
                <w:rFonts w:cs="Arial"/>
                <w:sz w:val="18"/>
                <w:szCs w:val="18"/>
              </w:rPr>
            </w:pPr>
          </w:p>
        </w:tc>
        <w:tc>
          <w:tcPr>
            <w:tcW w:w="1357" w:type="dxa"/>
            <w:vAlign w:val="center"/>
          </w:tcPr>
          <w:p w14:paraId="3EF91A9C" w14:textId="77777777" w:rsidR="00E24250" w:rsidRPr="00540594" w:rsidRDefault="00E24250" w:rsidP="00A96316">
            <w:pPr>
              <w:rPr>
                <w:rFonts w:cs="Arial"/>
                <w:sz w:val="18"/>
                <w:szCs w:val="18"/>
              </w:rPr>
            </w:pPr>
            <w:r w:rsidRPr="00540594">
              <w:rPr>
                <w:rFonts w:cs="Arial"/>
                <w:sz w:val="18"/>
                <w:szCs w:val="18"/>
              </w:rPr>
              <w:t>In Progress</w:t>
            </w:r>
          </w:p>
        </w:tc>
      </w:tr>
      <w:tr w:rsidR="00E24250" w:rsidRPr="00540594" w14:paraId="3F28B89D" w14:textId="77777777" w:rsidTr="00E24250">
        <w:tc>
          <w:tcPr>
            <w:tcW w:w="535" w:type="dxa"/>
            <w:vAlign w:val="center"/>
          </w:tcPr>
          <w:p w14:paraId="19509C62" w14:textId="77777777" w:rsidR="00E24250" w:rsidRPr="00540594" w:rsidRDefault="00E24250" w:rsidP="00A96316">
            <w:pPr>
              <w:rPr>
                <w:rFonts w:cs="Arial"/>
                <w:sz w:val="18"/>
                <w:szCs w:val="18"/>
              </w:rPr>
            </w:pPr>
            <w:r>
              <w:rPr>
                <w:rFonts w:cs="Arial"/>
                <w:sz w:val="18"/>
                <w:szCs w:val="18"/>
              </w:rPr>
              <w:t>5</w:t>
            </w:r>
          </w:p>
        </w:tc>
        <w:tc>
          <w:tcPr>
            <w:tcW w:w="4130" w:type="dxa"/>
          </w:tcPr>
          <w:p w14:paraId="448C1AC4" w14:textId="77777777" w:rsidR="00E24250" w:rsidRPr="00763703" w:rsidRDefault="00E24250" w:rsidP="00A96316">
            <w:pPr>
              <w:jc w:val="both"/>
              <w:rPr>
                <w:rFonts w:cs="Arial"/>
                <w:b/>
                <w:sz w:val="18"/>
                <w:szCs w:val="18"/>
                <w:u w:val="single"/>
              </w:rPr>
            </w:pPr>
            <w:r w:rsidRPr="00763703">
              <w:rPr>
                <w:rFonts w:cs="Arial"/>
                <w:b/>
                <w:sz w:val="18"/>
                <w:szCs w:val="18"/>
                <w:u w:val="single"/>
              </w:rPr>
              <w:t>Inadequate Contract Management that resulted in Irregular Expenditure</w:t>
            </w:r>
          </w:p>
          <w:p w14:paraId="4DEBAFC3" w14:textId="77777777" w:rsidR="00E24250" w:rsidRDefault="00E24250" w:rsidP="00A96316">
            <w:pPr>
              <w:jc w:val="both"/>
              <w:rPr>
                <w:rFonts w:cs="Arial"/>
                <w:sz w:val="18"/>
                <w:szCs w:val="18"/>
              </w:rPr>
            </w:pPr>
          </w:p>
          <w:p w14:paraId="65C2AE85" w14:textId="77777777" w:rsidR="00E24250" w:rsidRPr="00763703" w:rsidRDefault="00E24250" w:rsidP="00A96316">
            <w:pPr>
              <w:jc w:val="both"/>
              <w:rPr>
                <w:rFonts w:cs="Arial"/>
                <w:sz w:val="18"/>
                <w:szCs w:val="18"/>
              </w:rPr>
            </w:pPr>
            <w:r w:rsidRPr="00763703">
              <w:rPr>
                <w:rFonts w:cs="Arial"/>
                <w:sz w:val="18"/>
                <w:szCs w:val="18"/>
              </w:rPr>
              <w:lastRenderedPageBreak/>
              <w:t xml:space="preserve">(a) Develop a checklist for requisition and verification </w:t>
            </w:r>
          </w:p>
          <w:p w14:paraId="78AE069F" w14:textId="77777777" w:rsidR="00E24250" w:rsidRPr="00763703" w:rsidRDefault="00E24250" w:rsidP="00A96316">
            <w:pPr>
              <w:jc w:val="both"/>
              <w:rPr>
                <w:rFonts w:cs="Arial"/>
                <w:sz w:val="18"/>
                <w:szCs w:val="18"/>
              </w:rPr>
            </w:pPr>
            <w:r w:rsidRPr="00763703">
              <w:rPr>
                <w:rFonts w:cs="Arial"/>
                <w:sz w:val="18"/>
                <w:szCs w:val="18"/>
              </w:rPr>
              <w:t xml:space="preserve">(b) Segregation of duties between Events management and Finance section. </w:t>
            </w:r>
          </w:p>
          <w:p w14:paraId="4740E797" w14:textId="77777777" w:rsidR="00E24250" w:rsidRDefault="00E24250" w:rsidP="00A96316">
            <w:pPr>
              <w:jc w:val="both"/>
              <w:rPr>
                <w:rFonts w:cs="Arial"/>
                <w:sz w:val="18"/>
                <w:szCs w:val="18"/>
              </w:rPr>
            </w:pPr>
            <w:r w:rsidRPr="00763703">
              <w:rPr>
                <w:rFonts w:cs="Arial"/>
                <w:sz w:val="18"/>
                <w:szCs w:val="18"/>
              </w:rPr>
              <w:t>(c) Prestige and SCM to perform reconciliation between invoice and quotation</w:t>
            </w:r>
          </w:p>
          <w:p w14:paraId="20016001" w14:textId="77777777" w:rsidR="00E24250" w:rsidRDefault="00E24250" w:rsidP="00A96316">
            <w:pPr>
              <w:jc w:val="both"/>
              <w:rPr>
                <w:rFonts w:cs="Arial"/>
                <w:sz w:val="18"/>
                <w:szCs w:val="18"/>
              </w:rPr>
            </w:pPr>
          </w:p>
          <w:p w14:paraId="6FCCB929" w14:textId="77777777" w:rsidR="00E24250" w:rsidRPr="00763703" w:rsidRDefault="00E24250" w:rsidP="00A96316">
            <w:pPr>
              <w:jc w:val="both"/>
              <w:rPr>
                <w:rFonts w:cs="Arial"/>
                <w:sz w:val="18"/>
                <w:szCs w:val="18"/>
              </w:rPr>
            </w:pPr>
            <w:r w:rsidRPr="00763703">
              <w:rPr>
                <w:rFonts w:cs="Arial"/>
                <w:sz w:val="18"/>
                <w:szCs w:val="18"/>
              </w:rPr>
              <w:t xml:space="preserve">a) SCM will issue a Circular requiring submission of all contract related records to Legal Services for placement on the tender (Pink) file. </w:t>
            </w:r>
          </w:p>
          <w:p w14:paraId="1BE85FF2" w14:textId="77777777" w:rsidR="00E24250" w:rsidRPr="00763703" w:rsidRDefault="00E24250" w:rsidP="00A96316">
            <w:pPr>
              <w:jc w:val="both"/>
              <w:rPr>
                <w:rFonts w:cs="Arial"/>
                <w:sz w:val="18"/>
                <w:szCs w:val="18"/>
              </w:rPr>
            </w:pPr>
            <w:r w:rsidRPr="00763703">
              <w:rPr>
                <w:rFonts w:cs="Arial"/>
                <w:sz w:val="18"/>
                <w:szCs w:val="18"/>
              </w:rPr>
              <w:t>b) To provide internal workshop for Project Managers throughout the Department to be aware of applicable rules within the Contract Management space.</w:t>
            </w:r>
          </w:p>
          <w:p w14:paraId="3CB578BE" w14:textId="77777777" w:rsidR="00E24250" w:rsidRDefault="00E24250" w:rsidP="00A96316">
            <w:pPr>
              <w:jc w:val="both"/>
              <w:rPr>
                <w:rFonts w:cs="Arial"/>
                <w:sz w:val="18"/>
                <w:szCs w:val="18"/>
              </w:rPr>
            </w:pPr>
            <w:r w:rsidRPr="00763703">
              <w:rPr>
                <w:rFonts w:cs="Arial"/>
                <w:sz w:val="18"/>
                <w:szCs w:val="18"/>
              </w:rPr>
              <w:t>c) Utilisation of Paper trail for electronic storing of documents</w:t>
            </w:r>
          </w:p>
          <w:p w14:paraId="18E5E2D9" w14:textId="77777777" w:rsidR="00E24250" w:rsidRPr="00540594" w:rsidRDefault="00E24250" w:rsidP="00A96316">
            <w:pPr>
              <w:jc w:val="both"/>
              <w:rPr>
                <w:rFonts w:cs="Arial"/>
                <w:sz w:val="18"/>
                <w:szCs w:val="18"/>
              </w:rPr>
            </w:pPr>
          </w:p>
        </w:tc>
        <w:tc>
          <w:tcPr>
            <w:tcW w:w="1805" w:type="dxa"/>
            <w:vAlign w:val="center"/>
          </w:tcPr>
          <w:p w14:paraId="463C5FCB" w14:textId="77777777" w:rsidR="00E24250" w:rsidRPr="00540594" w:rsidRDefault="00E24250" w:rsidP="00A96316">
            <w:pPr>
              <w:rPr>
                <w:rFonts w:cs="Arial"/>
                <w:sz w:val="18"/>
                <w:szCs w:val="18"/>
              </w:rPr>
            </w:pPr>
            <w:r>
              <w:rPr>
                <w:rFonts w:cs="Arial"/>
                <w:sz w:val="18"/>
                <w:szCs w:val="18"/>
              </w:rPr>
              <w:lastRenderedPageBreak/>
              <w:t xml:space="preserve">R. </w:t>
            </w:r>
            <w:r w:rsidRPr="00265035">
              <w:rPr>
                <w:rFonts w:cs="Arial"/>
                <w:sz w:val="18"/>
                <w:szCs w:val="18"/>
              </w:rPr>
              <w:t>Naidoo</w:t>
            </w:r>
            <w:r>
              <w:rPr>
                <w:rFonts w:cs="Arial"/>
                <w:sz w:val="18"/>
                <w:szCs w:val="18"/>
              </w:rPr>
              <w:t xml:space="preserve"> (ADDG: Supply Chain Management)</w:t>
            </w:r>
          </w:p>
        </w:tc>
        <w:tc>
          <w:tcPr>
            <w:tcW w:w="1801" w:type="dxa"/>
            <w:vAlign w:val="center"/>
          </w:tcPr>
          <w:p w14:paraId="1533DB18" w14:textId="77777777" w:rsidR="00E24250" w:rsidRDefault="00E24250" w:rsidP="00A96316">
            <w:pPr>
              <w:rPr>
                <w:rFonts w:cs="Arial"/>
                <w:sz w:val="18"/>
                <w:szCs w:val="18"/>
              </w:rPr>
            </w:pPr>
          </w:p>
          <w:p w14:paraId="0168F43A" w14:textId="77777777" w:rsidR="00E24250" w:rsidRPr="00540594" w:rsidRDefault="00E24250" w:rsidP="00995B91">
            <w:pPr>
              <w:jc w:val="both"/>
              <w:rPr>
                <w:rFonts w:cs="Arial"/>
                <w:sz w:val="18"/>
                <w:szCs w:val="18"/>
              </w:rPr>
            </w:pPr>
            <w:r>
              <w:rPr>
                <w:rFonts w:cs="Arial"/>
                <w:sz w:val="18"/>
                <w:szCs w:val="18"/>
              </w:rPr>
              <w:t xml:space="preserve">The finding was identified in the </w:t>
            </w:r>
            <w:r>
              <w:rPr>
                <w:rFonts w:cs="Arial"/>
                <w:sz w:val="18"/>
                <w:szCs w:val="18"/>
              </w:rPr>
              <w:lastRenderedPageBreak/>
              <w:t xml:space="preserve">current </w:t>
            </w:r>
            <w:proofErr w:type="gramStart"/>
            <w:r>
              <w:rPr>
                <w:rFonts w:cs="Arial"/>
                <w:sz w:val="18"/>
                <w:szCs w:val="18"/>
              </w:rPr>
              <w:t>period,</w:t>
            </w:r>
            <w:proofErr w:type="gramEnd"/>
            <w:r>
              <w:rPr>
                <w:rFonts w:cs="Arial"/>
                <w:sz w:val="18"/>
                <w:szCs w:val="18"/>
              </w:rPr>
              <w:t xml:space="preserve"> however </w:t>
            </w:r>
            <w:r w:rsidR="00995B91">
              <w:rPr>
                <w:rFonts w:cs="Arial"/>
                <w:sz w:val="18"/>
                <w:szCs w:val="18"/>
              </w:rPr>
              <w:t xml:space="preserve">the amounts involved were much lower than previous year. </w:t>
            </w:r>
            <w:r w:rsidRPr="00540594">
              <w:rPr>
                <w:rFonts w:cs="Arial"/>
                <w:sz w:val="18"/>
                <w:szCs w:val="18"/>
              </w:rPr>
              <w:t xml:space="preserve">Follows ups </w:t>
            </w:r>
            <w:proofErr w:type="gramStart"/>
            <w:r w:rsidRPr="00540594">
              <w:rPr>
                <w:rFonts w:cs="Arial"/>
                <w:sz w:val="18"/>
                <w:szCs w:val="18"/>
              </w:rPr>
              <w:t>will be made</w:t>
            </w:r>
            <w:proofErr w:type="gramEnd"/>
            <w:r w:rsidRPr="00540594">
              <w:rPr>
                <w:rFonts w:cs="Arial"/>
                <w:sz w:val="18"/>
                <w:szCs w:val="18"/>
              </w:rPr>
              <w:t xml:space="preserve"> during </w:t>
            </w:r>
            <w:r>
              <w:rPr>
                <w:rFonts w:cs="Arial"/>
                <w:sz w:val="18"/>
                <w:szCs w:val="18"/>
              </w:rPr>
              <w:t>the next audit cycle.</w:t>
            </w:r>
          </w:p>
        </w:tc>
        <w:tc>
          <w:tcPr>
            <w:tcW w:w="1357" w:type="dxa"/>
            <w:vAlign w:val="center"/>
          </w:tcPr>
          <w:p w14:paraId="326DF3A4" w14:textId="77777777" w:rsidR="00E24250" w:rsidRPr="00540594" w:rsidRDefault="00E24250" w:rsidP="00A96316">
            <w:pPr>
              <w:jc w:val="both"/>
              <w:rPr>
                <w:rFonts w:cs="Arial"/>
                <w:sz w:val="18"/>
                <w:szCs w:val="18"/>
              </w:rPr>
            </w:pPr>
            <w:r w:rsidRPr="00540594">
              <w:rPr>
                <w:rFonts w:cs="Arial"/>
                <w:sz w:val="18"/>
                <w:szCs w:val="18"/>
              </w:rPr>
              <w:lastRenderedPageBreak/>
              <w:t>In Progress</w:t>
            </w:r>
          </w:p>
        </w:tc>
      </w:tr>
      <w:tr w:rsidR="00E24250" w:rsidRPr="00540594" w14:paraId="0FB7CF12" w14:textId="77777777" w:rsidTr="00E24250">
        <w:tc>
          <w:tcPr>
            <w:tcW w:w="535" w:type="dxa"/>
          </w:tcPr>
          <w:p w14:paraId="183F42CE" w14:textId="77777777" w:rsidR="00E24250" w:rsidRPr="00540594" w:rsidRDefault="00E24250" w:rsidP="00A96316">
            <w:pPr>
              <w:jc w:val="both"/>
              <w:rPr>
                <w:rFonts w:cs="Arial"/>
                <w:sz w:val="18"/>
                <w:szCs w:val="18"/>
              </w:rPr>
            </w:pPr>
          </w:p>
        </w:tc>
        <w:tc>
          <w:tcPr>
            <w:tcW w:w="4130" w:type="dxa"/>
          </w:tcPr>
          <w:p w14:paraId="4DF299E0" w14:textId="77777777" w:rsidR="00E24250" w:rsidRPr="00E46613" w:rsidRDefault="00E24250" w:rsidP="00A96316">
            <w:pPr>
              <w:jc w:val="both"/>
              <w:rPr>
                <w:rFonts w:cs="Arial"/>
                <w:b/>
                <w:sz w:val="18"/>
                <w:szCs w:val="18"/>
                <w:u w:val="single"/>
              </w:rPr>
            </w:pPr>
            <w:r w:rsidRPr="00E46613">
              <w:rPr>
                <w:rFonts w:cs="Arial"/>
                <w:b/>
                <w:sz w:val="18"/>
                <w:szCs w:val="18"/>
                <w:u w:val="single"/>
              </w:rPr>
              <w:t>Information Technology</w:t>
            </w:r>
          </w:p>
          <w:p w14:paraId="6F05F353" w14:textId="77777777" w:rsidR="00E24250" w:rsidRDefault="00E24250" w:rsidP="00A96316">
            <w:pPr>
              <w:jc w:val="both"/>
              <w:rPr>
                <w:rFonts w:cs="Arial"/>
                <w:sz w:val="18"/>
                <w:szCs w:val="18"/>
              </w:rPr>
            </w:pPr>
          </w:p>
          <w:p w14:paraId="5254A5E5" w14:textId="77777777" w:rsidR="00E24250" w:rsidRPr="00E46613" w:rsidRDefault="00E24250" w:rsidP="00A96316">
            <w:pPr>
              <w:jc w:val="both"/>
              <w:rPr>
                <w:rFonts w:cs="Arial"/>
                <w:b/>
                <w:i/>
                <w:sz w:val="18"/>
                <w:szCs w:val="18"/>
              </w:rPr>
            </w:pPr>
            <w:r w:rsidRPr="00E46613">
              <w:rPr>
                <w:rFonts w:cs="Arial"/>
                <w:b/>
                <w:i/>
                <w:sz w:val="18"/>
                <w:szCs w:val="18"/>
              </w:rPr>
              <w:t>Inadequate Security Management controls</w:t>
            </w:r>
          </w:p>
          <w:p w14:paraId="146D2E04" w14:textId="77777777" w:rsidR="00E24250" w:rsidRDefault="00E24250" w:rsidP="00A96316">
            <w:pPr>
              <w:jc w:val="both"/>
              <w:rPr>
                <w:rFonts w:cs="Arial"/>
                <w:sz w:val="18"/>
                <w:szCs w:val="18"/>
              </w:rPr>
            </w:pPr>
          </w:p>
          <w:p w14:paraId="3B8B118A" w14:textId="77777777" w:rsidR="00E24250" w:rsidRPr="00455376" w:rsidRDefault="00E24250" w:rsidP="00A96316">
            <w:pPr>
              <w:jc w:val="both"/>
              <w:rPr>
                <w:rFonts w:cs="Arial"/>
                <w:sz w:val="18"/>
                <w:szCs w:val="18"/>
              </w:rPr>
            </w:pPr>
            <w:r w:rsidRPr="00455376">
              <w:rPr>
                <w:rFonts w:cs="Arial"/>
                <w:sz w:val="18"/>
                <w:szCs w:val="18"/>
              </w:rPr>
              <w:t xml:space="preserve">a) Ensure that they expedite the process of approving the Account Management policy (31 October 2019). </w:t>
            </w:r>
          </w:p>
          <w:p w14:paraId="612CBCEA" w14:textId="77777777" w:rsidR="00E24250" w:rsidRPr="00455376" w:rsidRDefault="00E24250" w:rsidP="00A96316">
            <w:pPr>
              <w:jc w:val="both"/>
              <w:rPr>
                <w:rFonts w:cs="Arial"/>
                <w:sz w:val="18"/>
                <w:szCs w:val="18"/>
              </w:rPr>
            </w:pPr>
            <w:r w:rsidRPr="00455376">
              <w:rPr>
                <w:rFonts w:cs="Arial"/>
                <w:sz w:val="18"/>
                <w:szCs w:val="18"/>
              </w:rPr>
              <w:t>b) Ensure that the ICT introduces security questions to assist in identifying users for password reset (Part of the policy – 31 November 2019).</w:t>
            </w:r>
          </w:p>
          <w:p w14:paraId="0C58386C" w14:textId="77777777" w:rsidR="00E24250" w:rsidRPr="00455376" w:rsidRDefault="00E24250" w:rsidP="00A96316">
            <w:pPr>
              <w:jc w:val="both"/>
              <w:rPr>
                <w:rFonts w:cs="Arial"/>
                <w:sz w:val="18"/>
                <w:szCs w:val="18"/>
              </w:rPr>
            </w:pPr>
            <w:r w:rsidRPr="00455376">
              <w:rPr>
                <w:rFonts w:cs="Arial"/>
                <w:sz w:val="18"/>
                <w:szCs w:val="18"/>
              </w:rPr>
              <w:t>c) Ensure that the activities performed by the users with administrator access is reviewed on a regular basis to ensure that only authorised activities were perfor</w:t>
            </w:r>
            <w:r>
              <w:rPr>
                <w:rFonts w:cs="Arial"/>
                <w:sz w:val="18"/>
                <w:szCs w:val="18"/>
              </w:rPr>
              <w:t>med and evidence of review is</w:t>
            </w:r>
            <w:r w:rsidRPr="00455376">
              <w:rPr>
                <w:rFonts w:cs="Arial"/>
                <w:sz w:val="18"/>
                <w:szCs w:val="18"/>
              </w:rPr>
              <w:t xml:space="preserve"> retained for audit purposes (part of the policy 31 November 2019).</w:t>
            </w:r>
          </w:p>
          <w:p w14:paraId="2F7951CA" w14:textId="77777777" w:rsidR="00E24250" w:rsidRPr="00455376" w:rsidRDefault="00E24250" w:rsidP="00A96316">
            <w:pPr>
              <w:jc w:val="both"/>
              <w:rPr>
                <w:rFonts w:cs="Arial"/>
                <w:sz w:val="18"/>
                <w:szCs w:val="18"/>
              </w:rPr>
            </w:pPr>
            <w:r w:rsidRPr="00455376">
              <w:rPr>
                <w:rFonts w:cs="Arial"/>
                <w:sz w:val="18"/>
                <w:szCs w:val="18"/>
              </w:rPr>
              <w:t>d) Ensure that there is an implemented formal process to suspend/disable/terminate user access on Active Directory (part of the policy 31 November 2019).</w:t>
            </w:r>
          </w:p>
          <w:p w14:paraId="5C4381F5" w14:textId="77777777" w:rsidR="00E24250" w:rsidRPr="00455376" w:rsidRDefault="00E24250" w:rsidP="00A96316">
            <w:pPr>
              <w:jc w:val="both"/>
              <w:rPr>
                <w:rFonts w:cs="Arial"/>
                <w:sz w:val="18"/>
                <w:szCs w:val="18"/>
              </w:rPr>
            </w:pPr>
            <w:r w:rsidRPr="00455376">
              <w:rPr>
                <w:rFonts w:cs="Arial"/>
                <w:sz w:val="18"/>
                <w:szCs w:val="18"/>
              </w:rPr>
              <w:t>e) The ICT management should commit to findings resolution by implementing adequate user access controls within the AD environment (part of the policy 31 November 2019)</w:t>
            </w:r>
          </w:p>
          <w:p w14:paraId="24DD6A19" w14:textId="77777777" w:rsidR="00E24250" w:rsidRDefault="00E24250" w:rsidP="00A96316">
            <w:pPr>
              <w:jc w:val="both"/>
              <w:rPr>
                <w:rFonts w:cs="Arial"/>
                <w:sz w:val="18"/>
                <w:szCs w:val="18"/>
              </w:rPr>
            </w:pPr>
            <w:r w:rsidRPr="00455376">
              <w:rPr>
                <w:rFonts w:cs="Arial"/>
                <w:sz w:val="18"/>
                <w:szCs w:val="18"/>
              </w:rPr>
              <w:t>f) Execute consequence management if evidence of poor performance is established</w:t>
            </w:r>
            <w:r>
              <w:rPr>
                <w:rFonts w:cs="Arial"/>
                <w:sz w:val="18"/>
                <w:szCs w:val="18"/>
              </w:rPr>
              <w:t xml:space="preserve"> </w:t>
            </w:r>
            <w:r w:rsidRPr="00455376">
              <w:rPr>
                <w:rFonts w:cs="Arial"/>
                <w:sz w:val="18"/>
                <w:szCs w:val="18"/>
              </w:rPr>
              <w:t>(March 2020)</w:t>
            </w:r>
          </w:p>
          <w:p w14:paraId="5D3C0F9B" w14:textId="77777777" w:rsidR="00E24250" w:rsidRDefault="00E24250" w:rsidP="00A96316">
            <w:pPr>
              <w:jc w:val="both"/>
              <w:rPr>
                <w:rFonts w:cs="Arial"/>
                <w:sz w:val="18"/>
                <w:szCs w:val="18"/>
              </w:rPr>
            </w:pPr>
          </w:p>
          <w:p w14:paraId="642F94EF" w14:textId="77777777" w:rsidR="00E24250" w:rsidRDefault="00E24250" w:rsidP="00A96316">
            <w:pPr>
              <w:jc w:val="both"/>
              <w:rPr>
                <w:rFonts w:cs="Arial"/>
                <w:b/>
                <w:i/>
                <w:sz w:val="18"/>
                <w:szCs w:val="18"/>
              </w:rPr>
            </w:pPr>
            <w:r w:rsidRPr="00E46613">
              <w:rPr>
                <w:rFonts w:cs="Arial"/>
                <w:b/>
                <w:i/>
                <w:sz w:val="18"/>
                <w:szCs w:val="18"/>
              </w:rPr>
              <w:t>Inadequately implementation of the user account management policy on EPWPRS</w:t>
            </w:r>
          </w:p>
          <w:p w14:paraId="107176AF" w14:textId="77777777" w:rsidR="00E24250" w:rsidRDefault="00E24250" w:rsidP="00A96316">
            <w:pPr>
              <w:jc w:val="both"/>
              <w:rPr>
                <w:rFonts w:cs="Arial"/>
                <w:sz w:val="18"/>
                <w:szCs w:val="18"/>
              </w:rPr>
            </w:pPr>
          </w:p>
          <w:p w14:paraId="6BE2D397" w14:textId="77777777" w:rsidR="00E24250" w:rsidRDefault="00E24250" w:rsidP="00A96316">
            <w:pPr>
              <w:jc w:val="both"/>
              <w:rPr>
                <w:rFonts w:cs="Arial"/>
                <w:sz w:val="18"/>
                <w:szCs w:val="18"/>
              </w:rPr>
            </w:pPr>
            <w:r w:rsidRPr="00455376">
              <w:rPr>
                <w:rFonts w:cs="Arial"/>
                <w:sz w:val="18"/>
                <w:szCs w:val="18"/>
              </w:rPr>
              <w:lastRenderedPageBreak/>
              <w:t xml:space="preserve">Controls in this regard </w:t>
            </w:r>
            <w:proofErr w:type="gramStart"/>
            <w:r w:rsidRPr="00455376">
              <w:rPr>
                <w:rFonts w:cs="Arial"/>
                <w:sz w:val="18"/>
                <w:szCs w:val="18"/>
              </w:rPr>
              <w:t>are established</w:t>
            </w:r>
            <w:proofErr w:type="gramEnd"/>
            <w:r w:rsidRPr="00455376">
              <w:rPr>
                <w:rFonts w:cs="Arial"/>
                <w:sz w:val="18"/>
                <w:szCs w:val="18"/>
              </w:rPr>
              <w:t xml:space="preserve"> in Version 2 of the EPWP RS.  It </w:t>
            </w:r>
            <w:proofErr w:type="gramStart"/>
            <w:r w:rsidRPr="00455376">
              <w:rPr>
                <w:rFonts w:cs="Arial"/>
                <w:sz w:val="18"/>
                <w:szCs w:val="18"/>
              </w:rPr>
              <w:t>is expected</w:t>
            </w:r>
            <w:proofErr w:type="gramEnd"/>
            <w:r w:rsidRPr="00455376">
              <w:rPr>
                <w:rFonts w:cs="Arial"/>
                <w:sz w:val="18"/>
                <w:szCs w:val="18"/>
              </w:rPr>
              <w:t xml:space="preserve"> that this version will be implemented in 2020/21.</w:t>
            </w:r>
          </w:p>
          <w:p w14:paraId="77DC34A6" w14:textId="77777777" w:rsidR="00E24250" w:rsidRDefault="00E24250" w:rsidP="00A96316">
            <w:pPr>
              <w:jc w:val="both"/>
              <w:rPr>
                <w:rFonts w:cs="Arial"/>
                <w:sz w:val="18"/>
                <w:szCs w:val="18"/>
              </w:rPr>
            </w:pPr>
          </w:p>
          <w:p w14:paraId="55DCBA9E" w14:textId="77777777" w:rsidR="00E24250" w:rsidRDefault="00E24250" w:rsidP="00A96316">
            <w:pPr>
              <w:jc w:val="both"/>
              <w:rPr>
                <w:rFonts w:cs="Arial"/>
                <w:b/>
                <w:i/>
                <w:sz w:val="18"/>
                <w:szCs w:val="18"/>
              </w:rPr>
            </w:pPr>
            <w:r w:rsidRPr="00E46613">
              <w:rPr>
                <w:rFonts w:cs="Arial"/>
                <w:b/>
                <w:i/>
                <w:sz w:val="18"/>
                <w:szCs w:val="18"/>
              </w:rPr>
              <w:t>Inadequate IT service continuity controls</w:t>
            </w:r>
          </w:p>
          <w:p w14:paraId="0FF0120C" w14:textId="77777777" w:rsidR="00E24250" w:rsidRDefault="00E24250" w:rsidP="00A96316">
            <w:pPr>
              <w:jc w:val="both"/>
              <w:rPr>
                <w:rFonts w:cs="Arial"/>
                <w:b/>
                <w:i/>
                <w:sz w:val="18"/>
                <w:szCs w:val="18"/>
              </w:rPr>
            </w:pPr>
          </w:p>
          <w:p w14:paraId="07F11740" w14:textId="77777777" w:rsidR="00E24250" w:rsidRPr="00E46613" w:rsidRDefault="00E24250" w:rsidP="00A96316">
            <w:pPr>
              <w:jc w:val="both"/>
              <w:rPr>
                <w:rFonts w:cs="Arial"/>
                <w:sz w:val="18"/>
                <w:szCs w:val="18"/>
              </w:rPr>
            </w:pPr>
            <w:r w:rsidRPr="00E46613">
              <w:rPr>
                <w:rFonts w:cs="Arial"/>
                <w:sz w:val="18"/>
                <w:szCs w:val="18"/>
              </w:rPr>
              <w:t>a) Procurement of the Disaster Recovery Solution (1 November 2019)</w:t>
            </w:r>
          </w:p>
          <w:p w14:paraId="4715B144" w14:textId="77777777" w:rsidR="00E24250" w:rsidRPr="00E46613" w:rsidRDefault="00E24250" w:rsidP="00A96316">
            <w:pPr>
              <w:jc w:val="both"/>
              <w:rPr>
                <w:rFonts w:cs="Arial"/>
                <w:sz w:val="18"/>
                <w:szCs w:val="18"/>
              </w:rPr>
            </w:pPr>
            <w:r w:rsidRPr="00E46613">
              <w:rPr>
                <w:rFonts w:cs="Arial"/>
                <w:sz w:val="18"/>
                <w:szCs w:val="18"/>
              </w:rPr>
              <w:t>b) Testing Disaster Recovery Solution (1 January 2020)</w:t>
            </w:r>
          </w:p>
          <w:p w14:paraId="263E4E54" w14:textId="77777777" w:rsidR="00E24250" w:rsidRPr="00540594" w:rsidRDefault="00E24250" w:rsidP="00A96316">
            <w:pPr>
              <w:jc w:val="both"/>
              <w:rPr>
                <w:rFonts w:cs="Arial"/>
                <w:sz w:val="18"/>
                <w:szCs w:val="18"/>
              </w:rPr>
            </w:pPr>
            <w:r w:rsidRPr="00E46613">
              <w:rPr>
                <w:rFonts w:cs="Arial"/>
                <w:sz w:val="18"/>
                <w:szCs w:val="18"/>
              </w:rPr>
              <w:t xml:space="preserve">c) Updating of the current Disaster Recovery Plan and Business Continuity Plan </w:t>
            </w:r>
            <w:proofErr w:type="gramStart"/>
            <w:r w:rsidRPr="00E46613">
              <w:rPr>
                <w:rFonts w:cs="Arial"/>
                <w:sz w:val="18"/>
                <w:szCs w:val="18"/>
              </w:rPr>
              <w:t>will be completed</w:t>
            </w:r>
            <w:proofErr w:type="gramEnd"/>
            <w:r w:rsidRPr="00E46613">
              <w:rPr>
                <w:rFonts w:cs="Arial"/>
                <w:sz w:val="18"/>
                <w:szCs w:val="18"/>
              </w:rPr>
              <w:t xml:space="preserve"> by (1 December 2019.)</w:t>
            </w:r>
          </w:p>
        </w:tc>
        <w:tc>
          <w:tcPr>
            <w:tcW w:w="1805" w:type="dxa"/>
            <w:vAlign w:val="center"/>
          </w:tcPr>
          <w:p w14:paraId="3F4FB113" w14:textId="77777777" w:rsidR="00E24250" w:rsidRPr="00540594" w:rsidRDefault="00E24250" w:rsidP="00A96316">
            <w:pPr>
              <w:rPr>
                <w:rFonts w:cs="Arial"/>
                <w:sz w:val="18"/>
                <w:szCs w:val="18"/>
              </w:rPr>
            </w:pPr>
            <w:r>
              <w:rPr>
                <w:rFonts w:cs="Arial"/>
                <w:sz w:val="18"/>
                <w:szCs w:val="18"/>
              </w:rPr>
              <w:lastRenderedPageBreak/>
              <w:t>C.</w:t>
            </w:r>
            <w:r w:rsidRPr="00D80E0B">
              <w:rPr>
                <w:rFonts w:cs="Arial"/>
                <w:sz w:val="18"/>
                <w:szCs w:val="18"/>
              </w:rPr>
              <w:t xml:space="preserve"> </w:t>
            </w:r>
            <w:proofErr w:type="spellStart"/>
            <w:r w:rsidRPr="00D80E0B">
              <w:rPr>
                <w:rFonts w:cs="Arial"/>
                <w:sz w:val="18"/>
                <w:szCs w:val="18"/>
              </w:rPr>
              <w:t>Mtshisa</w:t>
            </w:r>
            <w:proofErr w:type="spellEnd"/>
            <w:r>
              <w:rPr>
                <w:rFonts w:cs="Arial"/>
                <w:sz w:val="18"/>
                <w:szCs w:val="18"/>
              </w:rPr>
              <w:t xml:space="preserve"> (DDG: Corporate Services)</w:t>
            </w:r>
          </w:p>
        </w:tc>
        <w:tc>
          <w:tcPr>
            <w:tcW w:w="1801" w:type="dxa"/>
            <w:vAlign w:val="center"/>
          </w:tcPr>
          <w:p w14:paraId="6F490775" w14:textId="77777777" w:rsidR="00E24250" w:rsidRDefault="00E24250" w:rsidP="00A96316">
            <w:pPr>
              <w:rPr>
                <w:rFonts w:cs="Arial"/>
                <w:sz w:val="18"/>
                <w:szCs w:val="18"/>
              </w:rPr>
            </w:pPr>
          </w:p>
          <w:p w14:paraId="5FB00060" w14:textId="77777777" w:rsidR="00E24250" w:rsidRPr="00540594" w:rsidRDefault="00E24250" w:rsidP="00A96316">
            <w:pPr>
              <w:jc w:val="both"/>
              <w:rPr>
                <w:rFonts w:cs="Arial"/>
                <w:sz w:val="18"/>
                <w:szCs w:val="18"/>
              </w:rPr>
            </w:pPr>
            <w:proofErr w:type="gramStart"/>
            <w:r>
              <w:rPr>
                <w:rFonts w:cs="Arial"/>
                <w:sz w:val="18"/>
                <w:szCs w:val="18"/>
              </w:rPr>
              <w:t xml:space="preserve">The IT general controls review </w:t>
            </w:r>
            <w:r w:rsidR="00995B91">
              <w:rPr>
                <w:rFonts w:cs="Arial"/>
                <w:sz w:val="18"/>
                <w:szCs w:val="18"/>
              </w:rPr>
              <w:t>was completed, and identified several areas of concern</w:t>
            </w:r>
            <w:r>
              <w:rPr>
                <w:rFonts w:cs="Arial"/>
                <w:sz w:val="18"/>
                <w:szCs w:val="18"/>
              </w:rPr>
              <w:t>.</w:t>
            </w:r>
            <w:proofErr w:type="gramEnd"/>
          </w:p>
        </w:tc>
        <w:tc>
          <w:tcPr>
            <w:tcW w:w="1357" w:type="dxa"/>
            <w:vAlign w:val="center"/>
          </w:tcPr>
          <w:p w14:paraId="7E0B39DD" w14:textId="77777777" w:rsidR="00E24250" w:rsidRPr="00540594" w:rsidRDefault="00995B91" w:rsidP="00A96316">
            <w:pPr>
              <w:jc w:val="both"/>
              <w:rPr>
                <w:rFonts w:cs="Arial"/>
                <w:sz w:val="18"/>
                <w:szCs w:val="18"/>
              </w:rPr>
            </w:pPr>
            <w:r>
              <w:rPr>
                <w:rFonts w:cs="Arial"/>
                <w:sz w:val="18"/>
                <w:szCs w:val="18"/>
              </w:rPr>
              <w:t>Not resolved</w:t>
            </w:r>
          </w:p>
        </w:tc>
      </w:tr>
    </w:tbl>
    <w:p w14:paraId="198F9BB7" w14:textId="77777777" w:rsidR="00C22F2B" w:rsidRPr="0077659B" w:rsidRDefault="00E24250" w:rsidP="00C638D5">
      <w:pPr>
        <w:pStyle w:val="Bulletedlist"/>
        <w:ind w:left="851" w:hanging="284"/>
      </w:pPr>
      <w:r w:rsidRPr="0077659B">
        <w:t xml:space="preserve"> </w:t>
      </w:r>
      <w:r w:rsidR="00995B91">
        <w:t>Three</w:t>
      </w:r>
      <w:r w:rsidR="00C22F2B" w:rsidRPr="0077659B">
        <w:t xml:space="preserve"> audit recommendations accepted by management in the prior year on matters included in the auditor’s report and other important matters </w:t>
      </w:r>
      <w:proofErr w:type="gramStart"/>
      <w:r w:rsidR="00C22F2B" w:rsidRPr="0077659B">
        <w:t>were implemented</w:t>
      </w:r>
      <w:proofErr w:type="gramEnd"/>
      <w:r w:rsidR="00C22F2B" w:rsidRPr="0077659B">
        <w:t>, or alternative actions were taken to resolve the finding.</w:t>
      </w:r>
    </w:p>
    <w:p w14:paraId="35557B78" w14:textId="77777777" w:rsidR="00C22F2B" w:rsidRPr="0077659B" w:rsidRDefault="00995B91" w:rsidP="00C638D5">
      <w:pPr>
        <w:pStyle w:val="Bulletedlist"/>
        <w:ind w:left="851" w:hanging="284"/>
      </w:pPr>
      <w:r>
        <w:t>Three</w:t>
      </w:r>
      <w:r w:rsidR="00C22F2B" w:rsidRPr="0077659B">
        <w:t xml:space="preserve"> recommendations </w:t>
      </w:r>
      <w:proofErr w:type="gramStart"/>
      <w:r w:rsidR="00C22F2B" w:rsidRPr="0077659B">
        <w:t>are still being implemented</w:t>
      </w:r>
      <w:proofErr w:type="gramEnd"/>
      <w:r w:rsidR="00C22F2B" w:rsidRPr="0077659B">
        <w:t xml:space="preserve"> and </w:t>
      </w:r>
      <w:r>
        <w:t>two</w:t>
      </w:r>
      <w:r w:rsidR="00C22F2B" w:rsidRPr="0077659B">
        <w:t xml:space="preserve"> have not been addressed, or very limited progress has been made. </w:t>
      </w:r>
    </w:p>
    <w:p w14:paraId="2B6E8914" w14:textId="77777777" w:rsidR="00F124FE" w:rsidRPr="0077659B" w:rsidRDefault="00C22F2B" w:rsidP="00C638D5">
      <w:pPr>
        <w:pStyle w:val="Bulletedlist"/>
        <w:ind w:left="851" w:hanging="284"/>
      </w:pPr>
      <w:r w:rsidRPr="0077659B">
        <w:t>Details on the status of implementing the</w:t>
      </w:r>
      <w:r w:rsidR="00AA3B58" w:rsidRPr="0077659B">
        <w:t xml:space="preserve"> recommendations made in the</w:t>
      </w:r>
      <w:r w:rsidRPr="0077659B">
        <w:t xml:space="preserve"> previous year(s) </w:t>
      </w:r>
      <w:proofErr w:type="gramStart"/>
      <w:r w:rsidR="00972A1C" w:rsidRPr="0077659B">
        <w:t>are provided</w:t>
      </w:r>
      <w:proofErr w:type="gramEnd"/>
      <w:r w:rsidR="00972A1C" w:rsidRPr="0077659B">
        <w:t xml:space="preserve"> in section</w:t>
      </w:r>
      <w:r w:rsidR="00C140A3" w:rsidRPr="0077659B">
        <w:t xml:space="preserve"> 10</w:t>
      </w:r>
      <w:r w:rsidRPr="0077659B">
        <w:t xml:space="preserve">, which summarises the detailed audit findings. </w:t>
      </w:r>
      <w:bookmarkStart w:id="131" w:name="NewPartG"/>
      <w:bookmarkStart w:id="132" w:name="S5E39"/>
      <w:bookmarkStart w:id="133" w:name="Para59"/>
      <w:bookmarkStart w:id="134" w:name="S5E40"/>
      <w:bookmarkStart w:id="135" w:name="Para62"/>
      <w:bookmarkStart w:id="136" w:name="SEC3"/>
      <w:bookmarkStart w:id="137" w:name="_Toc447106615"/>
      <w:bookmarkEnd w:id="131"/>
      <w:bookmarkEnd w:id="132"/>
      <w:bookmarkEnd w:id="133"/>
      <w:bookmarkEnd w:id="134"/>
      <w:bookmarkEnd w:id="135"/>
      <w:bookmarkEnd w:id="136"/>
    </w:p>
    <w:p w14:paraId="4A8D9FFA" w14:textId="77777777" w:rsidR="006B1D3E" w:rsidRPr="0077659B" w:rsidRDefault="006B1D3E" w:rsidP="006B1D3E">
      <w:pPr>
        <w:pStyle w:val="Heading2"/>
        <w:rPr>
          <w:rFonts w:eastAsia="Times New Roman"/>
        </w:rPr>
      </w:pPr>
      <w:bookmarkStart w:id="138" w:name="_Toc51154081"/>
      <w:r w:rsidRPr="0077659B">
        <w:t>SECTION 4: Specific focus areas</w:t>
      </w:r>
      <w:bookmarkEnd w:id="138"/>
    </w:p>
    <w:p w14:paraId="363F2040" w14:textId="77777777" w:rsidR="009F2DC4" w:rsidRPr="00BB6EEC" w:rsidRDefault="009F2DC4" w:rsidP="00A3735E">
      <w:pPr>
        <w:pStyle w:val="Heading3"/>
        <w:rPr>
          <w:lang w:val="en-ZA"/>
        </w:rPr>
      </w:pPr>
      <w:bookmarkStart w:id="139" w:name="FH"/>
      <w:bookmarkStart w:id="140" w:name="S4E17"/>
      <w:bookmarkStart w:id="141" w:name="_Toc51154082"/>
      <w:bookmarkEnd w:id="137"/>
      <w:bookmarkEnd w:id="139"/>
      <w:bookmarkEnd w:id="140"/>
      <w:r w:rsidRPr="00BB6EEC">
        <w:rPr>
          <w:lang w:val="en-ZA"/>
        </w:rPr>
        <w:t>FINANCIAL VIABILITY</w:t>
      </w:r>
      <w:bookmarkEnd w:id="141"/>
    </w:p>
    <w:p w14:paraId="2EC4F657" w14:textId="77777777" w:rsidR="009F2DC4" w:rsidRPr="0077659B" w:rsidRDefault="009F2DC4" w:rsidP="00223FB6">
      <w:pPr>
        <w:pStyle w:val="Numbernormal"/>
        <w:numPr>
          <w:ilvl w:val="0"/>
          <w:numId w:val="26"/>
        </w:numPr>
      </w:pPr>
      <w:r w:rsidRPr="0077659B">
        <w:t xml:space="preserve">Our audit included a high-level overview of the </w:t>
      </w:r>
      <w:r w:rsidR="00A96316">
        <w:t>department</w:t>
      </w:r>
      <w:r w:rsidRPr="0077659B">
        <w:t xml:space="preserve">’s financial viability as at year-end. The financial viability assessment provides useful information for accountability and decision-making purposes and complements the financial statements by providing insights and perspectives thereon. The financial viability assessment </w:t>
      </w:r>
      <w:proofErr w:type="gramStart"/>
      <w:r w:rsidRPr="0077659B">
        <w:t>is expected</w:t>
      </w:r>
      <w:proofErr w:type="gramEnd"/>
      <w:r w:rsidRPr="0077659B">
        <w:t xml:space="preserve">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w:t>
      </w:r>
      <w:proofErr w:type="gramStart"/>
      <w:r w:rsidRPr="0077659B">
        <w:t>should be used</w:t>
      </w:r>
      <w:proofErr w:type="gramEnd"/>
      <w:r w:rsidRPr="0077659B">
        <w:t xml:space="preserve"> to complement, rather than substitute, management’s own financial assessment.</w:t>
      </w:r>
    </w:p>
    <w:p w14:paraId="552B3F32" w14:textId="77777777" w:rsidR="009F2DC4" w:rsidRPr="0077659B" w:rsidRDefault="009F2DC4" w:rsidP="00537F4F">
      <w:pPr>
        <w:shd w:val="clear" w:color="auto" w:fill="FFFFFF"/>
        <w:spacing w:after="240"/>
        <w:ind w:left="567"/>
        <w:rPr>
          <w:rFonts w:eastAsia="Calibri" w:cs="Arial"/>
        </w:rPr>
      </w:pPr>
      <w:r w:rsidRPr="0077659B">
        <w:rPr>
          <w:rFonts w:eastAsia="Calibri" w:cs="Arial"/>
        </w:rPr>
        <w:t xml:space="preserve">It </w:t>
      </w:r>
      <w:proofErr w:type="gramStart"/>
      <w:r w:rsidRPr="0077659B">
        <w:rPr>
          <w:rFonts w:eastAsia="Calibri" w:cs="Arial"/>
        </w:rPr>
        <w:t>should be noted</w:t>
      </w:r>
      <w:proofErr w:type="gramEnd"/>
      <w:r w:rsidRPr="0077659B">
        <w:rPr>
          <w:rFonts w:eastAsia="Calibri" w:cs="Arial"/>
        </w:rPr>
        <w:t xml:space="preserve"> that the financial viability assessment below is based on the department’s financial statement amounts adjusted to reflect certa</w:t>
      </w:r>
      <w:r w:rsidR="00A96316">
        <w:rPr>
          <w:rFonts w:eastAsia="Calibri" w:cs="Arial"/>
        </w:rPr>
        <w:t>in accrual accounting concepts.</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A96316" w:rsidRPr="0077659B" w14:paraId="45E9B0A9" w14:textId="77777777" w:rsidTr="00A96316">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772447F6" w14:textId="77777777" w:rsidR="00A96316" w:rsidRPr="0077659B" w:rsidRDefault="00A96316" w:rsidP="00A96316">
            <w:pPr>
              <w:spacing w:before="60" w:after="60"/>
              <w:jc w:val="center"/>
              <w:rPr>
                <w:rFonts w:cs="Arial"/>
                <w:b/>
                <w:color w:val="000000"/>
              </w:rPr>
            </w:pPr>
            <w:r w:rsidRPr="0077659B">
              <w:rPr>
                <w:rFonts w:cs="Arial"/>
                <w:b/>
                <w:color w:val="000000"/>
              </w:rPr>
              <w:t>FINANCIAL VIABILITY ASSESSMENT</w:t>
            </w:r>
          </w:p>
        </w:tc>
      </w:tr>
      <w:tr w:rsidR="00A96316" w:rsidRPr="0077659B" w14:paraId="1150D7F3" w14:textId="77777777" w:rsidTr="00A96316">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312B2CD2" w14:textId="77777777" w:rsidR="00A96316" w:rsidRPr="0077659B" w:rsidRDefault="00A96316" w:rsidP="00A96316">
            <w:pPr>
              <w:autoSpaceDE w:val="0"/>
              <w:autoSpaceDN w:val="0"/>
              <w:adjustRightInd w:val="0"/>
              <w:spacing w:before="60" w:after="60"/>
              <w:ind w:left="1452" w:hanging="1276"/>
              <w:rPr>
                <w:rFonts w:cs="Arial"/>
                <w:b/>
                <w:color w:val="000000"/>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60633D91" w14:textId="77777777" w:rsidR="00A96316" w:rsidRPr="0077659B" w:rsidRDefault="00A96316" w:rsidP="00A96316">
            <w:pPr>
              <w:autoSpaceDE w:val="0"/>
              <w:autoSpaceDN w:val="0"/>
              <w:adjustRightInd w:val="0"/>
              <w:spacing w:before="60" w:after="60"/>
              <w:jc w:val="center"/>
              <w:rPr>
                <w:rFonts w:cs="Arial"/>
                <w:b/>
                <w:color w:val="000000"/>
              </w:rPr>
            </w:pPr>
            <w:r>
              <w:rPr>
                <w:rFonts w:cs="Arial"/>
                <w:b/>
                <w:color w:val="000000"/>
              </w:rPr>
              <w:t>AS AT 31 MARCH 2020</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5A3DD63D" w14:textId="77777777" w:rsidR="00A96316" w:rsidRPr="0077659B" w:rsidRDefault="00A96316" w:rsidP="00A96316">
            <w:pPr>
              <w:autoSpaceDE w:val="0"/>
              <w:autoSpaceDN w:val="0"/>
              <w:adjustRightInd w:val="0"/>
              <w:spacing w:before="60" w:after="60"/>
              <w:jc w:val="center"/>
              <w:rPr>
                <w:rFonts w:cs="Arial"/>
                <w:b/>
                <w:color w:val="000000"/>
              </w:rPr>
            </w:pPr>
            <w:r>
              <w:rPr>
                <w:rFonts w:cs="Arial"/>
                <w:b/>
                <w:color w:val="000000"/>
              </w:rPr>
              <w:t>AS AT 31 MARCH 2019</w:t>
            </w:r>
          </w:p>
        </w:tc>
      </w:tr>
      <w:tr w:rsidR="00A96316" w:rsidRPr="0077659B" w14:paraId="799C7217"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65794D6E" w14:textId="77777777" w:rsidR="00A96316" w:rsidRPr="0077659B" w:rsidRDefault="00A96316" w:rsidP="00A96316">
            <w:pPr>
              <w:tabs>
                <w:tab w:val="left" w:pos="2405"/>
              </w:tabs>
              <w:spacing w:before="60" w:after="60"/>
              <w:jc w:val="center"/>
              <w:rPr>
                <w:rFonts w:cs="Arial"/>
                <w:b/>
                <w:color w:val="000000"/>
              </w:rPr>
            </w:pPr>
            <w:r w:rsidRPr="0077659B">
              <w:rPr>
                <w:rFonts w:cs="Arial"/>
                <w:b/>
                <w:color w:val="000000"/>
              </w:rPr>
              <w:t>EXPENDITURE MANAGEMENT</w:t>
            </w:r>
          </w:p>
        </w:tc>
      </w:tr>
      <w:tr w:rsidR="00A96316" w:rsidRPr="0077659B" w14:paraId="14295660" w14:textId="77777777" w:rsidTr="00A96316">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01D1C33C" w14:textId="77777777" w:rsidR="00A96316" w:rsidRPr="0077659B" w:rsidRDefault="00A96316" w:rsidP="00A96316">
            <w:pPr>
              <w:spacing w:before="60" w:after="60"/>
              <w:rPr>
                <w:rFonts w:cs="Arial"/>
              </w:rPr>
            </w:pPr>
            <w:r w:rsidRPr="0077659B">
              <w:rPr>
                <w:rFonts w:cs="Arial"/>
              </w:rPr>
              <w:lastRenderedPageBreak/>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673B9768" w14:textId="77777777" w:rsidR="00A96316" w:rsidRPr="0077659B" w:rsidRDefault="00A96316" w:rsidP="00A96316">
            <w:pPr>
              <w:spacing w:before="60" w:after="60"/>
              <w:rPr>
                <w:rFonts w:cs="Arial"/>
              </w:rPr>
            </w:pPr>
            <w:r w:rsidRPr="0077659B">
              <w:rPr>
                <w:rFonts w:cs="Arial"/>
              </w:rPr>
              <w:t>Creditor 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42C5CFA" w14:textId="77777777" w:rsidR="00A96316" w:rsidRPr="0077659B" w:rsidRDefault="00A96316" w:rsidP="00A96316">
            <w:pPr>
              <w:spacing w:before="60" w:after="60"/>
              <w:jc w:val="center"/>
              <w:rPr>
                <w:rFonts w:cs="Arial"/>
                <w:b/>
              </w:rPr>
            </w:pPr>
            <w:r>
              <w:rPr>
                <w:rFonts w:cs="Arial"/>
                <w:b/>
              </w:rPr>
              <w:t>17.8 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64F7DEC0" w14:textId="77777777" w:rsidR="00A96316" w:rsidRPr="0077659B" w:rsidRDefault="00A96316" w:rsidP="00A96316">
            <w:pPr>
              <w:spacing w:before="60" w:after="60"/>
              <w:jc w:val="center"/>
              <w:rPr>
                <w:rFonts w:cs="Arial"/>
                <w:b/>
              </w:rPr>
            </w:pPr>
            <w:r>
              <w:rPr>
                <w:rFonts w:cs="Arial"/>
                <w:b/>
              </w:rPr>
              <w:t xml:space="preserve">24 </w:t>
            </w:r>
            <w:r w:rsidRPr="0077659B">
              <w:rPr>
                <w:rFonts w:cs="Arial"/>
                <w:b/>
              </w:rPr>
              <w:t>Days</w:t>
            </w:r>
          </w:p>
        </w:tc>
      </w:tr>
      <w:tr w:rsidR="00A96316" w:rsidRPr="0077659B" w14:paraId="53C8D0D7" w14:textId="77777777" w:rsidTr="00A96316">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10E36690" w14:textId="77777777" w:rsidR="00A96316" w:rsidRPr="0077659B" w:rsidRDefault="00A96316" w:rsidP="00A96316">
            <w:pPr>
              <w:spacing w:before="60" w:after="60"/>
              <w:rPr>
                <w:rFonts w:cs="Arial"/>
              </w:rPr>
            </w:pPr>
            <w:r w:rsidRPr="0077659B">
              <w:rPr>
                <w:rFonts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7EE252F0" w14:textId="77777777" w:rsidR="00A96316" w:rsidRPr="0077659B" w:rsidRDefault="00A96316" w:rsidP="00A96316">
            <w:pPr>
              <w:spacing w:before="60" w:after="60"/>
              <w:rPr>
                <w:rFonts w:cs="Arial"/>
              </w:rPr>
            </w:pPr>
            <w:r w:rsidRPr="0077659B">
              <w:rPr>
                <w:rFonts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B94BCF8" w14:textId="77777777" w:rsidR="00A96316" w:rsidRPr="0077659B" w:rsidRDefault="00A96316" w:rsidP="00A96316">
            <w:pPr>
              <w:spacing w:before="60" w:after="60"/>
              <w:jc w:val="center"/>
              <w:rPr>
                <w:rFonts w:cs="Arial"/>
                <w:b/>
              </w:rPr>
            </w:pPr>
            <w:r>
              <w:rPr>
                <w:rFonts w:cs="Arial"/>
                <w:b/>
              </w:rPr>
              <w:t>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242252A2" w14:textId="77777777" w:rsidR="00A96316" w:rsidRPr="0077659B" w:rsidRDefault="00A96316" w:rsidP="00A96316">
            <w:pPr>
              <w:spacing w:before="60" w:after="60"/>
              <w:jc w:val="center"/>
              <w:rPr>
                <w:rFonts w:cs="Arial"/>
                <w:b/>
              </w:rPr>
            </w:pPr>
            <w:r>
              <w:rPr>
                <w:rFonts w:cs="Arial"/>
                <w:b/>
              </w:rPr>
              <w:t xml:space="preserve">0 </w:t>
            </w:r>
            <w:r w:rsidRPr="0077659B">
              <w:rPr>
                <w:rFonts w:cs="Arial"/>
                <w:b/>
              </w:rPr>
              <w:t>%</w:t>
            </w:r>
          </w:p>
        </w:tc>
      </w:tr>
      <w:tr w:rsidR="00A96316" w:rsidRPr="0077659B" w14:paraId="56C3057D" w14:textId="77777777" w:rsidTr="00A96316">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5A00A697" w14:textId="77777777" w:rsidR="00A96316" w:rsidRPr="0077659B" w:rsidRDefault="00A96316" w:rsidP="00A96316">
            <w:pPr>
              <w:spacing w:before="60" w:after="60"/>
              <w:rPr>
                <w:rFonts w:cs="Arial"/>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6603CA91"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30+ day accruals</w:t>
            </w:r>
          </w:p>
          <w:p w14:paraId="3A7F031A" w14:textId="77777777" w:rsidR="00A96316" w:rsidRPr="0077659B" w:rsidRDefault="00A96316" w:rsidP="00A96316">
            <w:pPr>
              <w:numPr>
                <w:ilvl w:val="0"/>
                <w:numId w:val="9"/>
              </w:numPr>
              <w:spacing w:before="60" w:after="60"/>
              <w:ind w:left="284" w:hanging="284"/>
              <w:rPr>
                <w:rFonts w:cs="Arial"/>
              </w:rPr>
            </w:pPr>
            <w:r w:rsidRPr="0077659B">
              <w:rPr>
                <w:rFonts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35A6E1E6" w14:textId="77777777" w:rsidR="00A96316" w:rsidRPr="0077659B" w:rsidRDefault="00A96316" w:rsidP="00A96316">
            <w:pPr>
              <w:spacing w:before="60" w:after="60"/>
              <w:jc w:val="center"/>
              <w:rPr>
                <w:rFonts w:cs="Arial"/>
                <w:b/>
              </w:rPr>
            </w:pPr>
            <w:r>
              <w:rPr>
                <w:rFonts w:cs="Arial"/>
                <w:b/>
              </w:rPr>
              <w:t xml:space="preserve">R 0 </w:t>
            </w:r>
          </w:p>
          <w:p w14:paraId="5E350C25" w14:textId="77777777" w:rsidR="00A96316" w:rsidRPr="0077659B" w:rsidRDefault="00A96316" w:rsidP="00A96316">
            <w:pPr>
              <w:spacing w:before="60" w:after="60"/>
              <w:jc w:val="center"/>
              <w:rPr>
                <w:rFonts w:cs="Arial"/>
                <w:b/>
              </w:rPr>
            </w:pPr>
            <w:r>
              <w:rPr>
                <w:rFonts w:cs="Arial"/>
                <w:b/>
              </w:rPr>
              <w:t>R 23 506 000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341FCE3E" w14:textId="77777777" w:rsidR="00A96316" w:rsidRPr="0077659B" w:rsidRDefault="00A96316" w:rsidP="00A96316">
            <w:pPr>
              <w:spacing w:before="60" w:after="60"/>
              <w:jc w:val="center"/>
              <w:rPr>
                <w:rFonts w:cs="Arial"/>
                <w:b/>
              </w:rPr>
            </w:pPr>
            <w:r>
              <w:rPr>
                <w:rFonts w:cs="Arial"/>
                <w:b/>
              </w:rPr>
              <w:t>R 0</w:t>
            </w:r>
          </w:p>
          <w:p w14:paraId="43380274" w14:textId="77777777" w:rsidR="00A96316" w:rsidRPr="0077659B" w:rsidRDefault="00A96316" w:rsidP="00A96316">
            <w:pPr>
              <w:spacing w:before="60" w:after="60"/>
              <w:jc w:val="center"/>
              <w:rPr>
                <w:rFonts w:cs="Arial"/>
                <w:b/>
              </w:rPr>
            </w:pPr>
            <w:r>
              <w:rPr>
                <w:rFonts w:cs="Arial"/>
                <w:b/>
              </w:rPr>
              <w:t>R 10 161 000</w:t>
            </w:r>
          </w:p>
        </w:tc>
      </w:tr>
      <w:tr w:rsidR="00A96316" w:rsidRPr="0077659B" w14:paraId="7CB69D50"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12B67517" w14:textId="77777777" w:rsidR="00A96316" w:rsidRPr="0077659B" w:rsidRDefault="00A96316" w:rsidP="00A96316">
            <w:pPr>
              <w:spacing w:before="60" w:after="60"/>
              <w:jc w:val="center"/>
              <w:rPr>
                <w:rFonts w:cs="Arial"/>
                <w:b/>
                <w:color w:val="000000"/>
              </w:rPr>
            </w:pPr>
            <w:r w:rsidRPr="0077659B">
              <w:rPr>
                <w:rFonts w:cs="Arial"/>
                <w:b/>
                <w:color w:val="000000"/>
              </w:rPr>
              <w:t>REVENUE MANAGEMENT</w:t>
            </w:r>
          </w:p>
        </w:tc>
      </w:tr>
      <w:tr w:rsidR="00A96316" w:rsidRPr="0077659B" w14:paraId="074FF349" w14:textId="77777777" w:rsidTr="00A96316">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04BDFB7B" w14:textId="77777777" w:rsidR="00A96316" w:rsidRPr="0077659B" w:rsidRDefault="00A96316" w:rsidP="00A96316">
            <w:pPr>
              <w:spacing w:before="60" w:after="60"/>
              <w:rPr>
                <w:rFonts w:cs="Arial"/>
                <w:color w:val="000000"/>
              </w:rPr>
            </w:pPr>
            <w:r w:rsidRPr="0077659B">
              <w:rPr>
                <w:rFonts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07654314" w14:textId="77777777" w:rsidR="00A96316" w:rsidRPr="0077659B" w:rsidRDefault="00A96316" w:rsidP="00A96316">
            <w:pPr>
              <w:spacing w:before="60" w:after="60"/>
              <w:rPr>
                <w:rFonts w:cs="Arial"/>
              </w:rPr>
            </w:pPr>
            <w:r w:rsidRPr="0077659B">
              <w:rPr>
                <w:rFonts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2CAFBE1" w14:textId="77777777" w:rsidR="00A96316" w:rsidRPr="0077659B" w:rsidRDefault="00A96316" w:rsidP="00A96316">
            <w:pPr>
              <w:spacing w:before="60" w:after="60"/>
              <w:jc w:val="center"/>
              <w:rPr>
                <w:rFonts w:cs="Arial"/>
                <w:b/>
              </w:rPr>
            </w:pPr>
            <w:r>
              <w:rPr>
                <w:rFonts w:cs="Arial"/>
                <w:b/>
              </w:rPr>
              <w:t xml:space="preserve">35 </w:t>
            </w:r>
            <w:r w:rsidRPr="0077659B">
              <w:rPr>
                <w:rFonts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502DC79F" w14:textId="77777777" w:rsidR="00A96316" w:rsidRPr="0077659B" w:rsidRDefault="00A96316" w:rsidP="00A96316">
            <w:pPr>
              <w:spacing w:before="60" w:after="60"/>
              <w:jc w:val="center"/>
              <w:rPr>
                <w:rFonts w:cs="Arial"/>
                <w:b/>
              </w:rPr>
            </w:pPr>
            <w:r>
              <w:rPr>
                <w:rFonts w:cs="Arial"/>
                <w:b/>
              </w:rPr>
              <w:t xml:space="preserve">365 </w:t>
            </w:r>
            <w:r w:rsidRPr="0077659B">
              <w:rPr>
                <w:rFonts w:cs="Arial"/>
                <w:b/>
              </w:rPr>
              <w:t>Days</w:t>
            </w:r>
          </w:p>
        </w:tc>
      </w:tr>
      <w:tr w:rsidR="00A96316" w:rsidRPr="0077659B" w14:paraId="5B45A537"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134E6CD" w14:textId="77777777" w:rsidR="00A96316" w:rsidRPr="0077659B" w:rsidRDefault="00A96316" w:rsidP="00A96316">
            <w:pPr>
              <w:spacing w:before="60" w:after="60"/>
              <w:rPr>
                <w:rFonts w:cs="Arial"/>
                <w:color w:val="000000"/>
              </w:rPr>
            </w:pPr>
            <w:r w:rsidRPr="0077659B">
              <w:rPr>
                <w:rFonts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587118E" w14:textId="77777777" w:rsidR="00A96316" w:rsidRPr="0077659B" w:rsidRDefault="00A96316" w:rsidP="00A96316">
            <w:pPr>
              <w:spacing w:before="60" w:after="60"/>
              <w:rPr>
                <w:rFonts w:cs="Arial"/>
              </w:rPr>
            </w:pPr>
            <w:r w:rsidRPr="0077659B">
              <w:rPr>
                <w:rFonts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9B92837" w14:textId="77777777" w:rsidR="00A96316" w:rsidRPr="0077659B" w:rsidRDefault="00A96316" w:rsidP="00A96316">
            <w:pPr>
              <w:spacing w:before="60" w:after="60"/>
              <w:jc w:val="center"/>
              <w:rPr>
                <w:rFonts w:cs="Arial"/>
                <w:b/>
              </w:rPr>
            </w:pPr>
            <w:r>
              <w:rPr>
                <w:rFonts w:cs="Arial"/>
                <w:b/>
              </w:rPr>
              <w:t>0.00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F487F3A" w14:textId="77777777" w:rsidR="00A96316" w:rsidRPr="0077659B" w:rsidRDefault="00A96316" w:rsidP="00A96316">
            <w:pPr>
              <w:spacing w:before="60" w:after="60"/>
              <w:jc w:val="center"/>
              <w:rPr>
                <w:rFonts w:cs="Arial"/>
                <w:b/>
              </w:rPr>
            </w:pPr>
            <w:r>
              <w:rPr>
                <w:rFonts w:cs="Arial"/>
                <w:b/>
              </w:rPr>
              <w:t>0.00</w:t>
            </w:r>
            <w:r w:rsidRPr="0077659B">
              <w:rPr>
                <w:rFonts w:cs="Arial"/>
                <w:b/>
              </w:rPr>
              <w:t>%</w:t>
            </w:r>
          </w:p>
        </w:tc>
      </w:tr>
      <w:tr w:rsidR="00A96316" w:rsidRPr="0077659B" w14:paraId="42829B69" w14:textId="77777777" w:rsidTr="00A96316">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19E02452"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46DE2280"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debtors’ impairment provision</w:t>
            </w:r>
          </w:p>
          <w:p w14:paraId="52DE51A1" w14:textId="77777777" w:rsidR="00A96316" w:rsidRPr="0077659B" w:rsidRDefault="00A96316" w:rsidP="00A96316">
            <w:pPr>
              <w:numPr>
                <w:ilvl w:val="0"/>
                <w:numId w:val="9"/>
              </w:numPr>
              <w:spacing w:before="60" w:after="60"/>
              <w:ind w:left="284" w:hanging="284"/>
              <w:rPr>
                <w:rFonts w:cs="Arial"/>
              </w:rPr>
            </w:pPr>
            <w:r w:rsidRPr="0077659B">
              <w:rPr>
                <w:rFonts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5EE721E" w14:textId="77777777" w:rsidR="00A96316" w:rsidRPr="0077659B" w:rsidRDefault="00A96316" w:rsidP="00A96316">
            <w:pPr>
              <w:spacing w:before="60" w:after="60"/>
              <w:jc w:val="center"/>
              <w:rPr>
                <w:rFonts w:cs="Arial"/>
                <w:b/>
              </w:rPr>
            </w:pPr>
            <w:r>
              <w:rPr>
                <w:rFonts w:cs="Arial"/>
                <w:b/>
              </w:rPr>
              <w:t>R 0</w:t>
            </w:r>
          </w:p>
          <w:p w14:paraId="179CC091" w14:textId="77777777" w:rsidR="00A96316" w:rsidRPr="0077659B" w:rsidRDefault="00A96316" w:rsidP="00A96316">
            <w:pPr>
              <w:spacing w:before="60" w:after="60"/>
              <w:jc w:val="center"/>
              <w:rPr>
                <w:rFonts w:cs="Arial"/>
                <w:b/>
              </w:rPr>
            </w:pPr>
            <w:r>
              <w:rPr>
                <w:rFonts w:cs="Arial"/>
                <w:b/>
              </w:rPr>
              <w:t>R 1 416 000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73944214" w14:textId="77777777" w:rsidR="00A96316" w:rsidRPr="0077659B" w:rsidRDefault="00A96316" w:rsidP="00A96316">
            <w:pPr>
              <w:spacing w:before="60" w:after="60"/>
              <w:jc w:val="center"/>
              <w:rPr>
                <w:rFonts w:cs="Arial"/>
                <w:b/>
              </w:rPr>
            </w:pPr>
            <w:r>
              <w:rPr>
                <w:rFonts w:cs="Arial"/>
                <w:b/>
              </w:rPr>
              <w:t>R 0</w:t>
            </w:r>
          </w:p>
          <w:p w14:paraId="19B7FD71" w14:textId="77777777" w:rsidR="00A96316" w:rsidRPr="0077659B" w:rsidRDefault="00A96316" w:rsidP="00A96316">
            <w:pPr>
              <w:spacing w:before="60" w:after="60"/>
              <w:jc w:val="center"/>
              <w:rPr>
                <w:rFonts w:cs="Arial"/>
                <w:b/>
              </w:rPr>
            </w:pPr>
            <w:r>
              <w:rPr>
                <w:rFonts w:cs="Arial"/>
                <w:b/>
              </w:rPr>
              <w:t>R 12 128 000</w:t>
            </w:r>
          </w:p>
        </w:tc>
      </w:tr>
      <w:tr w:rsidR="00A96316" w:rsidRPr="0077659B" w14:paraId="7E5F75B0"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2790F04D" w14:textId="77777777" w:rsidR="00A96316" w:rsidRPr="0077659B" w:rsidRDefault="00A96316" w:rsidP="00A96316">
            <w:pPr>
              <w:spacing w:before="60" w:after="60"/>
              <w:jc w:val="center"/>
              <w:rPr>
                <w:rFonts w:cs="Arial"/>
                <w:b/>
                <w:color w:val="000000"/>
              </w:rPr>
            </w:pPr>
            <w:r w:rsidRPr="0077659B">
              <w:rPr>
                <w:rFonts w:cs="Arial"/>
                <w:b/>
                <w:color w:val="000000"/>
              </w:rPr>
              <w:t>ASSET AND LIABILITY MANAGEMENT</w:t>
            </w:r>
          </w:p>
        </w:tc>
      </w:tr>
      <w:tr w:rsidR="00A96316" w:rsidRPr="0077659B" w14:paraId="232F7C2E"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F32D83A" w14:textId="77777777" w:rsidR="00A96316" w:rsidRPr="0077659B" w:rsidRDefault="00A96316" w:rsidP="00A96316">
            <w:pPr>
              <w:spacing w:before="60" w:after="60"/>
              <w:rPr>
                <w:rFonts w:cs="Arial"/>
                <w:color w:val="000000"/>
              </w:rPr>
            </w:pPr>
            <w:r w:rsidRPr="0077659B">
              <w:rPr>
                <w:rFonts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4C9DE324" w14:textId="77777777" w:rsidR="00A96316" w:rsidRPr="0077659B" w:rsidRDefault="00A96316" w:rsidP="00A96316">
            <w:pPr>
              <w:spacing w:before="60" w:after="60"/>
              <w:rPr>
                <w:rFonts w:cs="Arial"/>
              </w:rPr>
            </w:pPr>
            <w:r w:rsidRPr="0077659B">
              <w:rPr>
                <w:rFonts w:cs="Arial"/>
              </w:rPr>
              <w:t xml:space="preserve">An accrual-adjusted deficit for the year was </w:t>
            </w:r>
            <w:proofErr w:type="spellStart"/>
            <w:r w:rsidRPr="0077659B">
              <w:rPr>
                <w:rFonts w:cs="Arial"/>
              </w:rPr>
              <w:t>realised</w:t>
            </w:r>
            <w:proofErr w:type="spellEnd"/>
            <w:r w:rsidRPr="0077659B">
              <w:rPr>
                <w:rFonts w:cs="Arial"/>
              </w:rPr>
              <w:t xml:space="preserve">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01FAD26" w14:textId="77777777" w:rsidR="00A96316" w:rsidRPr="0077659B" w:rsidRDefault="00A96316" w:rsidP="00A96316">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A42792D" w14:textId="77777777" w:rsidR="00A96316" w:rsidRPr="0077659B" w:rsidRDefault="00A96316" w:rsidP="00A96316">
            <w:pPr>
              <w:spacing w:before="60" w:after="60"/>
              <w:jc w:val="center"/>
              <w:rPr>
                <w:rFonts w:cs="Arial"/>
                <w:b/>
              </w:rPr>
            </w:pPr>
            <w:r w:rsidRPr="0077659B">
              <w:rPr>
                <w:rFonts w:cs="Arial"/>
                <w:b/>
              </w:rPr>
              <w:t>Yes</w:t>
            </w:r>
          </w:p>
        </w:tc>
      </w:tr>
      <w:tr w:rsidR="00A96316" w:rsidRPr="0077659B" w14:paraId="2C906A77"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6FBBB977" w14:textId="77777777" w:rsidR="00A96316" w:rsidRPr="0077659B" w:rsidRDefault="00A96316" w:rsidP="00A96316">
            <w:pPr>
              <w:spacing w:before="60" w:after="60"/>
              <w:ind w:left="357"/>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FC6F262"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accrual-adjusted surplus/(deficit)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E4D5FA8" w14:textId="77777777" w:rsidR="00A96316" w:rsidRPr="0077659B" w:rsidRDefault="00A96316" w:rsidP="00A96316">
            <w:pPr>
              <w:spacing w:before="60" w:after="60"/>
              <w:jc w:val="center"/>
              <w:rPr>
                <w:rFonts w:cs="Arial"/>
                <w:b/>
              </w:rPr>
            </w:pPr>
            <w:r>
              <w:rPr>
                <w:rFonts w:cs="Arial"/>
                <w:b/>
              </w:rPr>
              <w:t>R 116 698 000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95BA9DD" w14:textId="77777777" w:rsidR="00A96316" w:rsidRPr="0077659B" w:rsidRDefault="00A96316" w:rsidP="00A96316">
            <w:pPr>
              <w:spacing w:before="60" w:after="60"/>
              <w:jc w:val="center"/>
              <w:rPr>
                <w:rFonts w:cs="Arial"/>
                <w:b/>
              </w:rPr>
            </w:pPr>
            <w:r>
              <w:rPr>
                <w:rFonts w:cs="Arial"/>
                <w:b/>
              </w:rPr>
              <w:t>R (104 049 000)</w:t>
            </w:r>
          </w:p>
        </w:tc>
      </w:tr>
      <w:tr w:rsidR="00A96316" w:rsidRPr="0077659B" w14:paraId="664030F9"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3B510F47" w14:textId="77777777" w:rsidR="00A96316" w:rsidRPr="0077659B" w:rsidRDefault="00A96316" w:rsidP="00A96316">
            <w:pPr>
              <w:spacing w:before="60" w:after="60"/>
              <w:rPr>
                <w:rFonts w:cs="Arial"/>
                <w:color w:val="000000"/>
              </w:rPr>
            </w:pPr>
            <w:r w:rsidRPr="0077659B">
              <w:rPr>
                <w:rFonts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FC3EB8A" w14:textId="77777777" w:rsidR="00A96316" w:rsidRPr="0077659B" w:rsidRDefault="00A96316" w:rsidP="00A96316">
            <w:pPr>
              <w:spacing w:before="60" w:after="60"/>
              <w:rPr>
                <w:rFonts w:cs="Arial"/>
              </w:rPr>
            </w:pPr>
            <w:r w:rsidRPr="0077659B">
              <w:rPr>
                <w:rFonts w:cs="Arial"/>
              </w:rPr>
              <w:t xml:space="preserve">An accrual-adjusted net current liability position was </w:t>
            </w:r>
            <w:proofErr w:type="spellStart"/>
            <w:r w:rsidRPr="0077659B">
              <w:rPr>
                <w:rFonts w:cs="Arial"/>
              </w:rPr>
              <w:t>realised</w:t>
            </w:r>
            <w:proofErr w:type="spellEnd"/>
            <w:r w:rsidRPr="0077659B">
              <w:rPr>
                <w:rFonts w:cs="Arial"/>
              </w:rPr>
              <w:t xml:space="preserve">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A2FD152" w14:textId="77777777" w:rsidR="00A96316" w:rsidRPr="0077659B" w:rsidRDefault="00A96316" w:rsidP="00A96316">
            <w:pPr>
              <w:spacing w:before="60" w:after="60"/>
              <w:jc w:val="center"/>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677DF581" w14:textId="77777777" w:rsidR="00A96316" w:rsidRPr="0077659B" w:rsidRDefault="00A96316" w:rsidP="00A96316">
            <w:pPr>
              <w:spacing w:before="60" w:after="60"/>
              <w:jc w:val="center"/>
              <w:rPr>
                <w:rFonts w:cs="Arial"/>
                <w:b/>
              </w:rPr>
            </w:pPr>
            <w:r w:rsidRPr="0077659B">
              <w:rPr>
                <w:rFonts w:cs="Arial"/>
                <w:b/>
              </w:rPr>
              <w:t>Yes</w:t>
            </w:r>
          </w:p>
        </w:tc>
      </w:tr>
      <w:tr w:rsidR="00A96316" w:rsidRPr="0077659B" w14:paraId="18F5A001" w14:textId="77777777" w:rsidTr="00A96316">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47A3BBDD"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F6AED57" w14:textId="77777777" w:rsidR="00A96316" w:rsidRPr="0077659B" w:rsidRDefault="00A96316" w:rsidP="00A96316">
            <w:pPr>
              <w:numPr>
                <w:ilvl w:val="0"/>
                <w:numId w:val="9"/>
              </w:numPr>
              <w:spacing w:before="60" w:after="60"/>
              <w:ind w:left="284" w:hanging="284"/>
              <w:rPr>
                <w:rFonts w:cs="Arial"/>
              </w:rPr>
            </w:pPr>
            <w:r w:rsidRPr="0077659B">
              <w:rPr>
                <w:rFonts w:cs="Arial"/>
              </w:rPr>
              <w:t>Amount of accrual-adjusted net current assets/(liability)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4201D8F" w14:textId="77777777" w:rsidR="00A96316" w:rsidRPr="0077659B" w:rsidRDefault="00A96316" w:rsidP="00A96316">
            <w:pPr>
              <w:spacing w:before="60" w:after="60"/>
              <w:jc w:val="center"/>
              <w:rPr>
                <w:rFonts w:cs="Arial"/>
                <w:b/>
              </w:rPr>
            </w:pPr>
            <w:r>
              <w:rPr>
                <w:rFonts w:cs="Arial"/>
                <w:b/>
              </w:rPr>
              <w:t>R(420 891 000)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0F1AFA01" w14:textId="77777777" w:rsidR="00A96316" w:rsidRPr="0077659B" w:rsidRDefault="00A96316" w:rsidP="00A96316">
            <w:pPr>
              <w:spacing w:before="60" w:after="60"/>
              <w:jc w:val="center"/>
              <w:rPr>
                <w:rFonts w:cs="Arial"/>
                <w:b/>
              </w:rPr>
            </w:pPr>
            <w:r>
              <w:rPr>
                <w:rFonts w:cs="Arial"/>
                <w:b/>
              </w:rPr>
              <w:t>R (348 850 000)</w:t>
            </w:r>
          </w:p>
        </w:tc>
      </w:tr>
      <w:tr w:rsidR="00A96316" w:rsidRPr="0077659B" w14:paraId="1702A3E8"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207FD37" w14:textId="77777777" w:rsidR="00A96316" w:rsidRPr="0077659B" w:rsidRDefault="00A96316" w:rsidP="00A96316">
            <w:pPr>
              <w:spacing w:before="60" w:after="60"/>
              <w:rPr>
                <w:rFonts w:cs="Arial"/>
                <w:color w:val="000000"/>
              </w:rPr>
            </w:pPr>
            <w:r w:rsidRPr="0077659B">
              <w:rPr>
                <w:rFonts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789D8F6" w14:textId="77777777" w:rsidR="00A96316" w:rsidRPr="0077659B" w:rsidRDefault="00A96316" w:rsidP="00A96316">
            <w:pPr>
              <w:spacing w:before="60" w:after="60"/>
              <w:rPr>
                <w:rFonts w:cs="Arial"/>
              </w:rPr>
            </w:pPr>
            <w:r w:rsidRPr="0077659B">
              <w:rPr>
                <w:rFonts w:cs="Arial"/>
              </w:rPr>
              <w:t xml:space="preserve">An accrual-adjusted net liability position was </w:t>
            </w:r>
            <w:proofErr w:type="spellStart"/>
            <w:r w:rsidRPr="0077659B">
              <w:rPr>
                <w:rFonts w:cs="Arial"/>
              </w:rPr>
              <w:t>realised</w:t>
            </w:r>
            <w:proofErr w:type="spellEnd"/>
            <w:r w:rsidRPr="0077659B">
              <w:rPr>
                <w:rFonts w:cs="Arial"/>
              </w:rPr>
              <w:t xml:space="preserve">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E550EC2" w14:textId="77777777" w:rsidR="00A96316" w:rsidRPr="0077659B" w:rsidRDefault="00A96316" w:rsidP="00A96316">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0242DEC" w14:textId="77777777" w:rsidR="00A96316" w:rsidRPr="0077659B" w:rsidRDefault="00A96316" w:rsidP="00A96316">
            <w:pPr>
              <w:spacing w:before="60" w:after="60"/>
              <w:jc w:val="center"/>
              <w:rPr>
                <w:rFonts w:cs="Arial"/>
                <w:b/>
              </w:rPr>
            </w:pPr>
            <w:r>
              <w:rPr>
                <w:rFonts w:cs="Arial"/>
                <w:b/>
              </w:rPr>
              <w:t>No</w:t>
            </w:r>
          </w:p>
        </w:tc>
      </w:tr>
      <w:tr w:rsidR="00A96316" w:rsidRPr="0077659B" w14:paraId="1AE12EF5"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5B56C7B5"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2B384F16"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accrual-adjusted net asset/(liability)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A3EBAC9" w14:textId="77777777" w:rsidR="00A96316" w:rsidRPr="0077659B" w:rsidRDefault="00A96316" w:rsidP="00A96316">
            <w:pPr>
              <w:spacing w:before="60" w:after="60"/>
              <w:jc w:val="center"/>
              <w:rPr>
                <w:rFonts w:cs="Arial"/>
                <w:b/>
              </w:rPr>
            </w:pPr>
            <w:r>
              <w:rPr>
                <w:rFonts w:cs="Arial"/>
                <w:b/>
              </w:rPr>
              <w:t>R265 637 000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39088E9" w14:textId="77777777" w:rsidR="00A96316" w:rsidRPr="0077659B" w:rsidRDefault="00A96316" w:rsidP="00A96316">
            <w:pPr>
              <w:spacing w:before="60" w:after="60"/>
              <w:jc w:val="center"/>
              <w:rPr>
                <w:rFonts w:cs="Arial"/>
                <w:b/>
              </w:rPr>
            </w:pPr>
            <w:r>
              <w:rPr>
                <w:rFonts w:cs="Arial"/>
                <w:b/>
              </w:rPr>
              <w:t>R138 365 000</w:t>
            </w:r>
          </w:p>
        </w:tc>
      </w:tr>
      <w:tr w:rsidR="00A96316" w:rsidRPr="0077659B" w14:paraId="020FACA1"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4BD33E73" w14:textId="77777777" w:rsidR="00A96316" w:rsidRPr="0077659B" w:rsidRDefault="00A96316" w:rsidP="00A96316">
            <w:pPr>
              <w:spacing w:before="60" w:after="60"/>
              <w:jc w:val="center"/>
              <w:rPr>
                <w:rFonts w:cs="Arial"/>
                <w:b/>
                <w:color w:val="000000"/>
              </w:rPr>
            </w:pPr>
            <w:r w:rsidRPr="0077659B">
              <w:rPr>
                <w:rFonts w:cs="Arial"/>
                <w:b/>
                <w:color w:val="000000"/>
              </w:rPr>
              <w:t>CASH MANAGEMENT</w:t>
            </w:r>
          </w:p>
        </w:tc>
      </w:tr>
      <w:tr w:rsidR="00A96316" w:rsidRPr="0077659B" w14:paraId="109F1E38"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E5E50B7" w14:textId="77777777" w:rsidR="00A96316" w:rsidRPr="0077659B" w:rsidRDefault="00A96316" w:rsidP="00A96316">
            <w:pPr>
              <w:spacing w:before="60" w:after="60"/>
              <w:rPr>
                <w:rFonts w:cs="Arial"/>
                <w:color w:val="000000"/>
              </w:rPr>
            </w:pPr>
            <w:r w:rsidRPr="0077659B">
              <w:rPr>
                <w:rFonts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734B471C" w14:textId="77777777" w:rsidR="00A96316" w:rsidRPr="0077659B" w:rsidRDefault="00A96316" w:rsidP="00A96316">
            <w:pPr>
              <w:spacing w:before="60" w:after="60"/>
              <w:rPr>
                <w:rFonts w:cs="Arial"/>
              </w:rPr>
            </w:pPr>
            <w:r w:rsidRPr="0077659B">
              <w:rPr>
                <w:rFonts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9F3EAB8" w14:textId="77777777" w:rsidR="00A96316" w:rsidRPr="0077659B" w:rsidRDefault="00A96316" w:rsidP="00A96316">
            <w:pPr>
              <w:spacing w:before="60" w:after="60"/>
              <w:jc w:val="center"/>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D805DE7" w14:textId="77777777" w:rsidR="00A96316" w:rsidRPr="0077659B" w:rsidRDefault="00A96316" w:rsidP="00A96316">
            <w:pPr>
              <w:spacing w:before="60" w:after="60"/>
              <w:jc w:val="center"/>
              <w:rPr>
                <w:rFonts w:cs="Arial"/>
                <w:b/>
              </w:rPr>
            </w:pPr>
            <w:r w:rsidRPr="0077659B">
              <w:rPr>
                <w:rFonts w:cs="Arial"/>
                <w:b/>
              </w:rPr>
              <w:t>Yes</w:t>
            </w:r>
          </w:p>
        </w:tc>
      </w:tr>
      <w:tr w:rsidR="00A96316" w:rsidRPr="0077659B" w14:paraId="1A11C49C"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356FFC5" w14:textId="77777777" w:rsidR="00A96316" w:rsidRPr="0077659B" w:rsidRDefault="00A96316" w:rsidP="00A96316">
            <w:pPr>
              <w:spacing w:before="60" w:after="60"/>
              <w:ind w:left="357"/>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7B9EEF98"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year-end bank balance (cash and cash equivalents)/(bank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B5AA1EB" w14:textId="77777777" w:rsidR="00A96316" w:rsidRPr="0077659B" w:rsidRDefault="00A96316" w:rsidP="00A96316">
            <w:pPr>
              <w:spacing w:before="60" w:after="60"/>
              <w:jc w:val="center"/>
              <w:rPr>
                <w:rFonts w:cs="Arial"/>
                <w:b/>
              </w:rPr>
            </w:pPr>
            <w:r>
              <w:rPr>
                <w:rFonts w:cs="Arial"/>
                <w:b/>
              </w:rPr>
              <w:t>R (153 176 000)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7F02660C" w14:textId="77777777" w:rsidR="00A96316" w:rsidRPr="0077659B" w:rsidRDefault="00A96316" w:rsidP="00A96316">
            <w:pPr>
              <w:spacing w:before="60" w:after="60"/>
              <w:jc w:val="center"/>
              <w:rPr>
                <w:rFonts w:cs="Arial"/>
                <w:b/>
              </w:rPr>
            </w:pPr>
            <w:r>
              <w:rPr>
                <w:rFonts w:cs="Arial"/>
                <w:b/>
              </w:rPr>
              <w:t>R (266 533 000)</w:t>
            </w:r>
          </w:p>
        </w:tc>
      </w:tr>
      <w:tr w:rsidR="00A96316" w:rsidRPr="0077659B" w14:paraId="6A7C2777"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36B05E07" w14:textId="77777777" w:rsidR="00A96316" w:rsidRPr="0077659B" w:rsidRDefault="00A96316" w:rsidP="00A96316">
            <w:pPr>
              <w:spacing w:before="60" w:after="60"/>
              <w:rPr>
                <w:rFonts w:cs="Arial"/>
                <w:color w:val="000000"/>
              </w:rPr>
            </w:pPr>
            <w:r w:rsidRPr="0077659B">
              <w:rPr>
                <w:rFonts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71405B7" w14:textId="77777777" w:rsidR="00A96316" w:rsidRPr="0077659B" w:rsidRDefault="00A96316" w:rsidP="00A96316">
            <w:pPr>
              <w:spacing w:before="60" w:after="60"/>
              <w:rPr>
                <w:rFonts w:cs="Arial"/>
              </w:rPr>
            </w:pPr>
            <w:r w:rsidRPr="0077659B">
              <w:rPr>
                <w:rFonts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62C08C9" w14:textId="77777777" w:rsidR="00A96316" w:rsidRPr="0077659B" w:rsidRDefault="00A96316" w:rsidP="00A96316">
            <w:pPr>
              <w:spacing w:before="60" w:after="60"/>
              <w:jc w:val="center"/>
              <w:rPr>
                <w:rFonts w:cs="Arial"/>
                <w:b/>
              </w:rPr>
            </w:pPr>
            <w:r>
              <w:rPr>
                <w:rFonts w:cs="Arial"/>
                <w:b/>
              </w:rPr>
              <w:t xml:space="preserve">62.2 </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2259CF8D" w14:textId="77777777" w:rsidR="00A96316" w:rsidRPr="0077659B" w:rsidRDefault="00A96316" w:rsidP="00A96316">
            <w:pPr>
              <w:spacing w:before="60" w:after="60"/>
              <w:jc w:val="center"/>
              <w:rPr>
                <w:rFonts w:cs="Arial"/>
                <w:b/>
              </w:rPr>
            </w:pPr>
            <w:r>
              <w:rPr>
                <w:rFonts w:cs="Arial"/>
                <w:b/>
              </w:rPr>
              <w:t>45.5</w:t>
            </w:r>
            <w:r w:rsidRPr="0077659B">
              <w:rPr>
                <w:rFonts w:cs="Arial"/>
                <w:b/>
              </w:rPr>
              <w:t xml:space="preserve"> %</w:t>
            </w:r>
          </w:p>
        </w:tc>
      </w:tr>
      <w:tr w:rsidR="00A96316" w:rsidRPr="0077659B" w14:paraId="40A23E47" w14:textId="77777777" w:rsidTr="00A96316">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3802F8DE"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6512210E" w14:textId="77777777" w:rsidR="00A96316" w:rsidRPr="0077659B" w:rsidRDefault="00A96316" w:rsidP="00A96316">
            <w:pPr>
              <w:numPr>
                <w:ilvl w:val="0"/>
                <w:numId w:val="9"/>
              </w:numPr>
              <w:spacing w:before="60" w:after="60"/>
              <w:ind w:left="284" w:hanging="284"/>
              <w:rPr>
                <w:rFonts w:cs="Arial"/>
              </w:rPr>
            </w:pPr>
            <w:r w:rsidRPr="0077659B">
              <w:rPr>
                <w:rFonts w:cs="Arial"/>
              </w:rPr>
              <w:t>Amount of the cash surplus/(shortfall)</w:t>
            </w:r>
          </w:p>
          <w:p w14:paraId="038B1013" w14:textId="77777777" w:rsidR="00A96316" w:rsidRPr="0077659B" w:rsidRDefault="00A96316" w:rsidP="00A96316">
            <w:pPr>
              <w:numPr>
                <w:ilvl w:val="0"/>
                <w:numId w:val="9"/>
              </w:numPr>
              <w:spacing w:before="60" w:after="60"/>
              <w:ind w:left="284" w:hanging="284"/>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auto"/>
            <w:tcMar>
              <w:left w:w="28" w:type="dxa"/>
              <w:right w:w="28" w:type="dxa"/>
            </w:tcMar>
          </w:tcPr>
          <w:p w14:paraId="08F4514B" w14:textId="77777777" w:rsidR="00A96316" w:rsidRPr="0077659B" w:rsidRDefault="00A96316" w:rsidP="00A96316">
            <w:pPr>
              <w:spacing w:before="60" w:after="60"/>
              <w:jc w:val="center"/>
              <w:rPr>
                <w:rFonts w:cs="Arial"/>
                <w:b/>
              </w:rPr>
            </w:pPr>
            <w:r>
              <w:rPr>
                <w:rFonts w:cs="Arial"/>
                <w:b/>
              </w:rPr>
              <w:t>R (298 438 000)</w:t>
            </w:r>
          </w:p>
          <w:p w14:paraId="1FDF5A0D" w14:textId="77777777" w:rsidR="00A96316" w:rsidRPr="0077659B" w:rsidRDefault="00A96316" w:rsidP="00A96316">
            <w:pPr>
              <w:spacing w:before="60" w:after="60"/>
              <w:jc w:val="center"/>
              <w:rPr>
                <w:rFonts w:cs="Arial"/>
                <w:b/>
              </w:rPr>
            </w:pPr>
            <w:r>
              <w:rPr>
                <w:rFonts w:cs="Arial"/>
                <w:b/>
              </w:rPr>
              <w:t>R 480 005 000</w:t>
            </w:r>
          </w:p>
        </w:tc>
        <w:tc>
          <w:tcPr>
            <w:tcW w:w="2126" w:type="dxa"/>
            <w:tcBorders>
              <w:top w:val="single" w:sz="4" w:space="0" w:color="000000"/>
              <w:left w:val="single" w:sz="4" w:space="0" w:color="000000"/>
              <w:bottom w:val="single" w:sz="12" w:space="0" w:color="auto"/>
              <w:right w:val="single" w:sz="12" w:space="0" w:color="000000"/>
            </w:tcBorders>
            <w:tcMar>
              <w:left w:w="28" w:type="dxa"/>
              <w:right w:w="28" w:type="dxa"/>
            </w:tcMar>
          </w:tcPr>
          <w:p w14:paraId="568E7A37" w14:textId="77777777" w:rsidR="00A96316" w:rsidRPr="0077659B" w:rsidRDefault="00A96316" w:rsidP="00A96316">
            <w:pPr>
              <w:spacing w:before="60" w:after="60"/>
              <w:jc w:val="center"/>
              <w:rPr>
                <w:rFonts w:cs="Arial"/>
                <w:b/>
              </w:rPr>
            </w:pPr>
            <w:r>
              <w:rPr>
                <w:rFonts w:cs="Arial"/>
                <w:b/>
              </w:rPr>
              <w:t>R (224 957 000)</w:t>
            </w:r>
          </w:p>
          <w:p w14:paraId="32F3737D" w14:textId="77777777" w:rsidR="00A96316" w:rsidRPr="0077659B" w:rsidRDefault="00A96316" w:rsidP="00A96316">
            <w:pPr>
              <w:spacing w:before="60" w:after="60"/>
              <w:jc w:val="center"/>
              <w:rPr>
                <w:rFonts w:cs="Arial"/>
                <w:b/>
              </w:rPr>
            </w:pPr>
            <w:r>
              <w:rPr>
                <w:rFonts w:cs="Arial"/>
                <w:b/>
              </w:rPr>
              <w:t>R 493 941 000</w:t>
            </w:r>
          </w:p>
        </w:tc>
      </w:tr>
      <w:tr w:rsidR="00A96316" w:rsidRPr="0077659B" w14:paraId="4321D1AE" w14:textId="77777777" w:rsidTr="00A96316">
        <w:trPr>
          <w:trHeight w:val="340"/>
        </w:trPr>
        <w:tc>
          <w:tcPr>
            <w:tcW w:w="567" w:type="dxa"/>
            <w:vMerge w:val="restart"/>
            <w:tcBorders>
              <w:top w:val="single" w:sz="12" w:space="0" w:color="auto"/>
              <w:left w:val="single" w:sz="12" w:space="0" w:color="auto"/>
            </w:tcBorders>
          </w:tcPr>
          <w:p w14:paraId="2B3C08A7" w14:textId="77777777" w:rsidR="00A96316" w:rsidRPr="0077659B" w:rsidRDefault="00A96316" w:rsidP="00A96316">
            <w:pPr>
              <w:spacing w:before="60" w:after="60"/>
              <w:rPr>
                <w:rFonts w:cs="Arial"/>
                <w:color w:val="000000"/>
              </w:rPr>
            </w:pPr>
            <w:r w:rsidRPr="0077659B">
              <w:rPr>
                <w:rFonts w:cs="Arial"/>
                <w:color w:val="000000"/>
              </w:rPr>
              <w:t>4.3</w:t>
            </w:r>
          </w:p>
        </w:tc>
        <w:tc>
          <w:tcPr>
            <w:tcW w:w="4820" w:type="dxa"/>
            <w:tcBorders>
              <w:top w:val="single" w:sz="12" w:space="0" w:color="auto"/>
            </w:tcBorders>
          </w:tcPr>
          <w:p w14:paraId="3924C6DC" w14:textId="44470829" w:rsidR="00A96316" w:rsidRPr="0077659B" w:rsidRDefault="00A96316" w:rsidP="000913DD">
            <w:pPr>
              <w:spacing w:before="60" w:after="60"/>
              <w:rPr>
                <w:rFonts w:cs="Arial"/>
              </w:rPr>
            </w:pPr>
            <w:r w:rsidRPr="0077659B">
              <w:rPr>
                <w:rFonts w:cs="Arial"/>
              </w:rPr>
              <w:t>Amounts payable in future periods as a percentage of the budget for the next three years, excluding “compensation of employees” and “transfers and subsidies”</w:t>
            </w:r>
          </w:p>
        </w:tc>
        <w:tc>
          <w:tcPr>
            <w:tcW w:w="2126" w:type="dxa"/>
            <w:tcBorders>
              <w:top w:val="single" w:sz="12" w:space="0" w:color="auto"/>
            </w:tcBorders>
          </w:tcPr>
          <w:p w14:paraId="52EDB7BE" w14:textId="77777777" w:rsidR="00A96316" w:rsidRPr="0077659B" w:rsidRDefault="00A96316" w:rsidP="00A96316">
            <w:pPr>
              <w:spacing w:before="60" w:after="60"/>
              <w:jc w:val="center"/>
              <w:rPr>
                <w:rFonts w:cs="Arial"/>
                <w:b/>
              </w:rPr>
            </w:pPr>
            <w:r>
              <w:rPr>
                <w:rFonts w:cs="Arial"/>
                <w:b/>
              </w:rPr>
              <w:t xml:space="preserve"> 7.8  </w:t>
            </w:r>
            <w:r w:rsidRPr="0077659B">
              <w:rPr>
                <w:rFonts w:cs="Arial"/>
                <w:b/>
              </w:rPr>
              <w:t>%</w:t>
            </w:r>
          </w:p>
        </w:tc>
        <w:tc>
          <w:tcPr>
            <w:tcW w:w="2126" w:type="dxa"/>
            <w:tcBorders>
              <w:top w:val="single" w:sz="12" w:space="0" w:color="auto"/>
              <w:right w:val="single" w:sz="12" w:space="0" w:color="auto"/>
            </w:tcBorders>
          </w:tcPr>
          <w:p w14:paraId="04AEDB5A" w14:textId="77777777" w:rsidR="00A96316" w:rsidRPr="0077659B" w:rsidRDefault="00A96316" w:rsidP="00A96316">
            <w:pPr>
              <w:spacing w:before="60" w:after="60"/>
              <w:jc w:val="center"/>
              <w:rPr>
                <w:rFonts w:cs="Arial"/>
                <w:b/>
              </w:rPr>
            </w:pPr>
            <w:r>
              <w:rPr>
                <w:rFonts w:cs="Arial"/>
                <w:b/>
              </w:rPr>
              <w:t>40.3</w:t>
            </w:r>
            <w:r w:rsidRPr="0077659B">
              <w:rPr>
                <w:rFonts w:cs="Arial"/>
                <w:b/>
              </w:rPr>
              <w:t xml:space="preserve"> %</w:t>
            </w:r>
          </w:p>
        </w:tc>
      </w:tr>
      <w:tr w:rsidR="00A96316" w:rsidRPr="0077659B" w14:paraId="6B7ED728" w14:textId="77777777" w:rsidTr="00A96316">
        <w:trPr>
          <w:trHeight w:val="70"/>
        </w:trPr>
        <w:tc>
          <w:tcPr>
            <w:tcW w:w="567" w:type="dxa"/>
            <w:vMerge/>
            <w:tcBorders>
              <w:left w:val="single" w:sz="12" w:space="0" w:color="auto"/>
              <w:bottom w:val="single" w:sz="12" w:space="0" w:color="auto"/>
            </w:tcBorders>
          </w:tcPr>
          <w:p w14:paraId="0375CCB7" w14:textId="77777777" w:rsidR="00A96316" w:rsidRPr="0077659B" w:rsidRDefault="00A96316" w:rsidP="00A96316">
            <w:pPr>
              <w:spacing w:before="60" w:after="60"/>
              <w:rPr>
                <w:rFonts w:cs="Arial"/>
                <w:color w:val="000000"/>
              </w:rPr>
            </w:pPr>
          </w:p>
        </w:tc>
        <w:tc>
          <w:tcPr>
            <w:tcW w:w="4820" w:type="dxa"/>
            <w:tcBorders>
              <w:bottom w:val="single" w:sz="12" w:space="0" w:color="auto"/>
            </w:tcBorders>
          </w:tcPr>
          <w:p w14:paraId="593B4D6A"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Amounts payable in future periods</w:t>
            </w:r>
          </w:p>
          <w:p w14:paraId="5315B98B"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the next three years’ appropriation (budget), excluding “compensation of employees” and “transfers and subsidies"</w:t>
            </w:r>
          </w:p>
        </w:tc>
        <w:tc>
          <w:tcPr>
            <w:tcW w:w="2126" w:type="dxa"/>
            <w:tcBorders>
              <w:bottom w:val="single" w:sz="12" w:space="0" w:color="auto"/>
            </w:tcBorders>
          </w:tcPr>
          <w:p w14:paraId="037BE1C4" w14:textId="77777777" w:rsidR="00A96316" w:rsidRPr="0077659B" w:rsidRDefault="00A96316" w:rsidP="00A96316">
            <w:pPr>
              <w:spacing w:before="60" w:after="60"/>
              <w:jc w:val="center"/>
              <w:rPr>
                <w:rFonts w:cs="Arial"/>
                <w:b/>
              </w:rPr>
            </w:pPr>
            <w:r>
              <w:rPr>
                <w:rFonts w:cs="Arial"/>
                <w:b/>
              </w:rPr>
              <w:t>R 124 765 000</w:t>
            </w:r>
          </w:p>
          <w:p w14:paraId="4290CEA1" w14:textId="77777777" w:rsidR="00A96316" w:rsidRPr="0077659B" w:rsidRDefault="00A96316" w:rsidP="00A96316">
            <w:pPr>
              <w:spacing w:before="60" w:after="60"/>
              <w:jc w:val="center"/>
              <w:rPr>
                <w:rFonts w:cs="Arial"/>
                <w:b/>
              </w:rPr>
            </w:pPr>
            <w:r>
              <w:rPr>
                <w:rFonts w:cs="Arial"/>
                <w:b/>
              </w:rPr>
              <w:t>R 1 589 800 000</w:t>
            </w:r>
          </w:p>
        </w:tc>
        <w:tc>
          <w:tcPr>
            <w:tcW w:w="2126" w:type="dxa"/>
            <w:tcBorders>
              <w:bottom w:val="single" w:sz="12" w:space="0" w:color="auto"/>
              <w:right w:val="single" w:sz="12" w:space="0" w:color="auto"/>
            </w:tcBorders>
          </w:tcPr>
          <w:p w14:paraId="4853D9B1" w14:textId="77777777" w:rsidR="00A96316" w:rsidRPr="0077659B" w:rsidRDefault="00A96316" w:rsidP="00A96316">
            <w:pPr>
              <w:spacing w:before="60" w:after="60"/>
              <w:jc w:val="center"/>
              <w:rPr>
                <w:rFonts w:cs="Arial"/>
                <w:b/>
              </w:rPr>
            </w:pPr>
            <w:r>
              <w:rPr>
                <w:rFonts w:cs="Arial"/>
                <w:b/>
              </w:rPr>
              <w:t>R198 991 000</w:t>
            </w:r>
          </w:p>
          <w:p w14:paraId="53D34805" w14:textId="77777777" w:rsidR="00A96316" w:rsidRPr="0077659B" w:rsidRDefault="00A96316" w:rsidP="00A96316">
            <w:pPr>
              <w:spacing w:before="60" w:after="60"/>
              <w:jc w:val="center"/>
              <w:rPr>
                <w:rFonts w:cs="Arial"/>
                <w:b/>
              </w:rPr>
            </w:pPr>
            <w:r>
              <w:rPr>
                <w:rFonts w:cs="Arial"/>
                <w:b/>
              </w:rPr>
              <w:t>R493 941 000</w:t>
            </w:r>
          </w:p>
        </w:tc>
      </w:tr>
      <w:tr w:rsidR="00A96316" w:rsidRPr="0077659B" w14:paraId="5C5459C7" w14:textId="77777777" w:rsidTr="00A96316">
        <w:trPr>
          <w:trHeight w:val="340"/>
        </w:trPr>
        <w:tc>
          <w:tcPr>
            <w:tcW w:w="567" w:type="dxa"/>
            <w:vMerge w:val="restart"/>
            <w:tcBorders>
              <w:top w:val="single" w:sz="12" w:space="0" w:color="auto"/>
              <w:left w:val="single" w:sz="12" w:space="0" w:color="auto"/>
            </w:tcBorders>
          </w:tcPr>
          <w:p w14:paraId="7C111695" w14:textId="77777777" w:rsidR="00A96316" w:rsidRPr="0077659B" w:rsidRDefault="00A96316" w:rsidP="00A96316">
            <w:pPr>
              <w:spacing w:before="60" w:after="60"/>
              <w:rPr>
                <w:rFonts w:cs="Arial"/>
                <w:color w:val="000000"/>
              </w:rPr>
            </w:pPr>
            <w:r w:rsidRPr="0077659B">
              <w:rPr>
                <w:rFonts w:cs="Arial"/>
                <w:color w:val="000000"/>
              </w:rPr>
              <w:t>4.4</w:t>
            </w:r>
          </w:p>
        </w:tc>
        <w:tc>
          <w:tcPr>
            <w:tcW w:w="4820" w:type="dxa"/>
            <w:tcBorders>
              <w:top w:val="single" w:sz="12" w:space="0" w:color="auto"/>
            </w:tcBorders>
          </w:tcPr>
          <w:p w14:paraId="369C587A" w14:textId="77777777" w:rsidR="00A96316" w:rsidRPr="0077659B" w:rsidRDefault="00A96316" w:rsidP="00A96316">
            <w:pPr>
              <w:spacing w:before="60" w:after="60"/>
              <w:rPr>
                <w:rFonts w:cs="Arial"/>
              </w:rPr>
            </w:pPr>
            <w:r w:rsidRPr="0077659B">
              <w:rPr>
                <w:rFonts w:cs="Arial"/>
              </w:rPr>
              <w:t>Guarantees issued by the department as a percentage of next year’s budget, excluding “compensation of employees” and “transfers and subsidies”</w:t>
            </w:r>
          </w:p>
        </w:tc>
        <w:tc>
          <w:tcPr>
            <w:tcW w:w="2126" w:type="dxa"/>
            <w:tcBorders>
              <w:top w:val="single" w:sz="12" w:space="0" w:color="auto"/>
            </w:tcBorders>
          </w:tcPr>
          <w:p w14:paraId="26FB0E06" w14:textId="77777777" w:rsidR="00A96316" w:rsidRPr="0077659B" w:rsidRDefault="00A96316" w:rsidP="00A96316">
            <w:pPr>
              <w:spacing w:before="60" w:after="60"/>
              <w:jc w:val="center"/>
              <w:rPr>
                <w:rFonts w:cs="Arial"/>
                <w:b/>
              </w:rPr>
            </w:pPr>
            <w:r>
              <w:rPr>
                <w:rFonts w:cs="Arial"/>
                <w:b/>
              </w:rPr>
              <w:t>No guarantees issued</w:t>
            </w:r>
          </w:p>
        </w:tc>
        <w:tc>
          <w:tcPr>
            <w:tcW w:w="2126" w:type="dxa"/>
            <w:tcBorders>
              <w:top w:val="single" w:sz="12" w:space="0" w:color="auto"/>
              <w:right w:val="single" w:sz="12" w:space="0" w:color="auto"/>
            </w:tcBorders>
          </w:tcPr>
          <w:p w14:paraId="0855BD85" w14:textId="77777777" w:rsidR="00A96316" w:rsidRPr="0077659B" w:rsidRDefault="00A96316" w:rsidP="00A96316">
            <w:pPr>
              <w:spacing w:before="60" w:after="60"/>
              <w:jc w:val="center"/>
              <w:rPr>
                <w:rFonts w:cs="Arial"/>
                <w:b/>
              </w:rPr>
            </w:pPr>
            <w:r>
              <w:rPr>
                <w:rFonts w:cs="Arial"/>
                <w:b/>
              </w:rPr>
              <w:t>1.2</w:t>
            </w:r>
            <w:r w:rsidRPr="0077659B">
              <w:rPr>
                <w:rFonts w:cs="Arial"/>
                <w:b/>
              </w:rPr>
              <w:t>%</w:t>
            </w:r>
          </w:p>
        </w:tc>
      </w:tr>
      <w:tr w:rsidR="00A96316" w:rsidRPr="0077659B" w14:paraId="3C4F9DA9" w14:textId="77777777" w:rsidTr="00A96316">
        <w:trPr>
          <w:trHeight w:val="70"/>
        </w:trPr>
        <w:tc>
          <w:tcPr>
            <w:tcW w:w="567" w:type="dxa"/>
            <w:vMerge/>
            <w:tcBorders>
              <w:left w:val="single" w:sz="12" w:space="0" w:color="auto"/>
              <w:bottom w:val="single" w:sz="12" w:space="0" w:color="auto"/>
            </w:tcBorders>
          </w:tcPr>
          <w:p w14:paraId="2B05058E" w14:textId="77777777" w:rsidR="00A96316" w:rsidRPr="0077659B" w:rsidRDefault="00A96316" w:rsidP="00A96316">
            <w:pPr>
              <w:spacing w:before="60" w:after="60"/>
              <w:rPr>
                <w:rFonts w:cs="Arial"/>
                <w:color w:val="000000"/>
              </w:rPr>
            </w:pPr>
          </w:p>
        </w:tc>
        <w:tc>
          <w:tcPr>
            <w:tcW w:w="4820" w:type="dxa"/>
            <w:tcBorders>
              <w:bottom w:val="single" w:sz="12" w:space="0" w:color="auto"/>
            </w:tcBorders>
          </w:tcPr>
          <w:p w14:paraId="7AB2DF64"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guarantees issued</w:t>
            </w:r>
          </w:p>
          <w:p w14:paraId="3B30F21E"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next year’s appropriation (budget), excluding “compensation of employees” and “transfers</w:t>
            </w:r>
            <w:r w:rsidRPr="0077659B">
              <w:rPr>
                <w:rFonts w:cs="Arial"/>
              </w:rPr>
              <w:t xml:space="preserve"> and subsidies”</w:t>
            </w:r>
          </w:p>
        </w:tc>
        <w:tc>
          <w:tcPr>
            <w:tcW w:w="2126" w:type="dxa"/>
            <w:tcBorders>
              <w:bottom w:val="single" w:sz="12" w:space="0" w:color="auto"/>
            </w:tcBorders>
          </w:tcPr>
          <w:p w14:paraId="5FC54D3A" w14:textId="77777777" w:rsidR="00A96316" w:rsidRPr="0077659B" w:rsidRDefault="00A96316" w:rsidP="00A96316">
            <w:pPr>
              <w:spacing w:before="60" w:after="60"/>
              <w:jc w:val="center"/>
              <w:rPr>
                <w:rFonts w:cs="Arial"/>
                <w:b/>
              </w:rPr>
            </w:pPr>
            <w:r>
              <w:rPr>
                <w:rFonts w:cs="Arial"/>
                <w:b/>
              </w:rPr>
              <w:t>R 0</w:t>
            </w:r>
          </w:p>
          <w:p w14:paraId="2F308C3A" w14:textId="77777777" w:rsidR="00A96316" w:rsidRPr="0077659B" w:rsidRDefault="00A96316" w:rsidP="00A96316">
            <w:pPr>
              <w:spacing w:before="60" w:after="60"/>
              <w:jc w:val="center"/>
              <w:rPr>
                <w:rFonts w:cs="Arial"/>
                <w:b/>
              </w:rPr>
            </w:pPr>
            <w:r>
              <w:rPr>
                <w:rFonts w:cs="Arial"/>
                <w:b/>
              </w:rPr>
              <w:t>R 1 589 800</w:t>
            </w:r>
          </w:p>
        </w:tc>
        <w:tc>
          <w:tcPr>
            <w:tcW w:w="2126" w:type="dxa"/>
            <w:tcBorders>
              <w:bottom w:val="single" w:sz="12" w:space="0" w:color="auto"/>
              <w:right w:val="single" w:sz="12" w:space="0" w:color="auto"/>
            </w:tcBorders>
          </w:tcPr>
          <w:p w14:paraId="748064F5" w14:textId="77777777" w:rsidR="00A96316" w:rsidRPr="0077659B" w:rsidRDefault="00A96316" w:rsidP="00A96316">
            <w:pPr>
              <w:spacing w:before="60" w:after="60"/>
              <w:jc w:val="center"/>
              <w:rPr>
                <w:rFonts w:cs="Arial"/>
                <w:b/>
              </w:rPr>
            </w:pPr>
            <w:r>
              <w:rPr>
                <w:rFonts w:cs="Arial"/>
                <w:b/>
              </w:rPr>
              <w:t>R5 766 000</w:t>
            </w:r>
          </w:p>
          <w:p w14:paraId="7CAE0DAD" w14:textId="77777777" w:rsidR="00A96316" w:rsidRPr="0077659B" w:rsidRDefault="00A96316" w:rsidP="00A96316">
            <w:pPr>
              <w:spacing w:before="60" w:after="60"/>
              <w:jc w:val="center"/>
              <w:rPr>
                <w:rFonts w:cs="Arial"/>
                <w:b/>
              </w:rPr>
            </w:pPr>
            <w:r>
              <w:rPr>
                <w:rFonts w:cs="Arial"/>
                <w:b/>
              </w:rPr>
              <w:t>R493 941 000</w:t>
            </w:r>
          </w:p>
        </w:tc>
      </w:tr>
      <w:tr w:rsidR="00A96316" w:rsidRPr="0077659B" w14:paraId="34C3CCE3" w14:textId="77777777" w:rsidTr="00A96316">
        <w:trPr>
          <w:trHeight w:val="340"/>
        </w:trPr>
        <w:tc>
          <w:tcPr>
            <w:tcW w:w="567" w:type="dxa"/>
            <w:vMerge w:val="restart"/>
            <w:tcBorders>
              <w:top w:val="single" w:sz="12" w:space="0" w:color="auto"/>
              <w:left w:val="single" w:sz="12" w:space="0" w:color="auto"/>
            </w:tcBorders>
          </w:tcPr>
          <w:p w14:paraId="556020F4" w14:textId="77777777" w:rsidR="00A96316" w:rsidRPr="0077659B" w:rsidRDefault="00A96316" w:rsidP="00A96316">
            <w:pPr>
              <w:spacing w:before="60" w:after="60"/>
              <w:rPr>
                <w:rFonts w:cs="Arial"/>
                <w:color w:val="000000"/>
              </w:rPr>
            </w:pPr>
            <w:r w:rsidRPr="0077659B">
              <w:rPr>
                <w:rFonts w:cs="Arial"/>
                <w:color w:val="000000"/>
              </w:rPr>
              <w:t>4.5</w:t>
            </w:r>
          </w:p>
        </w:tc>
        <w:tc>
          <w:tcPr>
            <w:tcW w:w="4820" w:type="dxa"/>
            <w:tcBorders>
              <w:top w:val="single" w:sz="12" w:space="0" w:color="auto"/>
            </w:tcBorders>
          </w:tcPr>
          <w:p w14:paraId="63DD1232" w14:textId="77777777" w:rsidR="00A96316" w:rsidRPr="0077659B" w:rsidRDefault="00A96316" w:rsidP="00A96316">
            <w:pPr>
              <w:spacing w:before="60" w:after="60"/>
              <w:rPr>
                <w:rFonts w:cs="Arial"/>
              </w:rPr>
            </w:pPr>
            <w:r w:rsidRPr="0077659B">
              <w:rPr>
                <w:rFonts w:cs="Arial"/>
              </w:rPr>
              <w:t>Claims against the department as a percentage of next year’s budget, excluding “compensation of employees” and “transfers and subsidies”</w:t>
            </w:r>
          </w:p>
        </w:tc>
        <w:tc>
          <w:tcPr>
            <w:tcW w:w="2126" w:type="dxa"/>
            <w:tcBorders>
              <w:top w:val="single" w:sz="12" w:space="0" w:color="auto"/>
            </w:tcBorders>
          </w:tcPr>
          <w:p w14:paraId="330FF509" w14:textId="77777777" w:rsidR="00A96316" w:rsidRPr="0077659B" w:rsidRDefault="00A96316" w:rsidP="00A96316">
            <w:pPr>
              <w:spacing w:before="60" w:after="60"/>
              <w:jc w:val="center"/>
              <w:rPr>
                <w:rFonts w:cs="Arial"/>
                <w:b/>
              </w:rPr>
            </w:pPr>
            <w:r w:rsidRPr="0077659B">
              <w:rPr>
                <w:rFonts w:cs="Arial"/>
                <w:b/>
              </w:rPr>
              <w:t>No c</w:t>
            </w:r>
            <w:r>
              <w:rPr>
                <w:rFonts w:cs="Arial"/>
                <w:b/>
              </w:rPr>
              <w:t>laims against the department</w:t>
            </w:r>
          </w:p>
        </w:tc>
        <w:tc>
          <w:tcPr>
            <w:tcW w:w="2126" w:type="dxa"/>
            <w:tcBorders>
              <w:top w:val="single" w:sz="12" w:space="0" w:color="auto"/>
              <w:right w:val="single" w:sz="12" w:space="0" w:color="auto"/>
            </w:tcBorders>
          </w:tcPr>
          <w:p w14:paraId="06383131" w14:textId="77777777" w:rsidR="00A96316" w:rsidRPr="0077659B" w:rsidRDefault="00A96316" w:rsidP="00A96316">
            <w:pPr>
              <w:spacing w:before="60" w:after="60"/>
              <w:jc w:val="center"/>
              <w:rPr>
                <w:rFonts w:cs="Arial"/>
                <w:b/>
              </w:rPr>
            </w:pPr>
            <w:r w:rsidRPr="0077659B">
              <w:rPr>
                <w:rFonts w:cs="Arial"/>
                <w:b/>
              </w:rPr>
              <w:t>No c</w:t>
            </w:r>
            <w:r>
              <w:rPr>
                <w:rFonts w:cs="Arial"/>
                <w:b/>
              </w:rPr>
              <w:t xml:space="preserve">laims against the department </w:t>
            </w:r>
          </w:p>
        </w:tc>
      </w:tr>
      <w:tr w:rsidR="00A96316" w:rsidRPr="0077659B" w14:paraId="3830D603" w14:textId="77777777" w:rsidTr="00A96316">
        <w:trPr>
          <w:trHeight w:val="70"/>
        </w:trPr>
        <w:tc>
          <w:tcPr>
            <w:tcW w:w="567" w:type="dxa"/>
            <w:vMerge/>
            <w:tcBorders>
              <w:left w:val="single" w:sz="12" w:space="0" w:color="auto"/>
              <w:bottom w:val="single" w:sz="12" w:space="0" w:color="auto"/>
            </w:tcBorders>
          </w:tcPr>
          <w:p w14:paraId="5698011F" w14:textId="77777777" w:rsidR="00A96316" w:rsidRPr="0077659B" w:rsidRDefault="00A96316" w:rsidP="00A96316">
            <w:pPr>
              <w:spacing w:before="60" w:after="60"/>
              <w:rPr>
                <w:rFonts w:cs="Arial"/>
                <w:color w:val="000000"/>
              </w:rPr>
            </w:pPr>
          </w:p>
        </w:tc>
        <w:tc>
          <w:tcPr>
            <w:tcW w:w="4820" w:type="dxa"/>
            <w:tcBorders>
              <w:bottom w:val="single" w:sz="12" w:space="0" w:color="auto"/>
            </w:tcBorders>
          </w:tcPr>
          <w:p w14:paraId="206FE83E"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claims against the department</w:t>
            </w:r>
          </w:p>
          <w:p w14:paraId="002D4E2C" w14:textId="77777777" w:rsidR="00A96316" w:rsidRPr="0077659B" w:rsidRDefault="00A96316" w:rsidP="00A96316">
            <w:pPr>
              <w:numPr>
                <w:ilvl w:val="0"/>
                <w:numId w:val="9"/>
              </w:numPr>
              <w:spacing w:before="60" w:after="60"/>
              <w:ind w:left="284" w:hanging="284"/>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bottom w:val="single" w:sz="12" w:space="0" w:color="auto"/>
            </w:tcBorders>
          </w:tcPr>
          <w:p w14:paraId="651C9193" w14:textId="77777777" w:rsidR="00A96316" w:rsidRPr="0077659B" w:rsidRDefault="00A96316" w:rsidP="00A96316">
            <w:pPr>
              <w:spacing w:before="60" w:after="60"/>
              <w:jc w:val="center"/>
              <w:rPr>
                <w:rFonts w:cs="Arial"/>
                <w:b/>
              </w:rPr>
            </w:pPr>
            <w:r>
              <w:rPr>
                <w:rFonts w:cs="Arial"/>
                <w:b/>
              </w:rPr>
              <w:t>R 0</w:t>
            </w:r>
          </w:p>
          <w:p w14:paraId="140998F6" w14:textId="77777777" w:rsidR="00A96316" w:rsidRDefault="00A96316" w:rsidP="00A96316">
            <w:pPr>
              <w:spacing w:before="60" w:after="60"/>
              <w:jc w:val="center"/>
              <w:rPr>
                <w:rFonts w:cs="Arial"/>
                <w:b/>
              </w:rPr>
            </w:pPr>
            <w:r>
              <w:rPr>
                <w:rFonts w:cs="Arial"/>
                <w:b/>
              </w:rPr>
              <w:t>R 480 000 000</w:t>
            </w:r>
          </w:p>
          <w:p w14:paraId="4F3DCE16" w14:textId="77777777" w:rsidR="00A96316" w:rsidRPr="0077659B" w:rsidRDefault="00A96316" w:rsidP="00A96316">
            <w:pPr>
              <w:spacing w:before="60" w:after="60"/>
              <w:jc w:val="center"/>
              <w:rPr>
                <w:rFonts w:cs="Arial"/>
                <w:b/>
              </w:rPr>
            </w:pPr>
          </w:p>
        </w:tc>
        <w:tc>
          <w:tcPr>
            <w:tcW w:w="2126" w:type="dxa"/>
            <w:tcBorders>
              <w:bottom w:val="single" w:sz="12" w:space="0" w:color="auto"/>
              <w:right w:val="single" w:sz="12" w:space="0" w:color="auto"/>
            </w:tcBorders>
          </w:tcPr>
          <w:p w14:paraId="11180F17" w14:textId="77777777" w:rsidR="00A96316" w:rsidRPr="0077659B" w:rsidRDefault="00A96316" w:rsidP="00A96316">
            <w:pPr>
              <w:spacing w:before="60" w:after="60"/>
              <w:jc w:val="center"/>
              <w:rPr>
                <w:rFonts w:cs="Arial"/>
                <w:b/>
              </w:rPr>
            </w:pPr>
            <w:r>
              <w:rPr>
                <w:rFonts w:cs="Arial"/>
                <w:b/>
              </w:rPr>
              <w:t>R0</w:t>
            </w:r>
          </w:p>
          <w:p w14:paraId="6307AAD0" w14:textId="77777777" w:rsidR="00A96316" w:rsidRPr="0077659B" w:rsidRDefault="00A96316" w:rsidP="00A96316">
            <w:pPr>
              <w:spacing w:before="60" w:after="60"/>
              <w:jc w:val="center"/>
              <w:rPr>
                <w:rFonts w:cs="Arial"/>
                <w:b/>
              </w:rPr>
            </w:pPr>
            <w:r>
              <w:rPr>
                <w:rFonts w:cs="Arial"/>
                <w:b/>
              </w:rPr>
              <w:t>R1 036 000</w:t>
            </w:r>
          </w:p>
        </w:tc>
      </w:tr>
      <w:tr w:rsidR="00A96316" w:rsidRPr="0077659B" w14:paraId="3FD3D06D" w14:textId="77777777" w:rsidTr="00A96316">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448F12DF" w14:textId="77777777" w:rsidR="00A96316" w:rsidRPr="0077659B" w:rsidRDefault="00A96316" w:rsidP="004E2A88">
            <w:pPr>
              <w:spacing w:before="60" w:after="60"/>
              <w:jc w:val="center"/>
              <w:rPr>
                <w:rFonts w:cs="Arial"/>
                <w:b/>
                <w:color w:val="000000"/>
              </w:rPr>
            </w:pPr>
            <w:r w:rsidRPr="0077659B">
              <w:rPr>
                <w:rFonts w:cs="Arial"/>
                <w:b/>
                <w:color w:val="000000"/>
              </w:rPr>
              <w:t>OVERALL ASSESSMENT</w:t>
            </w:r>
          </w:p>
        </w:tc>
      </w:tr>
      <w:tr w:rsidR="00A96316" w:rsidRPr="0077659B" w14:paraId="37EB8F80" w14:textId="77777777" w:rsidTr="00A96316">
        <w:trPr>
          <w:trHeight w:val="340"/>
        </w:trPr>
        <w:tc>
          <w:tcPr>
            <w:tcW w:w="5387" w:type="dxa"/>
            <w:gridSpan w:val="2"/>
            <w:tcBorders>
              <w:top w:val="single" w:sz="12" w:space="0" w:color="000000"/>
              <w:left w:val="single" w:sz="12" w:space="0" w:color="000000"/>
              <w:bottom w:val="single" w:sz="4" w:space="0" w:color="000000"/>
              <w:right w:val="single" w:sz="4" w:space="0" w:color="000000"/>
            </w:tcBorders>
            <w:tcMar>
              <w:left w:w="108" w:type="dxa"/>
              <w:right w:w="113" w:type="dxa"/>
            </w:tcMar>
            <w:vAlign w:val="center"/>
          </w:tcPr>
          <w:p w14:paraId="3BEFB027" w14:textId="77777777" w:rsidR="00A96316" w:rsidRPr="0077659B" w:rsidRDefault="00A96316" w:rsidP="00A96316">
            <w:pPr>
              <w:spacing w:before="60" w:after="60"/>
              <w:rPr>
                <w:rFonts w:cs="Arial"/>
              </w:rPr>
            </w:pPr>
            <w:r w:rsidRPr="0077659B">
              <w:rPr>
                <w:rFonts w:cs="Arial"/>
              </w:rPr>
              <w:t>Overall the financial viability is assessed as:</w:t>
            </w:r>
          </w:p>
        </w:tc>
        <w:tc>
          <w:tcPr>
            <w:tcW w:w="2126" w:type="dxa"/>
            <w:tcBorders>
              <w:top w:val="single" w:sz="12" w:space="0" w:color="000000"/>
              <w:left w:val="single" w:sz="4" w:space="0" w:color="000000"/>
              <w:bottom w:val="single" w:sz="4" w:space="0" w:color="000000"/>
              <w:right w:val="single" w:sz="4" w:space="0" w:color="000000"/>
            </w:tcBorders>
            <w:shd w:val="clear" w:color="auto" w:fill="FFC000"/>
            <w:vAlign w:val="center"/>
          </w:tcPr>
          <w:p w14:paraId="754597BD" w14:textId="77777777" w:rsidR="00A96316" w:rsidRPr="0077659B" w:rsidRDefault="00A96316" w:rsidP="00A96316">
            <w:pPr>
              <w:spacing w:before="60" w:after="60"/>
              <w:jc w:val="center"/>
              <w:rPr>
                <w:rFonts w:cs="Arial"/>
                <w:b/>
                <w:bCs/>
                <w:color w:val="000000"/>
              </w:rPr>
            </w:pPr>
            <w:r w:rsidRPr="0077659B">
              <w:rPr>
                <w:rFonts w:cs="Arial"/>
                <w:b/>
                <w:bCs/>
                <w:color w:val="000000"/>
              </w:rPr>
              <w:t>Yellow (Concerning)</w:t>
            </w:r>
          </w:p>
        </w:tc>
        <w:tc>
          <w:tcPr>
            <w:tcW w:w="2126" w:type="dxa"/>
            <w:tcBorders>
              <w:top w:val="single" w:sz="12" w:space="0" w:color="000000"/>
              <w:left w:val="single" w:sz="4" w:space="0" w:color="000000"/>
              <w:bottom w:val="single" w:sz="4" w:space="0" w:color="000000"/>
              <w:right w:val="single" w:sz="12" w:space="0" w:color="000000"/>
            </w:tcBorders>
            <w:shd w:val="clear" w:color="auto" w:fill="FFC000"/>
            <w:vAlign w:val="center"/>
          </w:tcPr>
          <w:p w14:paraId="09DB2A1F" w14:textId="77777777" w:rsidR="00A96316" w:rsidRPr="0077659B" w:rsidRDefault="00A96316" w:rsidP="00A96316">
            <w:pPr>
              <w:spacing w:before="60" w:after="60"/>
              <w:jc w:val="center"/>
              <w:rPr>
                <w:rFonts w:cs="Arial"/>
                <w:b/>
                <w:bCs/>
                <w:color w:val="000000"/>
              </w:rPr>
            </w:pPr>
            <w:r w:rsidRPr="0077659B">
              <w:rPr>
                <w:rFonts w:cs="Arial"/>
                <w:b/>
                <w:bCs/>
                <w:color w:val="000000"/>
              </w:rPr>
              <w:t>Yellow (Concerning)</w:t>
            </w:r>
          </w:p>
        </w:tc>
      </w:tr>
      <w:tr w:rsidR="00A96316" w:rsidRPr="0077659B" w14:paraId="35CF88AB"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62ECE9BB" w14:textId="77777777" w:rsidR="00A96316" w:rsidRPr="0077659B" w:rsidRDefault="00A96316" w:rsidP="00A96316">
            <w:pPr>
              <w:spacing w:before="60" w:after="60"/>
              <w:ind w:left="284" w:hanging="284"/>
              <w:rPr>
                <w:rFonts w:cs="Arial"/>
                <w:i/>
              </w:rPr>
            </w:pPr>
            <w:r w:rsidRPr="0077659B">
              <w:rPr>
                <w:rFonts w:cs="Arial"/>
                <w:i/>
              </w:rPr>
              <w:t xml:space="preserve">** </w:t>
            </w:r>
            <w:r w:rsidRPr="0077659B">
              <w:rPr>
                <w:rFonts w:cs="Arial"/>
                <w:i/>
              </w:rPr>
              <w:tab/>
              <w:t xml:space="preserve">This indicator assumes that the </w:t>
            </w:r>
            <w:proofErr w:type="spellStart"/>
            <w:r w:rsidR="004E2A88" w:rsidRPr="004E2A88">
              <w:rPr>
                <w:rFonts w:cs="Arial"/>
                <w:i/>
              </w:rPr>
              <w:t>unauthorised</w:t>
            </w:r>
            <w:proofErr w:type="spellEnd"/>
            <w:r w:rsidR="004E2A88" w:rsidRPr="004E2A88">
              <w:rPr>
                <w:rFonts w:cs="Arial"/>
                <w:i/>
              </w:rPr>
              <w:t xml:space="preserve"> expendit</w:t>
            </w:r>
            <w:r w:rsidR="004E2A88">
              <w:rPr>
                <w:rFonts w:cs="Arial"/>
                <w:i/>
              </w:rPr>
              <w:t>ure of R261 169 000, per note 9</w:t>
            </w:r>
            <w:r w:rsidRPr="0077659B">
              <w:rPr>
                <w:rFonts w:cs="Arial"/>
                <w:i/>
              </w:rPr>
              <w:t xml:space="preserve"> will not be approved with funding.</w:t>
            </w:r>
          </w:p>
        </w:tc>
      </w:tr>
    </w:tbl>
    <w:p w14:paraId="75BAEAE0" w14:textId="77777777" w:rsidR="009F2DC4" w:rsidRPr="0077659B" w:rsidRDefault="009F2DC4" w:rsidP="00BB6EEC">
      <w:pPr>
        <w:pStyle w:val="Symbolbullet"/>
        <w:numPr>
          <w:ilvl w:val="0"/>
          <w:numId w:val="0"/>
        </w:numPr>
        <w:ind w:left="1134"/>
      </w:pPr>
    </w:p>
    <w:p w14:paraId="1ED17CA7" w14:textId="77777777" w:rsidR="009F2DC4" w:rsidRPr="0077659B" w:rsidRDefault="009F2DC4" w:rsidP="006B1D3E">
      <w:pPr>
        <w:pStyle w:val="Heading4"/>
      </w:pPr>
      <w:r w:rsidRPr="0077659B">
        <w:t>High-level comments</w:t>
      </w:r>
    </w:p>
    <w:p w14:paraId="65A7CE16" w14:textId="77777777" w:rsidR="004E2A88" w:rsidRDefault="004E2A88" w:rsidP="004E2A88">
      <w:pPr>
        <w:pStyle w:val="ListParagraph"/>
        <w:numPr>
          <w:ilvl w:val="0"/>
          <w:numId w:val="26"/>
        </w:numPr>
        <w:shd w:val="clear" w:color="auto" w:fill="FFFFFF"/>
        <w:autoSpaceDE/>
        <w:autoSpaceDN/>
        <w:adjustRightInd/>
        <w:spacing w:after="240"/>
        <w:jc w:val="both"/>
        <w:rPr>
          <w:rFonts w:ascii="Arial" w:eastAsia="Calibri" w:hAnsi="Arial" w:cs="Arial"/>
        </w:rPr>
      </w:pPr>
      <w:r w:rsidRPr="0080580F">
        <w:rPr>
          <w:rFonts w:ascii="Arial" w:eastAsia="Calibri" w:hAnsi="Arial" w:cs="Arial"/>
        </w:rPr>
        <w:t xml:space="preserve">The department is able to undertake its </w:t>
      </w:r>
      <w:proofErr w:type="gramStart"/>
      <w:r w:rsidRPr="0080580F">
        <w:rPr>
          <w:rFonts w:ascii="Arial" w:eastAsia="Calibri" w:hAnsi="Arial" w:cs="Arial"/>
        </w:rPr>
        <w:t>objectives and the vote has not been depleted or exceeded</w:t>
      </w:r>
      <w:proofErr w:type="gramEnd"/>
      <w:r w:rsidRPr="0080580F">
        <w:rPr>
          <w:rFonts w:ascii="Arial" w:eastAsia="Calibri" w:hAnsi="Arial" w:cs="Arial"/>
        </w:rPr>
        <w:t xml:space="preserve"> and there is no significant unpaid expenditure.</w:t>
      </w:r>
    </w:p>
    <w:p w14:paraId="7199FD67" w14:textId="77777777" w:rsidR="004E2A88" w:rsidRPr="0080580F" w:rsidRDefault="004E2A88" w:rsidP="004E2A88">
      <w:pPr>
        <w:pStyle w:val="ListParagraph"/>
        <w:numPr>
          <w:ilvl w:val="0"/>
          <w:numId w:val="26"/>
        </w:numPr>
        <w:shd w:val="clear" w:color="auto" w:fill="FFFFFF"/>
        <w:autoSpaceDE/>
        <w:autoSpaceDN/>
        <w:adjustRightInd/>
        <w:spacing w:after="240"/>
        <w:jc w:val="both"/>
        <w:rPr>
          <w:rFonts w:ascii="Arial" w:eastAsia="Calibri" w:hAnsi="Arial" w:cs="Arial"/>
        </w:rPr>
      </w:pPr>
      <w:r>
        <w:rPr>
          <w:rFonts w:ascii="Arial" w:eastAsia="Calibri" w:hAnsi="Arial" w:cs="Arial"/>
        </w:rPr>
        <w:t xml:space="preserve">Improvements </w:t>
      </w:r>
      <w:proofErr w:type="gramStart"/>
      <w:r>
        <w:rPr>
          <w:rFonts w:ascii="Arial" w:eastAsia="Calibri" w:hAnsi="Arial" w:cs="Arial"/>
        </w:rPr>
        <w:t>have been noted</w:t>
      </w:r>
      <w:proofErr w:type="gramEnd"/>
      <w:r>
        <w:rPr>
          <w:rFonts w:ascii="Arial" w:eastAsia="Calibri" w:hAnsi="Arial" w:cs="Arial"/>
        </w:rPr>
        <w:t xml:space="preserve"> with respect to creditor payment period, as well as debtor collection periods. This was </w:t>
      </w:r>
      <w:proofErr w:type="gramStart"/>
      <w:r>
        <w:rPr>
          <w:rFonts w:ascii="Arial" w:eastAsia="Calibri" w:hAnsi="Arial" w:cs="Arial"/>
        </w:rPr>
        <w:t>as a result</w:t>
      </w:r>
      <w:proofErr w:type="gramEnd"/>
      <w:r>
        <w:rPr>
          <w:rFonts w:ascii="Arial" w:eastAsia="Calibri" w:hAnsi="Arial" w:cs="Arial"/>
        </w:rPr>
        <w:t xml:space="preserve"> of specific</w:t>
      </w:r>
      <w:r w:rsidR="00EC5960">
        <w:rPr>
          <w:rFonts w:ascii="Arial" w:eastAsia="Calibri" w:hAnsi="Arial" w:cs="Arial"/>
        </w:rPr>
        <w:t xml:space="preserve"> consideration being placed on ensuring all payments are made within 30 days.</w:t>
      </w:r>
    </w:p>
    <w:p w14:paraId="3B9B4956" w14:textId="77777777" w:rsidR="004E2A88" w:rsidRPr="004E2A88" w:rsidRDefault="004E2A88" w:rsidP="004E2A88">
      <w:pPr>
        <w:pStyle w:val="ListParagraph"/>
        <w:numPr>
          <w:ilvl w:val="0"/>
          <w:numId w:val="26"/>
        </w:numPr>
        <w:shd w:val="clear" w:color="auto" w:fill="FFFFFF"/>
        <w:autoSpaceDE/>
        <w:autoSpaceDN/>
        <w:adjustRightInd/>
        <w:contextualSpacing/>
        <w:jc w:val="both"/>
        <w:rPr>
          <w:rFonts w:ascii="Arial" w:eastAsia="MS Mincho" w:hAnsi="Arial" w:cs="Arial"/>
          <w:lang w:eastAsia="en-GB"/>
        </w:rPr>
      </w:pPr>
      <w:r w:rsidRPr="0080580F">
        <w:rPr>
          <w:rFonts w:ascii="Arial" w:eastAsia="Calibri" w:hAnsi="Arial" w:cs="Arial"/>
          <w:szCs w:val="24"/>
          <w:lang w:eastAsia="en-GB"/>
        </w:rPr>
        <w:t xml:space="preserve">The bank overdraft primarily emanated </w:t>
      </w:r>
      <w:proofErr w:type="gramStart"/>
      <w:r w:rsidRPr="0080580F">
        <w:rPr>
          <w:rFonts w:ascii="Arial" w:eastAsia="Calibri" w:hAnsi="Arial" w:cs="Arial"/>
          <w:szCs w:val="24"/>
          <w:lang w:eastAsia="en-GB"/>
        </w:rPr>
        <w:t>as a result</w:t>
      </w:r>
      <w:proofErr w:type="gramEnd"/>
      <w:r w:rsidRPr="0080580F">
        <w:rPr>
          <w:rFonts w:ascii="Arial" w:eastAsia="Calibri" w:hAnsi="Arial" w:cs="Arial"/>
          <w:szCs w:val="24"/>
          <w:lang w:eastAsia="en-GB"/>
        </w:rPr>
        <w:t xml:space="preserve"> of unauthorised expenditure and it is important to note, as highlighted above, that these indicators assume that any unauthorised expenditure that the auditee may have incurred will not be approved with funding. If the unauthorised expenditure </w:t>
      </w:r>
      <w:proofErr w:type="gramStart"/>
      <w:r w:rsidRPr="0080580F">
        <w:rPr>
          <w:rFonts w:ascii="Arial" w:eastAsia="Calibri" w:hAnsi="Arial" w:cs="Arial"/>
          <w:szCs w:val="24"/>
          <w:lang w:eastAsia="en-GB"/>
        </w:rPr>
        <w:t>is approved</w:t>
      </w:r>
      <w:proofErr w:type="gramEnd"/>
      <w:r w:rsidRPr="0080580F">
        <w:rPr>
          <w:rFonts w:ascii="Arial" w:eastAsia="Calibri" w:hAnsi="Arial" w:cs="Arial"/>
          <w:szCs w:val="24"/>
          <w:lang w:eastAsia="en-GB"/>
        </w:rPr>
        <w:t xml:space="preserve"> with funding, the cash shortfall will decrease.</w:t>
      </w:r>
    </w:p>
    <w:p w14:paraId="4F5937E4" w14:textId="77777777" w:rsidR="004E2A88" w:rsidRPr="0080580F" w:rsidRDefault="004E2A88" w:rsidP="00BF178F">
      <w:pPr>
        <w:pStyle w:val="ListParagraph"/>
        <w:numPr>
          <w:ilvl w:val="0"/>
          <w:numId w:val="0"/>
        </w:numPr>
        <w:shd w:val="clear" w:color="auto" w:fill="FFFFFF"/>
        <w:autoSpaceDE/>
        <w:autoSpaceDN/>
        <w:adjustRightInd/>
        <w:ind w:left="840"/>
        <w:contextualSpacing/>
        <w:jc w:val="both"/>
        <w:rPr>
          <w:rFonts w:ascii="Arial" w:eastAsia="MS Mincho" w:hAnsi="Arial" w:cs="Arial"/>
          <w:lang w:eastAsia="en-GB"/>
        </w:rPr>
      </w:pPr>
    </w:p>
    <w:p w14:paraId="2CC202E4" w14:textId="77777777" w:rsidR="009F2DC4" w:rsidRPr="0077659B" w:rsidRDefault="004E2A88" w:rsidP="004E2A88">
      <w:pPr>
        <w:pStyle w:val="Numbernormal"/>
        <w:numPr>
          <w:ilvl w:val="0"/>
          <w:numId w:val="26"/>
        </w:numPr>
      </w:pPr>
      <w:r w:rsidRPr="0080580F">
        <w:rPr>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77659B">
        <w:t>.</w:t>
      </w:r>
    </w:p>
    <w:p w14:paraId="29F5AF3C" w14:textId="77777777" w:rsidR="00F576DC" w:rsidRPr="00BB6EEC" w:rsidRDefault="00C22F2B" w:rsidP="00A3735E">
      <w:pPr>
        <w:pStyle w:val="Heading3"/>
        <w:rPr>
          <w:lang w:val="en-ZA"/>
        </w:rPr>
      </w:pPr>
      <w:bookmarkStart w:id="142" w:name="_Toc447106617"/>
      <w:bookmarkStart w:id="143" w:name="_Toc51154083"/>
      <w:r w:rsidRPr="00BB6EEC">
        <w:rPr>
          <w:lang w:val="en-ZA"/>
        </w:rPr>
        <w:lastRenderedPageBreak/>
        <w:t>PROCUREMENT AND CONTRACT MANAGEMENT</w:t>
      </w:r>
      <w:bookmarkEnd w:id="142"/>
      <w:bookmarkEnd w:id="143"/>
    </w:p>
    <w:p w14:paraId="5150526F" w14:textId="77777777" w:rsidR="00BF178F" w:rsidRPr="0077659B" w:rsidRDefault="00BF178F" w:rsidP="00BF178F">
      <w:pPr>
        <w:pStyle w:val="Numbernormal"/>
        <w:numPr>
          <w:ilvl w:val="0"/>
          <w:numId w:val="26"/>
        </w:numPr>
      </w:pPr>
      <w:r w:rsidRPr="0077659B">
        <w:t>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A summary of the findings from the audit are as follows:</w:t>
      </w:r>
    </w:p>
    <w:p w14:paraId="11774AA9" w14:textId="7410E7A1" w:rsidR="00BF178F" w:rsidRPr="0077659B" w:rsidRDefault="00BF178F" w:rsidP="00BF178F">
      <w:pPr>
        <w:pStyle w:val="Heading5"/>
        <w:rPr>
          <w:rFonts w:eastAsia="Calibri"/>
        </w:rPr>
      </w:pPr>
      <w:bookmarkStart w:id="144" w:name="_Toc447106618"/>
      <w:r w:rsidRPr="0077659B">
        <w:rPr>
          <w:rFonts w:eastAsia="Calibri"/>
        </w:rPr>
        <w:t>Irregular expenditure</w:t>
      </w:r>
      <w:bookmarkEnd w:id="144"/>
    </w:p>
    <w:p w14:paraId="2878032C" w14:textId="77777777" w:rsidR="00BF178F" w:rsidRPr="00C61124" w:rsidRDefault="00BF178F" w:rsidP="00BF178F">
      <w:pPr>
        <w:pStyle w:val="Numbernormal"/>
        <w:numPr>
          <w:ilvl w:val="0"/>
          <w:numId w:val="26"/>
        </w:numPr>
      </w:pPr>
      <w:r w:rsidRPr="00C61124">
        <w:t xml:space="preserve">R6 527 344 (100%) of irregular expenditure incurred in the current financial year was </w:t>
      </w:r>
      <w:proofErr w:type="gramStart"/>
      <w:r w:rsidRPr="00C61124">
        <w:t>as a result</w:t>
      </w:r>
      <w:proofErr w:type="gramEnd"/>
      <w:r w:rsidRPr="00C61124">
        <w:t xml:space="preserve"> of the contravention of SCM legislation. Further irregular expenditure incurred in previous years amounting to R6</w:t>
      </w:r>
      <w:r>
        <w:t> </w:t>
      </w:r>
      <w:r w:rsidRPr="00C61124">
        <w:t>767</w:t>
      </w:r>
      <w:r>
        <w:t> </w:t>
      </w:r>
      <w:r w:rsidRPr="00C61124">
        <w:t xml:space="preserve">478 was also identified in the current year. </w:t>
      </w:r>
      <w:proofErr w:type="gramStart"/>
      <w:r w:rsidRPr="00C61124">
        <w:t>100%</w:t>
      </w:r>
      <w:proofErr w:type="gramEnd"/>
      <w:r w:rsidRPr="00C61124">
        <w:t xml:space="preserve"> (100% in the prior year) of this irregular expenditure was identified during the audit process and not detected by the d</w:t>
      </w:r>
      <w:r>
        <w:t>epartment</w:t>
      </w:r>
      <w:r w:rsidRPr="00C61124">
        <w:t>’s monitoring processes. The root cause(s) of the lack of effective prevention and detection are inadequat</w:t>
      </w:r>
      <w:r>
        <w:t>e review and monitoring with SCM</w:t>
      </w:r>
      <w:r w:rsidRPr="00C61124">
        <w:t xml:space="preserve"> processes and requirements.</w:t>
      </w:r>
    </w:p>
    <w:p w14:paraId="1F1E774B" w14:textId="77777777" w:rsidR="00BF178F" w:rsidRPr="0077659B" w:rsidRDefault="00BF178F" w:rsidP="00BF178F">
      <w:pPr>
        <w:pStyle w:val="Heading5"/>
        <w:rPr>
          <w:rFonts w:eastAsia="Calibri"/>
        </w:rPr>
      </w:pPr>
      <w:bookmarkStart w:id="145" w:name="_Toc447106619"/>
      <w:r w:rsidRPr="0077659B">
        <w:rPr>
          <w:rFonts w:eastAsia="Calibri"/>
        </w:rPr>
        <w:t>Awards to persons in the service of the state and their close family members</w:t>
      </w:r>
      <w:bookmarkEnd w:id="145"/>
    </w:p>
    <w:p w14:paraId="6ED33695" w14:textId="77777777" w:rsidR="00BF178F" w:rsidRPr="0077659B" w:rsidRDefault="00BF178F" w:rsidP="00BF178F">
      <w:pPr>
        <w:pStyle w:val="Numbernormal"/>
        <w:numPr>
          <w:ilvl w:val="0"/>
          <w:numId w:val="26"/>
        </w:numPr>
      </w:pPr>
      <w:r w:rsidRPr="0077659B">
        <w:t xml:space="preserve">The audit included an assessment of the interests of officials and their close family members in suppliers to the </w:t>
      </w:r>
      <w:r>
        <w:t>department</w:t>
      </w:r>
      <w:r w:rsidRPr="0077659B">
        <w:t xml:space="preserve">. </w:t>
      </w:r>
      <w:proofErr w:type="gramStart"/>
      <w:r w:rsidRPr="0077659B">
        <w:t xml:space="preserve">Legislation specific to procurement does not prohibit the </w:t>
      </w:r>
      <w:r>
        <w:t>Department of Public Works and Infrastructure</w:t>
      </w:r>
      <w:r w:rsidRPr="0077659B">
        <w:t xml:space="preserve"> from making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roofErr w:type="gramEnd"/>
    </w:p>
    <w:p w14:paraId="37E1F721" w14:textId="0EAA6F72" w:rsidR="00BF178F" w:rsidRPr="0077659B" w:rsidRDefault="00BF178F" w:rsidP="00BF178F">
      <w:pPr>
        <w:pStyle w:val="Numbernormal"/>
        <w:numPr>
          <w:ilvl w:val="0"/>
          <w:numId w:val="26"/>
        </w:numPr>
      </w:pPr>
      <w:r w:rsidRPr="0077659B">
        <w:t>The findings were as follows</w:t>
      </w:r>
      <w:r w:rsidR="00E60873">
        <w:t>:</w:t>
      </w:r>
    </w:p>
    <w:tbl>
      <w:tblPr>
        <w:tblW w:w="1015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76"/>
        <w:gridCol w:w="1417"/>
        <w:gridCol w:w="992"/>
        <w:gridCol w:w="1310"/>
        <w:gridCol w:w="1260"/>
        <w:gridCol w:w="1087"/>
        <w:gridCol w:w="1253"/>
      </w:tblGrid>
      <w:tr w:rsidR="00BF178F" w:rsidRPr="0077659B" w14:paraId="6C266F7C" w14:textId="77777777" w:rsidTr="00C30C39">
        <w:tc>
          <w:tcPr>
            <w:tcW w:w="1560" w:type="dxa"/>
            <w:vMerge w:val="restart"/>
            <w:shd w:val="clear" w:color="auto" w:fill="A6A6A6" w:themeFill="background1" w:themeFillShade="A6"/>
            <w:vAlign w:val="center"/>
          </w:tcPr>
          <w:p w14:paraId="72D27059"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Finding</w:t>
            </w:r>
          </w:p>
        </w:tc>
        <w:tc>
          <w:tcPr>
            <w:tcW w:w="1276" w:type="dxa"/>
            <w:vMerge w:val="restart"/>
            <w:shd w:val="clear" w:color="auto" w:fill="A6A6A6" w:themeFill="background1" w:themeFillShade="A6"/>
            <w:vAlign w:val="center"/>
          </w:tcPr>
          <w:p w14:paraId="0E2CEB7D"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Number and value of awards made</w:t>
            </w:r>
          </w:p>
        </w:tc>
        <w:tc>
          <w:tcPr>
            <w:tcW w:w="1417" w:type="dxa"/>
            <w:vMerge w:val="restart"/>
            <w:shd w:val="clear" w:color="auto" w:fill="A6A6A6" w:themeFill="background1" w:themeFillShade="A6"/>
            <w:vAlign w:val="center"/>
          </w:tcPr>
          <w:p w14:paraId="6C52D647" w14:textId="77777777" w:rsidR="00BF178F" w:rsidRPr="0077659B" w:rsidRDefault="00BF178F" w:rsidP="00C30C39">
            <w:pPr>
              <w:spacing w:after="0" w:line="240" w:lineRule="auto"/>
              <w:ind w:right="-42"/>
              <w:jc w:val="center"/>
              <w:rPr>
                <w:rFonts w:eastAsia="Times New Roman" w:cs="Arial"/>
                <w:b/>
                <w:sz w:val="20"/>
                <w:lang w:eastAsia="en-ZA"/>
              </w:rPr>
            </w:pPr>
            <w:r w:rsidRPr="0077659B">
              <w:rPr>
                <w:rFonts w:eastAsia="Times New Roman" w:cs="Arial"/>
                <w:b/>
                <w:sz w:val="20"/>
                <w:lang w:eastAsia="en-ZA"/>
              </w:rPr>
              <w:t>Number and positions of official identified</w:t>
            </w:r>
          </w:p>
        </w:tc>
        <w:tc>
          <w:tcPr>
            <w:tcW w:w="992" w:type="dxa"/>
            <w:vMerge w:val="restart"/>
            <w:shd w:val="clear" w:color="auto" w:fill="A6A6A6" w:themeFill="background1" w:themeFillShade="A6"/>
            <w:vAlign w:val="center"/>
          </w:tcPr>
          <w:p w14:paraId="40F340A7" w14:textId="77777777" w:rsidR="00BF178F" w:rsidRPr="0077659B" w:rsidRDefault="00BF178F" w:rsidP="00C30C39">
            <w:pPr>
              <w:spacing w:after="0" w:line="240" w:lineRule="auto"/>
              <w:ind w:right="-108"/>
              <w:jc w:val="center"/>
              <w:rPr>
                <w:rFonts w:eastAsia="Times New Roman" w:cs="Arial"/>
                <w:b/>
                <w:sz w:val="20"/>
                <w:lang w:eastAsia="en-ZA"/>
              </w:rPr>
            </w:pPr>
            <w:r w:rsidRPr="0077659B">
              <w:rPr>
                <w:rFonts w:eastAsia="Times New Roman" w:cs="Arial"/>
                <w:b/>
                <w:sz w:val="20"/>
                <w:lang w:eastAsia="en-ZA"/>
              </w:rPr>
              <w:t>Number of suppliers identified</w:t>
            </w:r>
          </w:p>
        </w:tc>
        <w:tc>
          <w:tcPr>
            <w:tcW w:w="4910" w:type="dxa"/>
            <w:gridSpan w:val="4"/>
            <w:shd w:val="clear" w:color="auto" w:fill="A6A6A6" w:themeFill="background1" w:themeFillShade="A6"/>
            <w:vAlign w:val="center"/>
          </w:tcPr>
          <w:p w14:paraId="4F041F02"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Further non-compliance or irregularities regarding the awards</w:t>
            </w:r>
          </w:p>
        </w:tc>
      </w:tr>
      <w:tr w:rsidR="00BF178F" w:rsidRPr="0077659B" w14:paraId="2D055F5D" w14:textId="77777777" w:rsidTr="00C30C39">
        <w:tc>
          <w:tcPr>
            <w:tcW w:w="1560" w:type="dxa"/>
            <w:vMerge/>
            <w:shd w:val="clear" w:color="auto" w:fill="A6A6A6" w:themeFill="background1" w:themeFillShade="A6"/>
          </w:tcPr>
          <w:p w14:paraId="198FC722" w14:textId="77777777" w:rsidR="00BF178F" w:rsidRPr="0077659B" w:rsidRDefault="00BF178F" w:rsidP="00C30C39">
            <w:pPr>
              <w:spacing w:after="0" w:line="240" w:lineRule="auto"/>
              <w:rPr>
                <w:rFonts w:eastAsia="Times New Roman" w:cs="Arial"/>
                <w:b/>
                <w:sz w:val="20"/>
                <w:lang w:eastAsia="en-ZA"/>
              </w:rPr>
            </w:pPr>
          </w:p>
        </w:tc>
        <w:tc>
          <w:tcPr>
            <w:tcW w:w="1276" w:type="dxa"/>
            <w:vMerge/>
            <w:shd w:val="clear" w:color="auto" w:fill="A6A6A6" w:themeFill="background1" w:themeFillShade="A6"/>
          </w:tcPr>
          <w:p w14:paraId="3BD72A29" w14:textId="77777777" w:rsidR="00BF178F" w:rsidRPr="0077659B" w:rsidRDefault="00BF178F" w:rsidP="00C30C39">
            <w:pPr>
              <w:spacing w:after="0" w:line="240" w:lineRule="auto"/>
              <w:rPr>
                <w:rFonts w:eastAsia="Times New Roman" w:cs="Arial"/>
                <w:b/>
                <w:sz w:val="20"/>
                <w:lang w:eastAsia="en-ZA"/>
              </w:rPr>
            </w:pPr>
          </w:p>
        </w:tc>
        <w:tc>
          <w:tcPr>
            <w:tcW w:w="1417" w:type="dxa"/>
            <w:vMerge/>
            <w:shd w:val="clear" w:color="auto" w:fill="A6A6A6" w:themeFill="background1" w:themeFillShade="A6"/>
          </w:tcPr>
          <w:p w14:paraId="48793352" w14:textId="77777777" w:rsidR="00BF178F" w:rsidRPr="0077659B" w:rsidRDefault="00BF178F" w:rsidP="00C30C39">
            <w:pPr>
              <w:spacing w:after="0" w:line="240" w:lineRule="auto"/>
              <w:rPr>
                <w:rFonts w:eastAsia="Times New Roman" w:cs="Arial"/>
                <w:b/>
                <w:sz w:val="20"/>
                <w:lang w:eastAsia="en-ZA"/>
              </w:rPr>
            </w:pPr>
          </w:p>
        </w:tc>
        <w:tc>
          <w:tcPr>
            <w:tcW w:w="992" w:type="dxa"/>
            <w:vMerge/>
            <w:shd w:val="clear" w:color="auto" w:fill="A6A6A6" w:themeFill="background1" w:themeFillShade="A6"/>
          </w:tcPr>
          <w:p w14:paraId="6CB2B51E" w14:textId="77777777" w:rsidR="00BF178F" w:rsidRPr="0077659B" w:rsidRDefault="00BF178F" w:rsidP="00C30C39">
            <w:pPr>
              <w:spacing w:after="0" w:line="240" w:lineRule="auto"/>
              <w:rPr>
                <w:rFonts w:eastAsia="Times New Roman" w:cs="Arial"/>
                <w:b/>
                <w:sz w:val="20"/>
                <w:lang w:eastAsia="en-ZA"/>
              </w:rPr>
            </w:pPr>
          </w:p>
        </w:tc>
        <w:tc>
          <w:tcPr>
            <w:tcW w:w="1310" w:type="dxa"/>
            <w:shd w:val="clear" w:color="auto" w:fill="D9D9D9" w:themeFill="background1" w:themeFillShade="D9"/>
            <w:vAlign w:val="center"/>
          </w:tcPr>
          <w:p w14:paraId="1EDB220F" w14:textId="77777777" w:rsidR="00BF178F" w:rsidRPr="0077659B" w:rsidRDefault="00BF178F" w:rsidP="00C30C39">
            <w:pPr>
              <w:spacing w:after="0" w:line="240" w:lineRule="auto"/>
              <w:ind w:right="-108"/>
              <w:jc w:val="center"/>
              <w:rPr>
                <w:rFonts w:eastAsia="Times New Roman" w:cs="Arial"/>
                <w:b/>
                <w:sz w:val="20"/>
                <w:lang w:eastAsia="en-ZA"/>
              </w:rPr>
            </w:pPr>
            <w:r w:rsidRPr="0077659B">
              <w:rPr>
                <w:rFonts w:eastAsia="Times New Roman" w:cs="Arial"/>
                <w:b/>
                <w:sz w:val="20"/>
                <w:lang w:eastAsia="en-ZA"/>
              </w:rPr>
              <w:t>Supplier did not submit declarations of interest</w:t>
            </w:r>
          </w:p>
        </w:tc>
        <w:tc>
          <w:tcPr>
            <w:tcW w:w="1260" w:type="dxa"/>
            <w:shd w:val="clear" w:color="auto" w:fill="D9D9D9" w:themeFill="background1" w:themeFillShade="D9"/>
            <w:vAlign w:val="center"/>
          </w:tcPr>
          <w:p w14:paraId="57B64B20" w14:textId="77777777" w:rsidR="00BF178F" w:rsidRPr="0077659B" w:rsidRDefault="00BF178F" w:rsidP="00C30C39">
            <w:pPr>
              <w:spacing w:after="0" w:line="240" w:lineRule="auto"/>
              <w:ind w:right="-108"/>
              <w:jc w:val="center"/>
              <w:rPr>
                <w:rFonts w:eastAsia="Times New Roman" w:cs="Arial"/>
                <w:b/>
                <w:sz w:val="20"/>
                <w:lang w:eastAsia="en-ZA"/>
              </w:rPr>
            </w:pPr>
            <w:r w:rsidRPr="0077659B">
              <w:rPr>
                <w:rFonts w:eastAsia="Times New Roman" w:cs="Arial"/>
                <w:b/>
                <w:sz w:val="20"/>
                <w:lang w:eastAsia="en-ZA"/>
              </w:rPr>
              <w:t>Supplier did not declare interest (false declaration)</w:t>
            </w:r>
          </w:p>
        </w:tc>
        <w:tc>
          <w:tcPr>
            <w:tcW w:w="1087" w:type="dxa"/>
            <w:shd w:val="clear" w:color="auto" w:fill="D9D9D9" w:themeFill="background1" w:themeFillShade="D9"/>
            <w:vAlign w:val="center"/>
          </w:tcPr>
          <w:p w14:paraId="076CF4E1"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Official did not declare interest</w:t>
            </w:r>
          </w:p>
        </w:tc>
        <w:tc>
          <w:tcPr>
            <w:tcW w:w="1253" w:type="dxa"/>
            <w:shd w:val="clear" w:color="auto" w:fill="D9D9D9" w:themeFill="background1" w:themeFillShade="D9"/>
            <w:vAlign w:val="center"/>
          </w:tcPr>
          <w:p w14:paraId="79FAFE94"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Official was involved in awarding the contract/ quotation</w:t>
            </w:r>
          </w:p>
        </w:tc>
      </w:tr>
      <w:tr w:rsidR="00BF178F" w:rsidRPr="0077659B" w14:paraId="420D63F2" w14:textId="77777777" w:rsidTr="00C30C39">
        <w:tc>
          <w:tcPr>
            <w:tcW w:w="1560" w:type="dxa"/>
          </w:tcPr>
          <w:p w14:paraId="42284655" w14:textId="77777777" w:rsidR="00BF178F" w:rsidRPr="0077659B" w:rsidRDefault="00BF178F" w:rsidP="00C30C39">
            <w:pPr>
              <w:spacing w:line="240" w:lineRule="auto"/>
              <w:rPr>
                <w:rFonts w:eastAsia="Times New Roman" w:cs="Arial"/>
                <w:color w:val="000000"/>
                <w:sz w:val="20"/>
                <w:lang w:eastAsia="en-ZA"/>
              </w:rPr>
            </w:pPr>
            <w:r w:rsidRPr="0077659B">
              <w:rPr>
                <w:rFonts w:eastAsia="Times New Roman" w:cs="Arial"/>
                <w:color w:val="000000"/>
                <w:sz w:val="20"/>
                <w:lang w:eastAsia="en-ZA"/>
              </w:rPr>
              <w:t xml:space="preserve">Awards made to business partners and associates of officials of the </w:t>
            </w:r>
            <w:r>
              <w:rPr>
                <w:rFonts w:eastAsia="Times New Roman" w:cs="Arial"/>
                <w:color w:val="000000"/>
                <w:sz w:val="20"/>
                <w:lang w:eastAsia="en-ZA"/>
              </w:rPr>
              <w:t>department</w:t>
            </w:r>
          </w:p>
        </w:tc>
        <w:tc>
          <w:tcPr>
            <w:tcW w:w="1276" w:type="dxa"/>
          </w:tcPr>
          <w:p w14:paraId="1E1EF2AA"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1</w:t>
            </w:r>
          </w:p>
          <w:p w14:paraId="245017AF"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R</w:t>
            </w:r>
            <w:r w:rsidRPr="00DC13F2">
              <w:rPr>
                <w:rFonts w:eastAsia="Times New Roman" w:cs="Arial"/>
                <w:color w:val="000000"/>
                <w:sz w:val="20"/>
                <w:lang w:eastAsia="en-ZA"/>
              </w:rPr>
              <w:t>86</w:t>
            </w:r>
            <w:r>
              <w:rPr>
                <w:rFonts w:eastAsia="Times New Roman" w:cs="Arial"/>
                <w:color w:val="000000"/>
                <w:sz w:val="20"/>
                <w:lang w:eastAsia="en-ZA"/>
              </w:rPr>
              <w:t xml:space="preserve"> </w:t>
            </w:r>
            <w:r w:rsidRPr="00DC13F2">
              <w:rPr>
                <w:rFonts w:eastAsia="Times New Roman" w:cs="Arial"/>
                <w:color w:val="000000"/>
                <w:sz w:val="20"/>
                <w:lang w:eastAsia="en-ZA"/>
              </w:rPr>
              <w:t>685,39</w:t>
            </w:r>
            <w:r w:rsidRPr="0077659B">
              <w:rPr>
                <w:rFonts w:eastAsia="Times New Roman" w:cs="Arial"/>
                <w:color w:val="000000"/>
                <w:sz w:val="20"/>
                <w:lang w:eastAsia="en-ZA"/>
              </w:rPr>
              <w:t xml:space="preserve"> </w:t>
            </w:r>
          </w:p>
        </w:tc>
        <w:tc>
          <w:tcPr>
            <w:tcW w:w="1417" w:type="dxa"/>
          </w:tcPr>
          <w:p w14:paraId="2FA969B2"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1</w:t>
            </w:r>
          </w:p>
          <w:p w14:paraId="11489255"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 xml:space="preserve">Head : Governance, Risk and Compliance </w:t>
            </w:r>
          </w:p>
        </w:tc>
        <w:tc>
          <w:tcPr>
            <w:tcW w:w="992" w:type="dxa"/>
          </w:tcPr>
          <w:p w14:paraId="282270FE"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1</w:t>
            </w:r>
          </w:p>
        </w:tc>
        <w:tc>
          <w:tcPr>
            <w:tcW w:w="1310" w:type="dxa"/>
          </w:tcPr>
          <w:p w14:paraId="4C5576E5"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0</w:t>
            </w:r>
          </w:p>
        </w:tc>
        <w:tc>
          <w:tcPr>
            <w:tcW w:w="1260" w:type="dxa"/>
          </w:tcPr>
          <w:p w14:paraId="05BF18FE"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0</w:t>
            </w:r>
          </w:p>
        </w:tc>
        <w:tc>
          <w:tcPr>
            <w:tcW w:w="1087" w:type="dxa"/>
          </w:tcPr>
          <w:p w14:paraId="0F2E8E09" w14:textId="1E681972" w:rsidR="00BF178F" w:rsidRPr="004E2951" w:rsidRDefault="004E2951" w:rsidP="00C30C39">
            <w:pPr>
              <w:spacing w:line="240" w:lineRule="auto"/>
              <w:rPr>
                <w:rFonts w:eastAsia="Times New Roman" w:cs="Arial"/>
                <w:color w:val="000000"/>
                <w:sz w:val="20"/>
                <w:highlight w:val="yellow"/>
                <w:lang w:eastAsia="en-ZA"/>
              </w:rPr>
            </w:pPr>
            <w:r w:rsidRPr="004E2951">
              <w:rPr>
                <w:rFonts w:eastAsia="Times New Roman" w:cs="Arial"/>
                <w:color w:val="000000"/>
                <w:sz w:val="20"/>
                <w:lang w:eastAsia="en-ZA"/>
              </w:rPr>
              <w:t>0</w:t>
            </w:r>
          </w:p>
        </w:tc>
        <w:tc>
          <w:tcPr>
            <w:tcW w:w="1253" w:type="dxa"/>
          </w:tcPr>
          <w:p w14:paraId="080BA6DF" w14:textId="5C068D1F" w:rsidR="00BF178F" w:rsidRPr="00DC13F2" w:rsidRDefault="004E2951" w:rsidP="00C30C39">
            <w:pPr>
              <w:spacing w:line="240" w:lineRule="auto"/>
              <w:rPr>
                <w:rFonts w:eastAsia="Times New Roman" w:cs="Arial"/>
                <w:color w:val="000000"/>
                <w:sz w:val="20"/>
                <w:highlight w:val="yellow"/>
                <w:lang w:eastAsia="en-ZA"/>
              </w:rPr>
            </w:pPr>
            <w:r w:rsidRPr="004E2951">
              <w:rPr>
                <w:rFonts w:eastAsia="Times New Roman" w:cs="Arial"/>
                <w:color w:val="000000"/>
                <w:sz w:val="20"/>
                <w:lang w:eastAsia="en-ZA"/>
              </w:rPr>
              <w:t>0</w:t>
            </w:r>
          </w:p>
        </w:tc>
      </w:tr>
    </w:tbl>
    <w:p w14:paraId="16C017D4" w14:textId="77777777" w:rsidR="00BF178F" w:rsidRPr="0077659B" w:rsidRDefault="00BF178F" w:rsidP="00BF178F">
      <w:pPr>
        <w:spacing w:after="240" w:line="240" w:lineRule="auto"/>
        <w:rPr>
          <w:rFonts w:eastAsia="Calibri" w:cs="Arial"/>
        </w:rPr>
      </w:pPr>
    </w:p>
    <w:p w14:paraId="625EDC7B" w14:textId="77777777" w:rsidR="00BF178F" w:rsidRPr="0077659B" w:rsidRDefault="00BF178F" w:rsidP="00BF178F">
      <w:pPr>
        <w:pStyle w:val="Heading5"/>
        <w:rPr>
          <w:rFonts w:eastAsia="Calibri"/>
        </w:rPr>
      </w:pPr>
      <w:bookmarkStart w:id="146" w:name="_Toc447106620"/>
      <w:r w:rsidRPr="0077659B">
        <w:rPr>
          <w:rFonts w:eastAsia="Calibri"/>
        </w:rPr>
        <w:t>Procurement processes</w:t>
      </w:r>
      <w:bookmarkEnd w:id="146"/>
    </w:p>
    <w:p w14:paraId="6C3D4AEC" w14:textId="77777777" w:rsidR="00BF178F" w:rsidRPr="0077659B" w:rsidRDefault="00BF178F" w:rsidP="00BF178F">
      <w:pPr>
        <w:pStyle w:val="Numbernormal"/>
        <w:numPr>
          <w:ilvl w:val="0"/>
          <w:numId w:val="26"/>
        </w:numPr>
      </w:pPr>
      <w:r w:rsidRPr="0077659B">
        <w:t>The table below is a summary of findings identified on procurement processes:</w:t>
      </w:r>
    </w:p>
    <w:tbl>
      <w:tblPr>
        <w:tblStyle w:val="TableGrid14"/>
        <w:tblW w:w="10093" w:type="dxa"/>
        <w:tblInd w:w="108" w:type="dxa"/>
        <w:tblLayout w:type="fixed"/>
        <w:tblLook w:val="04A0" w:firstRow="1" w:lastRow="0" w:firstColumn="1" w:lastColumn="0" w:noHBand="0" w:noVBand="1"/>
      </w:tblPr>
      <w:tblGrid>
        <w:gridCol w:w="2700"/>
        <w:gridCol w:w="1015"/>
        <w:gridCol w:w="1559"/>
        <w:gridCol w:w="1134"/>
        <w:gridCol w:w="1134"/>
        <w:gridCol w:w="1134"/>
        <w:gridCol w:w="1417"/>
      </w:tblGrid>
      <w:tr w:rsidR="00BF178F" w:rsidRPr="0077659B" w14:paraId="5068724A" w14:textId="77777777" w:rsidTr="00C30C39">
        <w:tc>
          <w:tcPr>
            <w:tcW w:w="2700" w:type="dxa"/>
            <w:vMerge w:val="restart"/>
            <w:shd w:val="clear" w:color="auto" w:fill="A6A6A6" w:themeFill="background1" w:themeFillShade="A6"/>
          </w:tcPr>
          <w:p w14:paraId="067043B0" w14:textId="77777777" w:rsidR="00BF178F" w:rsidRPr="0077659B" w:rsidRDefault="00BF178F" w:rsidP="00C30C39">
            <w:pPr>
              <w:rPr>
                <w:rFonts w:cs="Arial"/>
              </w:rPr>
            </w:pPr>
          </w:p>
        </w:tc>
        <w:tc>
          <w:tcPr>
            <w:tcW w:w="2574" w:type="dxa"/>
            <w:gridSpan w:val="2"/>
            <w:shd w:val="clear" w:color="auto" w:fill="A6A6A6" w:themeFill="background1" w:themeFillShade="A6"/>
          </w:tcPr>
          <w:p w14:paraId="1BE16578" w14:textId="77777777" w:rsidR="00BF178F" w:rsidRPr="0077659B" w:rsidRDefault="00BF178F" w:rsidP="00C30C39">
            <w:pPr>
              <w:jc w:val="center"/>
              <w:rPr>
                <w:rFonts w:cs="Arial"/>
              </w:rPr>
            </w:pPr>
            <w:r w:rsidRPr="0077659B">
              <w:rPr>
                <w:rFonts w:cs="Arial"/>
              </w:rPr>
              <w:t>Total</w:t>
            </w:r>
          </w:p>
        </w:tc>
        <w:tc>
          <w:tcPr>
            <w:tcW w:w="2268" w:type="dxa"/>
            <w:gridSpan w:val="2"/>
            <w:shd w:val="clear" w:color="auto" w:fill="A6A6A6" w:themeFill="background1" w:themeFillShade="A6"/>
          </w:tcPr>
          <w:p w14:paraId="30FE7EB7" w14:textId="77777777" w:rsidR="00BF178F" w:rsidRPr="0077659B" w:rsidRDefault="00BF178F" w:rsidP="00C30C39">
            <w:pPr>
              <w:jc w:val="center"/>
              <w:rPr>
                <w:rFonts w:cs="Arial"/>
              </w:rPr>
            </w:pPr>
            <w:r w:rsidRPr="0077659B">
              <w:rPr>
                <w:rFonts w:cs="Arial"/>
              </w:rPr>
              <w:t>Quotations (below R500 000)</w:t>
            </w:r>
          </w:p>
        </w:tc>
        <w:tc>
          <w:tcPr>
            <w:tcW w:w="2551" w:type="dxa"/>
            <w:gridSpan w:val="2"/>
            <w:shd w:val="clear" w:color="auto" w:fill="A6A6A6" w:themeFill="background1" w:themeFillShade="A6"/>
          </w:tcPr>
          <w:p w14:paraId="2E500F51" w14:textId="77777777" w:rsidR="00BF178F" w:rsidRPr="0077659B" w:rsidRDefault="00BF178F" w:rsidP="00C30C39">
            <w:pPr>
              <w:jc w:val="center"/>
              <w:rPr>
                <w:rFonts w:cs="Arial"/>
              </w:rPr>
            </w:pPr>
            <w:r w:rsidRPr="0077659B">
              <w:rPr>
                <w:rFonts w:cs="Arial"/>
              </w:rPr>
              <w:t>Competitive bids (over R500 000)</w:t>
            </w:r>
          </w:p>
        </w:tc>
      </w:tr>
      <w:tr w:rsidR="00BF178F" w:rsidRPr="0077659B" w14:paraId="4A8D0C9E" w14:textId="77777777" w:rsidTr="00C30C39">
        <w:tc>
          <w:tcPr>
            <w:tcW w:w="2700" w:type="dxa"/>
            <w:vMerge/>
            <w:shd w:val="clear" w:color="auto" w:fill="A6A6A6" w:themeFill="background1" w:themeFillShade="A6"/>
          </w:tcPr>
          <w:p w14:paraId="51F54EE2" w14:textId="77777777" w:rsidR="00BF178F" w:rsidRPr="0077659B" w:rsidRDefault="00BF178F" w:rsidP="00C30C39">
            <w:pPr>
              <w:rPr>
                <w:rFonts w:cs="Arial"/>
              </w:rPr>
            </w:pPr>
          </w:p>
        </w:tc>
        <w:tc>
          <w:tcPr>
            <w:tcW w:w="1015" w:type="dxa"/>
            <w:shd w:val="clear" w:color="auto" w:fill="D9D9D9" w:themeFill="background1" w:themeFillShade="D9"/>
          </w:tcPr>
          <w:p w14:paraId="4AE01150" w14:textId="77777777" w:rsidR="00BF178F" w:rsidRPr="0077659B" w:rsidRDefault="00BF178F" w:rsidP="00C30C39">
            <w:pPr>
              <w:jc w:val="center"/>
              <w:rPr>
                <w:rFonts w:cs="Arial"/>
              </w:rPr>
            </w:pPr>
            <w:r w:rsidRPr="0077659B">
              <w:rPr>
                <w:rFonts w:cs="Arial"/>
              </w:rPr>
              <w:t>Number</w:t>
            </w:r>
          </w:p>
        </w:tc>
        <w:tc>
          <w:tcPr>
            <w:tcW w:w="1559" w:type="dxa"/>
            <w:shd w:val="clear" w:color="auto" w:fill="D9D9D9" w:themeFill="background1" w:themeFillShade="D9"/>
          </w:tcPr>
          <w:p w14:paraId="11050268" w14:textId="77777777" w:rsidR="00BF178F" w:rsidRPr="0077659B" w:rsidRDefault="00BF178F" w:rsidP="00C30C39">
            <w:pPr>
              <w:jc w:val="center"/>
              <w:rPr>
                <w:rFonts w:cs="Arial"/>
              </w:rPr>
            </w:pPr>
            <w:r w:rsidRPr="0077659B">
              <w:rPr>
                <w:rFonts w:cs="Arial"/>
              </w:rPr>
              <w:t>Value</w:t>
            </w:r>
          </w:p>
          <w:p w14:paraId="083A092E" w14:textId="77777777" w:rsidR="00BF178F" w:rsidRPr="0077659B" w:rsidRDefault="00BF178F" w:rsidP="00C30C39">
            <w:pPr>
              <w:jc w:val="center"/>
              <w:rPr>
                <w:rFonts w:cs="Arial"/>
              </w:rPr>
            </w:pPr>
            <w:r w:rsidRPr="0077659B">
              <w:rPr>
                <w:rFonts w:cs="Arial"/>
                <w:i/>
              </w:rPr>
              <w:t>R</w:t>
            </w:r>
          </w:p>
        </w:tc>
        <w:tc>
          <w:tcPr>
            <w:tcW w:w="1134" w:type="dxa"/>
            <w:shd w:val="clear" w:color="auto" w:fill="D9D9D9" w:themeFill="background1" w:themeFillShade="D9"/>
          </w:tcPr>
          <w:p w14:paraId="357EE26F" w14:textId="77777777" w:rsidR="00BF178F" w:rsidRPr="0077659B" w:rsidRDefault="00BF178F" w:rsidP="00C30C39">
            <w:pPr>
              <w:jc w:val="center"/>
              <w:rPr>
                <w:rFonts w:cs="Arial"/>
              </w:rPr>
            </w:pPr>
            <w:r w:rsidRPr="0077659B">
              <w:rPr>
                <w:rFonts w:cs="Arial"/>
              </w:rPr>
              <w:t>Number</w:t>
            </w:r>
          </w:p>
        </w:tc>
        <w:tc>
          <w:tcPr>
            <w:tcW w:w="1134" w:type="dxa"/>
            <w:shd w:val="clear" w:color="auto" w:fill="D9D9D9" w:themeFill="background1" w:themeFillShade="D9"/>
          </w:tcPr>
          <w:p w14:paraId="5FC1830E" w14:textId="77777777" w:rsidR="00BF178F" w:rsidRPr="0077659B" w:rsidRDefault="00BF178F" w:rsidP="00C30C39">
            <w:pPr>
              <w:jc w:val="center"/>
              <w:rPr>
                <w:rFonts w:cs="Arial"/>
                <w:i/>
              </w:rPr>
            </w:pPr>
            <w:r w:rsidRPr="0077659B">
              <w:rPr>
                <w:rFonts w:cs="Arial"/>
              </w:rPr>
              <w:t>Value</w:t>
            </w:r>
          </w:p>
          <w:p w14:paraId="1DCD9BE9" w14:textId="77777777" w:rsidR="00BF178F" w:rsidRPr="0077659B" w:rsidRDefault="00BF178F" w:rsidP="00C30C39">
            <w:pPr>
              <w:jc w:val="center"/>
              <w:rPr>
                <w:rFonts w:cs="Arial"/>
                <w:i/>
              </w:rPr>
            </w:pPr>
            <w:r w:rsidRPr="0077659B">
              <w:rPr>
                <w:rFonts w:cs="Arial"/>
                <w:i/>
              </w:rPr>
              <w:t>R</w:t>
            </w:r>
          </w:p>
        </w:tc>
        <w:tc>
          <w:tcPr>
            <w:tcW w:w="1134" w:type="dxa"/>
            <w:shd w:val="clear" w:color="auto" w:fill="D9D9D9" w:themeFill="background1" w:themeFillShade="D9"/>
          </w:tcPr>
          <w:p w14:paraId="73E2FBBA" w14:textId="77777777" w:rsidR="00BF178F" w:rsidRPr="0077659B" w:rsidRDefault="00BF178F" w:rsidP="00C30C39">
            <w:pPr>
              <w:jc w:val="center"/>
              <w:rPr>
                <w:rFonts w:cs="Arial"/>
              </w:rPr>
            </w:pPr>
            <w:r w:rsidRPr="0077659B">
              <w:rPr>
                <w:rFonts w:cs="Arial"/>
              </w:rPr>
              <w:t>Number</w:t>
            </w:r>
          </w:p>
        </w:tc>
        <w:tc>
          <w:tcPr>
            <w:tcW w:w="1417" w:type="dxa"/>
            <w:shd w:val="clear" w:color="auto" w:fill="D9D9D9" w:themeFill="background1" w:themeFillShade="D9"/>
          </w:tcPr>
          <w:p w14:paraId="65E016B7" w14:textId="77777777" w:rsidR="00BF178F" w:rsidRPr="0077659B" w:rsidRDefault="00BF178F" w:rsidP="00C30C39">
            <w:pPr>
              <w:jc w:val="center"/>
              <w:rPr>
                <w:rFonts w:cs="Arial"/>
                <w:i/>
              </w:rPr>
            </w:pPr>
            <w:r w:rsidRPr="0077659B">
              <w:rPr>
                <w:rFonts w:cs="Arial"/>
              </w:rPr>
              <w:t>Value</w:t>
            </w:r>
          </w:p>
          <w:p w14:paraId="60D445F7" w14:textId="77777777" w:rsidR="00BF178F" w:rsidRPr="0077659B" w:rsidRDefault="00BF178F" w:rsidP="00C30C39">
            <w:pPr>
              <w:jc w:val="center"/>
              <w:rPr>
                <w:rFonts w:cs="Arial"/>
              </w:rPr>
            </w:pPr>
            <w:r w:rsidRPr="0077659B">
              <w:rPr>
                <w:rFonts w:cs="Arial"/>
                <w:i/>
              </w:rPr>
              <w:t>R</w:t>
            </w:r>
          </w:p>
        </w:tc>
      </w:tr>
      <w:tr w:rsidR="00BF178F" w:rsidRPr="0077659B" w14:paraId="08DEE1A0" w14:textId="77777777" w:rsidTr="00C30C39">
        <w:tc>
          <w:tcPr>
            <w:tcW w:w="2700" w:type="dxa"/>
          </w:tcPr>
          <w:p w14:paraId="2029D4DA" w14:textId="77777777" w:rsidR="00BF178F" w:rsidRPr="0077659B" w:rsidRDefault="00BF178F" w:rsidP="00C30C39">
            <w:pPr>
              <w:rPr>
                <w:rFonts w:cs="Arial"/>
                <w:b/>
              </w:rPr>
            </w:pPr>
            <w:r w:rsidRPr="0077659B">
              <w:rPr>
                <w:rFonts w:cs="Arial"/>
                <w:b/>
              </w:rPr>
              <w:t>Awards selected for testing</w:t>
            </w:r>
          </w:p>
        </w:tc>
        <w:tc>
          <w:tcPr>
            <w:tcW w:w="1015" w:type="dxa"/>
          </w:tcPr>
          <w:p w14:paraId="7FD785A9" w14:textId="77777777" w:rsidR="00BF178F" w:rsidRPr="0077659B" w:rsidRDefault="00BF178F" w:rsidP="00C30C39">
            <w:pPr>
              <w:rPr>
                <w:rFonts w:cs="Arial"/>
                <w:i/>
              </w:rPr>
            </w:pPr>
            <w:r>
              <w:rPr>
                <w:rFonts w:cs="Arial"/>
                <w:i/>
              </w:rPr>
              <w:t>56</w:t>
            </w:r>
          </w:p>
        </w:tc>
        <w:tc>
          <w:tcPr>
            <w:tcW w:w="1559" w:type="dxa"/>
          </w:tcPr>
          <w:p w14:paraId="0A2F95C4" w14:textId="77777777" w:rsidR="00BF178F" w:rsidRPr="0077659B" w:rsidRDefault="00BF178F" w:rsidP="00C30C39">
            <w:pPr>
              <w:rPr>
                <w:rFonts w:cs="Arial"/>
                <w:i/>
              </w:rPr>
            </w:pPr>
            <w:r>
              <w:rPr>
                <w:rFonts w:cs="Arial"/>
                <w:i/>
              </w:rPr>
              <w:t>R116 119 442</w:t>
            </w:r>
          </w:p>
        </w:tc>
        <w:tc>
          <w:tcPr>
            <w:tcW w:w="1134" w:type="dxa"/>
          </w:tcPr>
          <w:p w14:paraId="5E912CEF" w14:textId="77777777" w:rsidR="00BF178F" w:rsidRPr="0077659B" w:rsidRDefault="00BF178F" w:rsidP="00C30C39">
            <w:pPr>
              <w:rPr>
                <w:rFonts w:cs="Arial"/>
                <w:i/>
              </w:rPr>
            </w:pPr>
            <w:r>
              <w:rPr>
                <w:rFonts w:cs="Arial"/>
                <w:i/>
              </w:rPr>
              <w:t>31</w:t>
            </w:r>
          </w:p>
        </w:tc>
        <w:tc>
          <w:tcPr>
            <w:tcW w:w="1134" w:type="dxa"/>
          </w:tcPr>
          <w:p w14:paraId="0275B787" w14:textId="77777777" w:rsidR="00BF178F" w:rsidRPr="0077659B" w:rsidRDefault="00BF178F" w:rsidP="00C30C39">
            <w:pPr>
              <w:rPr>
                <w:rFonts w:cs="Arial"/>
                <w:i/>
              </w:rPr>
            </w:pPr>
            <w:r>
              <w:rPr>
                <w:rFonts w:cs="Arial"/>
                <w:i/>
              </w:rPr>
              <w:t>9 525 245</w:t>
            </w:r>
          </w:p>
        </w:tc>
        <w:tc>
          <w:tcPr>
            <w:tcW w:w="1134" w:type="dxa"/>
          </w:tcPr>
          <w:p w14:paraId="790E5C54" w14:textId="77777777" w:rsidR="00BF178F" w:rsidRPr="0077659B" w:rsidRDefault="00BF178F" w:rsidP="00C30C39">
            <w:pPr>
              <w:rPr>
                <w:rFonts w:cs="Arial"/>
                <w:i/>
              </w:rPr>
            </w:pPr>
            <w:r>
              <w:rPr>
                <w:rFonts w:cs="Arial"/>
                <w:i/>
              </w:rPr>
              <w:t>25</w:t>
            </w:r>
          </w:p>
        </w:tc>
        <w:tc>
          <w:tcPr>
            <w:tcW w:w="1417" w:type="dxa"/>
          </w:tcPr>
          <w:p w14:paraId="36F8FBC1" w14:textId="77777777" w:rsidR="00BF178F" w:rsidRPr="0077659B" w:rsidRDefault="00BF178F" w:rsidP="00C30C39">
            <w:pPr>
              <w:rPr>
                <w:rFonts w:cs="Arial"/>
                <w:i/>
              </w:rPr>
            </w:pPr>
            <w:r>
              <w:rPr>
                <w:rFonts w:cs="Arial"/>
                <w:i/>
              </w:rPr>
              <w:t>106 594 197</w:t>
            </w:r>
          </w:p>
        </w:tc>
      </w:tr>
      <w:tr w:rsidR="00BF178F" w:rsidRPr="0077659B" w14:paraId="5264BD29" w14:textId="77777777" w:rsidTr="00C30C39">
        <w:tc>
          <w:tcPr>
            <w:tcW w:w="2700" w:type="dxa"/>
          </w:tcPr>
          <w:p w14:paraId="698267AD" w14:textId="77777777" w:rsidR="00BF178F" w:rsidRPr="0077659B" w:rsidRDefault="00BF178F" w:rsidP="00C30C39">
            <w:pPr>
              <w:rPr>
                <w:rFonts w:cs="Arial"/>
                <w:b/>
              </w:rPr>
            </w:pPr>
            <w:r w:rsidRPr="0077659B">
              <w:rPr>
                <w:rFonts w:cs="Arial"/>
                <w:b/>
              </w:rPr>
              <w:t>Expenditure incurred on selected awards – current year</w:t>
            </w:r>
          </w:p>
        </w:tc>
        <w:tc>
          <w:tcPr>
            <w:tcW w:w="1015" w:type="dxa"/>
            <w:shd w:val="clear" w:color="auto" w:fill="000000" w:themeFill="text1"/>
          </w:tcPr>
          <w:p w14:paraId="4AD04CA9" w14:textId="77777777" w:rsidR="00BF178F" w:rsidRPr="0077659B" w:rsidRDefault="00BF178F" w:rsidP="00C30C39">
            <w:pPr>
              <w:rPr>
                <w:rFonts w:cs="Arial"/>
                <w:i/>
              </w:rPr>
            </w:pPr>
          </w:p>
        </w:tc>
        <w:tc>
          <w:tcPr>
            <w:tcW w:w="1559" w:type="dxa"/>
          </w:tcPr>
          <w:p w14:paraId="3419D00E" w14:textId="77777777" w:rsidR="00BF178F" w:rsidRPr="0077659B" w:rsidRDefault="00BF178F" w:rsidP="00C30C39">
            <w:pPr>
              <w:ind w:right="-108"/>
              <w:rPr>
                <w:rFonts w:cs="Arial"/>
                <w:i/>
              </w:rPr>
            </w:pPr>
            <w:r>
              <w:rPr>
                <w:rFonts w:cs="Arial"/>
                <w:i/>
              </w:rPr>
              <w:t>47 836 525</w:t>
            </w:r>
          </w:p>
        </w:tc>
        <w:tc>
          <w:tcPr>
            <w:tcW w:w="1134" w:type="dxa"/>
            <w:shd w:val="clear" w:color="auto" w:fill="000000" w:themeFill="text1"/>
          </w:tcPr>
          <w:p w14:paraId="5D4F68B3" w14:textId="77777777" w:rsidR="00BF178F" w:rsidRPr="0077659B" w:rsidRDefault="00BF178F" w:rsidP="00C30C39">
            <w:pPr>
              <w:rPr>
                <w:rFonts w:cs="Arial"/>
                <w:i/>
              </w:rPr>
            </w:pPr>
          </w:p>
        </w:tc>
        <w:tc>
          <w:tcPr>
            <w:tcW w:w="1134" w:type="dxa"/>
          </w:tcPr>
          <w:p w14:paraId="4A707D09" w14:textId="77777777" w:rsidR="00BF178F" w:rsidRPr="0077659B" w:rsidRDefault="00BF178F" w:rsidP="00C30C39">
            <w:pPr>
              <w:ind w:right="-108"/>
              <w:rPr>
                <w:rFonts w:cs="Arial"/>
                <w:i/>
              </w:rPr>
            </w:pPr>
            <w:r>
              <w:rPr>
                <w:rFonts w:cs="Arial"/>
                <w:i/>
              </w:rPr>
              <w:t>8 186 556</w:t>
            </w:r>
          </w:p>
        </w:tc>
        <w:tc>
          <w:tcPr>
            <w:tcW w:w="1134" w:type="dxa"/>
            <w:shd w:val="clear" w:color="auto" w:fill="000000" w:themeFill="text1"/>
          </w:tcPr>
          <w:p w14:paraId="58798C39" w14:textId="77777777" w:rsidR="00BF178F" w:rsidRPr="0077659B" w:rsidRDefault="00BF178F" w:rsidP="00C30C39">
            <w:pPr>
              <w:rPr>
                <w:rFonts w:cs="Arial"/>
                <w:i/>
              </w:rPr>
            </w:pPr>
          </w:p>
        </w:tc>
        <w:tc>
          <w:tcPr>
            <w:tcW w:w="1417" w:type="dxa"/>
          </w:tcPr>
          <w:p w14:paraId="4A054B43" w14:textId="77777777" w:rsidR="00BF178F" w:rsidRDefault="00BF178F" w:rsidP="00C30C39">
            <w:pPr>
              <w:ind w:right="-82"/>
              <w:rPr>
                <w:rFonts w:cs="Arial"/>
                <w:i/>
              </w:rPr>
            </w:pPr>
            <w:r>
              <w:rPr>
                <w:rFonts w:cs="Arial"/>
                <w:i/>
              </w:rPr>
              <w:t>39 649 969</w:t>
            </w:r>
          </w:p>
          <w:p w14:paraId="48251A0A" w14:textId="77777777" w:rsidR="00BF178F" w:rsidRPr="0077659B" w:rsidRDefault="00BF178F" w:rsidP="00C30C39">
            <w:pPr>
              <w:ind w:right="-82"/>
              <w:rPr>
                <w:rFonts w:cs="Arial"/>
                <w:i/>
              </w:rPr>
            </w:pPr>
          </w:p>
        </w:tc>
      </w:tr>
      <w:tr w:rsidR="00BF178F" w:rsidRPr="0077659B" w14:paraId="12AAE607" w14:textId="77777777" w:rsidTr="00C30C39">
        <w:tc>
          <w:tcPr>
            <w:tcW w:w="2700" w:type="dxa"/>
          </w:tcPr>
          <w:p w14:paraId="7DB9AB54" w14:textId="77777777" w:rsidR="00BF178F" w:rsidRPr="0077659B" w:rsidRDefault="00BF178F" w:rsidP="00C30C39">
            <w:pPr>
              <w:rPr>
                <w:rFonts w:cs="Arial"/>
                <w:b/>
              </w:rPr>
            </w:pPr>
            <w:r w:rsidRPr="0077659B">
              <w:rPr>
                <w:rFonts w:cs="Arial"/>
                <w:b/>
              </w:rPr>
              <w:t>Limitations – awards selected but could not be tested</w:t>
            </w:r>
          </w:p>
        </w:tc>
        <w:tc>
          <w:tcPr>
            <w:tcW w:w="1015" w:type="dxa"/>
          </w:tcPr>
          <w:p w14:paraId="56EEA2C3" w14:textId="77777777" w:rsidR="00BF178F" w:rsidRPr="0077659B" w:rsidRDefault="00BF178F" w:rsidP="00C30C39">
            <w:pPr>
              <w:rPr>
                <w:rFonts w:cs="Arial"/>
                <w:i/>
              </w:rPr>
            </w:pPr>
            <w:r>
              <w:rPr>
                <w:rFonts w:cs="Arial"/>
                <w:i/>
              </w:rPr>
              <w:t>0</w:t>
            </w:r>
          </w:p>
        </w:tc>
        <w:tc>
          <w:tcPr>
            <w:tcW w:w="1559" w:type="dxa"/>
          </w:tcPr>
          <w:p w14:paraId="1BE6E663" w14:textId="77777777" w:rsidR="00BF178F" w:rsidRPr="0077659B" w:rsidRDefault="00BF178F" w:rsidP="00C30C39">
            <w:pPr>
              <w:rPr>
                <w:rFonts w:cs="Arial"/>
                <w:i/>
              </w:rPr>
            </w:pPr>
            <w:r>
              <w:rPr>
                <w:rFonts w:cs="Arial"/>
                <w:i/>
              </w:rPr>
              <w:t>0</w:t>
            </w:r>
          </w:p>
        </w:tc>
        <w:tc>
          <w:tcPr>
            <w:tcW w:w="1134" w:type="dxa"/>
          </w:tcPr>
          <w:p w14:paraId="04212BC0" w14:textId="77777777" w:rsidR="00BF178F" w:rsidRPr="0077659B" w:rsidRDefault="00BF178F" w:rsidP="00C30C39">
            <w:pPr>
              <w:rPr>
                <w:rFonts w:cs="Arial"/>
                <w:i/>
              </w:rPr>
            </w:pPr>
            <w:r>
              <w:rPr>
                <w:rFonts w:cs="Arial"/>
                <w:i/>
              </w:rPr>
              <w:t>0</w:t>
            </w:r>
          </w:p>
        </w:tc>
        <w:tc>
          <w:tcPr>
            <w:tcW w:w="1134" w:type="dxa"/>
          </w:tcPr>
          <w:p w14:paraId="079818AE" w14:textId="77777777" w:rsidR="00BF178F" w:rsidRPr="0077659B" w:rsidRDefault="00BF178F" w:rsidP="00C30C39">
            <w:pPr>
              <w:rPr>
                <w:rFonts w:cs="Arial"/>
                <w:i/>
              </w:rPr>
            </w:pPr>
            <w:r>
              <w:rPr>
                <w:rFonts w:cs="Arial"/>
                <w:i/>
              </w:rPr>
              <w:t>0</w:t>
            </w:r>
          </w:p>
        </w:tc>
        <w:tc>
          <w:tcPr>
            <w:tcW w:w="1134" w:type="dxa"/>
          </w:tcPr>
          <w:p w14:paraId="70F779F7" w14:textId="77777777" w:rsidR="00BF178F" w:rsidRPr="0077659B" w:rsidRDefault="00BF178F" w:rsidP="00C30C39">
            <w:pPr>
              <w:rPr>
                <w:rFonts w:cs="Arial"/>
                <w:i/>
              </w:rPr>
            </w:pPr>
            <w:r>
              <w:rPr>
                <w:rFonts w:cs="Arial"/>
                <w:i/>
              </w:rPr>
              <w:t>0</w:t>
            </w:r>
          </w:p>
        </w:tc>
        <w:tc>
          <w:tcPr>
            <w:tcW w:w="1417" w:type="dxa"/>
          </w:tcPr>
          <w:p w14:paraId="610EDFC1" w14:textId="77777777" w:rsidR="00BF178F" w:rsidRPr="0077659B" w:rsidRDefault="00BF178F" w:rsidP="00C30C39">
            <w:pPr>
              <w:rPr>
                <w:rFonts w:cs="Arial"/>
                <w:i/>
              </w:rPr>
            </w:pPr>
            <w:r>
              <w:rPr>
                <w:rFonts w:cs="Arial"/>
                <w:i/>
              </w:rPr>
              <w:t>0</w:t>
            </w:r>
          </w:p>
        </w:tc>
      </w:tr>
      <w:tr w:rsidR="00BF178F" w:rsidRPr="0077659B" w14:paraId="1AA14F70" w14:textId="77777777" w:rsidTr="00C30C39">
        <w:tc>
          <w:tcPr>
            <w:tcW w:w="2700" w:type="dxa"/>
          </w:tcPr>
          <w:p w14:paraId="41475822" w14:textId="77777777" w:rsidR="00BF178F" w:rsidRPr="0077659B" w:rsidRDefault="00BF178F" w:rsidP="00C30C39">
            <w:pPr>
              <w:rPr>
                <w:rFonts w:cs="Arial"/>
                <w:b/>
              </w:rPr>
            </w:pPr>
            <w:r w:rsidRPr="0077659B">
              <w:rPr>
                <w:rFonts w:cs="Arial"/>
                <w:b/>
              </w:rPr>
              <w:t>Awards on which non-compliance was identified</w:t>
            </w:r>
          </w:p>
        </w:tc>
        <w:tc>
          <w:tcPr>
            <w:tcW w:w="1015" w:type="dxa"/>
          </w:tcPr>
          <w:p w14:paraId="690CF607" w14:textId="77777777" w:rsidR="00BF178F" w:rsidRPr="0077659B" w:rsidRDefault="00BF178F" w:rsidP="00C30C39">
            <w:pPr>
              <w:rPr>
                <w:rFonts w:cs="Arial"/>
                <w:i/>
              </w:rPr>
            </w:pPr>
            <w:r>
              <w:rPr>
                <w:rFonts w:cs="Arial"/>
                <w:i/>
              </w:rPr>
              <w:t>3</w:t>
            </w:r>
          </w:p>
        </w:tc>
        <w:tc>
          <w:tcPr>
            <w:tcW w:w="1559" w:type="dxa"/>
          </w:tcPr>
          <w:p w14:paraId="3147570A" w14:textId="77777777" w:rsidR="00BF178F" w:rsidRPr="0077659B" w:rsidRDefault="00BF178F" w:rsidP="00C30C39">
            <w:pPr>
              <w:rPr>
                <w:rFonts w:cs="Arial"/>
                <w:i/>
              </w:rPr>
            </w:pPr>
            <w:r>
              <w:rPr>
                <w:rFonts w:cs="Arial"/>
                <w:i/>
              </w:rPr>
              <w:t>1 105 423</w:t>
            </w:r>
          </w:p>
        </w:tc>
        <w:tc>
          <w:tcPr>
            <w:tcW w:w="1134" w:type="dxa"/>
          </w:tcPr>
          <w:p w14:paraId="18E2F513" w14:textId="77777777" w:rsidR="00BF178F" w:rsidRPr="0077659B" w:rsidRDefault="00BF178F" w:rsidP="00C30C39">
            <w:pPr>
              <w:rPr>
                <w:rFonts w:cs="Arial"/>
                <w:i/>
              </w:rPr>
            </w:pPr>
            <w:r>
              <w:rPr>
                <w:rFonts w:cs="Arial"/>
                <w:i/>
              </w:rPr>
              <w:t>3</w:t>
            </w:r>
          </w:p>
        </w:tc>
        <w:tc>
          <w:tcPr>
            <w:tcW w:w="1134" w:type="dxa"/>
          </w:tcPr>
          <w:p w14:paraId="55E09698" w14:textId="77777777" w:rsidR="00BF178F" w:rsidRPr="0077659B" w:rsidRDefault="00BF178F" w:rsidP="00C30C39">
            <w:pPr>
              <w:rPr>
                <w:rFonts w:cs="Arial"/>
                <w:i/>
              </w:rPr>
            </w:pPr>
            <w:r>
              <w:rPr>
                <w:rFonts w:cs="Arial"/>
                <w:i/>
              </w:rPr>
              <w:t>1 105 423</w:t>
            </w:r>
          </w:p>
        </w:tc>
        <w:tc>
          <w:tcPr>
            <w:tcW w:w="1134" w:type="dxa"/>
          </w:tcPr>
          <w:p w14:paraId="23FE2401" w14:textId="77777777" w:rsidR="00BF178F" w:rsidRPr="0077659B" w:rsidRDefault="00BF178F" w:rsidP="00C30C39">
            <w:pPr>
              <w:rPr>
                <w:rFonts w:cs="Arial"/>
                <w:i/>
              </w:rPr>
            </w:pPr>
            <w:r>
              <w:rPr>
                <w:rFonts w:cs="Arial"/>
                <w:i/>
              </w:rPr>
              <w:t>0</w:t>
            </w:r>
          </w:p>
        </w:tc>
        <w:tc>
          <w:tcPr>
            <w:tcW w:w="1417" w:type="dxa"/>
          </w:tcPr>
          <w:p w14:paraId="67B80B95" w14:textId="77777777" w:rsidR="00BF178F" w:rsidRPr="0077659B" w:rsidRDefault="00BF178F" w:rsidP="00C30C39">
            <w:pPr>
              <w:rPr>
                <w:rFonts w:cs="Arial"/>
                <w:i/>
              </w:rPr>
            </w:pPr>
            <w:r>
              <w:rPr>
                <w:rFonts w:cs="Arial"/>
                <w:i/>
              </w:rPr>
              <w:t>0</w:t>
            </w:r>
          </w:p>
        </w:tc>
      </w:tr>
      <w:tr w:rsidR="00BF178F" w:rsidRPr="0077659B" w14:paraId="790B222D" w14:textId="77777777" w:rsidTr="00C30C39">
        <w:tc>
          <w:tcPr>
            <w:tcW w:w="2700" w:type="dxa"/>
          </w:tcPr>
          <w:p w14:paraId="39713C47" w14:textId="77777777" w:rsidR="00BF178F" w:rsidRPr="0077659B" w:rsidRDefault="00BF178F" w:rsidP="00C30C39">
            <w:pPr>
              <w:rPr>
                <w:rFonts w:cs="Arial"/>
                <w:b/>
              </w:rPr>
            </w:pPr>
            <w:r w:rsidRPr="0077659B">
              <w:rPr>
                <w:rFonts w:cs="Arial"/>
                <w:b/>
              </w:rPr>
              <w:t>Irregular expenditure identified</w:t>
            </w:r>
          </w:p>
        </w:tc>
        <w:tc>
          <w:tcPr>
            <w:tcW w:w="1015" w:type="dxa"/>
          </w:tcPr>
          <w:p w14:paraId="4822394C" w14:textId="77777777" w:rsidR="00BF178F" w:rsidRPr="0077659B" w:rsidRDefault="00BF178F" w:rsidP="00C30C39">
            <w:pPr>
              <w:rPr>
                <w:rFonts w:cs="Arial"/>
                <w:i/>
              </w:rPr>
            </w:pPr>
            <w:r>
              <w:rPr>
                <w:rFonts w:cs="Arial"/>
                <w:i/>
              </w:rPr>
              <w:t>2</w:t>
            </w:r>
          </w:p>
        </w:tc>
        <w:tc>
          <w:tcPr>
            <w:tcW w:w="1559" w:type="dxa"/>
          </w:tcPr>
          <w:p w14:paraId="63FCF9B7" w14:textId="77777777" w:rsidR="00BF178F" w:rsidRPr="0077659B" w:rsidRDefault="00BF178F" w:rsidP="00C30C39">
            <w:pPr>
              <w:ind w:right="-108"/>
              <w:rPr>
                <w:rFonts w:cs="Arial"/>
                <w:i/>
              </w:rPr>
            </w:pPr>
            <w:r>
              <w:rPr>
                <w:rFonts w:cs="Arial"/>
                <w:i/>
              </w:rPr>
              <w:t>711 406</w:t>
            </w:r>
          </w:p>
        </w:tc>
        <w:tc>
          <w:tcPr>
            <w:tcW w:w="1134" w:type="dxa"/>
          </w:tcPr>
          <w:p w14:paraId="7B04CAE7" w14:textId="77777777" w:rsidR="00BF178F" w:rsidRPr="0077659B" w:rsidRDefault="00BF178F" w:rsidP="00C30C39">
            <w:pPr>
              <w:rPr>
                <w:rFonts w:cs="Arial"/>
                <w:i/>
              </w:rPr>
            </w:pPr>
            <w:r>
              <w:rPr>
                <w:rFonts w:cs="Arial"/>
                <w:i/>
              </w:rPr>
              <w:t>2</w:t>
            </w:r>
          </w:p>
        </w:tc>
        <w:tc>
          <w:tcPr>
            <w:tcW w:w="1134" w:type="dxa"/>
          </w:tcPr>
          <w:p w14:paraId="01E8EF91" w14:textId="77777777" w:rsidR="00BF178F" w:rsidRPr="0077659B" w:rsidRDefault="00BF178F" w:rsidP="00C30C39">
            <w:pPr>
              <w:ind w:right="-108"/>
              <w:rPr>
                <w:rFonts w:cs="Arial"/>
                <w:i/>
              </w:rPr>
            </w:pPr>
            <w:r>
              <w:rPr>
                <w:rFonts w:cs="Arial"/>
                <w:i/>
              </w:rPr>
              <w:t>711 406</w:t>
            </w:r>
          </w:p>
        </w:tc>
        <w:tc>
          <w:tcPr>
            <w:tcW w:w="1134" w:type="dxa"/>
          </w:tcPr>
          <w:p w14:paraId="603B33AA" w14:textId="77777777" w:rsidR="00BF178F" w:rsidRPr="0077659B" w:rsidRDefault="00BF178F" w:rsidP="00C30C39">
            <w:pPr>
              <w:rPr>
                <w:rFonts w:cs="Arial"/>
                <w:i/>
              </w:rPr>
            </w:pPr>
            <w:r>
              <w:rPr>
                <w:rFonts w:cs="Arial"/>
                <w:i/>
              </w:rPr>
              <w:t>0</w:t>
            </w:r>
          </w:p>
        </w:tc>
        <w:tc>
          <w:tcPr>
            <w:tcW w:w="1417" w:type="dxa"/>
          </w:tcPr>
          <w:p w14:paraId="5A39DE1F" w14:textId="77777777" w:rsidR="00BF178F" w:rsidRPr="0077659B" w:rsidRDefault="00BF178F" w:rsidP="00C30C39">
            <w:pPr>
              <w:rPr>
                <w:rFonts w:cs="Arial"/>
                <w:i/>
              </w:rPr>
            </w:pPr>
            <w:r>
              <w:rPr>
                <w:rFonts w:cs="Arial"/>
                <w:i/>
              </w:rPr>
              <w:t>0</w:t>
            </w:r>
          </w:p>
        </w:tc>
      </w:tr>
      <w:tr w:rsidR="00BF178F" w:rsidRPr="0077659B" w14:paraId="30214A56" w14:textId="77777777" w:rsidTr="00C30C39">
        <w:tc>
          <w:tcPr>
            <w:tcW w:w="2700" w:type="dxa"/>
          </w:tcPr>
          <w:p w14:paraId="3B2B0D29" w14:textId="77777777" w:rsidR="00BF178F" w:rsidRPr="0077659B" w:rsidRDefault="00BF178F" w:rsidP="00C30C39">
            <w:pPr>
              <w:rPr>
                <w:rFonts w:cs="Arial"/>
                <w:b/>
              </w:rPr>
            </w:pPr>
            <w:r w:rsidRPr="0077659B">
              <w:rPr>
                <w:rFonts w:cs="Arial"/>
                <w:b/>
              </w:rPr>
              <w:t>Instances of irregular expenditure where goods/ services were not received</w:t>
            </w:r>
          </w:p>
        </w:tc>
        <w:tc>
          <w:tcPr>
            <w:tcW w:w="1015" w:type="dxa"/>
          </w:tcPr>
          <w:p w14:paraId="7DA4BEA0" w14:textId="77777777" w:rsidR="00BF178F" w:rsidRPr="0077659B" w:rsidRDefault="00BF178F" w:rsidP="00C30C39">
            <w:pPr>
              <w:rPr>
                <w:rFonts w:cs="Arial"/>
                <w:i/>
              </w:rPr>
            </w:pPr>
            <w:r>
              <w:rPr>
                <w:rFonts w:cs="Arial"/>
                <w:i/>
              </w:rPr>
              <w:t>0</w:t>
            </w:r>
          </w:p>
        </w:tc>
        <w:tc>
          <w:tcPr>
            <w:tcW w:w="1559" w:type="dxa"/>
          </w:tcPr>
          <w:p w14:paraId="3431ED12" w14:textId="77777777" w:rsidR="00BF178F" w:rsidRPr="0077659B" w:rsidRDefault="00BF178F" w:rsidP="00C30C39">
            <w:pPr>
              <w:ind w:right="-108"/>
              <w:rPr>
                <w:rFonts w:cs="Arial"/>
                <w:i/>
              </w:rPr>
            </w:pPr>
            <w:r>
              <w:rPr>
                <w:rFonts w:cs="Arial"/>
                <w:i/>
              </w:rPr>
              <w:t>0</w:t>
            </w:r>
          </w:p>
        </w:tc>
        <w:tc>
          <w:tcPr>
            <w:tcW w:w="1134" w:type="dxa"/>
          </w:tcPr>
          <w:p w14:paraId="7A60A992" w14:textId="77777777" w:rsidR="00BF178F" w:rsidRPr="0077659B" w:rsidRDefault="00BF178F" w:rsidP="00C30C39">
            <w:pPr>
              <w:rPr>
                <w:rFonts w:cs="Arial"/>
                <w:i/>
              </w:rPr>
            </w:pPr>
            <w:r>
              <w:rPr>
                <w:rFonts w:cs="Arial"/>
                <w:i/>
              </w:rPr>
              <w:t>0</w:t>
            </w:r>
          </w:p>
        </w:tc>
        <w:tc>
          <w:tcPr>
            <w:tcW w:w="1134" w:type="dxa"/>
          </w:tcPr>
          <w:p w14:paraId="695644AA" w14:textId="77777777" w:rsidR="00BF178F" w:rsidRPr="0077659B" w:rsidRDefault="00BF178F" w:rsidP="00C30C39">
            <w:pPr>
              <w:ind w:right="-108"/>
              <w:rPr>
                <w:rFonts w:cs="Arial"/>
                <w:i/>
              </w:rPr>
            </w:pPr>
            <w:r>
              <w:rPr>
                <w:rFonts w:cs="Arial"/>
                <w:i/>
              </w:rPr>
              <w:t>0</w:t>
            </w:r>
          </w:p>
        </w:tc>
        <w:tc>
          <w:tcPr>
            <w:tcW w:w="1134" w:type="dxa"/>
          </w:tcPr>
          <w:p w14:paraId="2D952D10" w14:textId="77777777" w:rsidR="00BF178F" w:rsidRPr="0077659B" w:rsidRDefault="00BF178F" w:rsidP="00C30C39">
            <w:pPr>
              <w:rPr>
                <w:rFonts w:cs="Arial"/>
                <w:i/>
              </w:rPr>
            </w:pPr>
            <w:r>
              <w:rPr>
                <w:rFonts w:cs="Arial"/>
                <w:i/>
              </w:rPr>
              <w:t>0</w:t>
            </w:r>
          </w:p>
        </w:tc>
        <w:tc>
          <w:tcPr>
            <w:tcW w:w="1417" w:type="dxa"/>
          </w:tcPr>
          <w:p w14:paraId="4EEE8997" w14:textId="77777777" w:rsidR="00BF178F" w:rsidRPr="0077659B" w:rsidRDefault="00BF178F" w:rsidP="00C30C39">
            <w:pPr>
              <w:rPr>
                <w:rFonts w:cs="Arial"/>
                <w:i/>
              </w:rPr>
            </w:pPr>
            <w:r>
              <w:rPr>
                <w:rFonts w:cs="Arial"/>
                <w:i/>
              </w:rPr>
              <w:t>0</w:t>
            </w:r>
          </w:p>
        </w:tc>
      </w:tr>
    </w:tbl>
    <w:p w14:paraId="082D8EFA" w14:textId="77777777" w:rsidR="00BF178F" w:rsidRPr="0077659B" w:rsidRDefault="00BF178F" w:rsidP="00BF178F">
      <w:pPr>
        <w:spacing w:line="240" w:lineRule="auto"/>
        <w:ind w:left="357"/>
        <w:rPr>
          <w:rFonts w:eastAsia="Times New Roman" w:cs="Arial"/>
        </w:rPr>
      </w:pPr>
    </w:p>
    <w:p w14:paraId="6CA106DE" w14:textId="77777777" w:rsidR="00BF178F" w:rsidRPr="0077659B" w:rsidRDefault="00BF178F" w:rsidP="00BF178F">
      <w:pPr>
        <w:pStyle w:val="Heading5"/>
        <w:rPr>
          <w:rFonts w:eastAsia="Calibri"/>
        </w:rPr>
      </w:pPr>
      <w:r w:rsidRPr="0077659B">
        <w:rPr>
          <w:rFonts w:eastAsia="Calibri"/>
        </w:rPr>
        <w:t>Procurement processes – general</w:t>
      </w:r>
    </w:p>
    <w:p w14:paraId="7891636A" w14:textId="2B772F37" w:rsidR="00BF178F" w:rsidRPr="00192EDA" w:rsidRDefault="004E2951" w:rsidP="00BF178F">
      <w:pPr>
        <w:pStyle w:val="Bulletedlist"/>
      </w:pPr>
      <w:r>
        <w:t>One quotation</w:t>
      </w:r>
      <w:r w:rsidR="00BF178F" w:rsidRPr="00192EDA">
        <w:t xml:space="preserve"> with a value of </w:t>
      </w:r>
      <w:r w:rsidR="00E60873">
        <w:t>R361 806</w:t>
      </w:r>
      <w:r w:rsidR="00BF178F">
        <w:t xml:space="preserve"> </w:t>
      </w:r>
      <w:proofErr w:type="gramStart"/>
      <w:r w:rsidR="00BF178F" w:rsidRPr="00192EDA">
        <w:t>w</w:t>
      </w:r>
      <w:r>
        <w:t>as</w:t>
      </w:r>
      <w:r w:rsidR="00BF178F" w:rsidRPr="00192EDA">
        <w:t xml:space="preserve"> awarded</w:t>
      </w:r>
      <w:proofErr w:type="gramEnd"/>
      <w:r w:rsidR="00BF178F" w:rsidRPr="00192EDA">
        <w:t xml:space="preserve"> to </w:t>
      </w:r>
      <w:r>
        <w:t xml:space="preserve">a </w:t>
      </w:r>
      <w:r w:rsidR="00BF178F" w:rsidRPr="00192EDA">
        <w:t>bidder who did not comply with specified pre-qualification criteria requirement</w:t>
      </w:r>
      <w:r w:rsidR="00BF178F">
        <w:t>.</w:t>
      </w:r>
    </w:p>
    <w:p w14:paraId="7C9FC194" w14:textId="77777777" w:rsidR="00BF178F" w:rsidRPr="00E16E76" w:rsidRDefault="00BF178F" w:rsidP="00BF178F">
      <w:pPr>
        <w:pStyle w:val="Heading5"/>
        <w:rPr>
          <w:rFonts w:eastAsia="Calibri"/>
        </w:rPr>
      </w:pPr>
      <w:bookmarkStart w:id="147" w:name="_Toc447106621"/>
      <w:r w:rsidRPr="0077659B">
        <w:rPr>
          <w:rFonts w:eastAsia="Calibri"/>
        </w:rPr>
        <w:t>Internal control deficiencies</w:t>
      </w:r>
      <w:bookmarkEnd w:id="147"/>
      <w:r w:rsidRPr="0077659B">
        <w:rPr>
          <w:rFonts w:eastAsia="Calibri"/>
        </w:rPr>
        <w:t xml:space="preserve"> </w:t>
      </w:r>
    </w:p>
    <w:p w14:paraId="17D25682" w14:textId="77777777" w:rsidR="00BF178F" w:rsidRDefault="00BF178F" w:rsidP="00BF178F">
      <w:pPr>
        <w:pStyle w:val="Numbernormal"/>
        <w:numPr>
          <w:ilvl w:val="0"/>
          <w:numId w:val="26"/>
        </w:numPr>
      </w:pPr>
      <w:r>
        <w:t>The accounting officer did not in some instances exercise oversight responsibility of the reporting and compliance with laws and regulations.</w:t>
      </w:r>
    </w:p>
    <w:p w14:paraId="7B4D89EC" w14:textId="77777777" w:rsidR="00BF178F" w:rsidRPr="0077659B" w:rsidRDefault="00BF178F" w:rsidP="00BF178F">
      <w:pPr>
        <w:pStyle w:val="Numbernormal"/>
        <w:numPr>
          <w:ilvl w:val="0"/>
          <w:numId w:val="26"/>
        </w:numPr>
      </w:pPr>
      <w:r>
        <w:t>Reviewing and monitoring of compliance with relevant laws and regulations was insufficient and not properly monitored in some instances.</w:t>
      </w:r>
    </w:p>
    <w:p w14:paraId="68B114A0" w14:textId="77777777" w:rsidR="00D26232" w:rsidRPr="00BB6EEC" w:rsidRDefault="00C22F2B" w:rsidP="006B1D3E">
      <w:pPr>
        <w:pStyle w:val="Heading3"/>
        <w:rPr>
          <w:lang w:val="en-ZA"/>
        </w:rPr>
      </w:pPr>
      <w:bookmarkStart w:id="148" w:name="S4E18"/>
      <w:bookmarkStart w:id="149" w:name="PartB"/>
      <w:bookmarkStart w:id="150" w:name="PartF"/>
      <w:bookmarkStart w:id="151" w:name="_Toc447106622"/>
      <w:bookmarkStart w:id="152" w:name="_Toc51154084"/>
      <w:bookmarkEnd w:id="148"/>
      <w:bookmarkEnd w:id="149"/>
      <w:bookmarkEnd w:id="150"/>
      <w:r w:rsidRPr="00BB6EEC">
        <w:rPr>
          <w:lang w:val="en-ZA"/>
        </w:rPr>
        <w:t>FRAUD AND CONSEQUENCE MANAGEMENT</w:t>
      </w:r>
      <w:bookmarkStart w:id="153" w:name="Fraud1"/>
      <w:bookmarkEnd w:id="151"/>
      <w:bookmarkEnd w:id="152"/>
      <w:bookmarkEnd w:id="153"/>
    </w:p>
    <w:p w14:paraId="6C711B8F" w14:textId="308D3E8B" w:rsidR="00C22F2B" w:rsidRPr="0077659B" w:rsidRDefault="00C22F2B" w:rsidP="00223FB6">
      <w:pPr>
        <w:pStyle w:val="Numbernormal"/>
        <w:numPr>
          <w:ilvl w:val="0"/>
          <w:numId w:val="26"/>
        </w:numPr>
        <w:rPr>
          <w:b/>
          <w:bCs/>
          <w:color w:val="4F81BD"/>
        </w:rPr>
      </w:pPr>
      <w:r w:rsidRPr="0077659B">
        <w:t xml:space="preserve">The primary responsibility for preventing and detecting fraud rests with management and those charged with governance. We are responsible for obtaining reasonable assurance that the financial statements are free from material misstatement, whether caused </w:t>
      </w:r>
      <w:proofErr w:type="gramStart"/>
      <w:r w:rsidRPr="0077659B">
        <w:t>by fraud or error, and to issue an auditor’s report that includes our opinion</w:t>
      </w:r>
      <w:proofErr w:type="gramEnd"/>
      <w:r w:rsidRPr="0077659B">
        <w:t xml:space="preserve">. Due to the inherent limitations of an audit, there is a risk that some material misstatements, including fraud, </w:t>
      </w:r>
      <w:proofErr w:type="gramStart"/>
      <w:r w:rsidRPr="0077659B">
        <w:t>may not be detected</w:t>
      </w:r>
      <w:proofErr w:type="gramEnd"/>
      <w:r w:rsidRPr="0077659B">
        <w:t>.</w:t>
      </w:r>
      <w:r w:rsidR="00434F0F" w:rsidRPr="0077659B">
        <w:rPr>
          <w:rStyle w:val="EndnoteReference"/>
          <w:b/>
          <w:bCs/>
        </w:rPr>
        <w:t xml:space="preserve"> </w:t>
      </w:r>
    </w:p>
    <w:p w14:paraId="4A3B2A32" w14:textId="77777777" w:rsidR="00C22F2B" w:rsidRPr="0077659B" w:rsidRDefault="00C22F2B" w:rsidP="00223FB6">
      <w:pPr>
        <w:pStyle w:val="Numbernormal"/>
        <w:numPr>
          <w:ilvl w:val="0"/>
          <w:numId w:val="26"/>
        </w:numPr>
      </w:pPr>
      <w:r w:rsidRPr="0077659B">
        <w:t xml:space="preserve">Below is a summary of fraud risk factors that </w:t>
      </w:r>
      <w:proofErr w:type="gramStart"/>
      <w:r w:rsidRPr="0077659B">
        <w:t>should be addressed</w:t>
      </w:r>
      <w:proofErr w:type="gramEnd"/>
      <w:r w:rsidRPr="0077659B">
        <w:t xml:space="preserve"> to ensure that sufficient measures/controls are in place to prevent material misstatement due to fraud.</w:t>
      </w:r>
    </w:p>
    <w:p w14:paraId="5ACE93B5" w14:textId="0A620B7F" w:rsidR="00C22F2B" w:rsidRPr="0077659B" w:rsidRDefault="000D6A86" w:rsidP="00FF3F4F">
      <w:pPr>
        <w:pStyle w:val="Bulletedlist"/>
        <w:ind w:left="851" w:hanging="284"/>
      </w:pPr>
      <w:r w:rsidRPr="00134201">
        <w:t xml:space="preserve">Officials in high ranking positions may take the opportunity to misuse their </w:t>
      </w:r>
      <w:proofErr w:type="gramStart"/>
      <w:r w:rsidRPr="00134201">
        <w:t>authority</w:t>
      </w:r>
      <w:r w:rsidRPr="0077659B" w:rsidDel="000D6A86">
        <w:t xml:space="preserve"> </w:t>
      </w:r>
      <w:r w:rsidR="00C22F2B" w:rsidRPr="0077659B">
        <w:t>.</w:t>
      </w:r>
      <w:proofErr w:type="gramEnd"/>
    </w:p>
    <w:p w14:paraId="420574E6" w14:textId="55C8C57B" w:rsidR="00C22F2B" w:rsidRPr="0077659B" w:rsidRDefault="00C22F2B" w:rsidP="00223FB6">
      <w:pPr>
        <w:pStyle w:val="Numbernormal"/>
        <w:numPr>
          <w:ilvl w:val="0"/>
          <w:numId w:val="26"/>
        </w:numPr>
      </w:pPr>
      <w:r w:rsidRPr="0077659B">
        <w:t>The PFMA and its regulations clearly stipulate that matters such as incurring unauthorised, irregular as well as fruitless and wasteful expenditure</w:t>
      </w:r>
      <w:r w:rsidR="006958A8" w:rsidRPr="0077659B">
        <w:t>,</w:t>
      </w:r>
      <w:r w:rsidRPr="0077659B">
        <w:t xml:space="preserve"> the possible abuse of the SCM system (including fraud and improper conduct) and allegations of financial </w:t>
      </w:r>
      <w:r w:rsidRPr="0077659B">
        <w:lastRenderedPageBreak/>
        <w:t xml:space="preserve">misconduct </w:t>
      </w:r>
      <w:proofErr w:type="gramStart"/>
      <w:r w:rsidRPr="0077659B">
        <w:t>should be investigated</w:t>
      </w:r>
      <w:proofErr w:type="gramEnd"/>
      <w:r w:rsidRPr="0077659B">
        <w:t xml:space="preserve">. Disciplinary steps </w:t>
      </w:r>
      <w:proofErr w:type="gramStart"/>
      <w:r w:rsidRPr="0077659B">
        <w:t>should be taken</w:t>
      </w:r>
      <w:proofErr w:type="gramEnd"/>
      <w:r w:rsidRPr="0077659B">
        <w:t xml:space="preserve"> based on the results of the investigations. Our audits included an assessment of the </w:t>
      </w:r>
      <w:proofErr w:type="gramStart"/>
      <w:r w:rsidR="000D6A86">
        <w:t>department</w:t>
      </w:r>
      <w:r w:rsidR="000D6A86" w:rsidRPr="0077659B">
        <w:t xml:space="preserve">’s </w:t>
      </w:r>
      <w:r w:rsidRPr="0077659B">
        <w:t>’s</w:t>
      </w:r>
      <w:proofErr w:type="gramEnd"/>
      <w:r w:rsidRPr="0077659B">
        <w:t xml:space="preserve"> management of consequences. The significant findings </w:t>
      </w:r>
      <w:proofErr w:type="gramStart"/>
      <w:r w:rsidRPr="0077659B">
        <w:t>are provided</w:t>
      </w:r>
      <w:proofErr w:type="gramEnd"/>
      <w:r w:rsidRPr="0077659B">
        <w:t xml:space="preserve"> below</w:t>
      </w:r>
      <w:r w:rsidR="000D6A86">
        <w:t>.</w:t>
      </w:r>
    </w:p>
    <w:p w14:paraId="666275D7" w14:textId="77777777" w:rsidR="00C22F2B" w:rsidRPr="0077659B" w:rsidRDefault="002459C9" w:rsidP="006B1D3E">
      <w:pPr>
        <w:pStyle w:val="Heading5"/>
        <w:rPr>
          <w:rFonts w:eastAsia="Calibri"/>
        </w:rPr>
      </w:pPr>
      <w:bookmarkStart w:id="154" w:name="_Toc447106623"/>
      <w:r w:rsidRPr="0077659B">
        <w:rPr>
          <w:rFonts w:eastAsia="Calibri"/>
        </w:rPr>
        <w:t>Me</w:t>
      </w:r>
      <w:r w:rsidR="00C22F2B" w:rsidRPr="0077659B">
        <w:rPr>
          <w:rFonts w:eastAsia="Calibri"/>
        </w:rPr>
        <w:t>asures to manage consequences</w:t>
      </w:r>
      <w:bookmarkEnd w:id="154"/>
    </w:p>
    <w:p w14:paraId="6A4FB496" w14:textId="77777777" w:rsidR="00C22F2B" w:rsidRPr="0077659B" w:rsidRDefault="00C22F2B" w:rsidP="00223FB6">
      <w:pPr>
        <w:pStyle w:val="Numbernormal"/>
        <w:numPr>
          <w:ilvl w:val="0"/>
          <w:numId w:val="26"/>
        </w:numPr>
      </w:pPr>
      <w:r w:rsidRPr="0077659B">
        <w:t>The following measures were not implemented to ensure that the environment is conducive to effective consequence management:</w:t>
      </w:r>
    </w:p>
    <w:p w14:paraId="06C8100A" w14:textId="77777777" w:rsidR="00725FEE" w:rsidRPr="0077659B" w:rsidRDefault="00C22F2B" w:rsidP="000913DD">
      <w:pPr>
        <w:pStyle w:val="Bulletedlist"/>
        <w:ind w:left="851" w:hanging="283"/>
      </w:pPr>
      <w:r w:rsidRPr="0077659B">
        <w:t xml:space="preserve">There </w:t>
      </w:r>
      <w:r w:rsidR="00601BE5" w:rsidRPr="0077659B">
        <w:t>was</w:t>
      </w:r>
      <w:r w:rsidRPr="0077659B">
        <w:t xml:space="preserve"> </w:t>
      </w:r>
      <w:r w:rsidR="006958A8" w:rsidRPr="0077659B">
        <w:t xml:space="preserve">a </w:t>
      </w:r>
      <w:r w:rsidRPr="0077659B">
        <w:t xml:space="preserve">lack of proper record keeping </w:t>
      </w:r>
      <w:proofErr w:type="gramStart"/>
      <w:r w:rsidRPr="0077659B">
        <w:t>to ensure</w:t>
      </w:r>
      <w:proofErr w:type="gramEnd"/>
      <w:r w:rsidRPr="0077659B">
        <w:t xml:space="preserve"> that complete, relevant and accurate information is accessible and available to support the processes followed for financial misconduct/transgressions committed by officials and suppliers of the auditee.</w:t>
      </w:r>
    </w:p>
    <w:p w14:paraId="441C073B" w14:textId="77777777" w:rsidR="00725FEE" w:rsidRPr="0077659B" w:rsidRDefault="00CB4918" w:rsidP="006B1D3E">
      <w:pPr>
        <w:pStyle w:val="Heading5"/>
        <w:rPr>
          <w:rFonts w:eastAsia="Calibri"/>
        </w:rPr>
      </w:pPr>
      <w:r w:rsidRPr="0077659B">
        <w:rPr>
          <w:rFonts w:eastAsia="Calibri"/>
        </w:rPr>
        <w:t>Ongoing</w:t>
      </w:r>
      <w:r w:rsidR="00725FEE" w:rsidRPr="0077659B">
        <w:rPr>
          <w:rFonts w:eastAsia="Calibri"/>
        </w:rPr>
        <w:t xml:space="preserve"> investigations</w:t>
      </w:r>
    </w:p>
    <w:p w14:paraId="306B118C" w14:textId="77777777" w:rsidR="000D6A86" w:rsidRPr="0077659B" w:rsidRDefault="000D6A86" w:rsidP="000D6A86">
      <w:pPr>
        <w:pStyle w:val="Numbernormal"/>
        <w:numPr>
          <w:ilvl w:val="0"/>
          <w:numId w:val="36"/>
        </w:numPr>
        <w:ind w:left="567" w:hanging="567"/>
      </w:pPr>
      <w:proofErr w:type="gramStart"/>
      <w:r w:rsidRPr="0077659B">
        <w:t>A t</w:t>
      </w:r>
      <w:r>
        <w:t>otal of five</w:t>
      </w:r>
      <w:proofErr w:type="gramEnd"/>
      <w:r w:rsidRPr="0077659B">
        <w:t xml:space="preserve"> investigations were ongoing at year-end into allegations relating to financial misconduct, fraud and/or improper conduct in SCM. Some of these investigations have been ongoing for a </w:t>
      </w:r>
      <w:r>
        <w:t>period exceeding 12 months</w:t>
      </w:r>
      <w:r w:rsidRPr="0077659B">
        <w:t xml:space="preserve">. The table below provides a summary of investigations which had not been completed as at year-end (source: </w:t>
      </w:r>
      <w:r w:rsidRPr="0077659B">
        <w:rPr>
          <w:i/>
        </w:rPr>
        <w:t xml:space="preserve">Allegations and </w:t>
      </w:r>
      <w:proofErr w:type="spellStart"/>
      <w:r w:rsidRPr="0077659B">
        <w:rPr>
          <w:i/>
        </w:rPr>
        <w:t>Noclar</w:t>
      </w:r>
      <w:proofErr w:type="spellEnd"/>
      <w:r w:rsidRPr="0077659B">
        <w:t xml:space="preserve"> working paper):</w:t>
      </w:r>
    </w:p>
    <w:tbl>
      <w:tblPr>
        <w:tblStyle w:val="TableGrid"/>
        <w:tblW w:w="0" w:type="auto"/>
        <w:tblInd w:w="360" w:type="dxa"/>
        <w:tblLook w:val="04A0" w:firstRow="1" w:lastRow="0" w:firstColumn="1" w:lastColumn="0" w:noHBand="0" w:noVBand="1"/>
      </w:tblPr>
      <w:tblGrid>
        <w:gridCol w:w="5586"/>
        <w:gridCol w:w="3682"/>
      </w:tblGrid>
      <w:tr w:rsidR="000D6A86" w:rsidRPr="0077659B" w14:paraId="60BD7929" w14:textId="77777777" w:rsidTr="00400414">
        <w:tc>
          <w:tcPr>
            <w:tcW w:w="5702" w:type="dxa"/>
            <w:vAlign w:val="center"/>
          </w:tcPr>
          <w:p w14:paraId="168CF6E9" w14:textId="77777777" w:rsidR="000D6A86" w:rsidRPr="00BB6EEC" w:rsidRDefault="000D6A86" w:rsidP="00400414">
            <w:pPr>
              <w:pStyle w:val="Tabletext"/>
              <w:rPr>
                <w:lang w:val="en-ZA"/>
              </w:rPr>
            </w:pPr>
            <w:r w:rsidRPr="00BB6EEC">
              <w:rPr>
                <w:lang w:val="en-ZA"/>
              </w:rPr>
              <w:t>Total number of ongoing investigations as at year-end</w:t>
            </w:r>
          </w:p>
        </w:tc>
        <w:tc>
          <w:tcPr>
            <w:tcW w:w="3792" w:type="dxa"/>
            <w:vAlign w:val="center"/>
          </w:tcPr>
          <w:p w14:paraId="38E91453" w14:textId="77777777" w:rsidR="000D6A86" w:rsidRPr="0077659B" w:rsidRDefault="000D6A86" w:rsidP="00400414">
            <w:pPr>
              <w:spacing w:after="240"/>
              <w:rPr>
                <w:rFonts w:eastAsia="Calibri" w:cs="Arial"/>
              </w:rPr>
            </w:pPr>
            <w:r>
              <w:rPr>
                <w:rFonts w:eastAsia="Calibri" w:cs="Arial"/>
              </w:rPr>
              <w:t>5</w:t>
            </w:r>
          </w:p>
        </w:tc>
      </w:tr>
      <w:tr w:rsidR="000D6A86" w:rsidRPr="0077659B" w14:paraId="2C4A5932" w14:textId="77777777" w:rsidTr="00400414">
        <w:tc>
          <w:tcPr>
            <w:tcW w:w="5702" w:type="dxa"/>
            <w:vAlign w:val="center"/>
          </w:tcPr>
          <w:p w14:paraId="5FDDFEE5" w14:textId="77777777" w:rsidR="000D6A86" w:rsidRPr="00BB6EEC" w:rsidRDefault="000D6A86" w:rsidP="000D6A86">
            <w:pPr>
              <w:pStyle w:val="Tabletext"/>
              <w:numPr>
                <w:ilvl w:val="0"/>
                <w:numId w:val="24"/>
              </w:numPr>
              <w:rPr>
                <w:lang w:val="en-ZA"/>
              </w:rPr>
            </w:pPr>
            <w:r w:rsidRPr="00BB6EEC">
              <w:rPr>
                <w:lang w:val="en-ZA"/>
              </w:rPr>
              <w:t>Number of SCM-related investigations</w:t>
            </w:r>
          </w:p>
        </w:tc>
        <w:tc>
          <w:tcPr>
            <w:tcW w:w="3792" w:type="dxa"/>
            <w:vAlign w:val="center"/>
          </w:tcPr>
          <w:p w14:paraId="628891B3" w14:textId="77777777" w:rsidR="000D6A86" w:rsidRPr="0077659B" w:rsidRDefault="000D6A86" w:rsidP="00400414">
            <w:pPr>
              <w:spacing w:after="240"/>
              <w:rPr>
                <w:rFonts w:eastAsia="Calibri" w:cs="Arial"/>
              </w:rPr>
            </w:pPr>
            <w:r>
              <w:rPr>
                <w:rFonts w:eastAsia="Calibri" w:cs="Arial"/>
              </w:rPr>
              <w:t>1</w:t>
            </w:r>
          </w:p>
        </w:tc>
      </w:tr>
      <w:tr w:rsidR="000D6A86" w:rsidRPr="0077659B" w14:paraId="26219B1D" w14:textId="77777777" w:rsidTr="00400414">
        <w:tc>
          <w:tcPr>
            <w:tcW w:w="5702" w:type="dxa"/>
            <w:vAlign w:val="center"/>
          </w:tcPr>
          <w:p w14:paraId="3B4C8C7C" w14:textId="77777777" w:rsidR="000D6A86" w:rsidRPr="00BB6EEC" w:rsidRDefault="000D6A86" w:rsidP="000D6A86">
            <w:pPr>
              <w:pStyle w:val="Tabletext"/>
              <w:numPr>
                <w:ilvl w:val="0"/>
                <w:numId w:val="24"/>
              </w:numPr>
              <w:rPr>
                <w:lang w:val="en-ZA"/>
              </w:rPr>
            </w:pPr>
            <w:r w:rsidRPr="00BB6EEC">
              <w:rPr>
                <w:lang w:val="en-ZA"/>
              </w:rPr>
              <w:t>Number of fraud-related investigations</w:t>
            </w:r>
          </w:p>
        </w:tc>
        <w:tc>
          <w:tcPr>
            <w:tcW w:w="3792" w:type="dxa"/>
            <w:vAlign w:val="center"/>
          </w:tcPr>
          <w:p w14:paraId="02B6492B" w14:textId="77777777" w:rsidR="000D6A86" w:rsidRPr="0077659B" w:rsidRDefault="000D6A86" w:rsidP="00400414">
            <w:pPr>
              <w:spacing w:after="240"/>
              <w:rPr>
                <w:rFonts w:eastAsia="Calibri" w:cs="Arial"/>
              </w:rPr>
            </w:pPr>
            <w:r>
              <w:rPr>
                <w:rFonts w:eastAsia="Calibri" w:cs="Arial"/>
              </w:rPr>
              <w:t>0</w:t>
            </w:r>
          </w:p>
        </w:tc>
      </w:tr>
      <w:tr w:rsidR="000D6A86" w:rsidRPr="0077659B" w14:paraId="3027E5D5" w14:textId="77777777" w:rsidTr="00400414">
        <w:tc>
          <w:tcPr>
            <w:tcW w:w="5702" w:type="dxa"/>
            <w:vAlign w:val="center"/>
          </w:tcPr>
          <w:p w14:paraId="72486C9E" w14:textId="77777777" w:rsidR="000D6A86" w:rsidRPr="00BB6EEC" w:rsidRDefault="000D6A86" w:rsidP="00400414">
            <w:pPr>
              <w:pStyle w:val="Tabletext"/>
              <w:rPr>
                <w:lang w:val="en-ZA"/>
              </w:rPr>
            </w:pPr>
            <w:r w:rsidRPr="00BB6EEC">
              <w:rPr>
                <w:lang w:val="en-ZA"/>
              </w:rPr>
              <w:t>Number of investigations exceeding a period of six months</w:t>
            </w:r>
          </w:p>
        </w:tc>
        <w:tc>
          <w:tcPr>
            <w:tcW w:w="3792" w:type="dxa"/>
            <w:vAlign w:val="center"/>
          </w:tcPr>
          <w:p w14:paraId="5F7BEC5F" w14:textId="77777777" w:rsidR="000D6A86" w:rsidRPr="0077659B" w:rsidRDefault="000D6A86" w:rsidP="00400414">
            <w:pPr>
              <w:spacing w:after="240"/>
              <w:rPr>
                <w:rFonts w:eastAsia="Calibri" w:cs="Arial"/>
              </w:rPr>
            </w:pPr>
            <w:r>
              <w:rPr>
                <w:rFonts w:eastAsia="Calibri" w:cs="Arial"/>
              </w:rPr>
              <w:t>5</w:t>
            </w:r>
          </w:p>
        </w:tc>
      </w:tr>
    </w:tbl>
    <w:p w14:paraId="0EA9B576" w14:textId="77777777" w:rsidR="00A43F6F" w:rsidRPr="0077659B" w:rsidRDefault="00A43F6F" w:rsidP="008638CA">
      <w:pPr>
        <w:pStyle w:val="Heading5"/>
      </w:pPr>
      <w:r w:rsidRPr="0077659B">
        <w:t>Transgressions reported</w:t>
      </w:r>
      <w:r w:rsidR="00CB4918" w:rsidRPr="0077659B">
        <w:t xml:space="preserve"> to management for investigation</w:t>
      </w:r>
    </w:p>
    <w:p w14:paraId="1FA323F2" w14:textId="77777777" w:rsidR="00A43F6F" w:rsidRPr="0077659B" w:rsidRDefault="00A43F6F" w:rsidP="00223FB6">
      <w:pPr>
        <w:pStyle w:val="Numbernormal"/>
        <w:numPr>
          <w:ilvl w:val="0"/>
          <w:numId w:val="26"/>
        </w:numPr>
      </w:pPr>
      <w:r w:rsidRPr="0077659B">
        <w:t xml:space="preserve">During the prior year audit, we reported findings </w:t>
      </w:r>
      <w:r w:rsidR="00D71D3C" w:rsidRPr="0077659B">
        <w:t xml:space="preserve">relating </w:t>
      </w:r>
      <w:r w:rsidRPr="0077659B">
        <w:t xml:space="preserve">to </w:t>
      </w:r>
      <w:r w:rsidR="00D71D3C" w:rsidRPr="0077659B">
        <w:t xml:space="preserve">transgressions by officials or other role players for </w:t>
      </w:r>
      <w:r w:rsidRPr="0077659B">
        <w:t xml:space="preserve">management </w:t>
      </w:r>
      <w:r w:rsidR="00D71D3C" w:rsidRPr="0077659B">
        <w:t>to</w:t>
      </w:r>
      <w:r w:rsidRPr="0077659B">
        <w:t xml:space="preserve"> investigat</w:t>
      </w:r>
      <w:r w:rsidR="00D71D3C" w:rsidRPr="0077659B">
        <w:t>e</w:t>
      </w:r>
      <w:r w:rsidRPr="0077659B">
        <w:t xml:space="preserve">. During the current year audit, we performed follow-up tests to determine whether </w:t>
      </w:r>
      <w:proofErr w:type="gramStart"/>
      <w:r w:rsidRPr="0077659B">
        <w:t>the matters reported were dealt with by management</w:t>
      </w:r>
      <w:proofErr w:type="gramEnd"/>
      <w:r w:rsidRPr="0077659B">
        <w:t>.</w:t>
      </w:r>
    </w:p>
    <w:p w14:paraId="50A6B79B" w14:textId="77777777" w:rsidR="00A43F6F" w:rsidRPr="0077659B" w:rsidRDefault="00A43F6F" w:rsidP="00223FB6">
      <w:pPr>
        <w:pStyle w:val="Numbernormal"/>
        <w:numPr>
          <w:ilvl w:val="0"/>
          <w:numId w:val="26"/>
        </w:numPr>
      </w:pPr>
      <w:r w:rsidRPr="0077659B">
        <w:t xml:space="preserve">The table below provides a summary of the </w:t>
      </w:r>
      <w:r w:rsidR="00CB4918" w:rsidRPr="0077659B">
        <w:t>transgressions</w:t>
      </w:r>
      <w:r w:rsidRPr="0077659B">
        <w:t xml:space="preserve"> </w:t>
      </w:r>
      <w:r w:rsidR="00CB4918" w:rsidRPr="0077659B">
        <w:t xml:space="preserve">reported in </w:t>
      </w:r>
      <w:r w:rsidR="009378D9" w:rsidRPr="0077659B">
        <w:t xml:space="preserve">the </w:t>
      </w:r>
      <w:r w:rsidR="00CB4918" w:rsidRPr="0077659B">
        <w:t xml:space="preserve">prior year </w:t>
      </w:r>
      <w:r w:rsidRPr="0077659B">
        <w:t xml:space="preserve">and an indication of how many </w:t>
      </w:r>
      <w:proofErr w:type="gramStart"/>
      <w:r w:rsidRPr="0077659B">
        <w:t>were dealt with</w:t>
      </w:r>
      <w:proofErr w:type="gramEnd"/>
      <w:r w:rsidR="00211B8D" w:rsidRPr="0077659B">
        <w:t>.</w:t>
      </w:r>
      <w:r w:rsidRPr="0077659B">
        <w:t xml:space="preserve"> </w:t>
      </w:r>
      <w:r w:rsidR="00CB4918" w:rsidRPr="0077659B">
        <w:t xml:space="preserve">It also </w:t>
      </w:r>
      <w:r w:rsidR="00305A60" w:rsidRPr="0077659B">
        <w:t>provides</w:t>
      </w:r>
      <w:r w:rsidR="00CB4918" w:rsidRPr="0077659B">
        <w:t xml:space="preserve"> a summary of transgressions identified in </w:t>
      </w:r>
      <w:r w:rsidR="00305A60" w:rsidRPr="0077659B">
        <w:t xml:space="preserve">the </w:t>
      </w:r>
      <w:r w:rsidR="00CB4918" w:rsidRPr="0077659B">
        <w:t xml:space="preserve">current year that </w:t>
      </w:r>
      <w:proofErr w:type="gramStart"/>
      <w:r w:rsidR="00CB4918" w:rsidRPr="0077659B">
        <w:t>must be investigated</w:t>
      </w:r>
      <w:proofErr w:type="gramEnd"/>
      <w:r w:rsidR="00CB4918" w:rsidRPr="0077659B">
        <w:t xml:space="preserve"> and disciplinary steps taken based on the results of the investigations.</w:t>
      </w:r>
    </w:p>
    <w:p w14:paraId="26DE9418" w14:textId="77777777" w:rsidR="00A43F6F" w:rsidRPr="0077659B" w:rsidRDefault="00A43F6F" w:rsidP="00BB6EEC">
      <w:pPr>
        <w:pStyle w:val="Symbolbullet"/>
        <w:numPr>
          <w:ilvl w:val="0"/>
          <w:numId w:val="0"/>
        </w:numPr>
        <w:ind w:left="1134"/>
      </w:pPr>
      <w:r w:rsidRPr="0077659B">
        <w:t xml:space="preserve">(Not applicable findings </w:t>
      </w:r>
      <w:proofErr w:type="gramStart"/>
      <w:r w:rsidRPr="0077659B">
        <w:t>should be deleted</w:t>
      </w:r>
      <w:proofErr w:type="gramEnd"/>
      <w:r w:rsidRPr="0077659B">
        <w:t>)</w:t>
      </w:r>
    </w:p>
    <w:tbl>
      <w:tblPr>
        <w:tblStyle w:val="TableGrid8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1250"/>
        <w:gridCol w:w="1390"/>
        <w:gridCol w:w="1389"/>
        <w:gridCol w:w="1184"/>
        <w:gridCol w:w="995"/>
      </w:tblGrid>
      <w:tr w:rsidR="00CB4918" w:rsidRPr="0077659B" w14:paraId="24D6FD14" w14:textId="77777777" w:rsidTr="000913DD">
        <w:trPr>
          <w:cnfStyle w:val="100000000000" w:firstRow="1" w:lastRow="0" w:firstColumn="0" w:lastColumn="0" w:oddVBand="0" w:evenVBand="0" w:oddHBand="0" w:evenHBand="0" w:firstRowFirstColumn="0" w:firstRowLastColumn="0" w:lastRowFirstColumn="0" w:lastRowLastColumn="0"/>
          <w:tblHeader/>
        </w:trPr>
        <w:tc>
          <w:tcPr>
            <w:tcW w:w="3312" w:type="dxa"/>
            <w:shd w:val="clear" w:color="auto" w:fill="A6A6A6" w:themeFill="background1" w:themeFillShade="A6"/>
          </w:tcPr>
          <w:p w14:paraId="43E42DF1" w14:textId="77777777" w:rsidR="00CB4918" w:rsidRPr="0077659B" w:rsidRDefault="00CB4918" w:rsidP="0089115A">
            <w:pPr>
              <w:jc w:val="center"/>
              <w:rPr>
                <w:rFonts w:cs="Arial"/>
              </w:rPr>
            </w:pPr>
          </w:p>
        </w:tc>
        <w:tc>
          <w:tcPr>
            <w:tcW w:w="4029" w:type="dxa"/>
            <w:gridSpan w:val="3"/>
            <w:shd w:val="clear" w:color="auto" w:fill="A6A6A6" w:themeFill="background1" w:themeFillShade="A6"/>
          </w:tcPr>
          <w:p w14:paraId="23C34C7F" w14:textId="77777777" w:rsidR="00CB4918" w:rsidRPr="0077659B" w:rsidRDefault="00CB4918" w:rsidP="0089115A">
            <w:pPr>
              <w:jc w:val="center"/>
              <w:rPr>
                <w:rFonts w:cs="Arial"/>
              </w:rPr>
            </w:pPr>
            <w:r w:rsidRPr="0077659B">
              <w:rPr>
                <w:rFonts w:cs="Arial"/>
              </w:rPr>
              <w:t>Findings reported in prior year</w:t>
            </w:r>
          </w:p>
        </w:tc>
        <w:tc>
          <w:tcPr>
            <w:tcW w:w="2179" w:type="dxa"/>
            <w:gridSpan w:val="2"/>
            <w:shd w:val="clear" w:color="auto" w:fill="A6A6A6" w:themeFill="background1" w:themeFillShade="A6"/>
          </w:tcPr>
          <w:p w14:paraId="165A64BA" w14:textId="77777777" w:rsidR="00CB4918" w:rsidRPr="0077659B" w:rsidRDefault="00CB4918" w:rsidP="0089115A">
            <w:pPr>
              <w:jc w:val="center"/>
              <w:rPr>
                <w:rFonts w:cs="Arial"/>
              </w:rPr>
            </w:pPr>
            <w:r w:rsidRPr="0077659B">
              <w:rPr>
                <w:rFonts w:cs="Arial"/>
                <w:color w:val="FFFFFF" w:themeColor="background1"/>
              </w:rPr>
              <w:t>Findings reported in current year</w:t>
            </w:r>
          </w:p>
        </w:tc>
      </w:tr>
      <w:tr w:rsidR="00CB4918" w:rsidRPr="0077659B" w14:paraId="2E001B89" w14:textId="77777777" w:rsidTr="000913DD">
        <w:trPr>
          <w:cnfStyle w:val="100000000000" w:firstRow="1" w:lastRow="0" w:firstColumn="0" w:lastColumn="0" w:oddVBand="0" w:evenVBand="0" w:oddHBand="0" w:evenHBand="0" w:firstRowFirstColumn="0" w:firstRowLastColumn="0" w:lastRowFirstColumn="0" w:lastRowLastColumn="0"/>
          <w:tblHeader/>
        </w:trPr>
        <w:tc>
          <w:tcPr>
            <w:tcW w:w="3312" w:type="dxa"/>
            <w:shd w:val="clear" w:color="auto" w:fill="A6A6A6" w:themeFill="background1" w:themeFillShade="A6"/>
          </w:tcPr>
          <w:p w14:paraId="66B7A302" w14:textId="77777777" w:rsidR="00CB4918" w:rsidRPr="0077659B" w:rsidRDefault="00CB4918" w:rsidP="0089115A">
            <w:pPr>
              <w:jc w:val="center"/>
              <w:rPr>
                <w:rFonts w:cs="Arial"/>
              </w:rPr>
            </w:pPr>
            <w:r w:rsidRPr="0077659B">
              <w:rPr>
                <w:rFonts w:cs="Arial"/>
              </w:rPr>
              <w:t>Finding</w:t>
            </w:r>
          </w:p>
        </w:tc>
        <w:tc>
          <w:tcPr>
            <w:tcW w:w="1250" w:type="dxa"/>
            <w:shd w:val="clear" w:color="auto" w:fill="A6A6A6" w:themeFill="background1" w:themeFillShade="A6"/>
          </w:tcPr>
          <w:p w14:paraId="2DF56D27" w14:textId="77777777" w:rsidR="00CB4918" w:rsidRPr="0077659B" w:rsidRDefault="00CB4918" w:rsidP="0089115A">
            <w:pPr>
              <w:jc w:val="center"/>
              <w:rPr>
                <w:rFonts w:cs="Arial"/>
                <w:b w:val="0"/>
                <w:bCs w:val="0"/>
              </w:rPr>
            </w:pPr>
            <w:r w:rsidRPr="0077659B">
              <w:rPr>
                <w:rFonts w:cs="Arial"/>
              </w:rPr>
              <w:t>Number of instances</w:t>
            </w:r>
          </w:p>
        </w:tc>
        <w:tc>
          <w:tcPr>
            <w:tcW w:w="1390" w:type="dxa"/>
            <w:shd w:val="clear" w:color="auto" w:fill="A6A6A6" w:themeFill="background1" w:themeFillShade="A6"/>
          </w:tcPr>
          <w:p w14:paraId="3B693A73" w14:textId="77777777" w:rsidR="00CB4918" w:rsidRPr="0077659B" w:rsidRDefault="00CB4918" w:rsidP="0089115A">
            <w:pPr>
              <w:jc w:val="center"/>
              <w:rPr>
                <w:rFonts w:cs="Arial"/>
              </w:rPr>
            </w:pPr>
            <w:r w:rsidRPr="0077659B">
              <w:rPr>
                <w:rFonts w:cs="Arial"/>
              </w:rPr>
              <w:t>Number of instances investigated</w:t>
            </w:r>
          </w:p>
        </w:tc>
        <w:tc>
          <w:tcPr>
            <w:tcW w:w="1389" w:type="dxa"/>
            <w:shd w:val="clear" w:color="auto" w:fill="A6A6A6" w:themeFill="background1" w:themeFillShade="A6"/>
          </w:tcPr>
          <w:p w14:paraId="4EF419FB" w14:textId="77777777" w:rsidR="00CB4918" w:rsidRPr="0077659B" w:rsidRDefault="00CB4918" w:rsidP="0089115A">
            <w:pPr>
              <w:jc w:val="center"/>
              <w:rPr>
                <w:rFonts w:cs="Arial"/>
              </w:rPr>
            </w:pPr>
            <w:r w:rsidRPr="0077659B">
              <w:rPr>
                <w:rFonts w:cs="Arial"/>
              </w:rPr>
              <w:t>Number of instances resolved from those investigated</w:t>
            </w:r>
          </w:p>
        </w:tc>
        <w:tc>
          <w:tcPr>
            <w:tcW w:w="1184" w:type="dxa"/>
            <w:shd w:val="clear" w:color="auto" w:fill="0F243E" w:themeFill="text2" w:themeFillShade="80"/>
          </w:tcPr>
          <w:p w14:paraId="0595819D" w14:textId="77777777" w:rsidR="00CB4918" w:rsidRPr="0077659B" w:rsidRDefault="00CB4918" w:rsidP="0089115A">
            <w:pPr>
              <w:jc w:val="center"/>
              <w:rPr>
                <w:rFonts w:cs="Arial"/>
                <w:color w:val="FFFFFF" w:themeColor="background1"/>
              </w:rPr>
            </w:pPr>
            <w:r w:rsidRPr="0077659B">
              <w:rPr>
                <w:rFonts w:cs="Arial"/>
                <w:color w:val="FFFFFF" w:themeColor="background1"/>
              </w:rPr>
              <w:t>Number of instances</w:t>
            </w:r>
          </w:p>
        </w:tc>
        <w:tc>
          <w:tcPr>
            <w:tcW w:w="995" w:type="dxa"/>
            <w:shd w:val="clear" w:color="auto" w:fill="0F243E" w:themeFill="text2" w:themeFillShade="80"/>
          </w:tcPr>
          <w:p w14:paraId="539A05D4" w14:textId="77777777" w:rsidR="00CB4918" w:rsidRPr="0077659B" w:rsidRDefault="00CB4918" w:rsidP="0089115A">
            <w:pPr>
              <w:jc w:val="center"/>
              <w:rPr>
                <w:rFonts w:cs="Arial"/>
                <w:color w:val="FFFFFF" w:themeColor="background1"/>
              </w:rPr>
            </w:pPr>
            <w:r w:rsidRPr="0077659B">
              <w:rPr>
                <w:rFonts w:cs="Arial"/>
                <w:color w:val="FFFFFF" w:themeColor="background1"/>
              </w:rPr>
              <w:t>Value</w:t>
            </w:r>
          </w:p>
          <w:p w14:paraId="56DE6CC8" w14:textId="77777777" w:rsidR="00834855" w:rsidRPr="0077659B" w:rsidRDefault="00834855" w:rsidP="0089115A">
            <w:pPr>
              <w:jc w:val="center"/>
              <w:rPr>
                <w:rFonts w:cs="Arial"/>
                <w:color w:val="FFFFFF" w:themeColor="background1"/>
              </w:rPr>
            </w:pPr>
            <w:r w:rsidRPr="0077659B">
              <w:rPr>
                <w:rFonts w:cs="Arial"/>
                <w:color w:val="FFFFFF" w:themeColor="background1"/>
              </w:rPr>
              <w:t>(R)</w:t>
            </w:r>
          </w:p>
        </w:tc>
      </w:tr>
      <w:tr w:rsidR="000D6A86" w:rsidRPr="0077659B" w14:paraId="2DD88156" w14:textId="77777777" w:rsidTr="000913DD">
        <w:tc>
          <w:tcPr>
            <w:tcW w:w="3312" w:type="dxa"/>
            <w:shd w:val="clear" w:color="auto" w:fill="D9D9D9" w:themeFill="background1" w:themeFillShade="D9"/>
          </w:tcPr>
          <w:p w14:paraId="552D194E" w14:textId="78E59375" w:rsidR="000D6A86" w:rsidRPr="0077659B" w:rsidRDefault="000D6A86" w:rsidP="000D6A86">
            <w:pPr>
              <w:ind w:left="66"/>
              <w:rPr>
                <w:rFonts w:cs="Arial"/>
                <w:b/>
              </w:rPr>
            </w:pPr>
            <w:r w:rsidRPr="0077659B">
              <w:rPr>
                <w:rFonts w:cs="Arial"/>
                <w:b/>
              </w:rPr>
              <w:t>A: Improper conduct in SCM by suppliers</w:t>
            </w:r>
          </w:p>
        </w:tc>
        <w:tc>
          <w:tcPr>
            <w:tcW w:w="1250" w:type="dxa"/>
            <w:shd w:val="clear" w:color="auto" w:fill="D9D9D9" w:themeFill="background1" w:themeFillShade="D9"/>
          </w:tcPr>
          <w:p w14:paraId="3E30AA91" w14:textId="77777777" w:rsidR="000D6A86" w:rsidRPr="0077659B" w:rsidRDefault="000D6A86" w:rsidP="000D6A86">
            <w:pPr>
              <w:ind w:left="66"/>
              <w:rPr>
                <w:rFonts w:cs="Arial"/>
                <w:b/>
              </w:rPr>
            </w:pPr>
          </w:p>
        </w:tc>
        <w:tc>
          <w:tcPr>
            <w:tcW w:w="1390" w:type="dxa"/>
            <w:shd w:val="clear" w:color="auto" w:fill="D9D9D9" w:themeFill="background1" w:themeFillShade="D9"/>
          </w:tcPr>
          <w:p w14:paraId="6C0C3F5C" w14:textId="77777777" w:rsidR="000D6A86" w:rsidRPr="0077659B" w:rsidRDefault="000D6A86" w:rsidP="000D6A86">
            <w:pPr>
              <w:rPr>
                <w:rFonts w:cs="Arial"/>
                <w:b/>
              </w:rPr>
            </w:pPr>
          </w:p>
        </w:tc>
        <w:tc>
          <w:tcPr>
            <w:tcW w:w="1389" w:type="dxa"/>
            <w:shd w:val="clear" w:color="auto" w:fill="D9D9D9" w:themeFill="background1" w:themeFillShade="D9"/>
          </w:tcPr>
          <w:p w14:paraId="2CE79F97" w14:textId="77777777" w:rsidR="000D6A86" w:rsidRPr="0077659B" w:rsidRDefault="000D6A86" w:rsidP="000D6A86">
            <w:pPr>
              <w:rPr>
                <w:rFonts w:cs="Arial"/>
                <w:b/>
              </w:rPr>
            </w:pPr>
          </w:p>
        </w:tc>
        <w:tc>
          <w:tcPr>
            <w:tcW w:w="1184" w:type="dxa"/>
            <w:shd w:val="clear" w:color="auto" w:fill="D9D9D9" w:themeFill="background1" w:themeFillShade="D9"/>
          </w:tcPr>
          <w:p w14:paraId="4CE21E60" w14:textId="77777777" w:rsidR="000D6A86" w:rsidRPr="0077659B" w:rsidRDefault="000D6A86" w:rsidP="000D6A86">
            <w:pPr>
              <w:rPr>
                <w:rFonts w:cs="Arial"/>
                <w:b/>
              </w:rPr>
            </w:pPr>
          </w:p>
        </w:tc>
        <w:tc>
          <w:tcPr>
            <w:tcW w:w="995" w:type="dxa"/>
            <w:shd w:val="clear" w:color="auto" w:fill="D9D9D9" w:themeFill="background1" w:themeFillShade="D9"/>
          </w:tcPr>
          <w:p w14:paraId="19B41D66" w14:textId="77777777" w:rsidR="000D6A86" w:rsidRPr="0077659B" w:rsidRDefault="000D6A86" w:rsidP="000D6A86">
            <w:pPr>
              <w:rPr>
                <w:rFonts w:cs="Arial"/>
                <w:b/>
              </w:rPr>
            </w:pPr>
          </w:p>
        </w:tc>
      </w:tr>
      <w:tr w:rsidR="000D6A86" w:rsidRPr="0077659B" w14:paraId="1A152D50" w14:textId="77777777" w:rsidTr="000913DD">
        <w:tc>
          <w:tcPr>
            <w:tcW w:w="3312" w:type="dxa"/>
          </w:tcPr>
          <w:p w14:paraId="60640E0F" w14:textId="1A56EB5D" w:rsidR="000D6A86" w:rsidRPr="0077659B" w:rsidRDefault="000D6A86" w:rsidP="000D6A86">
            <w:pPr>
              <w:ind w:left="66"/>
              <w:rPr>
                <w:rFonts w:cs="Arial"/>
              </w:rPr>
            </w:pPr>
            <w:r w:rsidRPr="0077659B">
              <w:rPr>
                <w:rFonts w:cs="Arial"/>
              </w:rPr>
              <w:lastRenderedPageBreak/>
              <w:t>Other improper conduct in SCM by suppliers</w:t>
            </w:r>
          </w:p>
        </w:tc>
        <w:tc>
          <w:tcPr>
            <w:tcW w:w="1250" w:type="dxa"/>
          </w:tcPr>
          <w:p w14:paraId="797C2DDD" w14:textId="42BA966A" w:rsidR="000D6A86" w:rsidRPr="0077659B" w:rsidRDefault="000D6A86" w:rsidP="000D6A86">
            <w:pPr>
              <w:rPr>
                <w:rFonts w:cs="Arial"/>
              </w:rPr>
            </w:pPr>
            <w:r>
              <w:rPr>
                <w:rFonts w:cs="Arial"/>
              </w:rPr>
              <w:t>1</w:t>
            </w:r>
          </w:p>
        </w:tc>
        <w:tc>
          <w:tcPr>
            <w:tcW w:w="1390" w:type="dxa"/>
          </w:tcPr>
          <w:p w14:paraId="2BF85E03" w14:textId="6836C349" w:rsidR="000D6A86" w:rsidRPr="0077659B" w:rsidRDefault="000D6A86" w:rsidP="000D6A86">
            <w:pPr>
              <w:rPr>
                <w:rFonts w:cs="Arial"/>
              </w:rPr>
            </w:pPr>
            <w:r>
              <w:rPr>
                <w:rFonts w:cs="Arial"/>
              </w:rPr>
              <w:t>1</w:t>
            </w:r>
          </w:p>
        </w:tc>
        <w:tc>
          <w:tcPr>
            <w:tcW w:w="1389" w:type="dxa"/>
          </w:tcPr>
          <w:p w14:paraId="723B7420" w14:textId="7EF9D7E3" w:rsidR="000D6A86" w:rsidRPr="0077659B" w:rsidRDefault="000D6A86" w:rsidP="000D6A86">
            <w:pPr>
              <w:rPr>
                <w:rFonts w:cs="Arial"/>
              </w:rPr>
            </w:pPr>
            <w:r>
              <w:rPr>
                <w:rFonts w:cs="Arial"/>
              </w:rPr>
              <w:t>0</w:t>
            </w:r>
          </w:p>
        </w:tc>
        <w:tc>
          <w:tcPr>
            <w:tcW w:w="1184" w:type="dxa"/>
            <w:shd w:val="clear" w:color="auto" w:fill="F2F2F2" w:themeFill="background1" w:themeFillShade="F2"/>
          </w:tcPr>
          <w:p w14:paraId="6DE2E410" w14:textId="51DC2775" w:rsidR="000D6A86" w:rsidRPr="0077659B" w:rsidRDefault="000D6A86" w:rsidP="000D6A86">
            <w:pPr>
              <w:rPr>
                <w:rFonts w:cs="Arial"/>
              </w:rPr>
            </w:pPr>
            <w:r>
              <w:rPr>
                <w:rFonts w:cs="Arial"/>
              </w:rPr>
              <w:t>0</w:t>
            </w:r>
          </w:p>
        </w:tc>
        <w:tc>
          <w:tcPr>
            <w:tcW w:w="995" w:type="dxa"/>
            <w:shd w:val="clear" w:color="auto" w:fill="F2F2F2" w:themeFill="background1" w:themeFillShade="F2"/>
          </w:tcPr>
          <w:p w14:paraId="34541E24" w14:textId="05E2A76C" w:rsidR="000D6A86" w:rsidRPr="0077659B" w:rsidRDefault="000D6A86" w:rsidP="000D6A86">
            <w:pPr>
              <w:rPr>
                <w:rFonts w:cs="Arial"/>
              </w:rPr>
            </w:pPr>
            <w:r>
              <w:rPr>
                <w:rFonts w:cs="Arial"/>
              </w:rPr>
              <w:t>0</w:t>
            </w:r>
          </w:p>
        </w:tc>
      </w:tr>
      <w:tr w:rsidR="000D6A86" w:rsidRPr="0077659B" w14:paraId="737220E2" w14:textId="77777777" w:rsidTr="000913DD">
        <w:tc>
          <w:tcPr>
            <w:tcW w:w="3312" w:type="dxa"/>
            <w:shd w:val="clear" w:color="auto" w:fill="D9D9D9" w:themeFill="background1" w:themeFillShade="D9"/>
          </w:tcPr>
          <w:p w14:paraId="39780E8F" w14:textId="13900C01" w:rsidR="000D6A86" w:rsidRPr="0077659B" w:rsidRDefault="000D6A86" w:rsidP="000D6A86">
            <w:pPr>
              <w:ind w:left="66"/>
              <w:rPr>
                <w:rFonts w:cs="Arial"/>
                <w:b/>
              </w:rPr>
            </w:pPr>
            <w:r w:rsidRPr="0077659B">
              <w:rPr>
                <w:rFonts w:cs="Arial"/>
                <w:b/>
              </w:rPr>
              <w:t>B: Improper conduct in SCM by officials/role players</w:t>
            </w:r>
          </w:p>
        </w:tc>
        <w:tc>
          <w:tcPr>
            <w:tcW w:w="1250" w:type="dxa"/>
            <w:shd w:val="clear" w:color="auto" w:fill="D9D9D9" w:themeFill="background1" w:themeFillShade="D9"/>
          </w:tcPr>
          <w:p w14:paraId="4DD35C24" w14:textId="77777777" w:rsidR="000D6A86" w:rsidRPr="0077659B" w:rsidRDefault="000D6A86" w:rsidP="000D6A86">
            <w:pPr>
              <w:rPr>
                <w:rFonts w:cs="Arial"/>
                <w:b/>
              </w:rPr>
            </w:pPr>
          </w:p>
        </w:tc>
        <w:tc>
          <w:tcPr>
            <w:tcW w:w="1390" w:type="dxa"/>
            <w:shd w:val="clear" w:color="auto" w:fill="D9D9D9" w:themeFill="background1" w:themeFillShade="D9"/>
          </w:tcPr>
          <w:p w14:paraId="4082A2E6" w14:textId="77777777" w:rsidR="000D6A86" w:rsidRPr="0077659B" w:rsidRDefault="000D6A86" w:rsidP="000D6A86">
            <w:pPr>
              <w:rPr>
                <w:rFonts w:cs="Arial"/>
                <w:b/>
              </w:rPr>
            </w:pPr>
          </w:p>
        </w:tc>
        <w:tc>
          <w:tcPr>
            <w:tcW w:w="1389" w:type="dxa"/>
            <w:shd w:val="clear" w:color="auto" w:fill="D9D9D9" w:themeFill="background1" w:themeFillShade="D9"/>
          </w:tcPr>
          <w:p w14:paraId="6EB038E1" w14:textId="77777777" w:rsidR="000D6A86" w:rsidRPr="0077659B" w:rsidRDefault="000D6A86" w:rsidP="000D6A86">
            <w:pPr>
              <w:rPr>
                <w:rFonts w:cs="Arial"/>
                <w:b/>
              </w:rPr>
            </w:pPr>
          </w:p>
        </w:tc>
        <w:tc>
          <w:tcPr>
            <w:tcW w:w="1184" w:type="dxa"/>
            <w:shd w:val="clear" w:color="auto" w:fill="D9D9D9" w:themeFill="background1" w:themeFillShade="D9"/>
          </w:tcPr>
          <w:p w14:paraId="7982FC15" w14:textId="77777777" w:rsidR="000D6A86" w:rsidRPr="0077659B" w:rsidRDefault="000D6A86" w:rsidP="000D6A86">
            <w:pPr>
              <w:rPr>
                <w:rFonts w:cs="Arial"/>
                <w:b/>
              </w:rPr>
            </w:pPr>
          </w:p>
        </w:tc>
        <w:tc>
          <w:tcPr>
            <w:tcW w:w="995" w:type="dxa"/>
            <w:shd w:val="clear" w:color="auto" w:fill="D9D9D9" w:themeFill="background1" w:themeFillShade="D9"/>
          </w:tcPr>
          <w:p w14:paraId="310DA4A5" w14:textId="77777777" w:rsidR="000D6A86" w:rsidRPr="0077659B" w:rsidRDefault="000D6A86" w:rsidP="000D6A86">
            <w:pPr>
              <w:rPr>
                <w:rFonts w:cs="Arial"/>
                <w:b/>
              </w:rPr>
            </w:pPr>
          </w:p>
        </w:tc>
      </w:tr>
      <w:tr w:rsidR="000D6A86" w:rsidRPr="0077659B" w14:paraId="4466418E" w14:textId="77777777" w:rsidTr="000913DD">
        <w:tc>
          <w:tcPr>
            <w:tcW w:w="3312" w:type="dxa"/>
          </w:tcPr>
          <w:p w14:paraId="729A432E" w14:textId="0BCF51E0" w:rsidR="000D6A86" w:rsidRPr="0077659B" w:rsidRDefault="000D6A86" w:rsidP="000D6A86">
            <w:pPr>
              <w:ind w:left="66"/>
              <w:rPr>
                <w:rFonts w:cs="Arial"/>
              </w:rPr>
            </w:pPr>
            <w:r w:rsidRPr="0077659B">
              <w:rPr>
                <w:rFonts w:cs="Arial"/>
              </w:rPr>
              <w:t>Other improper conduct in SCM by officials or SCM role players</w:t>
            </w:r>
          </w:p>
        </w:tc>
        <w:tc>
          <w:tcPr>
            <w:tcW w:w="1250" w:type="dxa"/>
          </w:tcPr>
          <w:p w14:paraId="231040C9" w14:textId="5541E4CE" w:rsidR="000D6A86" w:rsidRPr="0077659B" w:rsidRDefault="000D6A86" w:rsidP="000D6A86">
            <w:pPr>
              <w:ind w:left="66"/>
              <w:rPr>
                <w:rFonts w:cs="Arial"/>
              </w:rPr>
            </w:pPr>
            <w:r>
              <w:rPr>
                <w:rFonts w:cs="Arial"/>
              </w:rPr>
              <w:t>8</w:t>
            </w:r>
          </w:p>
        </w:tc>
        <w:tc>
          <w:tcPr>
            <w:tcW w:w="1390" w:type="dxa"/>
          </w:tcPr>
          <w:p w14:paraId="41922946" w14:textId="5BF38807" w:rsidR="000D6A86" w:rsidRPr="0077659B" w:rsidRDefault="000D6A86" w:rsidP="000D6A86">
            <w:pPr>
              <w:rPr>
                <w:rFonts w:cs="Arial"/>
              </w:rPr>
            </w:pPr>
            <w:r>
              <w:rPr>
                <w:rFonts w:cs="Arial"/>
              </w:rPr>
              <w:t>8</w:t>
            </w:r>
          </w:p>
        </w:tc>
        <w:tc>
          <w:tcPr>
            <w:tcW w:w="1389" w:type="dxa"/>
          </w:tcPr>
          <w:p w14:paraId="1F463C7F" w14:textId="28B6628A" w:rsidR="000D6A86" w:rsidRPr="0077659B" w:rsidRDefault="000D6A86" w:rsidP="000D6A86">
            <w:pPr>
              <w:rPr>
                <w:rFonts w:cs="Arial"/>
              </w:rPr>
            </w:pPr>
            <w:r>
              <w:rPr>
                <w:rFonts w:cs="Arial"/>
              </w:rPr>
              <w:t>0</w:t>
            </w:r>
          </w:p>
        </w:tc>
        <w:tc>
          <w:tcPr>
            <w:tcW w:w="1184" w:type="dxa"/>
            <w:shd w:val="clear" w:color="auto" w:fill="F2F2F2" w:themeFill="background1" w:themeFillShade="F2"/>
          </w:tcPr>
          <w:p w14:paraId="648B9459" w14:textId="77EF147B" w:rsidR="000D6A86" w:rsidRPr="0077659B" w:rsidRDefault="000D6A86" w:rsidP="000D6A86">
            <w:pPr>
              <w:rPr>
                <w:rFonts w:cs="Arial"/>
              </w:rPr>
            </w:pPr>
            <w:r>
              <w:rPr>
                <w:rFonts w:cs="Arial"/>
              </w:rPr>
              <w:t>0</w:t>
            </w:r>
          </w:p>
        </w:tc>
        <w:tc>
          <w:tcPr>
            <w:tcW w:w="995" w:type="dxa"/>
            <w:shd w:val="clear" w:color="auto" w:fill="F2F2F2" w:themeFill="background1" w:themeFillShade="F2"/>
          </w:tcPr>
          <w:p w14:paraId="59C70DB8" w14:textId="29F1B669" w:rsidR="000D6A86" w:rsidRPr="0077659B" w:rsidRDefault="000D6A86" w:rsidP="000D6A86">
            <w:pPr>
              <w:rPr>
                <w:rFonts w:cs="Arial"/>
              </w:rPr>
            </w:pPr>
            <w:r>
              <w:rPr>
                <w:rFonts w:cs="Arial"/>
              </w:rPr>
              <w:t>0</w:t>
            </w:r>
          </w:p>
        </w:tc>
      </w:tr>
      <w:tr w:rsidR="000D6A86" w:rsidRPr="0077659B" w14:paraId="6D398D3A" w14:textId="77777777" w:rsidTr="000913DD">
        <w:tc>
          <w:tcPr>
            <w:tcW w:w="3312" w:type="dxa"/>
            <w:shd w:val="clear" w:color="auto" w:fill="D9D9D9" w:themeFill="background1" w:themeFillShade="D9"/>
          </w:tcPr>
          <w:p w14:paraId="21EDCC24" w14:textId="2B84BD2B" w:rsidR="000D6A86" w:rsidRPr="0077659B" w:rsidRDefault="000D6A86" w:rsidP="000D6A86">
            <w:pPr>
              <w:ind w:left="66"/>
              <w:rPr>
                <w:rFonts w:cs="Arial"/>
                <w:b/>
              </w:rPr>
            </w:pPr>
            <w:r w:rsidRPr="0077659B">
              <w:rPr>
                <w:rFonts w:cs="Arial"/>
                <w:b/>
              </w:rPr>
              <w:t>C: Financial misconduct</w:t>
            </w:r>
          </w:p>
        </w:tc>
        <w:tc>
          <w:tcPr>
            <w:tcW w:w="1250" w:type="dxa"/>
            <w:shd w:val="clear" w:color="auto" w:fill="D9D9D9" w:themeFill="background1" w:themeFillShade="D9"/>
          </w:tcPr>
          <w:p w14:paraId="3ABD359A" w14:textId="77777777" w:rsidR="000D6A86" w:rsidRPr="0077659B" w:rsidRDefault="000D6A86" w:rsidP="000D6A86">
            <w:pPr>
              <w:ind w:left="66"/>
              <w:rPr>
                <w:rFonts w:cs="Arial"/>
                <w:b/>
              </w:rPr>
            </w:pPr>
          </w:p>
        </w:tc>
        <w:tc>
          <w:tcPr>
            <w:tcW w:w="1390" w:type="dxa"/>
            <w:shd w:val="clear" w:color="auto" w:fill="D9D9D9" w:themeFill="background1" w:themeFillShade="D9"/>
          </w:tcPr>
          <w:p w14:paraId="07BE3B73" w14:textId="77777777" w:rsidR="000D6A86" w:rsidRPr="0077659B" w:rsidRDefault="000D6A86" w:rsidP="000D6A86">
            <w:pPr>
              <w:rPr>
                <w:rFonts w:cs="Arial"/>
                <w:b/>
              </w:rPr>
            </w:pPr>
          </w:p>
        </w:tc>
        <w:tc>
          <w:tcPr>
            <w:tcW w:w="1389" w:type="dxa"/>
            <w:shd w:val="clear" w:color="auto" w:fill="D9D9D9" w:themeFill="background1" w:themeFillShade="D9"/>
          </w:tcPr>
          <w:p w14:paraId="27FB70D6" w14:textId="77777777" w:rsidR="000D6A86" w:rsidRPr="0077659B" w:rsidRDefault="000D6A86" w:rsidP="000D6A86">
            <w:pPr>
              <w:rPr>
                <w:rFonts w:cs="Arial"/>
                <w:b/>
              </w:rPr>
            </w:pPr>
          </w:p>
        </w:tc>
        <w:tc>
          <w:tcPr>
            <w:tcW w:w="1184" w:type="dxa"/>
            <w:shd w:val="clear" w:color="auto" w:fill="D9D9D9" w:themeFill="background1" w:themeFillShade="D9"/>
          </w:tcPr>
          <w:p w14:paraId="74249536" w14:textId="77777777" w:rsidR="000D6A86" w:rsidRPr="0077659B" w:rsidRDefault="000D6A86" w:rsidP="000D6A86">
            <w:pPr>
              <w:rPr>
                <w:rFonts w:cs="Arial"/>
                <w:b/>
              </w:rPr>
            </w:pPr>
          </w:p>
        </w:tc>
        <w:tc>
          <w:tcPr>
            <w:tcW w:w="995" w:type="dxa"/>
            <w:shd w:val="clear" w:color="auto" w:fill="D9D9D9" w:themeFill="background1" w:themeFillShade="D9"/>
          </w:tcPr>
          <w:p w14:paraId="3A7D1FCB" w14:textId="77777777" w:rsidR="000D6A86" w:rsidRPr="0077659B" w:rsidRDefault="000D6A86" w:rsidP="000D6A86">
            <w:pPr>
              <w:rPr>
                <w:rFonts w:cs="Arial"/>
                <w:b/>
              </w:rPr>
            </w:pPr>
          </w:p>
        </w:tc>
      </w:tr>
      <w:tr w:rsidR="000D6A86" w:rsidRPr="0077659B" w14:paraId="7E7E8B97" w14:textId="77777777" w:rsidTr="000913DD">
        <w:tc>
          <w:tcPr>
            <w:tcW w:w="3312" w:type="dxa"/>
          </w:tcPr>
          <w:p w14:paraId="371DE23A" w14:textId="77809886" w:rsidR="000D6A86" w:rsidRPr="0077659B" w:rsidRDefault="000D6A86" w:rsidP="000D6A86">
            <w:pPr>
              <w:ind w:left="66"/>
              <w:rPr>
                <w:rFonts w:cs="Arial"/>
              </w:rPr>
            </w:pPr>
            <w:r w:rsidRPr="0077659B">
              <w:rPr>
                <w:rFonts w:cs="Arial"/>
              </w:rPr>
              <w:t>Employees of departments doing business with the state (only for departments)</w:t>
            </w:r>
          </w:p>
        </w:tc>
        <w:tc>
          <w:tcPr>
            <w:tcW w:w="1250" w:type="dxa"/>
          </w:tcPr>
          <w:p w14:paraId="107C9B66" w14:textId="1B68537A" w:rsidR="000D6A86" w:rsidRPr="0077659B" w:rsidRDefault="000D6A86" w:rsidP="000D6A86">
            <w:pPr>
              <w:rPr>
                <w:rFonts w:cs="Arial"/>
              </w:rPr>
            </w:pPr>
            <w:r>
              <w:rPr>
                <w:rFonts w:cs="Arial"/>
              </w:rPr>
              <w:t>3</w:t>
            </w:r>
          </w:p>
        </w:tc>
        <w:tc>
          <w:tcPr>
            <w:tcW w:w="1390" w:type="dxa"/>
          </w:tcPr>
          <w:p w14:paraId="176240BE" w14:textId="74CB212D" w:rsidR="000D6A86" w:rsidRPr="0077659B" w:rsidRDefault="000D6A86" w:rsidP="000D6A86">
            <w:pPr>
              <w:rPr>
                <w:rFonts w:cs="Arial"/>
              </w:rPr>
            </w:pPr>
            <w:r>
              <w:rPr>
                <w:rFonts w:cs="Arial"/>
              </w:rPr>
              <w:t>3</w:t>
            </w:r>
          </w:p>
        </w:tc>
        <w:tc>
          <w:tcPr>
            <w:tcW w:w="1389" w:type="dxa"/>
          </w:tcPr>
          <w:p w14:paraId="2F5A84B4" w14:textId="2FC4BA81" w:rsidR="000D6A86" w:rsidRPr="0077659B" w:rsidRDefault="000D6A86" w:rsidP="000D6A86">
            <w:pPr>
              <w:rPr>
                <w:rFonts w:cs="Arial"/>
              </w:rPr>
            </w:pPr>
            <w:r>
              <w:rPr>
                <w:rFonts w:cs="Arial"/>
              </w:rPr>
              <w:t>3</w:t>
            </w:r>
          </w:p>
        </w:tc>
        <w:tc>
          <w:tcPr>
            <w:tcW w:w="1184" w:type="dxa"/>
            <w:shd w:val="clear" w:color="auto" w:fill="F2F2F2" w:themeFill="background1" w:themeFillShade="F2"/>
          </w:tcPr>
          <w:p w14:paraId="3EA1B266" w14:textId="0C574079" w:rsidR="000D6A86" w:rsidRPr="0077659B" w:rsidRDefault="000D6A86" w:rsidP="000D6A86">
            <w:pPr>
              <w:rPr>
                <w:rFonts w:cs="Arial"/>
              </w:rPr>
            </w:pPr>
            <w:r>
              <w:rPr>
                <w:rFonts w:cs="Arial"/>
              </w:rPr>
              <w:t>0</w:t>
            </w:r>
          </w:p>
        </w:tc>
        <w:tc>
          <w:tcPr>
            <w:tcW w:w="995" w:type="dxa"/>
            <w:shd w:val="clear" w:color="auto" w:fill="F2F2F2" w:themeFill="background1" w:themeFillShade="F2"/>
          </w:tcPr>
          <w:p w14:paraId="5C45D80E" w14:textId="68DC1467" w:rsidR="000D6A86" w:rsidRPr="0077659B" w:rsidRDefault="000D6A86" w:rsidP="000D6A86">
            <w:pPr>
              <w:rPr>
                <w:rFonts w:cs="Arial"/>
              </w:rPr>
            </w:pPr>
            <w:r>
              <w:rPr>
                <w:rFonts w:cs="Arial"/>
              </w:rPr>
              <w:t>0</w:t>
            </w:r>
          </w:p>
        </w:tc>
      </w:tr>
      <w:tr w:rsidR="000D6A86" w:rsidRPr="0077659B" w14:paraId="7E9667F7" w14:textId="77777777" w:rsidTr="000913DD">
        <w:tc>
          <w:tcPr>
            <w:tcW w:w="3312" w:type="dxa"/>
          </w:tcPr>
          <w:p w14:paraId="57BE1F62" w14:textId="0A510A92" w:rsidR="000D6A86" w:rsidRPr="0077659B" w:rsidRDefault="000D6A86" w:rsidP="000D6A86">
            <w:pPr>
              <w:ind w:left="66"/>
              <w:rPr>
                <w:rFonts w:cs="Arial"/>
              </w:rPr>
            </w:pPr>
            <w:r w:rsidRPr="0077659B">
              <w:rPr>
                <w:rFonts w:cs="Arial"/>
              </w:rPr>
              <w:t>Other financial misconduct-related allegation</w:t>
            </w:r>
          </w:p>
        </w:tc>
        <w:tc>
          <w:tcPr>
            <w:tcW w:w="1250" w:type="dxa"/>
          </w:tcPr>
          <w:p w14:paraId="33C6D270" w14:textId="07F0A9C3" w:rsidR="000D6A86" w:rsidRPr="0077659B" w:rsidRDefault="000D6A86" w:rsidP="000D6A86">
            <w:pPr>
              <w:rPr>
                <w:rFonts w:cs="Arial"/>
              </w:rPr>
            </w:pPr>
            <w:r>
              <w:rPr>
                <w:rFonts w:cs="Arial"/>
              </w:rPr>
              <w:t>1</w:t>
            </w:r>
          </w:p>
        </w:tc>
        <w:tc>
          <w:tcPr>
            <w:tcW w:w="1390" w:type="dxa"/>
          </w:tcPr>
          <w:p w14:paraId="6D83D260" w14:textId="36AD5E34" w:rsidR="000D6A86" w:rsidRPr="0077659B" w:rsidRDefault="000D6A86" w:rsidP="000D6A86">
            <w:pPr>
              <w:rPr>
                <w:rFonts w:cs="Arial"/>
              </w:rPr>
            </w:pPr>
            <w:r>
              <w:rPr>
                <w:rFonts w:cs="Arial"/>
              </w:rPr>
              <w:t>1</w:t>
            </w:r>
          </w:p>
        </w:tc>
        <w:tc>
          <w:tcPr>
            <w:tcW w:w="1389" w:type="dxa"/>
          </w:tcPr>
          <w:p w14:paraId="752A95D9" w14:textId="3403CBDB" w:rsidR="000D6A86" w:rsidRPr="0077659B" w:rsidRDefault="000D6A86" w:rsidP="000D6A86">
            <w:pPr>
              <w:rPr>
                <w:rFonts w:cs="Arial"/>
              </w:rPr>
            </w:pPr>
            <w:r>
              <w:rPr>
                <w:rFonts w:cs="Arial"/>
              </w:rPr>
              <w:t>1</w:t>
            </w:r>
          </w:p>
        </w:tc>
        <w:tc>
          <w:tcPr>
            <w:tcW w:w="1184" w:type="dxa"/>
            <w:shd w:val="clear" w:color="auto" w:fill="F2F2F2" w:themeFill="background1" w:themeFillShade="F2"/>
          </w:tcPr>
          <w:p w14:paraId="7DC3921A" w14:textId="10B057AB" w:rsidR="000D6A86" w:rsidRPr="0077659B" w:rsidRDefault="000D6A86" w:rsidP="000D6A86">
            <w:pPr>
              <w:rPr>
                <w:rFonts w:cs="Arial"/>
              </w:rPr>
            </w:pPr>
            <w:r>
              <w:rPr>
                <w:rFonts w:cs="Arial"/>
              </w:rPr>
              <w:t>0</w:t>
            </w:r>
          </w:p>
        </w:tc>
        <w:tc>
          <w:tcPr>
            <w:tcW w:w="995" w:type="dxa"/>
            <w:shd w:val="clear" w:color="auto" w:fill="F2F2F2" w:themeFill="background1" w:themeFillShade="F2"/>
          </w:tcPr>
          <w:p w14:paraId="52C8DB6B" w14:textId="581FFD0F" w:rsidR="000D6A86" w:rsidRPr="0077659B" w:rsidRDefault="000D6A86" w:rsidP="000D6A86">
            <w:pPr>
              <w:rPr>
                <w:rFonts w:cs="Arial"/>
              </w:rPr>
            </w:pPr>
            <w:r>
              <w:rPr>
                <w:rFonts w:cs="Arial"/>
              </w:rPr>
              <w:t>0</w:t>
            </w:r>
          </w:p>
        </w:tc>
      </w:tr>
    </w:tbl>
    <w:p w14:paraId="006072AD" w14:textId="0B5C25DA" w:rsidR="00C22F2B" w:rsidRPr="0077659B" w:rsidRDefault="000D6A86" w:rsidP="00223FB6">
      <w:pPr>
        <w:pStyle w:val="Numbernormal"/>
        <w:numPr>
          <w:ilvl w:val="0"/>
          <w:numId w:val="26"/>
        </w:numPr>
      </w:pPr>
      <w:r>
        <w:t>I</w:t>
      </w:r>
      <w:r w:rsidR="00C22F2B" w:rsidRPr="0077659B">
        <w:t>rregular</w:t>
      </w:r>
      <w:r w:rsidR="00A301F9">
        <w:t xml:space="preserve"> </w:t>
      </w:r>
      <w:r w:rsidR="00C22F2B" w:rsidRPr="0077659B">
        <w:t xml:space="preserve">expenditure disclosed in note </w:t>
      </w:r>
      <w:r w:rsidR="00A301F9">
        <w:t>25</w:t>
      </w:r>
      <w:r w:rsidR="00C22F2B" w:rsidRPr="0077659B">
        <w:t xml:space="preserve"> to the financial statements must be investigated to determine whether any official is liable for losses incurred </w:t>
      </w:r>
      <w:proofErr w:type="gramStart"/>
      <w:r w:rsidR="00C22F2B" w:rsidRPr="0077659B">
        <w:t>as a result</w:t>
      </w:r>
      <w:proofErr w:type="gramEnd"/>
      <w:r w:rsidR="00C22F2B" w:rsidRPr="0077659B">
        <w:t xml:space="preserve"> of the irregular</w:t>
      </w:r>
      <w:r w:rsidR="00A301F9">
        <w:t xml:space="preserve"> </w:t>
      </w:r>
      <w:r w:rsidR="00C22F2B" w:rsidRPr="0077659B">
        <w:t xml:space="preserve">expenditure. Disciplinary steps </w:t>
      </w:r>
      <w:proofErr w:type="gramStart"/>
      <w:r w:rsidR="00C22F2B" w:rsidRPr="0077659B">
        <w:t>must be taken</w:t>
      </w:r>
      <w:proofErr w:type="gramEnd"/>
      <w:r w:rsidR="00C22F2B" w:rsidRPr="0077659B">
        <w:t xml:space="preserve"> against officials who caused or permitted the irregular</w:t>
      </w:r>
      <w:r w:rsidR="00A301F9">
        <w:t xml:space="preserve"> </w:t>
      </w:r>
      <w:r w:rsidR="00C22F2B" w:rsidRPr="0077659B">
        <w:t>expenditure</w:t>
      </w:r>
      <w:r w:rsidR="00B062B5" w:rsidRPr="0077659B">
        <w:t>,</w:t>
      </w:r>
      <w:r w:rsidR="00C22F2B" w:rsidRPr="0077659B">
        <w:t xml:space="preserve"> and losses incurred as a result must be recovered from the person liable</w:t>
      </w:r>
      <w:r w:rsidR="00A301F9">
        <w:t>.</w:t>
      </w:r>
    </w:p>
    <w:p w14:paraId="05F91F00" w14:textId="77777777" w:rsidR="00287920" w:rsidRPr="0077659B" w:rsidRDefault="00287920" w:rsidP="00287920">
      <w:pPr>
        <w:pStyle w:val="Heading2"/>
      </w:pPr>
      <w:bookmarkStart w:id="155" w:name="PartE"/>
      <w:bookmarkStart w:id="156" w:name="_Toc51154085"/>
      <w:bookmarkEnd w:id="155"/>
      <w:r w:rsidRPr="0077659B">
        <w:t xml:space="preserve">SECTION 5. </w:t>
      </w:r>
      <w:bookmarkStart w:id="157" w:name="ICG"/>
      <w:bookmarkEnd w:id="157"/>
      <w:r w:rsidRPr="0077659B">
        <w:t>Using the work of internal audit</w:t>
      </w:r>
      <w:bookmarkEnd w:id="156"/>
    </w:p>
    <w:p w14:paraId="4126EBC3" w14:textId="77777777" w:rsidR="00072064" w:rsidRPr="0077659B" w:rsidRDefault="00B4347A" w:rsidP="00223FB6">
      <w:pPr>
        <w:pStyle w:val="Numbernormal"/>
        <w:numPr>
          <w:ilvl w:val="0"/>
          <w:numId w:val="26"/>
        </w:numPr>
      </w:pPr>
      <w:r w:rsidRPr="0077659B">
        <w:t>The auditing standards allow external auditors the optional use of the work of internal audit</w:t>
      </w:r>
      <w:r w:rsidR="002A588C" w:rsidRPr="0077659B">
        <w:t>ors</w:t>
      </w:r>
      <w:r w:rsidRPr="0077659B">
        <w:t xml:space="preserve"> for external audit purposes and for direct assistance. We have used internal audit as follows:</w:t>
      </w:r>
    </w:p>
    <w:p w14:paraId="0D2F6A7D" w14:textId="77777777" w:rsidR="00072064" w:rsidRPr="0077659B" w:rsidRDefault="0088795D" w:rsidP="00FF3F4F">
      <w:pPr>
        <w:pStyle w:val="Bulletedlist"/>
        <w:ind w:left="851" w:hanging="283"/>
      </w:pPr>
      <w:r>
        <w:rPr>
          <w:bCs/>
        </w:rPr>
        <w:t>T</w:t>
      </w:r>
      <w:r w:rsidRPr="001C1FA0">
        <w:rPr>
          <w:bCs/>
        </w:rPr>
        <w:t xml:space="preserve">he </w:t>
      </w:r>
      <w:r>
        <w:rPr>
          <w:bCs/>
        </w:rPr>
        <w:t>following internal audit report</w:t>
      </w:r>
      <w:r w:rsidRPr="001C1FA0">
        <w:rPr>
          <w:bCs/>
        </w:rPr>
        <w:t xml:space="preserve"> w</w:t>
      </w:r>
      <w:r>
        <w:rPr>
          <w:bCs/>
        </w:rPr>
        <w:t>as</w:t>
      </w:r>
      <w:r w:rsidRPr="001C1FA0">
        <w:rPr>
          <w:bCs/>
        </w:rPr>
        <w:t xml:space="preserve"> considered </w:t>
      </w:r>
      <w:r>
        <w:rPr>
          <w:bCs/>
        </w:rPr>
        <w:t>f</w:t>
      </w:r>
      <w:r w:rsidRPr="001C1FA0">
        <w:rPr>
          <w:bCs/>
        </w:rPr>
        <w:t>or risk identification</w:t>
      </w:r>
      <w:r>
        <w:rPr>
          <w:bCs/>
        </w:rPr>
        <w:t xml:space="preserve"> purposes</w:t>
      </w:r>
      <w:r w:rsidR="00072064" w:rsidRPr="0077659B">
        <w:t>]</w:t>
      </w:r>
    </w:p>
    <w:p w14:paraId="6F14FE4C" w14:textId="77777777" w:rsidR="00D64668" w:rsidRPr="0077659B" w:rsidRDefault="0088795D" w:rsidP="00223FB6">
      <w:pPr>
        <w:pStyle w:val="Bulletedlist"/>
        <w:numPr>
          <w:ilvl w:val="1"/>
          <w:numId w:val="32"/>
        </w:numPr>
      </w:pPr>
      <w:r w:rsidRPr="0088795D">
        <w:rPr>
          <w:bCs/>
        </w:rPr>
        <w:t>Follow up audits (DPW and PMTE) where Internal Audit assessed management’s progress in addressing internal and external audit findings from prior periods.</w:t>
      </w:r>
      <w:r w:rsidR="00D64668" w:rsidRPr="0077659B">
        <w:t xml:space="preserve"> </w:t>
      </w:r>
    </w:p>
    <w:p w14:paraId="136C8EFE" w14:textId="77777777" w:rsidR="00AC1DE3" w:rsidRPr="0077659B" w:rsidRDefault="0088795D" w:rsidP="00223FB6">
      <w:pPr>
        <w:pStyle w:val="Bulletedlist"/>
        <w:numPr>
          <w:ilvl w:val="1"/>
          <w:numId w:val="32"/>
        </w:numPr>
      </w:pPr>
      <w:r w:rsidRPr="0088795D">
        <w:rPr>
          <w:bCs/>
        </w:rPr>
        <w:t>Audit of the quarterly report (Q1) for all programmes scoped in</w:t>
      </w:r>
    </w:p>
    <w:p w14:paraId="46B6509C" w14:textId="77777777" w:rsidR="00287920" w:rsidRPr="0077659B" w:rsidRDefault="00287920" w:rsidP="00287920">
      <w:pPr>
        <w:pStyle w:val="Heading2"/>
      </w:pPr>
      <w:bookmarkStart w:id="158" w:name="_Toc447106661"/>
      <w:bookmarkStart w:id="159" w:name="_Toc51154086"/>
      <w:r w:rsidRPr="0077659B">
        <w:t>SECTION 6: Emerging risks</w:t>
      </w:r>
      <w:bookmarkEnd w:id="158"/>
      <w:bookmarkEnd w:id="159"/>
    </w:p>
    <w:p w14:paraId="5B3F3C33" w14:textId="77777777" w:rsidR="00C22F2B" w:rsidRPr="0077659B" w:rsidRDefault="00C22F2B" w:rsidP="00287920">
      <w:pPr>
        <w:pStyle w:val="Heading4"/>
      </w:pPr>
      <w:bookmarkStart w:id="160" w:name="S5E38"/>
      <w:bookmarkStart w:id="161" w:name="PartC"/>
      <w:bookmarkStart w:id="162" w:name="PartD"/>
      <w:bookmarkStart w:id="163" w:name="Account"/>
      <w:bookmarkStart w:id="164" w:name="_Toc447106662"/>
      <w:bookmarkStart w:id="165" w:name="OLE_LINK8"/>
      <w:bookmarkStart w:id="166" w:name="OLE_LINK9"/>
      <w:bookmarkEnd w:id="160"/>
      <w:bookmarkEnd w:id="161"/>
      <w:bookmarkEnd w:id="162"/>
      <w:bookmarkEnd w:id="163"/>
      <w:r w:rsidRPr="0077659B">
        <w:t>Accounting, performance management/reporting and compliance matters</w:t>
      </w:r>
      <w:bookmarkEnd w:id="164"/>
    </w:p>
    <w:p w14:paraId="23F54DF7" w14:textId="77777777" w:rsidR="00307684" w:rsidRPr="0077659B" w:rsidRDefault="00C22F2B" w:rsidP="00287920">
      <w:pPr>
        <w:pStyle w:val="Heading6"/>
      </w:pPr>
      <w:bookmarkStart w:id="167" w:name="_Toc447106663"/>
      <w:r w:rsidRPr="0077659B">
        <w:t>New pronouncements</w:t>
      </w:r>
      <w:bookmarkEnd w:id="167"/>
    </w:p>
    <w:p w14:paraId="14BCC39E" w14:textId="77777777" w:rsidR="00C22F2B" w:rsidRPr="0077659B" w:rsidRDefault="00C22F2B" w:rsidP="00C10500">
      <w:pPr>
        <w:pStyle w:val="Heading6"/>
      </w:pPr>
      <w:r w:rsidRPr="0077659B">
        <w:t>Modified cash standard</w:t>
      </w:r>
    </w:p>
    <w:p w14:paraId="28A9316F" w14:textId="77777777" w:rsidR="00DE0FE4" w:rsidRPr="0077659B" w:rsidRDefault="00DE0FE4" w:rsidP="00223FB6">
      <w:pPr>
        <w:pStyle w:val="Numbernormal"/>
        <w:numPr>
          <w:ilvl w:val="0"/>
          <w:numId w:val="26"/>
        </w:numPr>
      </w:pPr>
      <w:r w:rsidRPr="0077659B">
        <w:t>The following emerging risks are relevant for the 2019</w:t>
      </w:r>
      <w:r w:rsidR="00A51E01" w:rsidRPr="0077659B">
        <w:t>-</w:t>
      </w:r>
      <w:r w:rsidRPr="0077659B">
        <w:t>20 audit cycle.</w:t>
      </w:r>
    </w:p>
    <w:p w14:paraId="7DDA292A" w14:textId="77777777" w:rsidR="00C22F2B" w:rsidRPr="0077659B" w:rsidRDefault="00C22F2B" w:rsidP="00732678">
      <w:pPr>
        <w:pStyle w:val="NumberedARs"/>
        <w:numPr>
          <w:ilvl w:val="0"/>
          <w:numId w:val="0"/>
        </w:numPr>
        <w:ind w:left="567" w:firstLine="1"/>
        <w:rPr>
          <w:b/>
        </w:rPr>
      </w:pPr>
      <w:r w:rsidRPr="0077659B">
        <w:rPr>
          <w:b/>
        </w:rPr>
        <w:t>Componentisation of assets</w:t>
      </w:r>
    </w:p>
    <w:p w14:paraId="356A3927" w14:textId="77777777" w:rsidR="00C22F2B" w:rsidRPr="0077659B" w:rsidRDefault="00C22F2B" w:rsidP="00BB6EEC">
      <w:pPr>
        <w:pStyle w:val="Bulletedlist"/>
        <w:ind w:left="851" w:hanging="283"/>
        <w:rPr>
          <w:b/>
        </w:rPr>
      </w:pPr>
      <w:r w:rsidRPr="0077659B">
        <w:lastRenderedPageBreak/>
        <w:t xml:space="preserve">Departments are encouraged to componentise assets in their asset </w:t>
      </w:r>
      <w:proofErr w:type="gramStart"/>
      <w:r w:rsidRPr="0077659B">
        <w:t>registers</w:t>
      </w:r>
      <w:proofErr w:type="gramEnd"/>
      <w:r w:rsidRPr="0077659B">
        <w:t xml:space="preserve"> as it will become a requirement in future. The effective date to componentise assets has not been determined yet.</w:t>
      </w:r>
      <w:r w:rsidR="00C00269" w:rsidRPr="0077659B" w:rsidDel="00C00269">
        <w:t xml:space="preserve"> </w:t>
      </w:r>
    </w:p>
    <w:p w14:paraId="471F619D" w14:textId="77777777" w:rsidR="00C10500" w:rsidRPr="0077659B" w:rsidRDefault="007D5B0B" w:rsidP="00FF3F4F">
      <w:pPr>
        <w:pStyle w:val="NumberedARs"/>
        <w:numPr>
          <w:ilvl w:val="0"/>
          <w:numId w:val="0"/>
        </w:numPr>
        <w:spacing w:after="0"/>
        <w:ind w:left="567" w:firstLine="1"/>
        <w:rPr>
          <w:b/>
        </w:rPr>
      </w:pPr>
      <w:bookmarkStart w:id="168" w:name="Subs"/>
      <w:bookmarkEnd w:id="168"/>
      <w:r w:rsidRPr="0077659B">
        <w:rPr>
          <w:b/>
        </w:rPr>
        <w:t>Classification of housing-</w:t>
      </w:r>
      <w:r w:rsidR="00C10500" w:rsidRPr="0077659B">
        <w:rPr>
          <w:b/>
        </w:rPr>
        <w:t>related expenditure</w:t>
      </w:r>
    </w:p>
    <w:p w14:paraId="19F092B6" w14:textId="77777777" w:rsidR="00C10500" w:rsidRDefault="00C10500" w:rsidP="00FF3F4F">
      <w:pPr>
        <w:pStyle w:val="Bulletedlist"/>
        <w:ind w:left="851" w:hanging="283"/>
      </w:pPr>
      <w:r w:rsidRPr="0077659B">
        <w:t xml:space="preserve">Departments of Human Settlements should implement the transitional provisions in the </w:t>
      </w:r>
      <w:r w:rsidRPr="00BB6EEC">
        <w:rPr>
          <w:i/>
        </w:rPr>
        <w:t xml:space="preserve">Human Settlements Departments: Transition Guide on Classification of Expenditure </w:t>
      </w:r>
      <w:r w:rsidRPr="0077659B">
        <w:t>issued by the O</w:t>
      </w:r>
      <w:r w:rsidR="007D5B0B" w:rsidRPr="0077659B">
        <w:t>AG to classify housing related-</w:t>
      </w:r>
      <w:r w:rsidRPr="0077659B">
        <w:t>expenditure. The effective date to clas</w:t>
      </w:r>
      <w:r w:rsidR="007D5B0B" w:rsidRPr="0077659B">
        <w:t>sify housing related-</w:t>
      </w:r>
      <w:r w:rsidRPr="0077659B">
        <w:t>expenditure in accordance with the ERF without any deviation is 1 April 2022.</w:t>
      </w:r>
    </w:p>
    <w:p w14:paraId="3D391F51" w14:textId="77777777" w:rsidR="00C10500" w:rsidRPr="0077659B" w:rsidRDefault="00C10500" w:rsidP="00C10500">
      <w:pPr>
        <w:pStyle w:val="NumberedARs"/>
        <w:numPr>
          <w:ilvl w:val="0"/>
          <w:numId w:val="0"/>
        </w:numPr>
        <w:ind w:left="425" w:firstLine="143"/>
        <w:rPr>
          <w:b/>
        </w:rPr>
      </w:pPr>
      <w:r w:rsidRPr="0077659B">
        <w:rPr>
          <w:b/>
        </w:rPr>
        <w:t>New MCS chapters issued</w:t>
      </w:r>
    </w:p>
    <w:p w14:paraId="5373400A" w14:textId="77777777" w:rsidR="00C10500" w:rsidRPr="0077659B" w:rsidRDefault="00C10500" w:rsidP="00FF3F4F">
      <w:pPr>
        <w:pStyle w:val="Bulletedlist"/>
        <w:ind w:left="851" w:hanging="283"/>
      </w:pPr>
      <w:r w:rsidRPr="0077659B">
        <w:t>The OAG has issued the following MCS chapters, with effective dates as indicated:</w:t>
      </w:r>
    </w:p>
    <w:tbl>
      <w:tblPr>
        <w:tblStyle w:val="TableGrid"/>
        <w:tblW w:w="9213" w:type="dxa"/>
        <w:tblInd w:w="421" w:type="dxa"/>
        <w:tblLook w:val="04A0" w:firstRow="1" w:lastRow="0" w:firstColumn="1" w:lastColumn="0" w:noHBand="0" w:noVBand="1"/>
      </w:tblPr>
      <w:tblGrid>
        <w:gridCol w:w="7371"/>
        <w:gridCol w:w="1842"/>
      </w:tblGrid>
      <w:tr w:rsidR="00C10500" w:rsidRPr="0077659B" w14:paraId="1FC9AC52" w14:textId="77777777" w:rsidTr="00C10500">
        <w:trPr>
          <w:tblHeader/>
        </w:trPr>
        <w:tc>
          <w:tcPr>
            <w:tcW w:w="7371" w:type="dxa"/>
            <w:shd w:val="clear" w:color="auto" w:fill="BFBFBF" w:themeFill="background1" w:themeFillShade="BF"/>
          </w:tcPr>
          <w:p w14:paraId="076CA2C4" w14:textId="77777777" w:rsidR="00C10500" w:rsidRPr="0077659B" w:rsidRDefault="00C10500" w:rsidP="00C10500">
            <w:pPr>
              <w:spacing w:before="60" w:after="60"/>
              <w:rPr>
                <w:rFonts w:eastAsia="Calibri" w:cs="Arial"/>
                <w:b/>
              </w:rPr>
            </w:pPr>
            <w:r w:rsidRPr="0077659B">
              <w:rPr>
                <w:rFonts w:eastAsia="Calibri" w:cs="Arial"/>
                <w:b/>
              </w:rPr>
              <w:t>MCS chapter</w:t>
            </w:r>
          </w:p>
        </w:tc>
        <w:tc>
          <w:tcPr>
            <w:tcW w:w="1842" w:type="dxa"/>
            <w:shd w:val="clear" w:color="auto" w:fill="BFBFBF" w:themeFill="background1" w:themeFillShade="BF"/>
          </w:tcPr>
          <w:p w14:paraId="6DACF897" w14:textId="77777777" w:rsidR="00C10500" w:rsidRPr="0077659B" w:rsidRDefault="00C10500" w:rsidP="00C10500">
            <w:pPr>
              <w:spacing w:before="60" w:after="60"/>
              <w:jc w:val="center"/>
              <w:rPr>
                <w:rFonts w:eastAsia="Calibri" w:cs="Arial"/>
                <w:b/>
              </w:rPr>
            </w:pPr>
            <w:r w:rsidRPr="0077659B">
              <w:rPr>
                <w:rFonts w:eastAsia="Calibri" w:cs="Arial"/>
                <w:b/>
              </w:rPr>
              <w:t>Effective date</w:t>
            </w:r>
          </w:p>
        </w:tc>
      </w:tr>
      <w:tr w:rsidR="00C10500" w:rsidRPr="0077659B" w14:paraId="06A7B851" w14:textId="77777777" w:rsidTr="00C10500">
        <w:tc>
          <w:tcPr>
            <w:tcW w:w="7371" w:type="dxa"/>
            <w:vAlign w:val="center"/>
          </w:tcPr>
          <w:p w14:paraId="16E49C2F" w14:textId="77777777" w:rsidR="00C10500" w:rsidRPr="0077659B" w:rsidRDefault="00C10500" w:rsidP="00C10500">
            <w:pPr>
              <w:spacing w:before="60" w:after="60"/>
              <w:rPr>
                <w:rFonts w:cs="Arial"/>
                <w:i/>
              </w:rPr>
            </w:pPr>
            <w:r w:rsidRPr="0077659B">
              <w:rPr>
                <w:rFonts w:cs="Arial"/>
              </w:rPr>
              <w:t xml:space="preserve">MCS 19 on </w:t>
            </w:r>
            <w:r w:rsidRPr="0077659B">
              <w:rPr>
                <w:rFonts w:cs="Arial"/>
                <w:i/>
              </w:rPr>
              <w:t>Transfer of functions</w:t>
            </w:r>
          </w:p>
        </w:tc>
        <w:tc>
          <w:tcPr>
            <w:tcW w:w="1842" w:type="dxa"/>
            <w:vAlign w:val="center"/>
          </w:tcPr>
          <w:p w14:paraId="5B487B1C" w14:textId="77777777" w:rsidR="00C10500" w:rsidRPr="0077659B" w:rsidRDefault="00C10500" w:rsidP="00C10500">
            <w:pPr>
              <w:spacing w:before="60" w:after="60"/>
              <w:jc w:val="center"/>
              <w:rPr>
                <w:rFonts w:cs="Arial"/>
              </w:rPr>
            </w:pPr>
            <w:r w:rsidRPr="0077659B">
              <w:rPr>
                <w:rFonts w:eastAsia="Calibri" w:cs="Arial"/>
              </w:rPr>
              <w:t>1 Apr 2020</w:t>
            </w:r>
          </w:p>
        </w:tc>
      </w:tr>
      <w:tr w:rsidR="00C10500" w:rsidRPr="0077659B" w14:paraId="524BF36F" w14:textId="77777777" w:rsidTr="00C10500">
        <w:tc>
          <w:tcPr>
            <w:tcW w:w="7371" w:type="dxa"/>
            <w:vAlign w:val="center"/>
          </w:tcPr>
          <w:p w14:paraId="6B56B86A" w14:textId="77777777" w:rsidR="00C10500" w:rsidRPr="0077659B" w:rsidRDefault="00C10500" w:rsidP="00C10500">
            <w:pPr>
              <w:spacing w:before="60" w:after="60"/>
              <w:rPr>
                <w:rFonts w:cs="Arial"/>
                <w:i/>
              </w:rPr>
            </w:pPr>
            <w:r w:rsidRPr="0077659B">
              <w:rPr>
                <w:rFonts w:cs="Arial"/>
              </w:rPr>
              <w:t xml:space="preserve">MCS 20 on </w:t>
            </w:r>
            <w:r w:rsidRPr="0077659B">
              <w:rPr>
                <w:rFonts w:cs="Arial"/>
                <w:i/>
              </w:rPr>
              <w:t>Mergers</w:t>
            </w:r>
          </w:p>
        </w:tc>
        <w:tc>
          <w:tcPr>
            <w:tcW w:w="1842" w:type="dxa"/>
            <w:vAlign w:val="center"/>
          </w:tcPr>
          <w:p w14:paraId="78EDB52A" w14:textId="77777777" w:rsidR="00C10500" w:rsidRPr="0077659B" w:rsidRDefault="00C10500" w:rsidP="00C10500">
            <w:pPr>
              <w:spacing w:before="60" w:after="60"/>
              <w:jc w:val="center"/>
              <w:rPr>
                <w:rFonts w:cs="Arial"/>
              </w:rPr>
            </w:pPr>
            <w:r w:rsidRPr="0077659B">
              <w:rPr>
                <w:rFonts w:eastAsia="Calibri" w:cs="Arial"/>
              </w:rPr>
              <w:t>1 Apr 2020</w:t>
            </w:r>
          </w:p>
        </w:tc>
      </w:tr>
    </w:tbl>
    <w:p w14:paraId="46C6C7CF" w14:textId="77777777" w:rsidR="00C10500" w:rsidRPr="0077659B" w:rsidRDefault="00C10500" w:rsidP="00FF3F4F">
      <w:pPr>
        <w:pStyle w:val="Bulletedlist"/>
        <w:ind w:left="851" w:hanging="284"/>
      </w:pPr>
      <w:r w:rsidRPr="0077659B">
        <w:t xml:space="preserve">Early application of both chapters </w:t>
      </w:r>
      <w:proofErr w:type="gramStart"/>
      <w:r w:rsidRPr="0077659B">
        <w:t>is permitted</w:t>
      </w:r>
      <w:proofErr w:type="gramEnd"/>
      <w:r w:rsidRPr="0077659B">
        <w:t>.</w:t>
      </w:r>
    </w:p>
    <w:p w14:paraId="52EC2BE9" w14:textId="77777777" w:rsidR="00A001AA" w:rsidRPr="0077659B" w:rsidRDefault="00A001AA" w:rsidP="00A001AA">
      <w:pPr>
        <w:pStyle w:val="Bulletedlist"/>
        <w:numPr>
          <w:ilvl w:val="0"/>
          <w:numId w:val="0"/>
        </w:numPr>
        <w:spacing w:before="0" w:line="240" w:lineRule="auto"/>
        <w:ind w:left="567"/>
      </w:pPr>
      <w:bookmarkStart w:id="169" w:name="_Toc447106664"/>
    </w:p>
    <w:p w14:paraId="495D7012" w14:textId="77777777" w:rsidR="00C22F2B" w:rsidRPr="0077659B" w:rsidRDefault="00C22F2B" w:rsidP="00287920">
      <w:pPr>
        <w:pStyle w:val="Heading4"/>
      </w:pPr>
      <w:r w:rsidRPr="0077659B">
        <w:t>New legislation</w:t>
      </w:r>
      <w:bookmarkEnd w:id="169"/>
    </w:p>
    <w:p w14:paraId="20A147FF" w14:textId="77777777" w:rsidR="00C22F2B" w:rsidRPr="0077659B" w:rsidRDefault="00C22F2B" w:rsidP="00287920">
      <w:pPr>
        <w:pStyle w:val="Heading5"/>
        <w:rPr>
          <w:rFonts w:eastAsia="MS Mincho"/>
        </w:rPr>
      </w:pPr>
      <w:r w:rsidRPr="0077659B">
        <w:rPr>
          <w:rFonts w:eastAsia="MS Mincho"/>
        </w:rPr>
        <w:t>Treasury Regulations</w:t>
      </w:r>
    </w:p>
    <w:p w14:paraId="6653B2DD" w14:textId="77777777" w:rsidR="00C22F2B" w:rsidRPr="0077659B" w:rsidRDefault="00C22F2B" w:rsidP="00FF3F4F">
      <w:pPr>
        <w:pStyle w:val="Bulletedlist"/>
        <w:ind w:left="851" w:hanging="283"/>
      </w:pPr>
      <w:r w:rsidRPr="0077659B">
        <w:t xml:space="preserve">The </w:t>
      </w:r>
      <w:r w:rsidR="00AA3B58" w:rsidRPr="0077659B">
        <w:t>T</w:t>
      </w:r>
      <w:r w:rsidRPr="0077659B">
        <w:t xml:space="preserve">reasury </w:t>
      </w:r>
      <w:r w:rsidR="00AA3B58" w:rsidRPr="0077659B">
        <w:t>R</w:t>
      </w:r>
      <w:r w:rsidRPr="0077659B">
        <w:t xml:space="preserve">egulations </w:t>
      </w:r>
      <w:proofErr w:type="gramStart"/>
      <w:r w:rsidRPr="0077659B">
        <w:t>are currently being revised</w:t>
      </w:r>
      <w:proofErr w:type="gramEnd"/>
      <w:r w:rsidRPr="0077659B">
        <w:t>, which may introduce a number of new requirements once effective.</w:t>
      </w:r>
    </w:p>
    <w:p w14:paraId="3401AF16" w14:textId="77777777" w:rsidR="00C22F2B" w:rsidRPr="0077659B" w:rsidRDefault="00C22F2B" w:rsidP="00287920">
      <w:pPr>
        <w:pStyle w:val="Heading4"/>
      </w:pPr>
      <w:bookmarkStart w:id="170" w:name="Inventory"/>
      <w:bookmarkStart w:id="171" w:name="Subseq"/>
      <w:bookmarkStart w:id="172" w:name="_Toc447106665"/>
      <w:bookmarkEnd w:id="170"/>
      <w:bookmarkEnd w:id="171"/>
      <w:r w:rsidRPr="0077659B">
        <w:t>Subsequent events</w:t>
      </w:r>
      <w:bookmarkEnd w:id="172"/>
    </w:p>
    <w:p w14:paraId="3FA6C0EC" w14:textId="624DDA46" w:rsidR="00C22F2B" w:rsidRPr="0077659B" w:rsidRDefault="00C22F2B" w:rsidP="00FF3F4F">
      <w:pPr>
        <w:pStyle w:val="Bulletedlist"/>
        <w:ind w:left="851" w:hanging="283"/>
      </w:pPr>
      <w:r w:rsidRPr="0077659B">
        <w:t>[</w:t>
      </w:r>
      <w:r w:rsidR="00A301F9" w:rsidRPr="000913DD">
        <w:rPr>
          <w:i/>
          <w:highlight w:val="yellow"/>
        </w:rPr>
        <w:t>audit in progress</w:t>
      </w:r>
      <w:r w:rsidRPr="0077659B">
        <w:t>]</w:t>
      </w:r>
    </w:p>
    <w:p w14:paraId="69A501DA" w14:textId="570348EE" w:rsidR="00A001AA" w:rsidRPr="0077659B" w:rsidRDefault="00A001AA" w:rsidP="00BB6EEC"/>
    <w:p w14:paraId="7A44EFD1" w14:textId="77777777" w:rsidR="0019368D" w:rsidRPr="0077659B" w:rsidRDefault="0019368D" w:rsidP="00287920">
      <w:pPr>
        <w:pStyle w:val="Heading4"/>
      </w:pPr>
      <w:r w:rsidRPr="0077659B">
        <w:t>Audit findings on the annual performance report that may have an impact on the audit opinion in future</w:t>
      </w:r>
    </w:p>
    <w:p w14:paraId="41B12D25" w14:textId="77777777" w:rsidR="0019368D" w:rsidRPr="0077659B" w:rsidRDefault="003E20F7" w:rsidP="00223FB6">
      <w:pPr>
        <w:pStyle w:val="Numbernormal"/>
        <w:numPr>
          <w:ilvl w:val="0"/>
          <w:numId w:val="26"/>
        </w:numPr>
      </w:pPr>
      <w:r w:rsidRPr="0077659B">
        <w:t>T</w:t>
      </w:r>
      <w:r w:rsidR="00582A5A" w:rsidRPr="0077659B">
        <w:t>h</w:t>
      </w:r>
      <w:r w:rsidR="0019368D" w:rsidRPr="0077659B">
        <w:t>e planned and reported perfo</w:t>
      </w:r>
      <w:r w:rsidR="0088795D">
        <w:t xml:space="preserve">rmance information of selected </w:t>
      </w:r>
      <w:r w:rsidR="0019368D" w:rsidRPr="0077659B">
        <w:t xml:space="preserve">programmes was audited against </w:t>
      </w:r>
      <w:r w:rsidRPr="0077659B">
        <w:t xml:space="preserve">the following </w:t>
      </w:r>
      <w:r w:rsidR="0019368D" w:rsidRPr="0077659B">
        <w:t xml:space="preserve">additional criteria as developed from the </w:t>
      </w:r>
      <w:r w:rsidR="00CC0E59" w:rsidRPr="0077659B">
        <w:t>p</w:t>
      </w:r>
      <w:r w:rsidR="0019368D" w:rsidRPr="0077659B">
        <w:t xml:space="preserve">erformance </w:t>
      </w:r>
      <w:r w:rsidR="00CC0E59" w:rsidRPr="0077659B">
        <w:t>m</w:t>
      </w:r>
      <w:r w:rsidR="0019368D" w:rsidRPr="0077659B">
        <w:t xml:space="preserve">anagement </w:t>
      </w:r>
      <w:r w:rsidR="00010856" w:rsidRPr="0077659B">
        <w:t xml:space="preserve">and </w:t>
      </w:r>
      <w:r w:rsidR="00CC0E59" w:rsidRPr="0077659B">
        <w:t>r</w:t>
      </w:r>
      <w:r w:rsidR="0019368D" w:rsidRPr="0077659B">
        <w:t xml:space="preserve">eporting </w:t>
      </w:r>
      <w:r w:rsidR="00CC0E59" w:rsidRPr="0077659B">
        <w:t>f</w:t>
      </w:r>
      <w:r w:rsidR="0019368D" w:rsidRPr="0077659B">
        <w:t>ramework</w:t>
      </w:r>
      <w:r w:rsidRPr="0077659B">
        <w:t>:</w:t>
      </w:r>
    </w:p>
    <w:p w14:paraId="451DC6F9" w14:textId="77777777" w:rsidR="003E20F7" w:rsidRPr="0077659B" w:rsidRDefault="003E20F7" w:rsidP="00205B73">
      <w:pPr>
        <w:pStyle w:val="Bulletedlist"/>
        <w:ind w:left="851" w:hanging="283"/>
      </w:pPr>
      <w:r w:rsidRPr="0077659B">
        <w:rPr>
          <w:b/>
        </w:rPr>
        <w:t xml:space="preserve">Presentation and disclosure – </w:t>
      </w:r>
      <w:r w:rsidR="0091433A" w:rsidRPr="0077659B">
        <w:rPr>
          <w:b/>
        </w:rPr>
        <w:t>o</w:t>
      </w:r>
      <w:r w:rsidRPr="0077659B">
        <w:rPr>
          <w:b/>
        </w:rPr>
        <w:t>verall presentation</w:t>
      </w:r>
      <w:r w:rsidRPr="0077659B">
        <w:t>:</w:t>
      </w:r>
    </w:p>
    <w:p w14:paraId="226712D4" w14:textId="77777777" w:rsidR="003E20F7" w:rsidRPr="0077659B" w:rsidRDefault="003E20F7" w:rsidP="00BB6EEC">
      <w:pPr>
        <w:pStyle w:val="Bulletedlist"/>
        <w:numPr>
          <w:ilvl w:val="1"/>
          <w:numId w:val="8"/>
        </w:numPr>
        <w:ind w:left="1134"/>
      </w:pPr>
      <w:r w:rsidRPr="0077659B">
        <w:t>Overall presentation of the performance information in the annual performance report is comparable and understandable</w:t>
      </w:r>
    </w:p>
    <w:p w14:paraId="674A16B8" w14:textId="77777777" w:rsidR="003E20F7" w:rsidRPr="0077659B" w:rsidRDefault="003E20F7" w:rsidP="00287920">
      <w:pPr>
        <w:pStyle w:val="Bulletedlist"/>
        <w:rPr>
          <w:b/>
        </w:rPr>
      </w:pPr>
      <w:r w:rsidRPr="0077659B">
        <w:rPr>
          <w:b/>
        </w:rPr>
        <w:t xml:space="preserve">Relevance </w:t>
      </w:r>
      <w:r w:rsidR="00CC0E59" w:rsidRPr="0077659B">
        <w:rPr>
          <w:b/>
        </w:rPr>
        <w:t>–</w:t>
      </w:r>
      <w:r w:rsidRPr="0077659B">
        <w:rPr>
          <w:b/>
        </w:rPr>
        <w:t xml:space="preserve"> </w:t>
      </w:r>
      <w:r w:rsidR="0091433A" w:rsidRPr="0077659B">
        <w:rPr>
          <w:b/>
        </w:rPr>
        <w:t>c</w:t>
      </w:r>
      <w:r w:rsidRPr="0077659B">
        <w:rPr>
          <w:b/>
        </w:rPr>
        <w:t xml:space="preserve">ompleteness of relevant indicators: </w:t>
      </w:r>
    </w:p>
    <w:p w14:paraId="20568A88" w14:textId="77777777" w:rsidR="003E20F7" w:rsidRPr="0077659B" w:rsidRDefault="003E20F7" w:rsidP="00BB6EEC">
      <w:pPr>
        <w:pStyle w:val="Bulletedlist"/>
        <w:numPr>
          <w:ilvl w:val="1"/>
          <w:numId w:val="8"/>
        </w:numPr>
        <w:ind w:left="1560" w:hanging="426"/>
      </w:pPr>
      <w:r w:rsidRPr="0077659B">
        <w:t>Completeness of relevant indicators in terms of the mandate of the auditee, including:</w:t>
      </w:r>
    </w:p>
    <w:p w14:paraId="330D3649" w14:textId="77777777" w:rsidR="003E20F7" w:rsidRPr="0077659B" w:rsidRDefault="00A94EDD" w:rsidP="00BB6EEC">
      <w:pPr>
        <w:pStyle w:val="Bulletedlist"/>
        <w:numPr>
          <w:ilvl w:val="2"/>
          <w:numId w:val="8"/>
        </w:numPr>
        <w:ind w:left="1985" w:hanging="425"/>
      </w:pPr>
      <w:r w:rsidRPr="0077659B">
        <w:t>r</w:t>
      </w:r>
      <w:r w:rsidR="003E20F7" w:rsidRPr="0077659B">
        <w:t>elevant core functions are prioritised in the period under review</w:t>
      </w:r>
    </w:p>
    <w:p w14:paraId="1CE84ECF" w14:textId="77777777" w:rsidR="003E20F7" w:rsidRPr="0077659B" w:rsidRDefault="00A94EDD" w:rsidP="00BB6EEC">
      <w:pPr>
        <w:pStyle w:val="Bulletedlist"/>
        <w:numPr>
          <w:ilvl w:val="2"/>
          <w:numId w:val="8"/>
        </w:numPr>
        <w:ind w:left="1985" w:hanging="425"/>
      </w:pPr>
      <w:r w:rsidRPr="0077659B">
        <w:lastRenderedPageBreak/>
        <w:t>r</w:t>
      </w:r>
      <w:r w:rsidR="003E20F7" w:rsidRPr="0077659B">
        <w:t>elevant performance indicators are included for the core functions prioritised in the period under review</w:t>
      </w:r>
    </w:p>
    <w:p w14:paraId="62335C64" w14:textId="77777777" w:rsidR="0019368D" w:rsidRPr="0077659B" w:rsidRDefault="00582A5A" w:rsidP="00223FB6">
      <w:pPr>
        <w:pStyle w:val="Numbernormal"/>
        <w:numPr>
          <w:ilvl w:val="0"/>
          <w:numId w:val="26"/>
        </w:numPr>
      </w:pPr>
      <w:r w:rsidRPr="0077659B">
        <w:t>Material a</w:t>
      </w:r>
      <w:r w:rsidR="0019368D" w:rsidRPr="0077659B">
        <w:t xml:space="preserve">udit findings </w:t>
      </w:r>
      <w:r w:rsidRPr="0077659B">
        <w:t xml:space="preserve">arising from the audit against the additional criteria do not have an impact </w:t>
      </w:r>
      <w:r w:rsidR="0019368D" w:rsidRPr="0077659B">
        <w:t xml:space="preserve">on the audit </w:t>
      </w:r>
      <w:r w:rsidR="0088795D">
        <w:t xml:space="preserve">opinion(s) of the selected </w:t>
      </w:r>
      <w:r w:rsidR="00D2457B" w:rsidRPr="0077659B">
        <w:t xml:space="preserve">programmes </w:t>
      </w:r>
      <w:r w:rsidRPr="0077659B">
        <w:t>in th</w:t>
      </w:r>
      <w:r w:rsidR="00D2457B" w:rsidRPr="0077659B">
        <w:t>is</w:t>
      </w:r>
      <w:r w:rsidRPr="0077659B">
        <w:t xml:space="preserve"> report. </w:t>
      </w:r>
      <w:r w:rsidR="00A94EDD" w:rsidRPr="0077659B">
        <w:t xml:space="preserve">However, it </w:t>
      </w:r>
      <w:r w:rsidRPr="0077659B">
        <w:t xml:space="preserve">may </w:t>
      </w:r>
      <w:proofErr w:type="gramStart"/>
      <w:r w:rsidRPr="0077659B">
        <w:t>impact</w:t>
      </w:r>
      <w:r w:rsidR="0019368D" w:rsidRPr="0077659B">
        <w:t xml:space="preserve"> </w:t>
      </w:r>
      <w:r w:rsidR="00A94EDD" w:rsidRPr="0077659B">
        <w:t>on</w:t>
      </w:r>
      <w:proofErr w:type="gramEnd"/>
      <w:r w:rsidR="00A94EDD" w:rsidRPr="0077659B">
        <w:t xml:space="preserve"> </w:t>
      </w:r>
      <w:r w:rsidR="0019368D" w:rsidRPr="0077659B">
        <w:t>the audit opinion</w:t>
      </w:r>
      <w:r w:rsidRPr="0077659B">
        <w:t xml:space="preserve"> in future</w:t>
      </w:r>
      <w:r w:rsidR="0019368D" w:rsidRPr="0077659B">
        <w:t>.</w:t>
      </w:r>
      <w:r w:rsidR="0019368D" w:rsidRPr="0077659B" w:rsidDel="00EB3C8F">
        <w:t xml:space="preserve"> </w:t>
      </w:r>
    </w:p>
    <w:p w14:paraId="676C5040" w14:textId="77777777" w:rsidR="0051471C" w:rsidRPr="0077659B" w:rsidRDefault="0051471C" w:rsidP="0088795D">
      <w:pPr>
        <w:pStyle w:val="Bulletedlist"/>
        <w:ind w:left="851" w:hanging="283"/>
      </w:pPr>
      <w:bookmarkStart w:id="173" w:name="_Toc447106666"/>
      <w:r w:rsidRPr="0077659B">
        <w:t xml:space="preserve">No material findings </w:t>
      </w:r>
      <w:proofErr w:type="gramStart"/>
      <w:r w:rsidRPr="0077659B">
        <w:t>were identified</w:t>
      </w:r>
      <w:proofErr w:type="gramEnd"/>
      <w:r w:rsidRPr="0077659B">
        <w:t xml:space="preserve"> in respect of the additional criteria.</w:t>
      </w:r>
    </w:p>
    <w:p w14:paraId="414FA4FB" w14:textId="119CA527" w:rsidR="007A45CB" w:rsidRPr="0077659B" w:rsidRDefault="007A45CB">
      <w:pPr>
        <w:rPr>
          <w:rFonts w:ascii="Century Gothic" w:eastAsia="MS Mincho" w:hAnsi="Century Gothic" w:cs="Arial"/>
          <w:b/>
          <w:bCs/>
          <w:color w:val="365F91"/>
          <w:sz w:val="28"/>
          <w:szCs w:val="28"/>
        </w:rPr>
      </w:pPr>
    </w:p>
    <w:p w14:paraId="27790315" w14:textId="36879760" w:rsidR="00287920" w:rsidRPr="0077659B" w:rsidRDefault="00287920" w:rsidP="00287920">
      <w:pPr>
        <w:pStyle w:val="Heading2"/>
      </w:pPr>
      <w:bookmarkStart w:id="174" w:name="_Toc51154087"/>
      <w:r w:rsidRPr="0077659B">
        <w:t>SECTION 7: Entities controlled by the department</w:t>
      </w:r>
      <w:bookmarkEnd w:id="174"/>
    </w:p>
    <w:p w14:paraId="6878048F" w14:textId="563CBD45" w:rsidR="00C22F2B" w:rsidRPr="0077659B" w:rsidRDefault="00C22F2B" w:rsidP="00223FB6">
      <w:pPr>
        <w:pStyle w:val="Numbernormal"/>
        <w:numPr>
          <w:ilvl w:val="0"/>
          <w:numId w:val="26"/>
        </w:numPr>
      </w:pPr>
      <w:bookmarkStart w:id="175" w:name="S5E43"/>
      <w:bookmarkEnd w:id="165"/>
      <w:bookmarkEnd w:id="166"/>
      <w:bookmarkEnd w:id="173"/>
      <w:bookmarkEnd w:id="175"/>
      <w:r w:rsidRPr="0077659B">
        <w:t xml:space="preserve">In terms of the PFMA, the </w:t>
      </w:r>
      <w:r w:rsidR="00A301F9">
        <w:t>department</w:t>
      </w:r>
      <w:r w:rsidRPr="0077659B">
        <w:t xml:space="preserve"> has certain oversight responsibilities regarding the entities over which it has ownership control. The audit outcomes of these entities </w:t>
      </w:r>
      <w:proofErr w:type="gramStart"/>
      <w:r w:rsidRPr="0077659B">
        <w:t>are summarised</w:t>
      </w:r>
      <w:proofErr w:type="gramEnd"/>
      <w:r w:rsidRPr="0077659B">
        <w:t xml:space="preserve">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38"/>
        <w:gridCol w:w="1199"/>
        <w:gridCol w:w="1099"/>
        <w:gridCol w:w="461"/>
        <w:gridCol w:w="609"/>
        <w:gridCol w:w="559"/>
        <w:gridCol w:w="660"/>
        <w:gridCol w:w="512"/>
        <w:gridCol w:w="637"/>
      </w:tblGrid>
      <w:tr w:rsidR="00C22F2B" w:rsidRPr="0077659B" w14:paraId="563FDD7A" w14:textId="77777777" w:rsidTr="0088795D">
        <w:trPr>
          <w:trHeight w:val="330"/>
        </w:trPr>
        <w:tc>
          <w:tcPr>
            <w:tcW w:w="1261" w:type="pct"/>
            <w:vMerge w:val="restart"/>
            <w:shd w:val="clear" w:color="auto" w:fill="A6A6A6" w:themeFill="background1" w:themeFillShade="A6"/>
          </w:tcPr>
          <w:p w14:paraId="5F53CA2C" w14:textId="77777777" w:rsidR="00C22F2B" w:rsidRPr="0077659B" w:rsidRDefault="00C22F2B" w:rsidP="00C22F2B">
            <w:pPr>
              <w:spacing w:line="240" w:lineRule="auto"/>
              <w:jc w:val="center"/>
              <w:rPr>
                <w:rFonts w:eastAsia="Times New Roman" w:cs="Arial"/>
                <w:b/>
                <w:bCs/>
                <w:color w:val="000000"/>
              </w:rPr>
            </w:pPr>
            <w:r w:rsidRPr="0077659B">
              <w:rPr>
                <w:rFonts w:eastAsia="Times New Roman" w:cs="Arial"/>
                <w:b/>
                <w:bCs/>
                <w:color w:val="000000"/>
                <w:sz w:val="18"/>
                <w:szCs w:val="18"/>
              </w:rPr>
              <w:t>Name of entity</w:t>
            </w:r>
          </w:p>
        </w:tc>
        <w:tc>
          <w:tcPr>
            <w:tcW w:w="1866" w:type="pct"/>
            <w:gridSpan w:val="3"/>
            <w:shd w:val="clear" w:color="auto" w:fill="A6A6A6" w:themeFill="background1" w:themeFillShade="A6"/>
          </w:tcPr>
          <w:p w14:paraId="2C7FED3A"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Audit outcome</w:t>
            </w:r>
          </w:p>
        </w:tc>
        <w:tc>
          <w:tcPr>
            <w:tcW w:w="1873" w:type="pct"/>
            <w:gridSpan w:val="6"/>
            <w:shd w:val="clear" w:color="auto" w:fill="A6A6A6" w:themeFill="background1" w:themeFillShade="A6"/>
          </w:tcPr>
          <w:p w14:paraId="42BC8B7C"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Significant deficiencies in internal control</w:t>
            </w:r>
          </w:p>
        </w:tc>
      </w:tr>
      <w:tr w:rsidR="00C22F2B" w:rsidRPr="0077659B" w14:paraId="0735D847" w14:textId="77777777" w:rsidTr="0088795D">
        <w:trPr>
          <w:trHeight w:val="922"/>
        </w:trPr>
        <w:tc>
          <w:tcPr>
            <w:tcW w:w="1261" w:type="pct"/>
            <w:vMerge/>
            <w:shd w:val="clear" w:color="auto" w:fill="A6A6A6" w:themeFill="background1" w:themeFillShade="A6"/>
          </w:tcPr>
          <w:p w14:paraId="6B206B75" w14:textId="77777777" w:rsidR="00C22F2B" w:rsidRPr="0077659B" w:rsidRDefault="00C22F2B" w:rsidP="00C22F2B">
            <w:pPr>
              <w:spacing w:line="240" w:lineRule="auto"/>
              <w:jc w:val="center"/>
              <w:rPr>
                <w:rFonts w:eastAsia="Times New Roman" w:cs="Arial"/>
                <w:b/>
                <w:bCs/>
                <w:color w:val="000000"/>
                <w:sz w:val="18"/>
                <w:szCs w:val="18"/>
              </w:rPr>
            </w:pPr>
          </w:p>
        </w:tc>
        <w:tc>
          <w:tcPr>
            <w:tcW w:w="628" w:type="pct"/>
            <w:vMerge w:val="restart"/>
            <w:shd w:val="clear" w:color="auto" w:fill="BFBFBF" w:themeFill="background1" w:themeFillShade="BF"/>
          </w:tcPr>
          <w:p w14:paraId="55C7550C"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Financial statement opinion</w:t>
            </w:r>
          </w:p>
        </w:tc>
        <w:tc>
          <w:tcPr>
            <w:tcW w:w="623" w:type="pct"/>
            <w:vMerge w:val="restart"/>
            <w:shd w:val="clear" w:color="auto" w:fill="BFBFBF" w:themeFill="background1" w:themeFillShade="BF"/>
          </w:tcPr>
          <w:p w14:paraId="5B169CC7" w14:textId="77777777" w:rsidR="00C22F2B" w:rsidRPr="0077659B" w:rsidDel="00820DCD"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Findings on the performance report</w:t>
            </w:r>
          </w:p>
        </w:tc>
        <w:tc>
          <w:tcPr>
            <w:tcW w:w="615" w:type="pct"/>
            <w:vMerge w:val="restart"/>
            <w:shd w:val="clear" w:color="auto" w:fill="BFBFBF" w:themeFill="background1" w:themeFillShade="BF"/>
          </w:tcPr>
          <w:p w14:paraId="0D895BF5"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Findings on compliance</w:t>
            </w:r>
          </w:p>
        </w:tc>
        <w:tc>
          <w:tcPr>
            <w:tcW w:w="594" w:type="pct"/>
            <w:gridSpan w:val="2"/>
            <w:shd w:val="clear" w:color="auto" w:fill="BFBFBF" w:themeFill="background1" w:themeFillShade="BF"/>
          </w:tcPr>
          <w:p w14:paraId="69997B6D"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Leadership</w:t>
            </w:r>
          </w:p>
        </w:tc>
        <w:tc>
          <w:tcPr>
            <w:tcW w:w="650" w:type="pct"/>
            <w:gridSpan w:val="2"/>
            <w:shd w:val="clear" w:color="auto" w:fill="BFBFBF" w:themeFill="background1" w:themeFillShade="BF"/>
          </w:tcPr>
          <w:p w14:paraId="4020F1FE"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Financial and performance management</w:t>
            </w:r>
          </w:p>
        </w:tc>
        <w:tc>
          <w:tcPr>
            <w:tcW w:w="629" w:type="pct"/>
            <w:gridSpan w:val="2"/>
            <w:shd w:val="clear" w:color="auto" w:fill="BFBFBF" w:themeFill="background1" w:themeFillShade="BF"/>
          </w:tcPr>
          <w:p w14:paraId="4AF07E9B"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Governance</w:t>
            </w:r>
          </w:p>
        </w:tc>
      </w:tr>
      <w:tr w:rsidR="00C22F2B" w:rsidRPr="0077659B" w14:paraId="4F17A604" w14:textId="77777777" w:rsidTr="0088795D">
        <w:trPr>
          <w:cantSplit/>
          <w:trHeight w:val="1339"/>
        </w:trPr>
        <w:tc>
          <w:tcPr>
            <w:tcW w:w="1261" w:type="pct"/>
            <w:vMerge/>
            <w:shd w:val="clear" w:color="auto" w:fill="A6A6A6" w:themeFill="background1" w:themeFillShade="A6"/>
          </w:tcPr>
          <w:p w14:paraId="37B6D8B6"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628" w:type="pct"/>
            <w:vMerge/>
          </w:tcPr>
          <w:p w14:paraId="7CA48B71"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623" w:type="pct"/>
            <w:vMerge/>
          </w:tcPr>
          <w:p w14:paraId="4F865946"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615" w:type="pct"/>
            <w:vMerge/>
          </w:tcPr>
          <w:p w14:paraId="701BA992"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256" w:type="pct"/>
            <w:shd w:val="clear" w:color="auto" w:fill="D9D9D9" w:themeFill="background1" w:themeFillShade="D9"/>
            <w:textDirection w:val="btLr"/>
            <w:vAlign w:val="center"/>
          </w:tcPr>
          <w:p w14:paraId="70452964"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Assessment</w:t>
            </w:r>
          </w:p>
        </w:tc>
        <w:tc>
          <w:tcPr>
            <w:tcW w:w="338" w:type="pct"/>
            <w:shd w:val="clear" w:color="auto" w:fill="D9D9D9" w:themeFill="background1" w:themeFillShade="D9"/>
            <w:textDirection w:val="btLr"/>
            <w:vAlign w:val="center"/>
          </w:tcPr>
          <w:p w14:paraId="2851DC23"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Movement</w:t>
            </w:r>
          </w:p>
        </w:tc>
        <w:tc>
          <w:tcPr>
            <w:tcW w:w="298" w:type="pct"/>
            <w:shd w:val="clear" w:color="auto" w:fill="D9D9D9" w:themeFill="background1" w:themeFillShade="D9"/>
            <w:textDirection w:val="btLr"/>
          </w:tcPr>
          <w:p w14:paraId="6776F976" w14:textId="77777777" w:rsidR="00C22F2B" w:rsidRPr="0077659B" w:rsidRDefault="00C22F2B" w:rsidP="00C22F2B">
            <w:pPr>
              <w:spacing w:after="0" w:line="240" w:lineRule="auto"/>
              <w:ind w:left="964" w:right="113" w:hanging="851"/>
              <w:contextualSpacing/>
              <w:jc w:val="center"/>
              <w:rPr>
                <w:rFonts w:eastAsia="Times New Roman" w:cs="Arial"/>
                <w:b/>
                <w:bCs/>
                <w:color w:val="000000"/>
                <w:kern w:val="8"/>
                <w:sz w:val="18"/>
                <w:szCs w:val="18"/>
                <w:lang w:bidi="he-IL"/>
              </w:rPr>
            </w:pPr>
            <w:r w:rsidRPr="0077659B">
              <w:rPr>
                <w:rFonts w:eastAsia="Times New Roman" w:cs="Arial"/>
                <w:b/>
                <w:bCs/>
                <w:color w:val="000000"/>
                <w:sz w:val="18"/>
                <w:szCs w:val="18"/>
              </w:rPr>
              <w:t>Assessment</w:t>
            </w:r>
          </w:p>
        </w:tc>
        <w:tc>
          <w:tcPr>
            <w:tcW w:w="352" w:type="pct"/>
            <w:shd w:val="clear" w:color="auto" w:fill="D9D9D9" w:themeFill="background1" w:themeFillShade="D9"/>
            <w:textDirection w:val="btLr"/>
          </w:tcPr>
          <w:p w14:paraId="5A4D2066" w14:textId="77777777" w:rsidR="00C22F2B" w:rsidRPr="0077659B" w:rsidRDefault="00C22F2B" w:rsidP="00C22F2B">
            <w:pPr>
              <w:spacing w:after="0" w:line="240" w:lineRule="auto"/>
              <w:ind w:left="964" w:right="113" w:hanging="851"/>
              <w:contextualSpacing/>
              <w:jc w:val="center"/>
              <w:rPr>
                <w:rFonts w:eastAsia="Times New Roman" w:cs="Arial"/>
                <w:b/>
                <w:bCs/>
                <w:color w:val="000000"/>
                <w:kern w:val="8"/>
                <w:sz w:val="18"/>
                <w:szCs w:val="18"/>
                <w:lang w:bidi="he-IL"/>
              </w:rPr>
            </w:pPr>
            <w:r w:rsidRPr="0077659B">
              <w:rPr>
                <w:rFonts w:eastAsia="Times New Roman" w:cs="Arial"/>
                <w:b/>
                <w:bCs/>
                <w:color w:val="000000"/>
                <w:sz w:val="18"/>
                <w:szCs w:val="18"/>
              </w:rPr>
              <w:t>Movement</w:t>
            </w:r>
          </w:p>
        </w:tc>
        <w:tc>
          <w:tcPr>
            <w:tcW w:w="280" w:type="pct"/>
            <w:shd w:val="clear" w:color="auto" w:fill="D9D9D9" w:themeFill="background1" w:themeFillShade="D9"/>
            <w:textDirection w:val="btLr"/>
          </w:tcPr>
          <w:p w14:paraId="5BE0BE8C"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Assessment</w:t>
            </w:r>
          </w:p>
        </w:tc>
        <w:tc>
          <w:tcPr>
            <w:tcW w:w="349" w:type="pct"/>
            <w:shd w:val="clear" w:color="auto" w:fill="D9D9D9" w:themeFill="background1" w:themeFillShade="D9"/>
            <w:textDirection w:val="btLr"/>
          </w:tcPr>
          <w:p w14:paraId="57FAE45D"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Movement</w:t>
            </w:r>
          </w:p>
        </w:tc>
      </w:tr>
      <w:tr w:rsidR="0088795D" w:rsidRPr="0077659B" w14:paraId="2EF2CEC1" w14:textId="77777777" w:rsidTr="0088795D">
        <w:tc>
          <w:tcPr>
            <w:tcW w:w="1261" w:type="pct"/>
          </w:tcPr>
          <w:p w14:paraId="5948C650" w14:textId="77777777" w:rsidR="0088795D" w:rsidRPr="0077659B" w:rsidRDefault="0088795D" w:rsidP="0088795D">
            <w:pPr>
              <w:spacing w:after="0" w:line="240" w:lineRule="auto"/>
              <w:contextualSpacing/>
              <w:jc w:val="both"/>
              <w:rPr>
                <w:rFonts w:eastAsia="Times New Roman" w:cs="Arial"/>
                <w:b/>
                <w:bCs/>
                <w:color w:val="000000"/>
                <w:sz w:val="18"/>
                <w:szCs w:val="18"/>
              </w:rPr>
            </w:pPr>
            <w:r>
              <w:rPr>
                <w:rFonts w:eastAsia="Times New Roman" w:cs="Arial"/>
                <w:b/>
                <w:bCs/>
                <w:color w:val="000000"/>
                <w:sz w:val="18"/>
                <w:szCs w:val="18"/>
              </w:rPr>
              <w:t xml:space="preserve">Property Management </w:t>
            </w:r>
            <w:r w:rsidRPr="00F3755F">
              <w:rPr>
                <w:rFonts w:eastAsia="Times New Roman" w:cs="Arial"/>
                <w:b/>
                <w:bCs/>
                <w:color w:val="000000"/>
                <w:sz w:val="18"/>
                <w:szCs w:val="18"/>
              </w:rPr>
              <w:t>Trading Entity</w:t>
            </w:r>
          </w:p>
        </w:tc>
        <w:tc>
          <w:tcPr>
            <w:tcW w:w="628" w:type="pct"/>
          </w:tcPr>
          <w:p w14:paraId="57ECC341" w14:textId="1BE520FF" w:rsidR="0088795D" w:rsidRPr="000913DD" w:rsidRDefault="00A301F9" w:rsidP="0088795D">
            <w:pPr>
              <w:spacing w:after="0" w:line="240" w:lineRule="auto"/>
              <w:ind w:left="851" w:hanging="851"/>
              <w:contextualSpacing/>
              <w:jc w:val="both"/>
              <w:rPr>
                <w:rFonts w:eastAsia="Times New Roman" w:cs="Arial"/>
                <w:b/>
                <w:bCs/>
                <w:i/>
                <w:color w:val="000000"/>
                <w:sz w:val="18"/>
                <w:szCs w:val="18"/>
              </w:rPr>
            </w:pPr>
            <w:r>
              <w:rPr>
                <w:rFonts w:eastAsia="Times New Roman" w:cs="Arial"/>
                <w:b/>
                <w:bCs/>
                <w:i/>
                <w:color w:val="000000"/>
                <w:sz w:val="18"/>
                <w:szCs w:val="18"/>
              </w:rPr>
              <w:t>In progress</w:t>
            </w:r>
          </w:p>
        </w:tc>
        <w:tc>
          <w:tcPr>
            <w:tcW w:w="623" w:type="pct"/>
          </w:tcPr>
          <w:p w14:paraId="310B6670"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D6597A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97E59E"/>
          </w:tcPr>
          <w:p w14:paraId="5D77A7A6" w14:textId="77777777" w:rsidR="0088795D" w:rsidRPr="0077659B" w:rsidRDefault="0088795D" w:rsidP="0088795D">
            <w:pPr>
              <w:spacing w:line="240" w:lineRule="auto"/>
              <w:jc w:val="center"/>
              <w:rPr>
                <w:rFonts w:eastAsia="Times New Roman" w:cs="Arial"/>
                <w:sz w:val="16"/>
                <w:szCs w:val="16"/>
              </w:rPr>
            </w:pPr>
          </w:p>
        </w:tc>
        <w:tc>
          <w:tcPr>
            <w:tcW w:w="338" w:type="pct"/>
            <w:shd w:val="clear" w:color="auto" w:fill="auto"/>
            <w:vAlign w:val="center"/>
          </w:tcPr>
          <w:p w14:paraId="52677E2B"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83328" behindDoc="0" locked="0" layoutInCell="1" allowOverlap="1" wp14:anchorId="57FCB30A" wp14:editId="146D6BF0">
                  <wp:simplePos x="0" y="0"/>
                  <wp:positionH relativeFrom="page">
                    <wp:posOffset>133350</wp:posOffset>
                  </wp:positionH>
                  <wp:positionV relativeFrom="page">
                    <wp:posOffset>8255</wp:posOffset>
                  </wp:positionV>
                  <wp:extent cx="143510" cy="143510"/>
                  <wp:effectExtent l="0" t="0" r="8890" b="8890"/>
                  <wp:wrapNone/>
                  <wp:docPr id="23"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98" w:type="pct"/>
            <w:shd w:val="clear" w:color="auto" w:fill="FFE697"/>
          </w:tcPr>
          <w:p w14:paraId="676022EB"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6E286F6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82304" behindDoc="0" locked="0" layoutInCell="1" allowOverlap="1" wp14:anchorId="44D29FD8" wp14:editId="5F4AEA26">
                  <wp:simplePos x="0" y="0"/>
                  <wp:positionH relativeFrom="page">
                    <wp:posOffset>137160</wp:posOffset>
                  </wp:positionH>
                  <wp:positionV relativeFrom="page">
                    <wp:posOffset>21590</wp:posOffset>
                  </wp:positionV>
                  <wp:extent cx="143510" cy="143510"/>
                  <wp:effectExtent l="0" t="0" r="8890" b="8890"/>
                  <wp:wrapNone/>
                  <wp:docPr id="119"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3"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80" w:type="pct"/>
            <w:shd w:val="clear" w:color="auto" w:fill="F9A1A1"/>
          </w:tcPr>
          <w:p w14:paraId="2046C10D"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5568C24C"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81280" behindDoc="0" locked="0" layoutInCell="1" allowOverlap="1" wp14:anchorId="580594FC" wp14:editId="693177F0">
                  <wp:simplePos x="0" y="0"/>
                  <wp:positionH relativeFrom="page">
                    <wp:posOffset>107315</wp:posOffset>
                  </wp:positionH>
                  <wp:positionV relativeFrom="page">
                    <wp:posOffset>12065</wp:posOffset>
                  </wp:positionV>
                  <wp:extent cx="144000" cy="144000"/>
                  <wp:effectExtent l="0" t="0" r="8890" b="8890"/>
                  <wp:wrapNone/>
                  <wp:docPr id="22"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tc>
      </w:tr>
      <w:tr w:rsidR="0088795D" w:rsidRPr="0077659B" w14:paraId="17FBA6B9" w14:textId="77777777" w:rsidTr="0088795D">
        <w:tc>
          <w:tcPr>
            <w:tcW w:w="1261" w:type="pct"/>
          </w:tcPr>
          <w:p w14:paraId="33F2803B"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Independent Development Trust (IDT)</w:t>
            </w:r>
          </w:p>
        </w:tc>
        <w:tc>
          <w:tcPr>
            <w:tcW w:w="628" w:type="pct"/>
          </w:tcPr>
          <w:p w14:paraId="792E2129" w14:textId="42AB8DC2"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79BB17E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990FC6B"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6A306651"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5DD21C46"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60938404"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163C7E73"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29CBB1F5"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0676D5FB"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r w:rsidR="0088795D" w:rsidRPr="0077659B" w14:paraId="6734F560" w14:textId="77777777" w:rsidTr="0088795D">
        <w:tc>
          <w:tcPr>
            <w:tcW w:w="1261" w:type="pct"/>
          </w:tcPr>
          <w:p w14:paraId="2C37C4F3"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 xml:space="preserve">Construction Industry Development </w:t>
            </w:r>
            <w:r>
              <w:rPr>
                <w:rFonts w:eastAsia="Times New Roman" w:cs="Arial"/>
                <w:b/>
                <w:bCs/>
                <w:color w:val="000000"/>
                <w:sz w:val="18"/>
                <w:szCs w:val="18"/>
              </w:rPr>
              <w:t xml:space="preserve"> Board</w:t>
            </w:r>
            <w:r w:rsidRPr="00F3755F">
              <w:rPr>
                <w:rFonts w:eastAsia="Times New Roman" w:cs="Arial"/>
                <w:b/>
                <w:bCs/>
                <w:color w:val="000000"/>
                <w:sz w:val="18"/>
                <w:szCs w:val="18"/>
              </w:rPr>
              <w:t>(CIDB)</w:t>
            </w:r>
          </w:p>
        </w:tc>
        <w:tc>
          <w:tcPr>
            <w:tcW w:w="628" w:type="pct"/>
          </w:tcPr>
          <w:p w14:paraId="728B6B87" w14:textId="2B07FA5A"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69A8FE4B"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33084F3"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476921DD"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2744EEFB"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1A90E8E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4443B7F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74F55498"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02BB5192"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r w:rsidR="0088795D" w:rsidRPr="0077659B" w14:paraId="5560BA64" w14:textId="77777777" w:rsidTr="0088795D">
        <w:tc>
          <w:tcPr>
            <w:tcW w:w="1261" w:type="pct"/>
            <w:shd w:val="clear" w:color="auto" w:fill="auto"/>
          </w:tcPr>
          <w:p w14:paraId="75B64B93"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Council for the Built Environment (CBE)</w:t>
            </w:r>
          </w:p>
        </w:tc>
        <w:tc>
          <w:tcPr>
            <w:tcW w:w="628" w:type="pct"/>
          </w:tcPr>
          <w:p w14:paraId="6D7E463A" w14:textId="7D4FB8E5"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20591AC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56519F0"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62A0D744"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4F6F25B1"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7605D6E8"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591279CA"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34D72FCC"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3E5170CA"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r w:rsidR="0088795D" w:rsidRPr="0077659B" w14:paraId="3AF64CFD" w14:textId="77777777" w:rsidTr="0088795D">
        <w:tc>
          <w:tcPr>
            <w:tcW w:w="1261" w:type="pct"/>
          </w:tcPr>
          <w:p w14:paraId="7ADB7354"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Agr</w:t>
            </w:r>
            <w:r>
              <w:rPr>
                <w:rFonts w:eastAsia="Times New Roman" w:cs="Arial"/>
                <w:b/>
                <w:bCs/>
                <w:color w:val="000000"/>
                <w:sz w:val="18"/>
                <w:szCs w:val="18"/>
              </w:rPr>
              <w:t>é</w:t>
            </w:r>
            <w:r w:rsidRPr="00F3755F">
              <w:rPr>
                <w:rFonts w:eastAsia="Times New Roman" w:cs="Arial"/>
                <w:b/>
                <w:bCs/>
                <w:color w:val="000000"/>
                <w:sz w:val="18"/>
                <w:szCs w:val="18"/>
              </w:rPr>
              <w:t>ment South Africa (ASA)</w:t>
            </w:r>
          </w:p>
        </w:tc>
        <w:tc>
          <w:tcPr>
            <w:tcW w:w="628" w:type="pct"/>
          </w:tcPr>
          <w:p w14:paraId="4FE45806" w14:textId="6D2066EB"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0611B76C"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70B66A85"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tcPr>
          <w:p w14:paraId="21216AAD"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1A063A2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7BF1B2B2"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0261504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6A515FC6"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4ED420AC"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bl>
    <w:p w14:paraId="15F44BF9" w14:textId="77777777" w:rsidR="005A6C11" w:rsidRPr="0077659B" w:rsidRDefault="005A6C11" w:rsidP="00C22F2B">
      <w:pPr>
        <w:shd w:val="clear" w:color="auto" w:fill="FFFFFF"/>
        <w:spacing w:after="0" w:line="240" w:lineRule="auto"/>
        <w:rPr>
          <w:rFonts w:eastAsia="Times New Roman" w:cs="Arial"/>
          <w:sz w:val="16"/>
          <w:szCs w:val="16"/>
        </w:rPr>
      </w:pPr>
    </w:p>
    <w:p w14:paraId="58133C90" w14:textId="77777777" w:rsidR="00C22F2B" w:rsidRPr="0077659B" w:rsidRDefault="00C22F2B" w:rsidP="00C22F2B">
      <w:pPr>
        <w:shd w:val="clear" w:color="auto" w:fill="FFFFFF"/>
        <w:spacing w:after="0" w:line="240" w:lineRule="auto"/>
        <w:rPr>
          <w:rFonts w:eastAsia="Times New Roman" w:cs="Arial"/>
          <w:sz w:val="16"/>
          <w:szCs w:val="16"/>
        </w:rPr>
      </w:pPr>
    </w:p>
    <w:p w14:paraId="7507477C" w14:textId="77777777" w:rsidR="00C22F2B" w:rsidRPr="0077659B" w:rsidRDefault="00C22F2B" w:rsidP="00C22F2B">
      <w:pPr>
        <w:shd w:val="clear" w:color="auto" w:fill="FFFFFF"/>
        <w:spacing w:after="0" w:line="240" w:lineRule="auto"/>
        <w:rPr>
          <w:rFonts w:eastAsia="Times New Roman"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77659B" w14:paraId="01CE06F8" w14:textId="77777777" w:rsidTr="00DC267C">
        <w:tc>
          <w:tcPr>
            <w:tcW w:w="236" w:type="dxa"/>
            <w:vMerge w:val="restart"/>
          </w:tcPr>
          <w:p w14:paraId="334E64D2" w14:textId="77777777" w:rsidR="00C22F2B" w:rsidRPr="0077659B" w:rsidRDefault="00C22F2B" w:rsidP="00C22F2B">
            <w:pPr>
              <w:rPr>
                <w:rFonts w:ascii="Tahoma" w:hAnsi="Tahoma" w:cs="Arial"/>
                <w:sz w:val="16"/>
                <w:szCs w:val="16"/>
              </w:rPr>
            </w:pPr>
          </w:p>
        </w:tc>
        <w:tc>
          <w:tcPr>
            <w:tcW w:w="2117" w:type="dxa"/>
            <w:gridSpan w:val="5"/>
            <w:tcBorders>
              <w:bottom w:val="single" w:sz="4" w:space="0" w:color="auto"/>
            </w:tcBorders>
          </w:tcPr>
          <w:p w14:paraId="617EA108" w14:textId="77777777" w:rsidR="00C22F2B" w:rsidRPr="0077659B" w:rsidRDefault="00C22F2B" w:rsidP="00C22F2B">
            <w:pPr>
              <w:rPr>
                <w:sz w:val="16"/>
                <w:szCs w:val="16"/>
              </w:rPr>
            </w:pPr>
          </w:p>
        </w:tc>
        <w:tc>
          <w:tcPr>
            <w:tcW w:w="282" w:type="dxa"/>
            <w:tcBorders>
              <w:bottom w:val="single" w:sz="4" w:space="0" w:color="auto"/>
            </w:tcBorders>
          </w:tcPr>
          <w:p w14:paraId="51F49A74" w14:textId="77777777" w:rsidR="00C22F2B" w:rsidRPr="0077659B" w:rsidRDefault="00C22F2B" w:rsidP="00C22F2B">
            <w:pPr>
              <w:rPr>
                <w:rFonts w:cs="Arial"/>
                <w:sz w:val="16"/>
                <w:szCs w:val="16"/>
              </w:rPr>
            </w:pPr>
          </w:p>
        </w:tc>
        <w:tc>
          <w:tcPr>
            <w:tcW w:w="2370" w:type="dxa"/>
            <w:gridSpan w:val="3"/>
            <w:tcBorders>
              <w:bottom w:val="single" w:sz="4" w:space="0" w:color="auto"/>
            </w:tcBorders>
          </w:tcPr>
          <w:p w14:paraId="2FD63938" w14:textId="77777777" w:rsidR="00C22F2B" w:rsidRPr="0077659B" w:rsidRDefault="00C22F2B" w:rsidP="00C22F2B">
            <w:pPr>
              <w:rPr>
                <w:sz w:val="16"/>
                <w:szCs w:val="16"/>
              </w:rPr>
            </w:pPr>
          </w:p>
        </w:tc>
        <w:tc>
          <w:tcPr>
            <w:tcW w:w="237" w:type="dxa"/>
            <w:tcBorders>
              <w:bottom w:val="single" w:sz="4" w:space="0" w:color="auto"/>
            </w:tcBorders>
          </w:tcPr>
          <w:p w14:paraId="485DF475" w14:textId="77777777" w:rsidR="00C22F2B" w:rsidRPr="0077659B" w:rsidRDefault="00C22F2B" w:rsidP="00C22F2B">
            <w:pPr>
              <w:rPr>
                <w:rFonts w:cs="Arial"/>
                <w:sz w:val="16"/>
                <w:szCs w:val="16"/>
              </w:rPr>
            </w:pPr>
          </w:p>
        </w:tc>
        <w:tc>
          <w:tcPr>
            <w:tcW w:w="2717" w:type="dxa"/>
            <w:tcBorders>
              <w:bottom w:val="single" w:sz="4" w:space="0" w:color="auto"/>
            </w:tcBorders>
          </w:tcPr>
          <w:p w14:paraId="5778018C" w14:textId="77777777" w:rsidR="00C22F2B" w:rsidRPr="0077659B" w:rsidRDefault="00C22F2B" w:rsidP="00C22F2B">
            <w:pPr>
              <w:rPr>
                <w:sz w:val="16"/>
                <w:szCs w:val="16"/>
              </w:rPr>
            </w:pPr>
          </w:p>
        </w:tc>
        <w:tc>
          <w:tcPr>
            <w:tcW w:w="371" w:type="dxa"/>
            <w:vMerge w:val="restart"/>
          </w:tcPr>
          <w:p w14:paraId="31E037EB" w14:textId="77777777" w:rsidR="00C22F2B" w:rsidRPr="0077659B" w:rsidRDefault="00C22F2B" w:rsidP="00C22F2B">
            <w:pPr>
              <w:rPr>
                <w:rFonts w:cs="Arial"/>
                <w:sz w:val="16"/>
                <w:szCs w:val="16"/>
              </w:rPr>
            </w:pPr>
          </w:p>
        </w:tc>
      </w:tr>
      <w:tr w:rsidR="00C22F2B" w:rsidRPr="0077659B" w14:paraId="5CEF68E3" w14:textId="77777777" w:rsidTr="00DC267C">
        <w:trPr>
          <w:trHeight w:val="491"/>
        </w:trPr>
        <w:tc>
          <w:tcPr>
            <w:tcW w:w="236" w:type="dxa"/>
            <w:vMerge/>
            <w:tcBorders>
              <w:right w:val="single" w:sz="4" w:space="0" w:color="auto"/>
            </w:tcBorders>
            <w:vAlign w:val="center"/>
          </w:tcPr>
          <w:p w14:paraId="57EE0E57" w14:textId="77777777" w:rsidR="00C22F2B" w:rsidRPr="0077659B" w:rsidRDefault="00C22F2B" w:rsidP="00C22F2B">
            <w:pPr>
              <w:spacing w:after="240"/>
              <w:rPr>
                <w:rFonts w:cs="Arial"/>
              </w:rPr>
            </w:pPr>
          </w:p>
        </w:tc>
        <w:tc>
          <w:tcPr>
            <w:tcW w:w="2117" w:type="dxa"/>
            <w:gridSpan w:val="5"/>
            <w:tcBorders>
              <w:top w:val="single" w:sz="4" w:space="0" w:color="auto"/>
              <w:left w:val="single" w:sz="4" w:space="0" w:color="auto"/>
              <w:bottom w:val="single" w:sz="4" w:space="0" w:color="auto"/>
            </w:tcBorders>
            <w:vAlign w:val="center"/>
          </w:tcPr>
          <w:p w14:paraId="62A90CED" w14:textId="77777777" w:rsidR="00C22F2B" w:rsidRPr="0077659B" w:rsidRDefault="001B6809" w:rsidP="00C22F2B">
            <w:r w:rsidRPr="0077659B">
              <w:rPr>
                <w:rFonts w:cs="Arial"/>
                <w:b/>
                <w:bCs/>
                <w:noProof/>
                <w:color w:val="000000"/>
                <w:sz w:val="18"/>
                <w:szCs w:val="18"/>
              </w:rPr>
              <w:drawing>
                <wp:anchor distT="0" distB="0" distL="114300" distR="114300" simplePos="0" relativeHeight="251677184" behindDoc="0" locked="0" layoutInCell="1" allowOverlap="1" wp14:anchorId="29D31DB6" wp14:editId="23279BB2">
                  <wp:simplePos x="0" y="0"/>
                  <wp:positionH relativeFrom="page">
                    <wp:posOffset>49530</wp:posOffset>
                  </wp:positionH>
                  <wp:positionV relativeFrom="page">
                    <wp:posOffset>-2540</wp:posOffset>
                  </wp:positionV>
                  <wp:extent cx="179705" cy="179705"/>
                  <wp:effectExtent l="0" t="0" r="0" b="0"/>
                  <wp:wrapNone/>
                  <wp:docPr id="28"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Pr="0077659B">
              <w:t xml:space="preserve">     </w:t>
            </w:r>
            <w:r w:rsidR="00C22F2B" w:rsidRPr="0077659B">
              <w:t xml:space="preserve"> </w:t>
            </w:r>
            <w:r w:rsidR="00C22F2B" w:rsidRPr="0077659B">
              <w:rPr>
                <w:rFonts w:cs="Arial"/>
              </w:rPr>
              <w:t>Improved</w:t>
            </w:r>
          </w:p>
        </w:tc>
        <w:tc>
          <w:tcPr>
            <w:tcW w:w="282" w:type="dxa"/>
            <w:tcBorders>
              <w:top w:val="single" w:sz="4" w:space="0" w:color="auto"/>
              <w:bottom w:val="single" w:sz="4" w:space="0" w:color="auto"/>
            </w:tcBorders>
            <w:vAlign w:val="center"/>
          </w:tcPr>
          <w:p w14:paraId="0A61D178" w14:textId="77777777" w:rsidR="00C22F2B" w:rsidRPr="0077659B" w:rsidRDefault="00C22F2B" w:rsidP="00C22F2B">
            <w:pPr>
              <w:rPr>
                <w:rFonts w:cs="Arial"/>
              </w:rPr>
            </w:pPr>
          </w:p>
        </w:tc>
        <w:tc>
          <w:tcPr>
            <w:tcW w:w="2370" w:type="dxa"/>
            <w:gridSpan w:val="3"/>
            <w:tcBorders>
              <w:top w:val="single" w:sz="4" w:space="0" w:color="auto"/>
              <w:bottom w:val="single" w:sz="4" w:space="0" w:color="auto"/>
            </w:tcBorders>
            <w:vAlign w:val="center"/>
          </w:tcPr>
          <w:p w14:paraId="65AD9540" w14:textId="77777777" w:rsidR="00C22F2B" w:rsidRPr="0077659B" w:rsidRDefault="001B6809" w:rsidP="00C22F2B">
            <w:r w:rsidRPr="0077659B">
              <w:rPr>
                <w:rFonts w:cs="Arial"/>
                <w:b/>
                <w:bCs/>
                <w:noProof/>
                <w:color w:val="000000"/>
                <w:sz w:val="18"/>
                <w:szCs w:val="18"/>
              </w:rPr>
              <w:drawing>
                <wp:anchor distT="0" distB="0" distL="114300" distR="114300" simplePos="0" relativeHeight="251671040" behindDoc="0" locked="0" layoutInCell="1" allowOverlap="1" wp14:anchorId="418CC791" wp14:editId="50D0DF97">
                  <wp:simplePos x="0" y="0"/>
                  <wp:positionH relativeFrom="page">
                    <wp:posOffset>32385</wp:posOffset>
                  </wp:positionH>
                  <wp:positionV relativeFrom="page">
                    <wp:posOffset>-21590</wp:posOffset>
                  </wp:positionV>
                  <wp:extent cx="179705" cy="179705"/>
                  <wp:effectExtent l="0" t="0" r="0" b="0"/>
                  <wp:wrapNone/>
                  <wp:docPr id="27"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77659B">
              <w:t xml:space="preserve"> </w:t>
            </w:r>
            <w:r w:rsidRPr="0077659B">
              <w:t xml:space="preserve">    </w:t>
            </w:r>
            <w:r w:rsidR="00C22F2B" w:rsidRPr="0077659B">
              <w:rPr>
                <w:rFonts w:cs="Arial"/>
              </w:rPr>
              <w:t>Unchanged</w:t>
            </w:r>
          </w:p>
        </w:tc>
        <w:tc>
          <w:tcPr>
            <w:tcW w:w="237" w:type="dxa"/>
            <w:tcBorders>
              <w:top w:val="single" w:sz="4" w:space="0" w:color="auto"/>
              <w:bottom w:val="single" w:sz="4" w:space="0" w:color="auto"/>
            </w:tcBorders>
            <w:vAlign w:val="center"/>
          </w:tcPr>
          <w:p w14:paraId="4F439BFB" w14:textId="77777777" w:rsidR="00C22F2B" w:rsidRPr="0077659B" w:rsidRDefault="00C22F2B" w:rsidP="00C22F2B">
            <w:pPr>
              <w:rPr>
                <w:rFonts w:cs="Arial"/>
              </w:rPr>
            </w:pPr>
          </w:p>
        </w:tc>
        <w:tc>
          <w:tcPr>
            <w:tcW w:w="2717" w:type="dxa"/>
            <w:tcBorders>
              <w:top w:val="single" w:sz="4" w:space="0" w:color="auto"/>
              <w:bottom w:val="single" w:sz="4" w:space="0" w:color="auto"/>
              <w:right w:val="single" w:sz="4" w:space="0" w:color="auto"/>
            </w:tcBorders>
            <w:vAlign w:val="center"/>
          </w:tcPr>
          <w:p w14:paraId="6FC3BCF4" w14:textId="77777777" w:rsidR="00C22F2B" w:rsidRPr="0077659B" w:rsidRDefault="001B6809" w:rsidP="00C22F2B">
            <w:r w:rsidRPr="0077659B">
              <w:rPr>
                <w:rFonts w:cs="Arial"/>
                <w:b/>
                <w:bCs/>
                <w:noProof/>
                <w:color w:val="000000"/>
                <w:sz w:val="18"/>
                <w:szCs w:val="18"/>
              </w:rPr>
              <w:drawing>
                <wp:anchor distT="0" distB="0" distL="114300" distR="114300" simplePos="0" relativeHeight="251664896" behindDoc="0" locked="0" layoutInCell="1" allowOverlap="1" wp14:anchorId="781E7C7E" wp14:editId="449AE968">
                  <wp:simplePos x="0" y="0"/>
                  <wp:positionH relativeFrom="page">
                    <wp:posOffset>-42545</wp:posOffset>
                  </wp:positionH>
                  <wp:positionV relativeFrom="page">
                    <wp:posOffset>-10160</wp:posOffset>
                  </wp:positionV>
                  <wp:extent cx="179705" cy="179705"/>
                  <wp:effectExtent l="0" t="0" r="0" b="0"/>
                  <wp:wrapNone/>
                  <wp:docPr id="24"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77659B">
              <w:t xml:space="preserve"> </w:t>
            </w:r>
            <w:r w:rsidRPr="0077659B">
              <w:t xml:space="preserve">   </w:t>
            </w:r>
            <w:r w:rsidR="00C22F2B" w:rsidRPr="0077659B">
              <w:rPr>
                <w:rFonts w:cs="Arial"/>
              </w:rPr>
              <w:t>Regressed</w:t>
            </w:r>
          </w:p>
        </w:tc>
        <w:tc>
          <w:tcPr>
            <w:tcW w:w="371" w:type="dxa"/>
            <w:vMerge/>
            <w:vAlign w:val="center"/>
          </w:tcPr>
          <w:p w14:paraId="4334D580" w14:textId="77777777" w:rsidR="00C22F2B" w:rsidRPr="0077659B" w:rsidRDefault="00C22F2B" w:rsidP="00C22F2B">
            <w:pPr>
              <w:spacing w:after="240"/>
              <w:rPr>
                <w:rFonts w:cs="Arial"/>
              </w:rPr>
            </w:pPr>
          </w:p>
        </w:tc>
      </w:tr>
      <w:tr w:rsidR="00C22F2B" w:rsidRPr="0077659B" w14:paraId="778F0980" w14:textId="77777777" w:rsidTr="00DC267C">
        <w:tc>
          <w:tcPr>
            <w:tcW w:w="236" w:type="dxa"/>
            <w:vMerge/>
          </w:tcPr>
          <w:p w14:paraId="6797C10D" w14:textId="77777777" w:rsidR="00C22F2B" w:rsidRPr="0077659B" w:rsidRDefault="00C22F2B" w:rsidP="00C22F2B">
            <w:pPr>
              <w:spacing w:after="240"/>
              <w:rPr>
                <w:rFonts w:cs="Arial"/>
                <w:sz w:val="16"/>
                <w:szCs w:val="16"/>
              </w:rPr>
            </w:pPr>
          </w:p>
        </w:tc>
        <w:tc>
          <w:tcPr>
            <w:tcW w:w="2117" w:type="dxa"/>
            <w:gridSpan w:val="5"/>
            <w:tcBorders>
              <w:bottom w:val="single" w:sz="4" w:space="0" w:color="auto"/>
            </w:tcBorders>
          </w:tcPr>
          <w:p w14:paraId="43D601D7" w14:textId="77777777" w:rsidR="00C22F2B" w:rsidRPr="0077659B" w:rsidRDefault="00C22F2B" w:rsidP="00C22F2B">
            <w:pPr>
              <w:rPr>
                <w:sz w:val="16"/>
                <w:szCs w:val="16"/>
              </w:rPr>
            </w:pPr>
          </w:p>
        </w:tc>
        <w:tc>
          <w:tcPr>
            <w:tcW w:w="282" w:type="dxa"/>
            <w:tcBorders>
              <w:bottom w:val="single" w:sz="4" w:space="0" w:color="auto"/>
            </w:tcBorders>
          </w:tcPr>
          <w:p w14:paraId="04116116" w14:textId="77777777" w:rsidR="00C22F2B" w:rsidRPr="0077659B" w:rsidRDefault="00C22F2B" w:rsidP="00C22F2B">
            <w:pPr>
              <w:rPr>
                <w:rFonts w:cs="Arial"/>
                <w:sz w:val="16"/>
                <w:szCs w:val="16"/>
              </w:rPr>
            </w:pPr>
          </w:p>
        </w:tc>
        <w:tc>
          <w:tcPr>
            <w:tcW w:w="2370" w:type="dxa"/>
            <w:gridSpan w:val="3"/>
            <w:tcBorders>
              <w:bottom w:val="single" w:sz="4" w:space="0" w:color="auto"/>
            </w:tcBorders>
          </w:tcPr>
          <w:p w14:paraId="29C64383" w14:textId="77777777" w:rsidR="00C22F2B" w:rsidRPr="0077659B" w:rsidRDefault="00C22F2B" w:rsidP="00C22F2B">
            <w:pPr>
              <w:rPr>
                <w:sz w:val="16"/>
                <w:szCs w:val="16"/>
              </w:rPr>
            </w:pPr>
          </w:p>
        </w:tc>
        <w:tc>
          <w:tcPr>
            <w:tcW w:w="237" w:type="dxa"/>
            <w:tcBorders>
              <w:bottom w:val="single" w:sz="4" w:space="0" w:color="auto"/>
            </w:tcBorders>
          </w:tcPr>
          <w:p w14:paraId="3618CD1C" w14:textId="77777777" w:rsidR="00C22F2B" w:rsidRPr="0077659B" w:rsidRDefault="00C22F2B" w:rsidP="00C22F2B">
            <w:pPr>
              <w:rPr>
                <w:rFonts w:cs="Arial"/>
                <w:sz w:val="16"/>
                <w:szCs w:val="16"/>
              </w:rPr>
            </w:pPr>
          </w:p>
        </w:tc>
        <w:tc>
          <w:tcPr>
            <w:tcW w:w="2717" w:type="dxa"/>
            <w:tcBorders>
              <w:bottom w:val="single" w:sz="4" w:space="0" w:color="auto"/>
            </w:tcBorders>
          </w:tcPr>
          <w:p w14:paraId="708180D0" w14:textId="77777777" w:rsidR="00C22F2B" w:rsidRPr="0077659B" w:rsidRDefault="00C22F2B" w:rsidP="00C22F2B">
            <w:pPr>
              <w:rPr>
                <w:sz w:val="16"/>
                <w:szCs w:val="16"/>
              </w:rPr>
            </w:pPr>
          </w:p>
        </w:tc>
        <w:tc>
          <w:tcPr>
            <w:tcW w:w="371" w:type="dxa"/>
            <w:vMerge/>
          </w:tcPr>
          <w:p w14:paraId="33379D01" w14:textId="77777777" w:rsidR="00C22F2B" w:rsidRPr="0077659B" w:rsidRDefault="00C22F2B" w:rsidP="00C22F2B">
            <w:pPr>
              <w:spacing w:after="240"/>
              <w:rPr>
                <w:rFonts w:cs="Arial"/>
                <w:sz w:val="16"/>
                <w:szCs w:val="16"/>
              </w:rPr>
            </w:pPr>
          </w:p>
        </w:tc>
      </w:tr>
      <w:tr w:rsidR="00C22F2B" w:rsidRPr="0077659B" w14:paraId="28C0D5D5" w14:textId="77777777" w:rsidTr="00DC267C">
        <w:trPr>
          <w:trHeight w:val="404"/>
        </w:trPr>
        <w:tc>
          <w:tcPr>
            <w:tcW w:w="236" w:type="dxa"/>
            <w:vMerge/>
            <w:tcBorders>
              <w:right w:val="single" w:sz="4" w:space="0" w:color="auto"/>
            </w:tcBorders>
          </w:tcPr>
          <w:p w14:paraId="456C610C" w14:textId="77777777" w:rsidR="00C22F2B" w:rsidRPr="0077659B" w:rsidRDefault="00C22F2B" w:rsidP="00C22F2B">
            <w:pPr>
              <w:spacing w:after="240"/>
              <w:rPr>
                <w:rFonts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69D3D26A" w14:textId="77777777" w:rsidR="00C22F2B" w:rsidRPr="0077659B" w:rsidRDefault="00C22F2B" w:rsidP="00C22F2B">
            <w:pPr>
              <w:rPr>
                <w:rFonts w:cs="Arial"/>
              </w:rPr>
            </w:pPr>
            <w:r w:rsidRPr="0077659B">
              <w:rPr>
                <w:rFonts w:cs="Arial"/>
              </w:rPr>
              <w:t>Good</w:t>
            </w:r>
          </w:p>
        </w:tc>
        <w:tc>
          <w:tcPr>
            <w:tcW w:w="282" w:type="dxa"/>
            <w:tcBorders>
              <w:top w:val="single" w:sz="4" w:space="0" w:color="auto"/>
              <w:bottom w:val="single" w:sz="4" w:space="0" w:color="auto"/>
            </w:tcBorders>
            <w:vAlign w:val="center"/>
          </w:tcPr>
          <w:p w14:paraId="7E3C0A2A" w14:textId="77777777" w:rsidR="00C22F2B" w:rsidRPr="0077659B" w:rsidRDefault="00C22F2B" w:rsidP="00C22F2B">
            <w:pPr>
              <w:rPr>
                <w:rFonts w:cs="Arial"/>
              </w:rPr>
            </w:pPr>
          </w:p>
        </w:tc>
        <w:tc>
          <w:tcPr>
            <w:tcW w:w="2370" w:type="dxa"/>
            <w:gridSpan w:val="3"/>
            <w:tcBorders>
              <w:top w:val="single" w:sz="4" w:space="0" w:color="auto"/>
              <w:bottom w:val="single" w:sz="4" w:space="0" w:color="auto"/>
            </w:tcBorders>
            <w:shd w:val="clear" w:color="auto" w:fill="FFE697"/>
            <w:vAlign w:val="center"/>
          </w:tcPr>
          <w:p w14:paraId="605EEF68" w14:textId="77777777" w:rsidR="00C22F2B" w:rsidRPr="0077659B" w:rsidRDefault="00C22F2B" w:rsidP="00C22F2B">
            <w:pPr>
              <w:rPr>
                <w:rFonts w:cs="Arial"/>
              </w:rPr>
            </w:pPr>
            <w:r w:rsidRPr="0077659B">
              <w:rPr>
                <w:rFonts w:cs="Arial"/>
              </w:rPr>
              <w:t>Concerning</w:t>
            </w:r>
          </w:p>
        </w:tc>
        <w:tc>
          <w:tcPr>
            <w:tcW w:w="237" w:type="dxa"/>
            <w:tcBorders>
              <w:top w:val="single" w:sz="4" w:space="0" w:color="auto"/>
              <w:bottom w:val="single" w:sz="4" w:space="0" w:color="auto"/>
            </w:tcBorders>
            <w:vAlign w:val="center"/>
          </w:tcPr>
          <w:p w14:paraId="35135641" w14:textId="77777777" w:rsidR="00C22F2B" w:rsidRPr="0077659B" w:rsidRDefault="00C22F2B" w:rsidP="00C22F2B">
            <w:pPr>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41E0BD8D" w14:textId="77777777" w:rsidR="00C22F2B" w:rsidRPr="0077659B" w:rsidRDefault="00C22F2B" w:rsidP="00C22F2B">
            <w:pPr>
              <w:rPr>
                <w:rFonts w:cs="Arial"/>
              </w:rPr>
            </w:pPr>
            <w:r w:rsidRPr="0077659B">
              <w:rPr>
                <w:rFonts w:cs="Arial"/>
              </w:rPr>
              <w:t>Intervention required</w:t>
            </w:r>
          </w:p>
        </w:tc>
        <w:tc>
          <w:tcPr>
            <w:tcW w:w="371" w:type="dxa"/>
            <w:vMerge/>
            <w:tcBorders>
              <w:left w:val="nil"/>
            </w:tcBorders>
          </w:tcPr>
          <w:p w14:paraId="65D49E11" w14:textId="77777777" w:rsidR="00C22F2B" w:rsidRPr="0077659B" w:rsidRDefault="00C22F2B" w:rsidP="00C22F2B">
            <w:pPr>
              <w:spacing w:after="240"/>
              <w:rPr>
                <w:rFonts w:cs="Arial"/>
              </w:rPr>
            </w:pPr>
          </w:p>
        </w:tc>
      </w:tr>
      <w:tr w:rsidR="00C22F2B" w:rsidRPr="0077659B" w14:paraId="1C5C0A88" w14:textId="77777777" w:rsidTr="00DC267C">
        <w:tc>
          <w:tcPr>
            <w:tcW w:w="284" w:type="dxa"/>
            <w:gridSpan w:val="2"/>
          </w:tcPr>
          <w:p w14:paraId="08D81630" w14:textId="77777777" w:rsidR="00C22F2B" w:rsidRPr="0077659B" w:rsidRDefault="00C22F2B" w:rsidP="00C22F2B">
            <w:pPr>
              <w:rPr>
                <w:rFonts w:cs="Arial"/>
              </w:rPr>
            </w:pPr>
          </w:p>
        </w:tc>
        <w:tc>
          <w:tcPr>
            <w:tcW w:w="279" w:type="dxa"/>
          </w:tcPr>
          <w:p w14:paraId="64D7DFB0" w14:textId="77777777" w:rsidR="00C22F2B" w:rsidRPr="0077659B" w:rsidRDefault="00C22F2B" w:rsidP="00C22F2B">
            <w:pPr>
              <w:rPr>
                <w:rFonts w:cs="Arial"/>
              </w:rPr>
            </w:pPr>
          </w:p>
        </w:tc>
        <w:tc>
          <w:tcPr>
            <w:tcW w:w="236" w:type="dxa"/>
          </w:tcPr>
          <w:p w14:paraId="48AD623E" w14:textId="77777777" w:rsidR="00C22F2B" w:rsidRPr="0077659B" w:rsidRDefault="00C22F2B" w:rsidP="00C22F2B">
            <w:pPr>
              <w:rPr>
                <w:rFonts w:cs="Arial"/>
              </w:rPr>
            </w:pPr>
          </w:p>
        </w:tc>
        <w:tc>
          <w:tcPr>
            <w:tcW w:w="1041" w:type="dxa"/>
          </w:tcPr>
          <w:p w14:paraId="3E9EAF4D" w14:textId="77777777" w:rsidR="00C22F2B" w:rsidRPr="0077659B" w:rsidRDefault="00C22F2B" w:rsidP="00C22F2B">
            <w:pPr>
              <w:rPr>
                <w:rFonts w:cs="Arial"/>
              </w:rPr>
            </w:pPr>
          </w:p>
        </w:tc>
        <w:tc>
          <w:tcPr>
            <w:tcW w:w="1042" w:type="dxa"/>
            <w:gridSpan w:val="3"/>
          </w:tcPr>
          <w:p w14:paraId="68B80173" w14:textId="77777777" w:rsidR="00C22F2B" w:rsidRPr="0077659B" w:rsidRDefault="00C22F2B" w:rsidP="00C22F2B">
            <w:pPr>
              <w:rPr>
                <w:rFonts w:cs="Arial"/>
              </w:rPr>
            </w:pPr>
          </w:p>
        </w:tc>
        <w:tc>
          <w:tcPr>
            <w:tcW w:w="1041" w:type="dxa"/>
          </w:tcPr>
          <w:p w14:paraId="761C88DE" w14:textId="77777777" w:rsidR="00C22F2B" w:rsidRPr="0077659B" w:rsidRDefault="00C22F2B" w:rsidP="00C22F2B">
            <w:pPr>
              <w:rPr>
                <w:rFonts w:cs="Arial"/>
              </w:rPr>
            </w:pPr>
          </w:p>
        </w:tc>
        <w:tc>
          <w:tcPr>
            <w:tcW w:w="4407" w:type="dxa"/>
            <w:gridSpan w:val="4"/>
          </w:tcPr>
          <w:p w14:paraId="3FBBA2A9" w14:textId="77777777" w:rsidR="00C22F2B" w:rsidRPr="0077659B" w:rsidRDefault="00C22F2B" w:rsidP="00C22F2B">
            <w:pPr>
              <w:rPr>
                <w:rFonts w:cs="Arial"/>
              </w:rPr>
            </w:pPr>
          </w:p>
        </w:tc>
      </w:tr>
    </w:tbl>
    <w:p w14:paraId="120CD4C8" w14:textId="77777777" w:rsidR="00C22F2B" w:rsidRPr="0077659B" w:rsidRDefault="00C22F2B" w:rsidP="00C22F2B">
      <w:pPr>
        <w:shd w:val="clear" w:color="auto" w:fill="FFFFFF"/>
        <w:spacing w:after="0" w:line="240" w:lineRule="auto"/>
        <w:rPr>
          <w:rFonts w:eastAsia="Times New Roman" w:cs="Arial"/>
          <w:sz w:val="16"/>
          <w:szCs w:val="16"/>
        </w:rPr>
      </w:pPr>
    </w:p>
    <w:p w14:paraId="17845EEC" w14:textId="6B53B0AA" w:rsidR="00287920" w:rsidRPr="0077659B" w:rsidRDefault="00287920" w:rsidP="00287920">
      <w:pPr>
        <w:pStyle w:val="Heading2"/>
      </w:pPr>
      <w:bookmarkStart w:id="176" w:name="Para81"/>
      <w:bookmarkStart w:id="177" w:name="_Toc447106667"/>
      <w:bookmarkStart w:id="178" w:name="_Toc51154088"/>
      <w:bookmarkEnd w:id="176"/>
      <w:r w:rsidRPr="0077659B">
        <w:lastRenderedPageBreak/>
        <w:t>SECTION 8: Ratings of detailed audit findings</w:t>
      </w:r>
      <w:bookmarkEnd w:id="177"/>
      <w:bookmarkEnd w:id="178"/>
    </w:p>
    <w:p w14:paraId="4C3A376F" w14:textId="77777777" w:rsidR="00C22F2B" w:rsidRPr="0077659B" w:rsidRDefault="00C22F2B" w:rsidP="00223FB6">
      <w:pPr>
        <w:pStyle w:val="Numbernormal"/>
        <w:numPr>
          <w:ilvl w:val="0"/>
          <w:numId w:val="26"/>
        </w:numPr>
      </w:pPr>
      <w:bookmarkStart w:id="179" w:name="Section6"/>
      <w:bookmarkEnd w:id="179"/>
      <w:r w:rsidRPr="0077659B">
        <w:t>For purposes of this report, the detailed audit findings included in annexures A to C have been classified as follows:</w:t>
      </w:r>
    </w:p>
    <w:p w14:paraId="706D83E6" w14:textId="77777777" w:rsidR="00C22F2B" w:rsidRPr="0077659B" w:rsidRDefault="00C22F2B" w:rsidP="00205B73">
      <w:pPr>
        <w:pStyle w:val="Bulletedlist"/>
        <w:ind w:left="851" w:hanging="283"/>
      </w:pPr>
      <w:r w:rsidRPr="0077659B">
        <w:t xml:space="preserve">Matters to be included in the auditor’s report: These matters </w:t>
      </w:r>
      <w:proofErr w:type="gramStart"/>
      <w:r w:rsidRPr="0077659B">
        <w:t>should be addressed</w:t>
      </w:r>
      <w:proofErr w:type="gramEnd"/>
      <w:r w:rsidRPr="0077659B">
        <w:t xml:space="preserve"> as a matter of urgency.</w:t>
      </w:r>
    </w:p>
    <w:p w14:paraId="346A01F2" w14:textId="77777777" w:rsidR="00C22F2B" w:rsidRPr="0077659B" w:rsidRDefault="00C22F2B" w:rsidP="00205B73">
      <w:pPr>
        <w:pStyle w:val="Bulletedlist"/>
        <w:ind w:left="851" w:hanging="284"/>
      </w:pPr>
      <w:r w:rsidRPr="0077659B">
        <w:t xml:space="preserve">Other important matters: These matters </w:t>
      </w:r>
      <w:proofErr w:type="gramStart"/>
      <w:r w:rsidRPr="0077659B">
        <w:t>should be addressed</w:t>
      </w:r>
      <w:proofErr w:type="gramEnd"/>
      <w:r w:rsidRPr="0077659B">
        <w:t xml:space="preserve"> to prevent them from leading to material misstatements of the financial statements or material findings on the performance report and compliance with legislation in future.</w:t>
      </w:r>
    </w:p>
    <w:p w14:paraId="61D97043" w14:textId="77777777" w:rsidR="00C22F2B" w:rsidRPr="0077659B" w:rsidRDefault="00C22F2B" w:rsidP="00205B73">
      <w:pPr>
        <w:pStyle w:val="Bulletedlist"/>
        <w:ind w:left="851" w:hanging="284"/>
      </w:pPr>
      <w:r w:rsidRPr="0077659B">
        <w:t>Administrative matters: These matters are unlikely to result in material misstatements of the financial statements or material findings on the performance report and compliance with legislation.</w:t>
      </w:r>
    </w:p>
    <w:p w14:paraId="6DB4A1E3" w14:textId="77777777" w:rsidR="00F94CA3" w:rsidRPr="0077659B" w:rsidRDefault="002D6CC1" w:rsidP="002D6CC1">
      <w:pPr>
        <w:pStyle w:val="Heading2"/>
        <w:rPr>
          <w:rFonts w:ascii="Arial" w:eastAsia="Calibri" w:hAnsi="Arial"/>
          <w:lang w:eastAsia="en-ZA"/>
        </w:rPr>
      </w:pPr>
      <w:bookmarkStart w:id="180" w:name="_Toc447106668"/>
      <w:bookmarkStart w:id="181" w:name="_Toc51154089"/>
      <w:r w:rsidRPr="0077659B">
        <w:t>SECTION 9: Conclusion</w:t>
      </w:r>
      <w:bookmarkEnd w:id="180"/>
      <w:bookmarkEnd w:id="181"/>
    </w:p>
    <w:p w14:paraId="45B382B7" w14:textId="77777777" w:rsidR="00C22F2B" w:rsidRPr="0077659B" w:rsidRDefault="00C22F2B" w:rsidP="00223FB6">
      <w:pPr>
        <w:pStyle w:val="Numbernormal"/>
        <w:numPr>
          <w:ilvl w:val="0"/>
          <w:numId w:val="26"/>
        </w:numPr>
      </w:pPr>
      <w:bookmarkStart w:id="182" w:name="Conclusion"/>
      <w:bookmarkEnd w:id="182"/>
      <w:r w:rsidRPr="0077659B">
        <w:t xml:space="preserve">The matters communicated throughout this report relate to the three fundamentals of internal control that </w:t>
      </w:r>
      <w:proofErr w:type="gramStart"/>
      <w:r w:rsidRPr="0077659B">
        <w:t>should be addressed</w:t>
      </w:r>
      <w:proofErr w:type="gramEnd"/>
      <w:r w:rsidRPr="0077659B">
        <w:t xml:space="preserve"> to achieve sustained clean administration. Our staff </w:t>
      </w:r>
      <w:r w:rsidR="0091433A" w:rsidRPr="0077659B">
        <w:t xml:space="preserve">remain </w:t>
      </w:r>
      <w:r w:rsidRPr="0077659B">
        <w:t xml:space="preserve">committed to </w:t>
      </w:r>
      <w:r w:rsidR="0091433A" w:rsidRPr="0077659B">
        <w:t xml:space="preserve">assist </w:t>
      </w:r>
      <w:r w:rsidRPr="0077659B">
        <w:t>in identifying and communicating good practices to improve governance and accountability and to build public confidence in government’s ability to account for public resources in a transparent manner</w:t>
      </w:r>
      <w:r w:rsidR="0088795D">
        <w:t>.</w:t>
      </w:r>
    </w:p>
    <w:p w14:paraId="12AA8D0F" w14:textId="77777777" w:rsidR="00205B73" w:rsidRDefault="00205B73" w:rsidP="00C22F2B">
      <w:pPr>
        <w:spacing w:after="240" w:line="240" w:lineRule="auto"/>
        <w:rPr>
          <w:rFonts w:eastAsia="Calibri" w:cs="Arial"/>
        </w:rPr>
      </w:pPr>
    </w:p>
    <w:p w14:paraId="33F2457A" w14:textId="77777777" w:rsidR="00C22F2B" w:rsidRPr="0077659B" w:rsidRDefault="00C22F2B" w:rsidP="00C22F2B">
      <w:pPr>
        <w:spacing w:after="240" w:line="240" w:lineRule="auto"/>
        <w:rPr>
          <w:rFonts w:eastAsia="Calibri" w:cs="Arial"/>
        </w:rPr>
      </w:pPr>
      <w:r w:rsidRPr="0077659B">
        <w:rPr>
          <w:rFonts w:eastAsia="Calibri" w:cs="Arial"/>
        </w:rPr>
        <w:t>Yours faithfully</w:t>
      </w:r>
    </w:p>
    <w:p w14:paraId="706028AB" w14:textId="77777777" w:rsidR="00C22F2B" w:rsidRPr="0077659B" w:rsidRDefault="00C22F2B" w:rsidP="00C22F2B">
      <w:pPr>
        <w:spacing w:after="0" w:line="240" w:lineRule="auto"/>
        <w:rPr>
          <w:rFonts w:eastAsia="Times New Roman" w:cs="Arial"/>
        </w:rPr>
      </w:pPr>
    </w:p>
    <w:p w14:paraId="34050FAC" w14:textId="77777777" w:rsidR="00C22F2B" w:rsidRPr="0077659B" w:rsidRDefault="00C22F2B" w:rsidP="00C22F2B">
      <w:pPr>
        <w:spacing w:after="0" w:line="240" w:lineRule="auto"/>
        <w:rPr>
          <w:rFonts w:eastAsia="Times New Roman" w:cs="Arial"/>
        </w:rPr>
      </w:pPr>
    </w:p>
    <w:p w14:paraId="41371486" w14:textId="77777777" w:rsidR="0088795D" w:rsidRPr="00BB31CB" w:rsidRDefault="0088795D" w:rsidP="0088795D">
      <w:pPr>
        <w:pStyle w:val="BodyTextIndent"/>
        <w:jc w:val="both"/>
        <w:rPr>
          <w:rFonts w:cs="Arial"/>
          <w:sz w:val="22"/>
          <w:szCs w:val="18"/>
          <w:lang w:val="en-ZA"/>
        </w:rPr>
      </w:pPr>
      <w:proofErr w:type="spellStart"/>
      <w:r>
        <w:rPr>
          <w:rFonts w:cs="Arial"/>
          <w:sz w:val="22"/>
          <w:szCs w:val="18"/>
          <w:lang w:val="en-ZA"/>
        </w:rPr>
        <w:t>Corne</w:t>
      </w:r>
      <w:proofErr w:type="spellEnd"/>
      <w:r>
        <w:rPr>
          <w:rFonts w:cs="Arial"/>
          <w:sz w:val="22"/>
          <w:szCs w:val="18"/>
          <w:lang w:val="en-ZA"/>
        </w:rPr>
        <w:t xml:space="preserve"> </w:t>
      </w:r>
      <w:proofErr w:type="spellStart"/>
      <w:r>
        <w:rPr>
          <w:rFonts w:cs="Arial"/>
          <w:sz w:val="22"/>
          <w:szCs w:val="18"/>
          <w:lang w:val="en-ZA"/>
        </w:rPr>
        <w:t>Myburgh</w:t>
      </w:r>
      <w:proofErr w:type="spellEnd"/>
    </w:p>
    <w:p w14:paraId="791B26C0" w14:textId="77777777" w:rsidR="0088795D" w:rsidRPr="00BB31CB" w:rsidRDefault="0088795D" w:rsidP="0088795D">
      <w:pPr>
        <w:pStyle w:val="BodyTextIndent"/>
        <w:jc w:val="both"/>
        <w:rPr>
          <w:rFonts w:cs="Arial"/>
          <w:sz w:val="22"/>
          <w:szCs w:val="18"/>
          <w:lang w:val="en-ZA"/>
        </w:rPr>
      </w:pPr>
      <w:r>
        <w:rPr>
          <w:rFonts w:cs="Arial"/>
          <w:sz w:val="22"/>
          <w:szCs w:val="18"/>
          <w:lang w:val="en-ZA"/>
        </w:rPr>
        <w:t>Business Executive</w:t>
      </w:r>
      <w:r w:rsidRPr="00BB31CB">
        <w:rPr>
          <w:rFonts w:cs="Arial"/>
          <w:sz w:val="22"/>
          <w:szCs w:val="18"/>
          <w:lang w:val="en-ZA"/>
        </w:rPr>
        <w:t>: National A</w:t>
      </w:r>
    </w:p>
    <w:p w14:paraId="21AA9E4B" w14:textId="77777777" w:rsidR="0088795D" w:rsidRPr="00BB31CB" w:rsidRDefault="0088795D" w:rsidP="0088795D">
      <w:pPr>
        <w:pStyle w:val="BodyTextIndent"/>
        <w:jc w:val="both"/>
        <w:rPr>
          <w:rFonts w:cs="Arial"/>
          <w:sz w:val="22"/>
          <w:szCs w:val="18"/>
          <w:lang w:val="en-ZA"/>
        </w:rPr>
      </w:pPr>
      <w:r>
        <w:rPr>
          <w:rFonts w:cs="Arial"/>
          <w:sz w:val="22"/>
          <w:szCs w:val="18"/>
          <w:lang w:val="en-ZA"/>
        </w:rPr>
        <w:t>30</w:t>
      </w:r>
      <w:r w:rsidRPr="00BB31CB">
        <w:rPr>
          <w:rFonts w:cs="Arial"/>
          <w:sz w:val="22"/>
          <w:szCs w:val="18"/>
          <w:lang w:val="en-ZA"/>
        </w:rPr>
        <w:t xml:space="preserve"> </w:t>
      </w:r>
      <w:r>
        <w:rPr>
          <w:rFonts w:cs="Arial"/>
          <w:sz w:val="22"/>
          <w:szCs w:val="18"/>
          <w:lang w:val="en-ZA"/>
        </w:rPr>
        <w:t>September</w:t>
      </w:r>
      <w:r w:rsidRPr="00BB31CB">
        <w:rPr>
          <w:rFonts w:cs="Arial"/>
          <w:sz w:val="22"/>
          <w:szCs w:val="18"/>
          <w:lang w:val="en-ZA"/>
        </w:rPr>
        <w:t xml:space="preserve"> 20</w:t>
      </w:r>
      <w:r>
        <w:rPr>
          <w:rFonts w:cs="Arial"/>
          <w:sz w:val="22"/>
          <w:szCs w:val="18"/>
          <w:lang w:val="en-ZA"/>
        </w:rPr>
        <w:t>20</w:t>
      </w:r>
    </w:p>
    <w:p w14:paraId="2987778B" w14:textId="77777777" w:rsidR="0088795D" w:rsidRPr="00BB31CB" w:rsidRDefault="0088795D" w:rsidP="0088795D">
      <w:pPr>
        <w:spacing w:after="240" w:line="240" w:lineRule="auto"/>
        <w:jc w:val="both"/>
        <w:rPr>
          <w:rFonts w:eastAsia="Calibri" w:cs="Arial"/>
          <w:sz w:val="18"/>
          <w:szCs w:val="18"/>
        </w:rPr>
      </w:pPr>
      <w:r w:rsidRPr="00BB31CB">
        <w:rPr>
          <w:rFonts w:eastAsia="Calibri" w:cs="Arial"/>
          <w:sz w:val="18"/>
          <w:szCs w:val="18"/>
        </w:rPr>
        <w:t xml:space="preserve"> </w:t>
      </w:r>
    </w:p>
    <w:p w14:paraId="4D01D03C" w14:textId="77777777" w:rsidR="0088795D" w:rsidRPr="00BB31CB" w:rsidRDefault="0088795D" w:rsidP="0088795D">
      <w:pPr>
        <w:tabs>
          <w:tab w:val="left" w:pos="1440"/>
        </w:tabs>
        <w:spacing w:after="0" w:line="240" w:lineRule="auto"/>
        <w:jc w:val="both"/>
        <w:rPr>
          <w:rFonts w:eastAsia="Times New Roman" w:cs="Arial"/>
          <w:sz w:val="18"/>
          <w:szCs w:val="18"/>
        </w:rPr>
      </w:pPr>
      <w:r w:rsidRPr="00BB31CB">
        <w:rPr>
          <w:rFonts w:eastAsia="Times New Roman" w:cs="Arial"/>
          <w:sz w:val="18"/>
          <w:szCs w:val="18"/>
        </w:rPr>
        <w:t>Enquiries:</w:t>
      </w:r>
      <w:r w:rsidRPr="00BB31CB">
        <w:rPr>
          <w:rFonts w:eastAsia="Times New Roman" w:cs="Arial"/>
          <w:sz w:val="18"/>
          <w:szCs w:val="18"/>
        </w:rPr>
        <w:tab/>
      </w:r>
      <w:proofErr w:type="spellStart"/>
      <w:r w:rsidRPr="00BB31CB">
        <w:rPr>
          <w:rFonts w:eastAsia="Times New Roman" w:cs="Arial"/>
          <w:sz w:val="18"/>
          <w:szCs w:val="18"/>
        </w:rPr>
        <w:t>T</w:t>
      </w:r>
      <w:r w:rsidR="007D0BB4">
        <w:rPr>
          <w:rFonts w:eastAsia="Times New Roman" w:cs="Arial"/>
          <w:sz w:val="18"/>
          <w:szCs w:val="18"/>
        </w:rPr>
        <w:t>i</w:t>
      </w:r>
      <w:r w:rsidRPr="00BB31CB">
        <w:rPr>
          <w:rFonts w:eastAsia="Times New Roman" w:cs="Arial"/>
          <w:sz w:val="18"/>
          <w:szCs w:val="18"/>
        </w:rPr>
        <w:t>ntswalo</w:t>
      </w:r>
      <w:proofErr w:type="spellEnd"/>
      <w:r w:rsidRPr="00BB31CB">
        <w:rPr>
          <w:rFonts w:eastAsia="Times New Roman" w:cs="Arial"/>
          <w:sz w:val="18"/>
          <w:szCs w:val="18"/>
        </w:rPr>
        <w:t xml:space="preserve"> </w:t>
      </w:r>
      <w:proofErr w:type="spellStart"/>
      <w:r w:rsidRPr="00BB31CB">
        <w:rPr>
          <w:rFonts w:eastAsia="Times New Roman" w:cs="Arial"/>
          <w:sz w:val="18"/>
          <w:szCs w:val="18"/>
        </w:rPr>
        <w:t>Masia</w:t>
      </w:r>
      <w:proofErr w:type="spellEnd"/>
    </w:p>
    <w:p w14:paraId="599E653D" w14:textId="77777777" w:rsidR="0088795D" w:rsidRPr="00BB31CB" w:rsidRDefault="0088795D" w:rsidP="0088795D">
      <w:pPr>
        <w:tabs>
          <w:tab w:val="left" w:pos="1440"/>
        </w:tabs>
        <w:spacing w:after="0" w:line="240" w:lineRule="auto"/>
        <w:jc w:val="both"/>
        <w:rPr>
          <w:rFonts w:eastAsia="Times New Roman" w:cs="Arial"/>
          <w:sz w:val="18"/>
          <w:szCs w:val="18"/>
        </w:rPr>
      </w:pPr>
      <w:r w:rsidRPr="00BB31CB">
        <w:rPr>
          <w:rFonts w:eastAsia="Times New Roman" w:cs="Arial"/>
          <w:sz w:val="18"/>
          <w:szCs w:val="18"/>
        </w:rPr>
        <w:t>Telephone:</w:t>
      </w:r>
      <w:r w:rsidRPr="00BB31CB">
        <w:rPr>
          <w:rFonts w:eastAsia="Times New Roman" w:cs="Arial"/>
          <w:sz w:val="18"/>
          <w:szCs w:val="18"/>
        </w:rPr>
        <w:tab/>
      </w:r>
      <w:r w:rsidRPr="00BB31CB">
        <w:rPr>
          <w:rFonts w:cs="Arial"/>
          <w:sz w:val="18"/>
          <w:szCs w:val="18"/>
        </w:rPr>
        <w:t>012 426 8178</w:t>
      </w:r>
    </w:p>
    <w:p w14:paraId="2C9EAE07" w14:textId="77777777" w:rsidR="0088795D" w:rsidRPr="00BB31CB" w:rsidRDefault="0088795D" w:rsidP="0088795D">
      <w:pPr>
        <w:tabs>
          <w:tab w:val="left" w:pos="1440"/>
        </w:tabs>
        <w:spacing w:after="0" w:line="240" w:lineRule="auto"/>
        <w:jc w:val="both"/>
        <w:rPr>
          <w:rFonts w:eastAsia="Times New Roman" w:cs="Arial"/>
          <w:sz w:val="18"/>
          <w:szCs w:val="18"/>
        </w:rPr>
      </w:pPr>
      <w:r w:rsidRPr="00BB31CB">
        <w:rPr>
          <w:rFonts w:eastAsia="Times New Roman" w:cs="Arial"/>
          <w:sz w:val="18"/>
          <w:szCs w:val="18"/>
        </w:rPr>
        <w:t>Fax:</w:t>
      </w:r>
      <w:r w:rsidRPr="00BB31CB">
        <w:rPr>
          <w:rFonts w:eastAsia="Times New Roman" w:cs="Arial"/>
          <w:sz w:val="18"/>
          <w:szCs w:val="18"/>
        </w:rPr>
        <w:tab/>
      </w:r>
      <w:r w:rsidRPr="00BB31CB">
        <w:rPr>
          <w:rFonts w:cs="Arial"/>
          <w:sz w:val="18"/>
          <w:szCs w:val="18"/>
        </w:rPr>
        <w:t>012 422 9619</w:t>
      </w:r>
      <w:r w:rsidRPr="00BB31CB">
        <w:rPr>
          <w:rFonts w:cs="Arial"/>
          <w:sz w:val="18"/>
          <w:szCs w:val="18"/>
        </w:rPr>
        <w:tab/>
      </w:r>
    </w:p>
    <w:p w14:paraId="5E87065A" w14:textId="77777777" w:rsidR="0088795D" w:rsidRDefault="0088795D" w:rsidP="0088795D">
      <w:pPr>
        <w:spacing w:after="0" w:line="240" w:lineRule="auto"/>
        <w:rPr>
          <w:rFonts w:eastAsia="Times New Roman" w:cs="Arial"/>
          <w:b/>
          <w:sz w:val="20"/>
          <w:szCs w:val="20"/>
        </w:rPr>
      </w:pPr>
      <w:r w:rsidRPr="00BB31CB">
        <w:rPr>
          <w:rFonts w:eastAsia="Times New Roman" w:cs="Arial"/>
          <w:sz w:val="18"/>
          <w:szCs w:val="18"/>
        </w:rPr>
        <w:t>Email:</w:t>
      </w:r>
      <w:r w:rsidRPr="00BB31CB">
        <w:rPr>
          <w:rFonts w:eastAsia="Times New Roman" w:cs="Arial"/>
          <w:sz w:val="18"/>
          <w:szCs w:val="18"/>
        </w:rPr>
        <w:tab/>
      </w:r>
      <w:r w:rsidRPr="00BB31CB">
        <w:rPr>
          <w:rFonts w:cs="Arial"/>
          <w:sz w:val="18"/>
          <w:szCs w:val="18"/>
        </w:rPr>
        <w:t>Tintswalom2@agsa.co.za</w:t>
      </w:r>
      <w:r w:rsidRPr="0077659B">
        <w:rPr>
          <w:rFonts w:eastAsia="Times New Roman" w:cs="Arial"/>
          <w:b/>
          <w:sz w:val="20"/>
          <w:szCs w:val="20"/>
        </w:rPr>
        <w:t xml:space="preserve"> </w:t>
      </w:r>
    </w:p>
    <w:p w14:paraId="7D0B934B" w14:textId="77777777" w:rsidR="0088795D" w:rsidRDefault="0088795D" w:rsidP="0088795D">
      <w:pPr>
        <w:spacing w:after="0" w:line="240" w:lineRule="auto"/>
        <w:rPr>
          <w:rFonts w:eastAsia="Times New Roman" w:cs="Arial"/>
          <w:b/>
          <w:sz w:val="20"/>
          <w:szCs w:val="20"/>
        </w:rPr>
      </w:pPr>
    </w:p>
    <w:p w14:paraId="401E93F7" w14:textId="77777777" w:rsidR="00C22F2B" w:rsidRPr="0077659B" w:rsidRDefault="00C22F2B" w:rsidP="0088795D">
      <w:pPr>
        <w:spacing w:after="0" w:line="240" w:lineRule="auto"/>
        <w:rPr>
          <w:rFonts w:eastAsia="Times New Roman" w:cs="Arial"/>
          <w:b/>
          <w:sz w:val="20"/>
          <w:szCs w:val="20"/>
        </w:rPr>
      </w:pPr>
      <w:r w:rsidRPr="0077659B">
        <w:rPr>
          <w:rFonts w:eastAsia="Times New Roman" w:cs="Arial"/>
          <w:b/>
          <w:sz w:val="20"/>
          <w:szCs w:val="20"/>
        </w:rPr>
        <w:t>Distribution:</w:t>
      </w:r>
    </w:p>
    <w:p w14:paraId="701F3DF9" w14:textId="77777777" w:rsidR="00C22F2B" w:rsidRPr="0077659B" w:rsidRDefault="00C22F2B" w:rsidP="00C22F2B">
      <w:pPr>
        <w:spacing w:after="0" w:line="240" w:lineRule="auto"/>
        <w:rPr>
          <w:rFonts w:eastAsia="Times New Roman" w:cs="Arial"/>
          <w:sz w:val="20"/>
          <w:szCs w:val="20"/>
        </w:rPr>
      </w:pPr>
      <w:r w:rsidRPr="0077659B">
        <w:rPr>
          <w:rFonts w:eastAsia="Times New Roman" w:cs="Arial"/>
          <w:sz w:val="20"/>
          <w:szCs w:val="20"/>
        </w:rPr>
        <w:t xml:space="preserve">Audit committee </w:t>
      </w:r>
    </w:p>
    <w:p w14:paraId="79997217" w14:textId="77777777" w:rsidR="005657E9" w:rsidRPr="0077659B" w:rsidRDefault="00C22F2B" w:rsidP="00C22F2B">
      <w:pPr>
        <w:spacing w:after="0" w:line="240" w:lineRule="auto"/>
        <w:rPr>
          <w:rFonts w:eastAsia="Times New Roman" w:cs="Arial"/>
          <w:sz w:val="20"/>
          <w:szCs w:val="20"/>
        </w:rPr>
      </w:pPr>
      <w:r w:rsidRPr="0077659B">
        <w:rPr>
          <w:rFonts w:eastAsia="Times New Roman" w:cs="Arial"/>
          <w:sz w:val="20"/>
          <w:szCs w:val="20"/>
        </w:rPr>
        <w:t>Head of internal audit unit</w:t>
      </w:r>
    </w:p>
    <w:p w14:paraId="0EBAC748" w14:textId="6A66E78B" w:rsidR="001B7737" w:rsidRDefault="001B7737" w:rsidP="00C22F2B">
      <w:pPr>
        <w:spacing w:after="0" w:line="240" w:lineRule="auto"/>
        <w:rPr>
          <w:rFonts w:eastAsia="Times New Roman" w:cs="Arial"/>
          <w:sz w:val="20"/>
          <w:szCs w:val="20"/>
        </w:rPr>
      </w:pPr>
      <w:r w:rsidRPr="0077659B">
        <w:rPr>
          <w:rFonts w:eastAsia="Times New Roman" w:cs="Arial"/>
          <w:sz w:val="20"/>
          <w:szCs w:val="20"/>
        </w:rPr>
        <w:t xml:space="preserve">Executive authority </w:t>
      </w:r>
    </w:p>
    <w:p w14:paraId="08CDAEFE" w14:textId="77777777" w:rsidR="00A301F9" w:rsidRPr="0077659B" w:rsidRDefault="00A301F9" w:rsidP="00C22F2B">
      <w:pPr>
        <w:spacing w:after="0" w:line="240" w:lineRule="auto"/>
        <w:rPr>
          <w:rFonts w:eastAsia="Times New Roman" w:cs="Arial"/>
          <w:sz w:val="20"/>
          <w:szCs w:val="20"/>
        </w:rPr>
      </w:pPr>
    </w:p>
    <w:p w14:paraId="2E7BD06D" w14:textId="77777777" w:rsidR="00CC7F75" w:rsidRPr="0077659B" w:rsidRDefault="00CC7F75" w:rsidP="005657E9">
      <w:pPr>
        <w:spacing w:after="60" w:line="240" w:lineRule="auto"/>
        <w:rPr>
          <w:rFonts w:eastAsia="MS Mincho" w:cs="Arial"/>
          <w:b/>
        </w:rPr>
        <w:sectPr w:rsidR="00CC7F75" w:rsidRPr="0077659B" w:rsidSect="00C12C2B">
          <w:headerReference w:type="even" r:id="rId37"/>
          <w:headerReference w:type="default" r:id="rId38"/>
          <w:headerReference w:type="first" r:id="rId39"/>
          <w:endnotePr>
            <w:numFmt w:val="decimal"/>
          </w:endnotePr>
          <w:pgSz w:w="11906" w:h="16838" w:code="9"/>
          <w:pgMar w:top="1134" w:right="1134" w:bottom="1134" w:left="1134" w:header="1134" w:footer="709" w:gutter="0"/>
          <w:cols w:space="708"/>
          <w:docGrid w:linePitch="360"/>
        </w:sectPr>
      </w:pPr>
    </w:p>
    <w:p w14:paraId="38742A91" w14:textId="77777777" w:rsidR="00BA77B8" w:rsidRPr="00BB6EEC" w:rsidRDefault="00BA77B8" w:rsidP="00BA77B8">
      <w:pPr>
        <w:pStyle w:val="Heading2"/>
      </w:pPr>
      <w:bookmarkStart w:id="183" w:name="S5E41"/>
      <w:bookmarkStart w:id="184" w:name="AnnexureD"/>
      <w:bookmarkStart w:id="185" w:name="_Toc447106669"/>
      <w:bookmarkStart w:id="186" w:name="_Toc42616131"/>
      <w:bookmarkStart w:id="187" w:name="_Toc51137882"/>
      <w:bookmarkStart w:id="188" w:name="_Toc51154090"/>
      <w:bookmarkEnd w:id="183"/>
      <w:bookmarkEnd w:id="184"/>
      <w:r w:rsidRPr="0077659B">
        <w:lastRenderedPageBreak/>
        <w:t>SECTION 10: Summary of detailed audit findings</w:t>
      </w:r>
      <w:bookmarkEnd w:id="185"/>
      <w:bookmarkEnd w:id="186"/>
      <w:bookmarkEnd w:id="187"/>
      <w:bookmarkEnd w:id="188"/>
    </w:p>
    <w:p w14:paraId="5B91DC82" w14:textId="77777777" w:rsidR="00BA77B8" w:rsidRPr="0077659B" w:rsidRDefault="00BA77B8" w:rsidP="00BA77B8">
      <w:pPr>
        <w:autoSpaceDE w:val="0"/>
        <w:autoSpaceDN w:val="0"/>
        <w:adjustRightInd w:val="0"/>
        <w:spacing w:after="0" w:line="240" w:lineRule="auto"/>
        <w:rPr>
          <w:rFonts w:eastAsia="Times New Roman" w:cs="Arial"/>
          <w:sz w:val="20"/>
          <w:szCs w:val="20"/>
        </w:rPr>
      </w:pPr>
    </w:p>
    <w:p w14:paraId="05C54D48" w14:textId="77777777" w:rsidR="00BA77B8" w:rsidRPr="0077659B" w:rsidRDefault="00BA77B8" w:rsidP="00BA77B8">
      <w:pPr>
        <w:spacing w:line="240" w:lineRule="auto"/>
        <w:rPr>
          <w:rFonts w:eastAsia="Times New Roman" w:cs="Arial"/>
          <w:color w:val="003B79"/>
          <w:lang w:eastAsia="en-GB"/>
        </w:rPr>
        <w:sectPr w:rsidR="00BA77B8" w:rsidRPr="0077659B" w:rsidSect="00C12C2B">
          <w:headerReference w:type="default" r:id="rId40"/>
          <w:endnotePr>
            <w:numFmt w:val="decimal"/>
          </w:endnotePr>
          <w:pgSz w:w="16838" w:h="11906" w:orient="landscape" w:code="9"/>
          <w:pgMar w:top="1134" w:right="1134" w:bottom="1134" w:left="1134" w:header="1616" w:footer="709" w:gutter="0"/>
          <w:cols w:space="708"/>
          <w:docGrid w:linePitch="360"/>
        </w:sectPr>
      </w:pPr>
    </w:p>
    <w:p w14:paraId="7D3285C4" w14:textId="77777777" w:rsidR="00BA77B8" w:rsidRPr="0077659B" w:rsidRDefault="00BA77B8" w:rsidP="00BA77B8">
      <w:pPr>
        <w:pStyle w:val="Heading2"/>
        <w:rPr>
          <w:rFonts w:ascii="Arial" w:hAnsi="Arial"/>
        </w:rPr>
      </w:pPr>
      <w:bookmarkStart w:id="189" w:name="_Toc447106670"/>
      <w:bookmarkStart w:id="190" w:name="_Toc42616132"/>
      <w:bookmarkStart w:id="191" w:name="_Toc51137883"/>
      <w:bookmarkStart w:id="192" w:name="_Toc51154091"/>
      <w:r w:rsidRPr="0077659B">
        <w:rPr>
          <w:caps w:val="0"/>
        </w:rPr>
        <w:lastRenderedPageBreak/>
        <w:t>DETAILED AUDIT FINDINGS: ANNEXURES A TO C</w:t>
      </w:r>
      <w:bookmarkEnd w:id="189"/>
      <w:bookmarkEnd w:id="190"/>
      <w:bookmarkEnd w:id="191"/>
      <w:bookmarkEnd w:id="192"/>
    </w:p>
    <w:p w14:paraId="16429C67" w14:textId="77777777" w:rsidR="00BA77B8" w:rsidRPr="00BB6EEC" w:rsidRDefault="00BA77B8" w:rsidP="00BA77B8">
      <w:pPr>
        <w:pStyle w:val="Heading3"/>
        <w:rPr>
          <w:lang w:val="en-ZA"/>
        </w:rPr>
      </w:pPr>
      <w:bookmarkStart w:id="193" w:name="_Toc447106671"/>
      <w:bookmarkStart w:id="194" w:name="_Toc42616133"/>
      <w:bookmarkStart w:id="195" w:name="_Toc51137884"/>
      <w:bookmarkStart w:id="196" w:name="_Toc51154092"/>
      <w:r w:rsidRPr="00BB6EEC">
        <w:rPr>
          <w:lang w:val="en-ZA"/>
        </w:rPr>
        <w:t>ANNEXURE A: MATTERS AFFECTING THE AUDITOR’S REPORT</w:t>
      </w:r>
      <w:bookmarkEnd w:id="193"/>
      <w:bookmarkEnd w:id="194"/>
      <w:bookmarkEnd w:id="195"/>
      <w:bookmarkEnd w:id="196"/>
      <w:r w:rsidRPr="00BB6EEC">
        <w:rPr>
          <w:lang w:val="en-ZA"/>
        </w:rPr>
        <w:t xml:space="preserve"> </w:t>
      </w:r>
    </w:p>
    <w:p w14:paraId="1476D9FC" w14:textId="77777777" w:rsidR="00BA77B8" w:rsidRPr="0077659B" w:rsidRDefault="00BA77B8" w:rsidP="00BA77B8">
      <w:pPr>
        <w:rPr>
          <w:rFonts w:eastAsia="Calibri"/>
        </w:rPr>
      </w:pPr>
    </w:p>
    <w:p w14:paraId="2E9565B9" w14:textId="77777777" w:rsidR="00BA77B8" w:rsidRDefault="00BA77B8" w:rsidP="00BA77B8">
      <w:pPr>
        <w:spacing w:after="0" w:line="240" w:lineRule="auto"/>
        <w:rPr>
          <w:rFonts w:eastAsia="Times New Roman" w:cs="Arial"/>
          <w:i/>
          <w:iCs/>
          <w:sz w:val="20"/>
          <w:szCs w:val="20"/>
        </w:rPr>
        <w:sectPr w:rsidR="00BA77B8" w:rsidSect="00BA77B8">
          <w:headerReference w:type="even" r:id="rId41"/>
          <w:headerReference w:type="default" r:id="rId42"/>
          <w:headerReference w:type="first" r:id="rId43"/>
          <w:endnotePr>
            <w:numFmt w:val="decimal"/>
          </w:endnotePr>
          <w:pgSz w:w="11906" w:h="16838" w:code="9"/>
          <w:pgMar w:top="1134" w:right="1134" w:bottom="1134" w:left="1134" w:header="1134" w:footer="709" w:gutter="0"/>
          <w:cols w:space="708"/>
          <w:docGrid w:linePitch="360"/>
        </w:sectPr>
      </w:pPr>
    </w:p>
    <w:p w14:paraId="346C477E" w14:textId="77777777" w:rsidR="00BA77B8" w:rsidRPr="0077659B" w:rsidRDefault="00BA77B8" w:rsidP="00BA77B8">
      <w:pPr>
        <w:spacing w:after="0" w:line="240" w:lineRule="auto"/>
        <w:rPr>
          <w:rFonts w:eastAsia="MS Mincho" w:cs="Arial"/>
          <w:b/>
          <w:bCs/>
          <w:sz w:val="20"/>
          <w:szCs w:val="28"/>
        </w:rPr>
      </w:pPr>
    </w:p>
    <w:p w14:paraId="38FF8C15" w14:textId="77777777" w:rsidR="00BA77B8" w:rsidRPr="00BB6EEC" w:rsidRDefault="00BA77B8" w:rsidP="00BA77B8">
      <w:pPr>
        <w:pStyle w:val="Heading3"/>
        <w:rPr>
          <w:lang w:val="en-ZA"/>
        </w:rPr>
      </w:pPr>
      <w:bookmarkStart w:id="197" w:name="_Toc447106673"/>
      <w:bookmarkStart w:id="198" w:name="_Toc42616134"/>
      <w:bookmarkStart w:id="199" w:name="_Toc51137885"/>
      <w:bookmarkStart w:id="200" w:name="_Toc51154093"/>
      <w:r w:rsidRPr="00BB6EEC">
        <w:rPr>
          <w:lang w:val="en-ZA"/>
        </w:rPr>
        <w:t>ANNEXURE B: OTHER IMPORTANT MATTERS</w:t>
      </w:r>
      <w:bookmarkEnd w:id="197"/>
      <w:bookmarkEnd w:id="198"/>
      <w:bookmarkEnd w:id="199"/>
      <w:bookmarkEnd w:id="200"/>
      <w:r w:rsidRPr="00BB6EEC">
        <w:rPr>
          <w:lang w:val="en-ZA"/>
        </w:rPr>
        <w:t xml:space="preserve"> </w:t>
      </w:r>
    </w:p>
    <w:p w14:paraId="3EADDD44" w14:textId="77777777" w:rsidR="00BA77B8" w:rsidRPr="0077659B" w:rsidRDefault="00BA77B8" w:rsidP="00BA77B8">
      <w:pPr>
        <w:pStyle w:val="Heading4"/>
        <w:rPr>
          <w:b w:val="0"/>
        </w:rPr>
      </w:pPr>
    </w:p>
    <w:p w14:paraId="440F879D" w14:textId="77777777" w:rsidR="00BA77B8" w:rsidRDefault="00BA77B8" w:rsidP="00BA77B8">
      <w:pPr>
        <w:rPr>
          <w:rFonts w:eastAsia="Calibri"/>
        </w:rPr>
        <w:sectPr w:rsidR="00BA77B8" w:rsidSect="00BA77B8">
          <w:headerReference w:type="even" r:id="rId44"/>
          <w:headerReference w:type="default" r:id="rId45"/>
          <w:headerReference w:type="first" r:id="rId46"/>
          <w:endnotePr>
            <w:numFmt w:val="decimal"/>
          </w:endnotePr>
          <w:pgSz w:w="11906" w:h="16838" w:code="9"/>
          <w:pgMar w:top="1134" w:right="1134" w:bottom="1134" w:left="1134" w:header="1134" w:footer="709" w:gutter="0"/>
          <w:pgNumType w:start="162"/>
          <w:cols w:space="708"/>
          <w:docGrid w:linePitch="360"/>
        </w:sectPr>
      </w:pPr>
    </w:p>
    <w:p w14:paraId="3617C9D0" w14:textId="77777777" w:rsidR="00BA77B8" w:rsidRDefault="00BA77B8" w:rsidP="00BA77B8">
      <w:pPr>
        <w:spacing w:after="200"/>
        <w:rPr>
          <w:rFonts w:ascii="Century Gothic" w:eastAsia="MS Mincho" w:hAnsi="Century Gothic" w:cs="Arial"/>
          <w:b/>
          <w:bCs/>
          <w:color w:val="365F91"/>
          <w:sz w:val="28"/>
          <w:szCs w:val="28"/>
        </w:rPr>
      </w:pPr>
    </w:p>
    <w:p w14:paraId="7159785A" w14:textId="77777777" w:rsidR="002D6CC1" w:rsidRPr="0077659B" w:rsidRDefault="001B12C6" w:rsidP="002D6CC1">
      <w:pPr>
        <w:pStyle w:val="Heading2"/>
      </w:pPr>
      <w:bookmarkStart w:id="201" w:name="_Toc51154094"/>
      <w:r w:rsidRPr="0077659B">
        <w:rPr>
          <w:caps w:val="0"/>
        </w:rPr>
        <w:t>ANNEXURE D: PERFORMANCE MANAGEMENT AND REPORTING FRAMEWORK</w:t>
      </w:r>
      <w:bookmarkEnd w:id="201"/>
    </w:p>
    <w:p w14:paraId="106AF5CE" w14:textId="77777777" w:rsidR="002C07AF" w:rsidRPr="0077659B" w:rsidRDefault="002C07AF" w:rsidP="00262BD0">
      <w:pPr>
        <w:spacing w:before="240"/>
        <w:rPr>
          <w:rFonts w:cs="Arial"/>
        </w:rPr>
      </w:pPr>
      <w:r w:rsidRPr="0077659B">
        <w:rPr>
          <w:rFonts w:cs="Arial"/>
        </w:rPr>
        <w:t>The Performance Management and Reporting Framework (PMRF) consists of the following:</w:t>
      </w:r>
    </w:p>
    <w:p w14:paraId="7264A2E5" w14:textId="77777777" w:rsidR="002C07AF" w:rsidRPr="0077659B" w:rsidRDefault="002C07AF" w:rsidP="00BB6EEC">
      <w:pPr>
        <w:pStyle w:val="Bulletedlist"/>
        <w:numPr>
          <w:ilvl w:val="0"/>
          <w:numId w:val="0"/>
        </w:numPr>
        <w:ind w:left="567"/>
      </w:pPr>
      <w:r w:rsidRPr="0077659B">
        <w:t>Legislation applicable to performance planning, management and reporting, which includes the following:</w:t>
      </w:r>
    </w:p>
    <w:p w14:paraId="19CA1AD6" w14:textId="77777777" w:rsidR="002C07AF" w:rsidRPr="0077659B" w:rsidRDefault="002C07AF" w:rsidP="00AE0E10">
      <w:pPr>
        <w:pStyle w:val="Bulletedlist"/>
        <w:ind w:left="851" w:hanging="283"/>
      </w:pPr>
      <w:r w:rsidRPr="0077659B">
        <w:t>Public Finance Management Act, 1999 (Act No. 1 of 1999) (PFMA)</w:t>
      </w:r>
    </w:p>
    <w:p w14:paraId="79745017" w14:textId="77777777" w:rsidR="002C07AF" w:rsidRPr="0077659B" w:rsidRDefault="002C07AF" w:rsidP="00AE0E10">
      <w:pPr>
        <w:pStyle w:val="Bulletedlist"/>
        <w:ind w:left="851" w:hanging="283"/>
      </w:pPr>
      <w:r w:rsidRPr="0077659B">
        <w:t>Treasury Regulations, 2005 issued in terms of the PFMA</w:t>
      </w:r>
    </w:p>
    <w:p w14:paraId="7E318613" w14:textId="77777777" w:rsidR="002C07AF" w:rsidRPr="0077659B" w:rsidRDefault="002C07AF" w:rsidP="00AE0E10">
      <w:pPr>
        <w:pStyle w:val="Bulletedlist"/>
        <w:ind w:left="851" w:hanging="283"/>
      </w:pPr>
      <w:r w:rsidRPr="0077659B">
        <w:t xml:space="preserve">National treasury practice note 4 of 2009-10 </w:t>
      </w:r>
    </w:p>
    <w:p w14:paraId="4CF193B1" w14:textId="77777777" w:rsidR="00927248" w:rsidRPr="0077659B" w:rsidRDefault="00927248" w:rsidP="00AE0E10">
      <w:pPr>
        <w:pStyle w:val="Bulletedlist"/>
        <w:ind w:left="851" w:hanging="283"/>
      </w:pPr>
      <w:r w:rsidRPr="0077659B">
        <w:t>Public Service Act, 1994 (PSA)</w:t>
      </w:r>
    </w:p>
    <w:p w14:paraId="6ABBD2D4" w14:textId="77777777" w:rsidR="002C07AF" w:rsidRPr="0077659B" w:rsidRDefault="002C07AF" w:rsidP="00AE0E10">
      <w:pPr>
        <w:pStyle w:val="Bulletedlist"/>
        <w:ind w:left="851" w:hanging="283"/>
      </w:pPr>
      <w:r w:rsidRPr="0077659B">
        <w:t>Public Service Regulations, 20</w:t>
      </w:r>
      <w:r w:rsidR="00927248" w:rsidRPr="0077659B">
        <w:t>16</w:t>
      </w:r>
      <w:r w:rsidRPr="0077659B">
        <w:t xml:space="preserve"> issued in terms of the Public Service Act </w:t>
      </w:r>
    </w:p>
    <w:p w14:paraId="4293ED93" w14:textId="77777777" w:rsidR="000622DA" w:rsidRPr="0077659B" w:rsidRDefault="002C07AF" w:rsidP="00AE0E10">
      <w:pPr>
        <w:pStyle w:val="Bulletedlist"/>
        <w:ind w:left="851" w:hanging="283"/>
      </w:pPr>
      <w:r w:rsidRPr="0077659B">
        <w:t>Financial Management of Parliament and Provincial Legislatures Act, 2009 (Act No. 10 of 2009) (FMPPL)</w:t>
      </w:r>
    </w:p>
    <w:p w14:paraId="400E0315" w14:textId="77777777" w:rsidR="000622DA" w:rsidRPr="0077659B" w:rsidRDefault="000622DA" w:rsidP="00AE0E10">
      <w:pPr>
        <w:pStyle w:val="Bulletedlist"/>
        <w:ind w:left="851" w:hanging="283"/>
      </w:pPr>
      <w:r w:rsidRPr="0077659B">
        <w:t>Regulations for reporting by public higher education institutions, 2014, issued in terms of the Higher Education Act, 1997 (applicable to universities only)</w:t>
      </w:r>
    </w:p>
    <w:p w14:paraId="74991EEF" w14:textId="77777777" w:rsidR="002C07AF" w:rsidRPr="0077659B" w:rsidRDefault="002C07AF" w:rsidP="00AE0E10">
      <w:pPr>
        <w:pStyle w:val="Bulletedlist"/>
        <w:ind w:left="851" w:hanging="283"/>
      </w:pPr>
      <w:r w:rsidRPr="0077659B">
        <w:t>The Framework for Managing Programme Performance Information (FMPPI), issued by the National Treasury. This framework is applicable to all spheres of government.</w:t>
      </w:r>
    </w:p>
    <w:p w14:paraId="31449CA7" w14:textId="77777777" w:rsidR="002C07AF" w:rsidRPr="0077659B" w:rsidRDefault="002C07AF" w:rsidP="00AE0E10">
      <w:pPr>
        <w:pStyle w:val="Bulletedlist"/>
        <w:ind w:left="851" w:hanging="283"/>
      </w:pPr>
      <w:r w:rsidRPr="0077659B">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303A86D0" w14:textId="77777777" w:rsidR="002C07AF" w:rsidRPr="0077659B" w:rsidRDefault="002C07AF" w:rsidP="00AE0E10">
      <w:pPr>
        <w:pStyle w:val="Bulletedlist"/>
        <w:ind w:left="851" w:hanging="283"/>
        <w:rPr>
          <w:rFonts w:eastAsia="MS Mincho"/>
          <w:b/>
        </w:rPr>
      </w:pPr>
      <w:r w:rsidRPr="0077659B">
        <w:t>Circulars and guidance issued by the National Treasury</w:t>
      </w:r>
      <w:r w:rsidR="00927248" w:rsidRPr="0077659B">
        <w:t xml:space="preserve"> </w:t>
      </w:r>
      <w:r w:rsidR="008D611A" w:rsidRPr="0077659B">
        <w:t xml:space="preserve">and the </w:t>
      </w:r>
      <w:r w:rsidR="00927248" w:rsidRPr="0077659B">
        <w:t>Department of Public Service and Administration (DPSA)</w:t>
      </w:r>
      <w:r w:rsidR="008D611A" w:rsidRPr="0077659B">
        <w:t>,</w:t>
      </w:r>
      <w:r w:rsidR="00927248" w:rsidRPr="0077659B">
        <w:t xml:space="preserve"> </w:t>
      </w:r>
      <w:r w:rsidRPr="0077659B">
        <w:t>and</w:t>
      </w:r>
      <w:r w:rsidR="00927248" w:rsidRPr="0077659B">
        <w:t xml:space="preserve"> supported by the</w:t>
      </w:r>
      <w:r w:rsidRPr="0077659B">
        <w:t xml:space="preserve"> Department of Planning Monitoring and Evaluation</w:t>
      </w:r>
      <w:r w:rsidR="00927248" w:rsidRPr="0077659B">
        <w:t xml:space="preserve"> (DPME)</w:t>
      </w:r>
      <w:r w:rsidRPr="0077659B">
        <w:t xml:space="preserve"> regarding the planning, management, monitoring and reporting of performance against predetermined objectives.</w:t>
      </w:r>
    </w:p>
    <w:p w14:paraId="5052B2BA" w14:textId="77777777" w:rsidR="002C07AF" w:rsidRPr="0077659B" w:rsidRDefault="002C07AF" w:rsidP="002C07AF">
      <w:pPr>
        <w:rPr>
          <w:rFonts w:eastAsia="MS Mincho" w:cs="Arial"/>
          <w:b/>
        </w:rPr>
      </w:pPr>
    </w:p>
    <w:p w14:paraId="0F9F6942" w14:textId="77777777" w:rsidR="002C07AF" w:rsidRPr="0077659B" w:rsidRDefault="002C07AF" w:rsidP="002C07AF">
      <w:pPr>
        <w:spacing w:after="60" w:line="240" w:lineRule="auto"/>
        <w:rPr>
          <w:rFonts w:eastAsia="MS Mincho" w:cs="Arial"/>
          <w:b/>
        </w:rPr>
      </w:pPr>
    </w:p>
    <w:p w14:paraId="7195BABA" w14:textId="77777777" w:rsidR="002C07AF" w:rsidRPr="0077659B" w:rsidRDefault="002C07AF" w:rsidP="002C07AF">
      <w:pPr>
        <w:spacing w:after="60" w:line="240" w:lineRule="auto"/>
        <w:rPr>
          <w:rFonts w:eastAsia="MS Mincho" w:cs="Arial"/>
          <w:b/>
        </w:rPr>
      </w:pPr>
    </w:p>
    <w:p w14:paraId="182962CA" w14:textId="77777777" w:rsidR="002C07AF" w:rsidRPr="0077659B" w:rsidRDefault="002C07AF" w:rsidP="002C07AF">
      <w:pPr>
        <w:rPr>
          <w:rFonts w:eastAsia="MS Mincho" w:cs="Arial"/>
          <w:b/>
        </w:rPr>
      </w:pPr>
      <w:r w:rsidRPr="0077659B">
        <w:rPr>
          <w:rFonts w:eastAsia="MS Mincho" w:cs="Arial"/>
          <w:b/>
        </w:rPr>
        <w:br w:type="page"/>
      </w:r>
    </w:p>
    <w:p w14:paraId="06BFA48C" w14:textId="77777777" w:rsidR="002C07AF" w:rsidRPr="0077659B" w:rsidRDefault="002C07AF" w:rsidP="002C07AF">
      <w:pPr>
        <w:spacing w:after="60" w:line="240" w:lineRule="auto"/>
        <w:rPr>
          <w:rFonts w:eastAsia="MS Mincho" w:cs="Arial"/>
          <w:b/>
        </w:rPr>
        <w:sectPr w:rsidR="002C07AF" w:rsidRPr="0077659B" w:rsidSect="00BA77B8">
          <w:endnotePr>
            <w:numFmt w:val="decimal"/>
          </w:endnotePr>
          <w:pgSz w:w="11906" w:h="16838" w:code="9"/>
          <w:pgMar w:top="1134" w:right="1134" w:bottom="1134" w:left="1134" w:header="1134" w:footer="709" w:gutter="0"/>
          <w:pgNumType w:start="169"/>
          <w:cols w:space="708"/>
          <w:docGrid w:linePitch="360"/>
        </w:sectPr>
      </w:pPr>
    </w:p>
    <w:p w14:paraId="01183514" w14:textId="77777777" w:rsidR="002C07AF" w:rsidRPr="0077659B" w:rsidRDefault="002C07AF" w:rsidP="00A3735E">
      <w:pPr>
        <w:rPr>
          <w:rFonts w:cs="Arial"/>
          <w:b/>
        </w:rPr>
      </w:pPr>
      <w:r w:rsidRPr="0077659B">
        <w:rPr>
          <w:rFonts w:cs="Arial"/>
          <w:b/>
        </w:rPr>
        <w:lastRenderedPageBreak/>
        <w:t xml:space="preserve">Annexure D – Criteria developed from the performance management and reporting framework </w:t>
      </w:r>
    </w:p>
    <w:p w14:paraId="18B8E5CF" w14:textId="77777777" w:rsidR="002C07AF" w:rsidRPr="0077659B" w:rsidRDefault="002C07AF" w:rsidP="002C07AF">
      <w:pPr>
        <w:rPr>
          <w:rFonts w:cs="Arial"/>
          <w:iCs/>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2933"/>
        <w:gridCol w:w="2932"/>
        <w:gridCol w:w="2929"/>
        <w:gridCol w:w="2868"/>
      </w:tblGrid>
      <w:tr w:rsidR="000622DA" w:rsidRPr="0077659B" w14:paraId="3A1764BF" w14:textId="77777777" w:rsidTr="000913DD">
        <w:trPr>
          <w:tblHeader/>
        </w:trPr>
        <w:tc>
          <w:tcPr>
            <w:tcW w:w="995" w:type="pct"/>
            <w:vMerge w:val="restart"/>
            <w:shd w:val="clear" w:color="auto" w:fill="D9D9D9" w:themeFill="background1" w:themeFillShade="D9"/>
          </w:tcPr>
          <w:p w14:paraId="0854E9C1" w14:textId="77777777" w:rsidR="000622DA" w:rsidRPr="0077659B" w:rsidRDefault="000622DA" w:rsidP="000913DD">
            <w:pPr>
              <w:spacing w:before="60" w:after="60"/>
              <w:jc w:val="center"/>
              <w:rPr>
                <w:rFonts w:cs="Arial"/>
                <w:b/>
                <w:sz w:val="20"/>
                <w:szCs w:val="20"/>
                <w:lang w:eastAsia="en-GB"/>
              </w:rPr>
            </w:pPr>
            <w:r w:rsidRPr="0077659B">
              <w:rPr>
                <w:rFonts w:cs="Arial"/>
                <w:b/>
                <w:sz w:val="20"/>
                <w:szCs w:val="20"/>
                <w:lang w:eastAsia="en-GB"/>
              </w:rPr>
              <w:t>CRITERIA</w:t>
            </w:r>
          </w:p>
        </w:tc>
        <w:tc>
          <w:tcPr>
            <w:tcW w:w="4005" w:type="pct"/>
            <w:gridSpan w:val="4"/>
            <w:shd w:val="clear" w:color="auto" w:fill="D9D9D9" w:themeFill="background1" w:themeFillShade="D9"/>
          </w:tcPr>
          <w:p w14:paraId="3C984EE4" w14:textId="77777777" w:rsidR="000622DA" w:rsidRPr="0077659B" w:rsidRDefault="000622DA" w:rsidP="000913DD">
            <w:pPr>
              <w:spacing w:before="60" w:after="60"/>
              <w:jc w:val="center"/>
              <w:rPr>
                <w:rFonts w:cs="Arial"/>
                <w:b/>
                <w:sz w:val="20"/>
                <w:szCs w:val="20"/>
                <w:lang w:eastAsia="en-GB"/>
              </w:rPr>
            </w:pPr>
            <w:r w:rsidRPr="0077659B">
              <w:rPr>
                <w:rFonts w:cs="Arial"/>
                <w:b/>
                <w:sz w:val="20"/>
                <w:szCs w:val="20"/>
                <w:lang w:eastAsia="en-GB"/>
              </w:rPr>
              <w:t>REFERENCES TO THE PMRF PER TYPE OF ENTITY</w:t>
            </w:r>
          </w:p>
        </w:tc>
      </w:tr>
      <w:tr w:rsidR="00542C02" w:rsidRPr="0077659B" w14:paraId="36D0A644" w14:textId="77777777" w:rsidTr="000913DD">
        <w:trPr>
          <w:tblHeader/>
        </w:trPr>
        <w:tc>
          <w:tcPr>
            <w:tcW w:w="995" w:type="pct"/>
            <w:vMerge/>
            <w:tcBorders>
              <w:bottom w:val="single" w:sz="4" w:space="0" w:color="000000"/>
            </w:tcBorders>
            <w:shd w:val="clear" w:color="auto" w:fill="D9D9D9" w:themeFill="background1" w:themeFillShade="D9"/>
          </w:tcPr>
          <w:p w14:paraId="2E80C25D" w14:textId="77777777" w:rsidR="000622DA" w:rsidRPr="0077659B" w:rsidRDefault="000622DA" w:rsidP="000913DD">
            <w:pPr>
              <w:spacing w:before="60" w:after="60"/>
              <w:jc w:val="center"/>
              <w:rPr>
                <w:rFonts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1CAD2E7F" w14:textId="77777777" w:rsidR="000622DA" w:rsidRPr="0077659B" w:rsidRDefault="000622DA" w:rsidP="000913DD">
            <w:pPr>
              <w:spacing w:after="0" w:line="240" w:lineRule="auto"/>
              <w:ind w:left="720"/>
              <w:jc w:val="center"/>
              <w:rPr>
                <w:rFonts w:cs="Arial"/>
                <w:b/>
                <w:bCs/>
                <w:sz w:val="20"/>
                <w:szCs w:val="20"/>
              </w:rPr>
            </w:pPr>
            <w:r w:rsidRPr="0077659B">
              <w:rPr>
                <w:rFonts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3ADD8744" w14:textId="77777777" w:rsidR="000622DA" w:rsidRPr="0077659B" w:rsidRDefault="000622DA" w:rsidP="000913DD">
            <w:pPr>
              <w:spacing w:after="0" w:line="240" w:lineRule="auto"/>
              <w:ind w:left="720"/>
              <w:jc w:val="center"/>
              <w:rPr>
                <w:rFonts w:cs="Arial"/>
                <w:b/>
                <w:bCs/>
                <w:sz w:val="20"/>
                <w:szCs w:val="20"/>
              </w:rPr>
            </w:pPr>
            <w:r w:rsidRPr="0077659B">
              <w:rPr>
                <w:rFonts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5F9B2055" w14:textId="77777777" w:rsidR="000622DA" w:rsidRPr="0077659B" w:rsidRDefault="000622DA" w:rsidP="000913DD">
            <w:pPr>
              <w:jc w:val="center"/>
              <w:rPr>
                <w:rFonts w:cs="Arial"/>
                <w:b/>
                <w:bCs/>
                <w:sz w:val="20"/>
                <w:szCs w:val="20"/>
              </w:rPr>
            </w:pPr>
            <w:r w:rsidRPr="0077659B">
              <w:rPr>
                <w:rFonts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5D34348B" w14:textId="77777777" w:rsidR="000622DA" w:rsidRPr="0077659B" w:rsidRDefault="000622DA" w:rsidP="000913DD">
            <w:pPr>
              <w:jc w:val="center"/>
              <w:rPr>
                <w:rFonts w:cs="Arial"/>
                <w:b/>
                <w:bCs/>
                <w:sz w:val="20"/>
                <w:szCs w:val="20"/>
              </w:rPr>
            </w:pPr>
            <w:r w:rsidRPr="0077659B">
              <w:rPr>
                <w:rFonts w:cs="Arial"/>
                <w:b/>
                <w:bCs/>
                <w:sz w:val="20"/>
                <w:szCs w:val="20"/>
              </w:rPr>
              <w:t>Universities</w:t>
            </w:r>
          </w:p>
        </w:tc>
      </w:tr>
      <w:tr w:rsidR="00B75402" w:rsidRPr="0077659B" w14:paraId="4CF4F750" w14:textId="77777777" w:rsidTr="000913DD">
        <w:trPr>
          <w:trHeight w:val="347"/>
        </w:trPr>
        <w:tc>
          <w:tcPr>
            <w:tcW w:w="5000" w:type="pct"/>
            <w:gridSpan w:val="5"/>
            <w:shd w:val="clear" w:color="auto" w:fill="D9D9D9" w:themeFill="background1" w:themeFillShade="D9"/>
            <w:vAlign w:val="center"/>
          </w:tcPr>
          <w:p w14:paraId="7D875C83" w14:textId="77777777" w:rsidR="00B75402" w:rsidRPr="0077659B" w:rsidRDefault="00B75402" w:rsidP="000913DD">
            <w:pPr>
              <w:rPr>
                <w:rFonts w:cs="Arial"/>
                <w:b/>
                <w:bCs/>
                <w:sz w:val="20"/>
                <w:szCs w:val="20"/>
              </w:rPr>
            </w:pPr>
            <w:r w:rsidRPr="0077659B">
              <w:rPr>
                <w:rFonts w:cs="Arial"/>
                <w:b/>
                <w:bCs/>
                <w:sz w:val="20"/>
                <w:szCs w:val="20"/>
              </w:rPr>
              <w:t>Consistency: Objectives, performance measures / indicators and targets are consistent between planning and reporting documents</w:t>
            </w:r>
          </w:p>
        </w:tc>
      </w:tr>
      <w:tr w:rsidR="00542C02" w:rsidRPr="0077659B" w14:paraId="5C011FF0" w14:textId="77777777" w:rsidTr="000913DD">
        <w:tc>
          <w:tcPr>
            <w:tcW w:w="995" w:type="pct"/>
            <w:shd w:val="clear" w:color="auto" w:fill="auto"/>
          </w:tcPr>
          <w:p w14:paraId="6CC09D4A"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Reported strategic or development objectives are consistent or complete when compared to planned objectives</w:t>
            </w:r>
          </w:p>
        </w:tc>
        <w:tc>
          <w:tcPr>
            <w:tcW w:w="1007" w:type="pct"/>
            <w:shd w:val="clear" w:color="auto" w:fill="auto"/>
          </w:tcPr>
          <w:p w14:paraId="345F08EF" w14:textId="77777777" w:rsidR="000622DA" w:rsidRPr="0077659B" w:rsidRDefault="000622DA" w:rsidP="000913DD">
            <w:pPr>
              <w:rPr>
                <w:rFonts w:cs="Arial"/>
                <w:sz w:val="20"/>
                <w:szCs w:val="20"/>
              </w:rPr>
            </w:pPr>
            <w:r w:rsidRPr="0077659B">
              <w:rPr>
                <w:rFonts w:cs="Arial"/>
                <w:sz w:val="20"/>
                <w:szCs w:val="20"/>
              </w:rPr>
              <w:t>Section 40(3)(a) of the PFMA</w:t>
            </w:r>
          </w:p>
          <w:p w14:paraId="3CE685C7" w14:textId="77777777" w:rsidR="00B75402" w:rsidRPr="0077659B" w:rsidRDefault="000622DA" w:rsidP="000913DD">
            <w:pPr>
              <w:rPr>
                <w:rFonts w:cs="Arial"/>
                <w:sz w:val="20"/>
                <w:szCs w:val="20"/>
              </w:rPr>
            </w:pPr>
            <w:r w:rsidRPr="0077659B">
              <w:rPr>
                <w:rFonts w:cs="Arial"/>
                <w:sz w:val="20"/>
                <w:szCs w:val="20"/>
              </w:rPr>
              <w:t xml:space="preserve">TR 5.2.4 </w:t>
            </w:r>
          </w:p>
          <w:p w14:paraId="72A6EBAC"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08AC1129"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25(1) and 31(1) of the  PSR</w:t>
            </w:r>
          </w:p>
        </w:tc>
        <w:tc>
          <w:tcPr>
            <w:tcW w:w="1007" w:type="pct"/>
            <w:shd w:val="clear" w:color="auto" w:fill="auto"/>
          </w:tcPr>
          <w:p w14:paraId="4C1B061F" w14:textId="77777777" w:rsidR="000622DA" w:rsidRPr="0077659B" w:rsidRDefault="000622DA" w:rsidP="000913DD">
            <w:pPr>
              <w:rPr>
                <w:rFonts w:cs="Arial"/>
                <w:sz w:val="20"/>
                <w:szCs w:val="20"/>
              </w:rPr>
            </w:pPr>
            <w:r w:rsidRPr="0077659B">
              <w:rPr>
                <w:rFonts w:cs="Arial"/>
                <w:sz w:val="20"/>
                <w:szCs w:val="20"/>
              </w:rPr>
              <w:t>Section 55(2)(a) of the PFMA</w:t>
            </w:r>
            <w:r w:rsidRPr="0077659B">
              <w:rPr>
                <w:rFonts w:cs="Arial"/>
                <w:sz w:val="20"/>
                <w:szCs w:val="20"/>
              </w:rPr>
              <w:br/>
              <w:t>TR 28.2.2</w:t>
            </w:r>
          </w:p>
          <w:p w14:paraId="43C69DE4" w14:textId="77777777" w:rsidR="00B75402" w:rsidRPr="0077659B" w:rsidRDefault="00B75402" w:rsidP="000913DD">
            <w:pPr>
              <w:rPr>
                <w:rFonts w:cs="Arial"/>
                <w:sz w:val="20"/>
                <w:szCs w:val="20"/>
                <w:lang w:eastAsia="en-GB"/>
              </w:rPr>
            </w:pPr>
            <w:r w:rsidRPr="0077659B">
              <w:rPr>
                <w:rFonts w:cs="Arial"/>
                <w:sz w:val="20"/>
                <w:szCs w:val="20"/>
                <w:lang w:eastAsia="en-GB"/>
              </w:rPr>
              <w:t>Applicab</w:t>
            </w:r>
            <w:r w:rsidR="008D611A" w:rsidRPr="0077659B">
              <w:rPr>
                <w:rFonts w:cs="Arial"/>
                <w:sz w:val="20"/>
                <w:szCs w:val="20"/>
                <w:lang w:eastAsia="en-GB"/>
              </w:rPr>
              <w:t>le to 3A &amp; 3C public entities:</w:t>
            </w:r>
            <w:r w:rsidRPr="0077659B">
              <w:rPr>
                <w:rFonts w:cs="Arial"/>
                <w:sz w:val="20"/>
                <w:szCs w:val="20"/>
                <w:lang w:eastAsia="en-GB"/>
              </w:rPr>
              <w:t xml:space="preserve"> TR 30.1.3(g)</w:t>
            </w:r>
          </w:p>
          <w:p w14:paraId="35A40A5F"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ote 33: Implementation of the FSAPP</w:t>
            </w:r>
          </w:p>
          <w:p w14:paraId="712EB07B" w14:textId="77777777" w:rsidR="000622DA" w:rsidRPr="0077659B" w:rsidRDefault="00B75402"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273553F3" w14:textId="77777777" w:rsidR="000622DA" w:rsidRPr="0077659B" w:rsidRDefault="000622DA" w:rsidP="000913DD">
            <w:pPr>
              <w:spacing w:after="0" w:line="240" w:lineRule="auto"/>
              <w:rPr>
                <w:rFonts w:cs="Arial"/>
                <w:sz w:val="20"/>
                <w:szCs w:val="20"/>
              </w:rPr>
            </w:pPr>
            <w:r w:rsidRPr="0077659B">
              <w:rPr>
                <w:rFonts w:cs="Arial"/>
                <w:sz w:val="20"/>
                <w:szCs w:val="20"/>
              </w:rPr>
              <w:t>Section 55(3)(d) of the FMPPLA</w:t>
            </w:r>
          </w:p>
        </w:tc>
        <w:tc>
          <w:tcPr>
            <w:tcW w:w="985" w:type="pct"/>
          </w:tcPr>
          <w:p w14:paraId="43E24F18" w14:textId="77777777" w:rsidR="000622DA" w:rsidRPr="0077659B" w:rsidRDefault="00B75402" w:rsidP="000913DD">
            <w:pPr>
              <w:spacing w:after="0" w:line="240" w:lineRule="auto"/>
              <w:rPr>
                <w:rFonts w:cs="Arial"/>
                <w:sz w:val="20"/>
                <w:szCs w:val="20"/>
              </w:rPr>
            </w:pPr>
            <w:r w:rsidRPr="0077659B">
              <w:rPr>
                <w:rFonts w:cs="Arial"/>
                <w:sz w:val="20"/>
                <w:szCs w:val="20"/>
              </w:rPr>
              <w:t>Sec</w:t>
            </w:r>
            <w:r w:rsidR="008304A3" w:rsidRPr="0077659B">
              <w:rPr>
                <w:rFonts w:cs="Arial"/>
                <w:sz w:val="20"/>
                <w:szCs w:val="20"/>
              </w:rPr>
              <w:t>tion</w:t>
            </w:r>
            <w:r w:rsidRPr="0077659B">
              <w:rPr>
                <w:rFonts w:cs="Arial"/>
                <w:sz w:val="20"/>
                <w:szCs w:val="20"/>
              </w:rPr>
              <w:t xml:space="preserve"> 5(2)(k) &amp; 7(4)(a)of the regulations for reporting by </w:t>
            </w:r>
            <w:r w:rsidR="008D611A" w:rsidRPr="0077659B">
              <w:rPr>
                <w:rFonts w:cs="Arial"/>
                <w:sz w:val="20"/>
                <w:szCs w:val="20"/>
              </w:rPr>
              <w:t>p</w:t>
            </w:r>
            <w:r w:rsidRPr="0077659B">
              <w:rPr>
                <w:rFonts w:cs="Arial"/>
                <w:sz w:val="20"/>
                <w:szCs w:val="20"/>
              </w:rPr>
              <w:t xml:space="preserve">ublic </w:t>
            </w:r>
            <w:r w:rsidR="008D611A" w:rsidRPr="0077659B">
              <w:rPr>
                <w:rFonts w:cs="Arial"/>
                <w:sz w:val="20"/>
                <w:szCs w:val="20"/>
              </w:rPr>
              <w:t>h</w:t>
            </w:r>
            <w:r w:rsidRPr="0077659B">
              <w:rPr>
                <w:rFonts w:cs="Arial"/>
                <w:sz w:val="20"/>
                <w:szCs w:val="20"/>
              </w:rPr>
              <w:t xml:space="preserve">igher </w:t>
            </w:r>
            <w:r w:rsidR="008D611A" w:rsidRPr="0077659B">
              <w:rPr>
                <w:rFonts w:cs="Arial"/>
                <w:sz w:val="20"/>
                <w:szCs w:val="20"/>
              </w:rPr>
              <w:t>e</w:t>
            </w:r>
            <w:r w:rsidRPr="0077659B">
              <w:rPr>
                <w:rFonts w:cs="Arial"/>
                <w:sz w:val="20"/>
                <w:szCs w:val="20"/>
              </w:rPr>
              <w:t xml:space="preserve">ducation </w:t>
            </w:r>
            <w:r w:rsidR="008D611A" w:rsidRPr="0077659B">
              <w:rPr>
                <w:rFonts w:cs="Arial"/>
                <w:sz w:val="20"/>
                <w:szCs w:val="20"/>
              </w:rPr>
              <w:t>i</w:t>
            </w:r>
            <w:r w:rsidRPr="0077659B">
              <w:rPr>
                <w:rFonts w:cs="Arial"/>
                <w:sz w:val="20"/>
                <w:szCs w:val="20"/>
              </w:rPr>
              <w:t>nstitutions</w:t>
            </w:r>
          </w:p>
        </w:tc>
      </w:tr>
      <w:tr w:rsidR="00542C02" w:rsidRPr="0077659B" w14:paraId="1ED6CFAB" w14:textId="77777777" w:rsidTr="000913DD">
        <w:trPr>
          <w:trHeight w:val="382"/>
        </w:trPr>
        <w:tc>
          <w:tcPr>
            <w:tcW w:w="995" w:type="pct"/>
            <w:shd w:val="clear" w:color="auto" w:fill="auto"/>
          </w:tcPr>
          <w:p w14:paraId="32331A52"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Changes to strategic or development objectives are approved</w:t>
            </w:r>
          </w:p>
        </w:tc>
        <w:tc>
          <w:tcPr>
            <w:tcW w:w="1007" w:type="pct"/>
            <w:shd w:val="clear" w:color="auto" w:fill="auto"/>
          </w:tcPr>
          <w:p w14:paraId="6D859759" w14:textId="77777777" w:rsidR="000622DA" w:rsidRPr="0077659B" w:rsidRDefault="000622DA" w:rsidP="000913DD">
            <w:pPr>
              <w:rPr>
                <w:rFonts w:cs="Arial"/>
                <w:sz w:val="20"/>
                <w:szCs w:val="20"/>
              </w:rPr>
            </w:pPr>
            <w:r w:rsidRPr="0077659B">
              <w:rPr>
                <w:rFonts w:cs="Arial"/>
                <w:sz w:val="20"/>
                <w:szCs w:val="20"/>
              </w:rPr>
              <w:t xml:space="preserve">TR 5.1.1 </w:t>
            </w:r>
          </w:p>
          <w:p w14:paraId="390C3030"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23A168D9" w14:textId="77777777" w:rsidR="00B75402" w:rsidRPr="0077659B" w:rsidRDefault="00B75402"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02400448" w14:textId="77777777" w:rsidR="000622DA" w:rsidRPr="0077659B" w:rsidRDefault="000622DA" w:rsidP="000913DD">
            <w:pPr>
              <w:rPr>
                <w:rFonts w:cs="Arial"/>
                <w:sz w:val="20"/>
                <w:szCs w:val="20"/>
              </w:rPr>
            </w:pPr>
            <w:r w:rsidRPr="0077659B">
              <w:rPr>
                <w:rFonts w:cs="Arial"/>
                <w:sz w:val="20"/>
                <w:szCs w:val="20"/>
              </w:rPr>
              <w:br/>
            </w:r>
            <w:r w:rsidRPr="0077659B">
              <w:rPr>
                <w:rFonts w:cs="Arial"/>
                <w:sz w:val="20"/>
                <w:szCs w:val="20"/>
              </w:rPr>
              <w:br/>
            </w:r>
            <w:r w:rsidRPr="0077659B">
              <w:rPr>
                <w:rFonts w:cs="Arial"/>
                <w:sz w:val="20"/>
                <w:szCs w:val="20"/>
              </w:rPr>
              <w:br/>
            </w:r>
          </w:p>
        </w:tc>
        <w:tc>
          <w:tcPr>
            <w:tcW w:w="1007" w:type="pct"/>
            <w:shd w:val="clear" w:color="auto" w:fill="auto"/>
          </w:tcPr>
          <w:p w14:paraId="6CF10184" w14:textId="77777777" w:rsidR="000622DA" w:rsidRPr="0077659B" w:rsidRDefault="000622DA" w:rsidP="000913DD">
            <w:pPr>
              <w:rPr>
                <w:rFonts w:cs="Arial"/>
                <w:sz w:val="20"/>
                <w:szCs w:val="20"/>
              </w:rPr>
            </w:pPr>
            <w:r w:rsidRPr="0077659B">
              <w:rPr>
                <w:rFonts w:cs="Arial"/>
                <w:sz w:val="20"/>
                <w:szCs w:val="20"/>
              </w:rPr>
              <w:t>Applicable to schedule 3A &amp; 3C public entities:</w:t>
            </w:r>
            <w:r w:rsidR="00542C02" w:rsidRPr="0077659B">
              <w:rPr>
                <w:rFonts w:cs="Arial"/>
                <w:sz w:val="20"/>
                <w:szCs w:val="20"/>
              </w:rPr>
              <w:t xml:space="preserve"> </w:t>
            </w:r>
            <w:r w:rsidRPr="0077659B">
              <w:rPr>
                <w:rFonts w:cs="Arial"/>
                <w:sz w:val="20"/>
                <w:szCs w:val="20"/>
              </w:rPr>
              <w:t xml:space="preserve">TR 30.1.1 </w:t>
            </w:r>
          </w:p>
          <w:p w14:paraId="74D40A1B"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0594A6F9" w14:textId="77777777" w:rsidR="00B75402" w:rsidRPr="0077659B" w:rsidRDefault="00B75402"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32D646FF" w14:textId="77777777" w:rsidR="000622DA" w:rsidRPr="0077659B" w:rsidRDefault="000622DA" w:rsidP="000913DD">
            <w:pPr>
              <w:rPr>
                <w:rFonts w:cs="Arial"/>
                <w:sz w:val="20"/>
                <w:szCs w:val="20"/>
              </w:rPr>
            </w:pPr>
            <w:r w:rsidRPr="0077659B">
              <w:rPr>
                <w:rFonts w:cs="Arial"/>
                <w:sz w:val="20"/>
                <w:szCs w:val="20"/>
              </w:rPr>
              <w:t>Applicable to schedule 2, 3B &amp; 3D public entities:</w:t>
            </w:r>
            <w:r w:rsidR="008D611A" w:rsidRPr="0077659B">
              <w:rPr>
                <w:rFonts w:cs="Arial"/>
                <w:sz w:val="20"/>
                <w:szCs w:val="20"/>
              </w:rPr>
              <w:t xml:space="preserve"> </w:t>
            </w:r>
            <w:r w:rsidRPr="0077659B">
              <w:rPr>
                <w:rFonts w:cs="Arial"/>
                <w:sz w:val="20"/>
                <w:szCs w:val="20"/>
              </w:rPr>
              <w:t>TR 29.1.1</w:t>
            </w:r>
            <w:r w:rsidR="00B65508" w:rsidRPr="0077659B">
              <w:rPr>
                <w:rFonts w:cs="Arial"/>
                <w:sz w:val="20"/>
                <w:szCs w:val="20"/>
              </w:rPr>
              <w:t xml:space="preserve"> and </w:t>
            </w:r>
            <w:r w:rsidRPr="0077659B">
              <w:rPr>
                <w:rFonts w:cs="Arial"/>
                <w:sz w:val="20"/>
                <w:szCs w:val="20"/>
              </w:rPr>
              <w:t xml:space="preserve">TR 29.2 </w:t>
            </w:r>
          </w:p>
        </w:tc>
        <w:tc>
          <w:tcPr>
            <w:tcW w:w="1006" w:type="pct"/>
            <w:shd w:val="clear" w:color="auto" w:fill="auto"/>
          </w:tcPr>
          <w:p w14:paraId="616E6260" w14:textId="77777777" w:rsidR="000622DA" w:rsidRPr="0077659B" w:rsidRDefault="000622DA" w:rsidP="000913DD">
            <w:pPr>
              <w:spacing w:after="0" w:line="240" w:lineRule="auto"/>
              <w:rPr>
                <w:rFonts w:cs="Arial"/>
                <w:sz w:val="20"/>
                <w:szCs w:val="20"/>
              </w:rPr>
            </w:pPr>
            <w:r w:rsidRPr="0077659B">
              <w:rPr>
                <w:rFonts w:cs="Arial"/>
                <w:sz w:val="20"/>
                <w:szCs w:val="20"/>
              </w:rPr>
              <w:t>Section 15</w:t>
            </w:r>
            <w:r w:rsidR="00B75402" w:rsidRPr="0077659B">
              <w:rPr>
                <w:rFonts w:cs="Arial"/>
                <w:sz w:val="20"/>
                <w:szCs w:val="20"/>
              </w:rPr>
              <w:t xml:space="preserve">(1) and </w:t>
            </w:r>
            <w:r w:rsidRPr="0077659B">
              <w:rPr>
                <w:rFonts w:cs="Arial"/>
                <w:sz w:val="20"/>
                <w:szCs w:val="20"/>
              </w:rPr>
              <w:t>(2)(b) of the FMPPLA</w:t>
            </w:r>
          </w:p>
        </w:tc>
        <w:tc>
          <w:tcPr>
            <w:tcW w:w="985" w:type="pct"/>
          </w:tcPr>
          <w:p w14:paraId="62C0F07D" w14:textId="77777777" w:rsidR="000622DA" w:rsidRPr="0077659B" w:rsidRDefault="00B75402" w:rsidP="000913DD">
            <w:pPr>
              <w:spacing w:after="0" w:line="240" w:lineRule="auto"/>
              <w:rPr>
                <w:rFonts w:cs="Arial"/>
                <w:sz w:val="20"/>
                <w:szCs w:val="20"/>
              </w:rPr>
            </w:pPr>
            <w:r w:rsidRPr="0077659B">
              <w:rPr>
                <w:rFonts w:cs="Arial"/>
                <w:sz w:val="20"/>
                <w:szCs w:val="20"/>
              </w:rPr>
              <w:t>Sec</w:t>
            </w:r>
            <w:r w:rsidR="008304A3" w:rsidRPr="0077659B">
              <w:rPr>
                <w:rFonts w:cs="Arial"/>
                <w:sz w:val="20"/>
                <w:szCs w:val="20"/>
              </w:rPr>
              <w:t>tion</w:t>
            </w:r>
            <w:r w:rsidRPr="0077659B">
              <w:rPr>
                <w:rFonts w:cs="Arial"/>
                <w:sz w:val="20"/>
                <w:szCs w:val="20"/>
              </w:rPr>
              <w:t xml:space="preserve"> 5(2)(m) &amp; 7(4)(a) of the regulations for reporting by </w:t>
            </w:r>
            <w:r w:rsidR="008D611A" w:rsidRPr="0077659B">
              <w:rPr>
                <w:rFonts w:cs="Arial"/>
                <w:sz w:val="20"/>
                <w:szCs w:val="20"/>
              </w:rPr>
              <w:t>p</w:t>
            </w:r>
            <w:r w:rsidRPr="0077659B">
              <w:rPr>
                <w:rFonts w:cs="Arial"/>
                <w:sz w:val="20"/>
                <w:szCs w:val="20"/>
              </w:rPr>
              <w:t xml:space="preserve">ublic </w:t>
            </w:r>
            <w:r w:rsidR="008D611A" w:rsidRPr="0077659B">
              <w:rPr>
                <w:rFonts w:cs="Arial"/>
                <w:sz w:val="20"/>
                <w:szCs w:val="20"/>
              </w:rPr>
              <w:t>h</w:t>
            </w:r>
            <w:r w:rsidRPr="0077659B">
              <w:rPr>
                <w:rFonts w:cs="Arial"/>
                <w:sz w:val="20"/>
                <w:szCs w:val="20"/>
              </w:rPr>
              <w:t xml:space="preserve">igher </w:t>
            </w:r>
            <w:r w:rsidR="008D611A" w:rsidRPr="0077659B">
              <w:rPr>
                <w:rFonts w:cs="Arial"/>
                <w:sz w:val="20"/>
                <w:szCs w:val="20"/>
              </w:rPr>
              <w:t>e</w:t>
            </w:r>
            <w:r w:rsidRPr="0077659B">
              <w:rPr>
                <w:rFonts w:cs="Arial"/>
                <w:sz w:val="20"/>
                <w:szCs w:val="20"/>
              </w:rPr>
              <w:t xml:space="preserve">ducation </w:t>
            </w:r>
            <w:r w:rsidR="008D611A" w:rsidRPr="0077659B">
              <w:rPr>
                <w:rFonts w:cs="Arial"/>
                <w:sz w:val="20"/>
                <w:szCs w:val="20"/>
              </w:rPr>
              <w:t>i</w:t>
            </w:r>
            <w:r w:rsidRPr="0077659B">
              <w:rPr>
                <w:rFonts w:cs="Arial"/>
                <w:sz w:val="20"/>
                <w:szCs w:val="20"/>
              </w:rPr>
              <w:t>nstitutions</w:t>
            </w:r>
          </w:p>
        </w:tc>
      </w:tr>
      <w:tr w:rsidR="00542C02" w:rsidRPr="0077659B" w14:paraId="0EEF4CE8" w14:textId="77777777" w:rsidTr="000913DD">
        <w:trPr>
          <w:trHeight w:val="736"/>
        </w:trPr>
        <w:tc>
          <w:tcPr>
            <w:tcW w:w="995" w:type="pct"/>
            <w:shd w:val="clear" w:color="auto" w:fill="auto"/>
          </w:tcPr>
          <w:p w14:paraId="31E987F2"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lastRenderedPageBreak/>
              <w:t>Reported measures or indicators are consistent or complete when compared to planned measures or indicators</w:t>
            </w:r>
          </w:p>
        </w:tc>
        <w:tc>
          <w:tcPr>
            <w:tcW w:w="1007" w:type="pct"/>
            <w:shd w:val="clear" w:color="auto" w:fill="auto"/>
          </w:tcPr>
          <w:p w14:paraId="67112AED" w14:textId="77777777" w:rsidR="000622DA" w:rsidRPr="0077659B" w:rsidRDefault="000622DA" w:rsidP="000913DD">
            <w:pPr>
              <w:rPr>
                <w:rFonts w:cs="Arial"/>
                <w:sz w:val="20"/>
                <w:szCs w:val="20"/>
              </w:rPr>
            </w:pPr>
            <w:r w:rsidRPr="0077659B">
              <w:rPr>
                <w:rFonts w:cs="Arial"/>
                <w:sz w:val="20"/>
                <w:szCs w:val="20"/>
              </w:rPr>
              <w:t>Section 40(3)(a) of the PFMA</w:t>
            </w:r>
          </w:p>
          <w:p w14:paraId="18A8A20A" w14:textId="77777777" w:rsidR="00B75402" w:rsidRPr="0077659B" w:rsidRDefault="000622DA" w:rsidP="000913DD">
            <w:pPr>
              <w:rPr>
                <w:rFonts w:cs="Arial"/>
                <w:sz w:val="20"/>
                <w:szCs w:val="20"/>
                <w:lang w:eastAsia="en-GB"/>
              </w:rPr>
            </w:pPr>
            <w:r w:rsidRPr="0077659B">
              <w:rPr>
                <w:rFonts w:cs="Arial"/>
                <w:sz w:val="20"/>
                <w:szCs w:val="20"/>
              </w:rPr>
              <w:t xml:space="preserve">TR 5.2.4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185D083E" w14:textId="77777777" w:rsidR="000622DA" w:rsidRPr="0077659B" w:rsidRDefault="00B75402" w:rsidP="000913DD">
            <w:pPr>
              <w:rPr>
                <w:rFonts w:cs="Arial"/>
                <w:sz w:val="20"/>
                <w:szCs w:val="20"/>
              </w:rPr>
            </w:pPr>
            <w:r w:rsidRPr="0077659B">
              <w:rPr>
                <w:rFonts w:cs="Arial"/>
                <w:sz w:val="20"/>
                <w:szCs w:val="20"/>
                <w:lang w:eastAsia="en-GB"/>
              </w:rPr>
              <w:t>Sec 25(1) of the PSR</w:t>
            </w:r>
            <w:r w:rsidR="000622DA" w:rsidRPr="0077659B">
              <w:rPr>
                <w:rFonts w:cs="Arial"/>
                <w:sz w:val="20"/>
                <w:szCs w:val="20"/>
              </w:rPr>
              <w:br/>
            </w:r>
          </w:p>
        </w:tc>
        <w:tc>
          <w:tcPr>
            <w:tcW w:w="1007" w:type="pct"/>
            <w:shd w:val="clear" w:color="auto" w:fill="auto"/>
          </w:tcPr>
          <w:p w14:paraId="4411E540" w14:textId="77777777" w:rsidR="000622DA" w:rsidRPr="0077659B" w:rsidRDefault="000622DA" w:rsidP="000913DD">
            <w:pPr>
              <w:rPr>
                <w:rFonts w:cs="Arial"/>
                <w:sz w:val="20"/>
                <w:szCs w:val="20"/>
              </w:rPr>
            </w:pPr>
            <w:r w:rsidRPr="0077659B">
              <w:rPr>
                <w:rFonts w:cs="Arial"/>
                <w:sz w:val="20"/>
                <w:szCs w:val="20"/>
              </w:rPr>
              <w:t xml:space="preserve">Section 55(2)(a) of the PFMA </w:t>
            </w:r>
            <w:r w:rsidRPr="0077659B">
              <w:rPr>
                <w:rFonts w:cs="Arial"/>
                <w:sz w:val="20"/>
                <w:szCs w:val="20"/>
              </w:rPr>
              <w:br/>
              <w:t>TR 28.2.2</w:t>
            </w:r>
          </w:p>
          <w:p w14:paraId="7D94A0F6" w14:textId="77777777" w:rsidR="00B75402" w:rsidRPr="0077659B" w:rsidRDefault="00B75402" w:rsidP="000913DD">
            <w:pPr>
              <w:rPr>
                <w:rFonts w:cs="Arial"/>
                <w:sz w:val="20"/>
                <w:szCs w:val="20"/>
                <w:lang w:eastAsia="en-GB"/>
              </w:rPr>
            </w:pPr>
            <w:r w:rsidRPr="0077659B">
              <w:rPr>
                <w:rFonts w:cs="Arial"/>
                <w:sz w:val="20"/>
                <w:szCs w:val="20"/>
                <w:lang w:eastAsia="en-GB"/>
              </w:rPr>
              <w:t>Applicable to 3A &amp; 3C public entities: TR 30.1.3(g)</w:t>
            </w:r>
          </w:p>
          <w:p w14:paraId="49EFFFF8"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173B97A6" w14:textId="77777777" w:rsidR="000622DA" w:rsidRPr="0077659B" w:rsidRDefault="00B75402"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64358AE0" w14:textId="77777777" w:rsidR="000622DA" w:rsidRPr="0077659B" w:rsidRDefault="000622DA" w:rsidP="000913DD">
            <w:pPr>
              <w:rPr>
                <w:rFonts w:cs="Arial"/>
                <w:sz w:val="20"/>
                <w:szCs w:val="20"/>
              </w:rPr>
            </w:pPr>
            <w:r w:rsidRPr="0077659B">
              <w:rPr>
                <w:rFonts w:cs="Arial"/>
                <w:sz w:val="20"/>
                <w:szCs w:val="20"/>
              </w:rPr>
              <w:t>Section 55(3)(d) of the FMPPLA</w:t>
            </w:r>
          </w:p>
        </w:tc>
        <w:tc>
          <w:tcPr>
            <w:tcW w:w="985" w:type="pct"/>
          </w:tcPr>
          <w:p w14:paraId="751DAFD4"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5(2)(k) &amp; 7(4)(a)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5BF72240" w14:textId="77777777" w:rsidTr="000913DD">
        <w:trPr>
          <w:trHeight w:val="660"/>
        </w:trPr>
        <w:tc>
          <w:tcPr>
            <w:tcW w:w="995" w:type="pct"/>
            <w:shd w:val="clear" w:color="auto" w:fill="auto"/>
          </w:tcPr>
          <w:p w14:paraId="0D66218C"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Changes to measures or indicators are approved</w:t>
            </w:r>
          </w:p>
        </w:tc>
        <w:tc>
          <w:tcPr>
            <w:tcW w:w="1007" w:type="pct"/>
            <w:shd w:val="clear" w:color="auto" w:fill="auto"/>
          </w:tcPr>
          <w:p w14:paraId="2221B35B" w14:textId="77777777" w:rsidR="00B75402" w:rsidRPr="0077659B" w:rsidRDefault="000622DA" w:rsidP="000913DD">
            <w:pPr>
              <w:rPr>
                <w:rFonts w:cs="Arial"/>
                <w:sz w:val="20"/>
                <w:szCs w:val="20"/>
                <w:lang w:eastAsia="en-GB"/>
              </w:rPr>
            </w:pPr>
            <w:r w:rsidRPr="0077659B">
              <w:rPr>
                <w:rFonts w:cs="Arial"/>
                <w:sz w:val="20"/>
                <w:szCs w:val="20"/>
              </w:rPr>
              <w:t xml:space="preserve">TR 5.1.1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01EA6615"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r w:rsidR="000622DA" w:rsidRPr="0077659B">
              <w:rPr>
                <w:rFonts w:cs="Arial"/>
                <w:sz w:val="20"/>
                <w:szCs w:val="20"/>
              </w:rPr>
              <w:br/>
            </w:r>
          </w:p>
        </w:tc>
        <w:tc>
          <w:tcPr>
            <w:tcW w:w="1007" w:type="pct"/>
            <w:shd w:val="clear" w:color="auto" w:fill="auto"/>
          </w:tcPr>
          <w:p w14:paraId="185AD3B3" w14:textId="77777777" w:rsidR="000622DA" w:rsidRPr="0077659B" w:rsidRDefault="00B75402" w:rsidP="000913DD">
            <w:pPr>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 xml:space="preserve">TR 30.1.1 </w:t>
            </w:r>
          </w:p>
          <w:p w14:paraId="6F7849FA"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74BAE564" w14:textId="77777777" w:rsidR="00B75402" w:rsidRPr="0077659B" w:rsidRDefault="00B75402"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40FF2AFC" w14:textId="77777777" w:rsidR="00B75402" w:rsidRPr="0077659B" w:rsidRDefault="00B75402"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1820D08E" w14:textId="77777777" w:rsidR="000622DA" w:rsidRPr="0077659B" w:rsidRDefault="000622DA" w:rsidP="000913DD">
            <w:pPr>
              <w:rPr>
                <w:rFonts w:cs="Arial"/>
                <w:sz w:val="20"/>
                <w:szCs w:val="20"/>
              </w:rPr>
            </w:pPr>
            <w:r w:rsidRPr="0077659B">
              <w:rPr>
                <w:rFonts w:cs="Arial"/>
                <w:sz w:val="20"/>
                <w:szCs w:val="20"/>
              </w:rPr>
              <w:t>Section 15</w:t>
            </w:r>
            <w:r w:rsidR="00B65508" w:rsidRPr="0077659B">
              <w:rPr>
                <w:rFonts w:cs="Arial"/>
                <w:sz w:val="20"/>
                <w:szCs w:val="20"/>
              </w:rPr>
              <w:t xml:space="preserve">(1) and </w:t>
            </w:r>
            <w:r w:rsidRPr="0077659B">
              <w:rPr>
                <w:rFonts w:cs="Arial"/>
                <w:sz w:val="20"/>
                <w:szCs w:val="20"/>
              </w:rPr>
              <w:t>(2)(b) of the FMPPLA</w:t>
            </w:r>
          </w:p>
        </w:tc>
        <w:tc>
          <w:tcPr>
            <w:tcW w:w="985" w:type="pct"/>
          </w:tcPr>
          <w:p w14:paraId="3DED843E"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5(2)(m)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5A623379" w14:textId="77777777" w:rsidTr="000913DD">
        <w:trPr>
          <w:trHeight w:val="701"/>
        </w:trPr>
        <w:tc>
          <w:tcPr>
            <w:tcW w:w="995" w:type="pct"/>
            <w:shd w:val="clear" w:color="auto" w:fill="auto"/>
          </w:tcPr>
          <w:p w14:paraId="32E9E863"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Reported targets are consistent or complete when compared to planned targets</w:t>
            </w:r>
          </w:p>
        </w:tc>
        <w:tc>
          <w:tcPr>
            <w:tcW w:w="1007" w:type="pct"/>
            <w:shd w:val="clear" w:color="auto" w:fill="auto"/>
          </w:tcPr>
          <w:p w14:paraId="5284F076" w14:textId="77777777" w:rsidR="000622DA" w:rsidRPr="0077659B" w:rsidRDefault="000622DA" w:rsidP="000913DD">
            <w:pPr>
              <w:rPr>
                <w:rFonts w:cs="Arial"/>
                <w:sz w:val="20"/>
                <w:szCs w:val="20"/>
              </w:rPr>
            </w:pPr>
            <w:r w:rsidRPr="0077659B">
              <w:rPr>
                <w:rFonts w:cs="Arial"/>
                <w:sz w:val="20"/>
                <w:szCs w:val="20"/>
              </w:rPr>
              <w:t>Section 40(3)(a) of the PFMA</w:t>
            </w:r>
          </w:p>
          <w:p w14:paraId="5109B82E" w14:textId="77777777" w:rsidR="00B75402" w:rsidRPr="0077659B" w:rsidRDefault="000622DA" w:rsidP="000913DD">
            <w:pPr>
              <w:rPr>
                <w:rFonts w:cs="Arial"/>
                <w:sz w:val="20"/>
                <w:szCs w:val="20"/>
                <w:lang w:eastAsia="en-GB"/>
              </w:rPr>
            </w:pPr>
            <w:r w:rsidRPr="0077659B">
              <w:rPr>
                <w:rFonts w:cs="Arial"/>
                <w:sz w:val="20"/>
                <w:szCs w:val="20"/>
              </w:rPr>
              <w:t xml:space="preserve">TR 5.2.4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7CEBAA54"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25(1) of the  PSR</w:t>
            </w:r>
            <w:r w:rsidR="000622DA" w:rsidRPr="0077659B">
              <w:rPr>
                <w:rFonts w:cs="Arial"/>
                <w:sz w:val="20"/>
                <w:szCs w:val="20"/>
              </w:rPr>
              <w:br/>
            </w:r>
          </w:p>
        </w:tc>
        <w:tc>
          <w:tcPr>
            <w:tcW w:w="1007" w:type="pct"/>
            <w:shd w:val="clear" w:color="auto" w:fill="auto"/>
          </w:tcPr>
          <w:p w14:paraId="77F24EC0" w14:textId="77777777" w:rsidR="000622DA" w:rsidRPr="0077659B" w:rsidRDefault="000622DA" w:rsidP="000913DD">
            <w:pPr>
              <w:rPr>
                <w:rFonts w:cs="Arial"/>
                <w:sz w:val="20"/>
                <w:szCs w:val="20"/>
              </w:rPr>
            </w:pPr>
            <w:r w:rsidRPr="0077659B">
              <w:rPr>
                <w:rFonts w:cs="Arial"/>
                <w:sz w:val="20"/>
                <w:szCs w:val="20"/>
              </w:rPr>
              <w:t xml:space="preserve">Section 55(2)(a) of the PFMA </w:t>
            </w:r>
            <w:r w:rsidRPr="0077659B">
              <w:rPr>
                <w:rFonts w:cs="Arial"/>
                <w:sz w:val="20"/>
                <w:szCs w:val="20"/>
              </w:rPr>
              <w:br/>
              <w:t>TR 28.2.2</w:t>
            </w:r>
          </w:p>
          <w:p w14:paraId="25C40DDE" w14:textId="77777777" w:rsidR="000622DA" w:rsidRPr="0077659B" w:rsidRDefault="00902F69" w:rsidP="000913DD">
            <w:pPr>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TR 30.1.3(g)</w:t>
            </w:r>
          </w:p>
          <w:p w14:paraId="6D54C9B3" w14:textId="77777777" w:rsidR="00902F69" w:rsidRPr="0077659B" w:rsidRDefault="00902F69"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68CABFE0" w14:textId="77777777" w:rsidR="000622DA" w:rsidRPr="0077659B" w:rsidRDefault="000622DA" w:rsidP="000913DD">
            <w:pPr>
              <w:rPr>
                <w:rFonts w:cs="Arial"/>
                <w:sz w:val="20"/>
                <w:szCs w:val="20"/>
              </w:rPr>
            </w:pPr>
            <w:r w:rsidRPr="0077659B">
              <w:rPr>
                <w:rFonts w:cs="Arial"/>
                <w:sz w:val="20"/>
                <w:szCs w:val="20"/>
              </w:rPr>
              <w:t>Section 55(3)</w:t>
            </w:r>
            <w:r w:rsidR="00902F69" w:rsidRPr="0077659B">
              <w:rPr>
                <w:rFonts w:cs="Arial"/>
                <w:sz w:val="20"/>
                <w:szCs w:val="20"/>
              </w:rPr>
              <w:t>(d)</w:t>
            </w:r>
            <w:r w:rsidRPr="0077659B">
              <w:rPr>
                <w:rFonts w:cs="Arial"/>
                <w:sz w:val="20"/>
                <w:szCs w:val="20"/>
              </w:rPr>
              <w:t xml:space="preserve"> of the FMPPLA</w:t>
            </w:r>
          </w:p>
        </w:tc>
        <w:tc>
          <w:tcPr>
            <w:tcW w:w="985" w:type="pct"/>
          </w:tcPr>
          <w:p w14:paraId="452FEB49" w14:textId="77777777" w:rsidR="000622DA"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5(2)(k) &amp; 7(4)(a)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60DF002D" w14:textId="77777777" w:rsidTr="000913DD">
        <w:trPr>
          <w:trHeight w:val="413"/>
        </w:trPr>
        <w:tc>
          <w:tcPr>
            <w:tcW w:w="995" w:type="pct"/>
            <w:tcBorders>
              <w:bottom w:val="single" w:sz="4" w:space="0" w:color="000000"/>
            </w:tcBorders>
            <w:shd w:val="clear" w:color="auto" w:fill="auto"/>
          </w:tcPr>
          <w:p w14:paraId="045D8EA4"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Changes to targets are approved</w:t>
            </w:r>
          </w:p>
        </w:tc>
        <w:tc>
          <w:tcPr>
            <w:tcW w:w="1007" w:type="pct"/>
            <w:tcBorders>
              <w:bottom w:val="single" w:sz="4" w:space="0" w:color="000000"/>
            </w:tcBorders>
            <w:shd w:val="clear" w:color="auto" w:fill="auto"/>
          </w:tcPr>
          <w:p w14:paraId="1435C95A" w14:textId="77777777" w:rsidR="000622DA" w:rsidRPr="0077659B" w:rsidRDefault="000622DA" w:rsidP="000913DD">
            <w:pPr>
              <w:rPr>
                <w:rFonts w:cs="Arial"/>
                <w:sz w:val="20"/>
                <w:szCs w:val="20"/>
              </w:rPr>
            </w:pPr>
            <w:r w:rsidRPr="0077659B">
              <w:rPr>
                <w:rFonts w:cs="Arial"/>
                <w:sz w:val="20"/>
                <w:szCs w:val="20"/>
              </w:rPr>
              <w:t xml:space="preserve">TR 5.1.1 </w:t>
            </w:r>
          </w:p>
          <w:p w14:paraId="6E7A35C5" w14:textId="77777777" w:rsidR="00902F69" w:rsidRPr="0077659B" w:rsidRDefault="00902F69" w:rsidP="000913DD">
            <w:pPr>
              <w:rPr>
                <w:rFonts w:cs="Arial"/>
                <w:sz w:val="20"/>
                <w:szCs w:val="20"/>
                <w:lang w:eastAsia="en-GB"/>
              </w:rPr>
            </w:pPr>
            <w:r w:rsidRPr="0077659B">
              <w:rPr>
                <w:rFonts w:cs="Arial"/>
                <w:sz w:val="20"/>
                <w:szCs w:val="20"/>
                <w:lang w:eastAsia="en-GB"/>
              </w:rPr>
              <w:lastRenderedPageBreak/>
              <w:t xml:space="preserve">NT </w:t>
            </w:r>
            <w:r w:rsidR="008D611A" w:rsidRPr="0077659B">
              <w:rPr>
                <w:rFonts w:cs="Arial"/>
                <w:sz w:val="20"/>
                <w:szCs w:val="20"/>
                <w:lang w:eastAsia="en-GB"/>
              </w:rPr>
              <w:t>instruction not</w:t>
            </w:r>
            <w:r w:rsidRPr="0077659B">
              <w:rPr>
                <w:rFonts w:cs="Arial"/>
                <w:sz w:val="20"/>
                <w:szCs w:val="20"/>
                <w:lang w:eastAsia="en-GB"/>
              </w:rPr>
              <w:t xml:space="preserve">e 33: </w:t>
            </w:r>
            <w:r w:rsidR="008D611A" w:rsidRPr="0077659B">
              <w:rPr>
                <w:rFonts w:cs="Arial"/>
                <w:sz w:val="20"/>
                <w:szCs w:val="20"/>
                <w:lang w:eastAsia="en-GB"/>
              </w:rPr>
              <w:t xml:space="preserve">implementation </w:t>
            </w:r>
            <w:r w:rsidRPr="0077659B">
              <w:rPr>
                <w:rFonts w:cs="Arial"/>
                <w:sz w:val="20"/>
                <w:szCs w:val="20"/>
                <w:lang w:eastAsia="en-GB"/>
              </w:rPr>
              <w:t>of the FSAPP</w:t>
            </w:r>
          </w:p>
          <w:p w14:paraId="616DA99F"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471117B2" w14:textId="77777777" w:rsidR="00902F69" w:rsidRPr="0077659B" w:rsidRDefault="00902F69" w:rsidP="000913DD">
            <w:pPr>
              <w:rPr>
                <w:rFonts w:cs="Arial"/>
                <w:sz w:val="20"/>
                <w:szCs w:val="20"/>
              </w:rPr>
            </w:pPr>
          </w:p>
        </w:tc>
        <w:tc>
          <w:tcPr>
            <w:tcW w:w="1007" w:type="pct"/>
            <w:tcBorders>
              <w:bottom w:val="single" w:sz="4" w:space="0" w:color="000000"/>
            </w:tcBorders>
            <w:shd w:val="clear" w:color="auto" w:fill="auto"/>
          </w:tcPr>
          <w:p w14:paraId="75C6E6D2" w14:textId="77777777" w:rsidR="000622DA" w:rsidRPr="0077659B" w:rsidRDefault="00902F69" w:rsidP="000913DD">
            <w:pPr>
              <w:rPr>
                <w:rFonts w:cs="Arial"/>
                <w:sz w:val="20"/>
                <w:szCs w:val="20"/>
              </w:rPr>
            </w:pPr>
            <w:r w:rsidRPr="0077659B">
              <w:rPr>
                <w:rFonts w:cs="Arial"/>
                <w:sz w:val="20"/>
                <w:szCs w:val="20"/>
                <w:lang w:eastAsia="en-GB"/>
              </w:rPr>
              <w:lastRenderedPageBreak/>
              <w:t xml:space="preserve">Applicable to 3A &amp; 3C public entities: </w:t>
            </w:r>
            <w:r w:rsidR="000622DA" w:rsidRPr="0077659B">
              <w:rPr>
                <w:rFonts w:cs="Arial"/>
                <w:sz w:val="20"/>
                <w:szCs w:val="20"/>
              </w:rPr>
              <w:t xml:space="preserve">TR 30.1.1 </w:t>
            </w:r>
          </w:p>
          <w:p w14:paraId="6A91FA5A" w14:textId="77777777" w:rsidR="00902F69" w:rsidRPr="0077659B" w:rsidRDefault="00902F69" w:rsidP="000913DD">
            <w:pPr>
              <w:rPr>
                <w:rFonts w:cs="Arial"/>
                <w:sz w:val="20"/>
                <w:szCs w:val="20"/>
                <w:lang w:eastAsia="en-GB"/>
              </w:rPr>
            </w:pPr>
            <w:r w:rsidRPr="0077659B">
              <w:rPr>
                <w:rFonts w:cs="Arial"/>
                <w:sz w:val="20"/>
                <w:szCs w:val="20"/>
                <w:lang w:eastAsia="en-GB"/>
              </w:rPr>
              <w:lastRenderedPageBreak/>
              <w:t xml:space="preserve">NT </w:t>
            </w:r>
            <w:r w:rsidR="008D611A" w:rsidRPr="0077659B">
              <w:rPr>
                <w:rFonts w:cs="Arial"/>
                <w:sz w:val="20"/>
                <w:szCs w:val="20"/>
                <w:lang w:eastAsia="en-GB"/>
              </w:rPr>
              <w:t xml:space="preserve">instruction note </w:t>
            </w:r>
            <w:r w:rsidRPr="0077659B">
              <w:rPr>
                <w:rFonts w:cs="Arial"/>
                <w:sz w:val="20"/>
                <w:szCs w:val="20"/>
                <w:lang w:eastAsia="en-GB"/>
              </w:rPr>
              <w:t xml:space="preserve">33: </w:t>
            </w:r>
            <w:r w:rsidR="008D611A" w:rsidRPr="0077659B">
              <w:rPr>
                <w:rFonts w:cs="Arial"/>
                <w:sz w:val="20"/>
                <w:szCs w:val="20"/>
                <w:lang w:eastAsia="en-GB"/>
              </w:rPr>
              <w:t xml:space="preserve">implementation </w:t>
            </w:r>
            <w:r w:rsidRPr="0077659B">
              <w:rPr>
                <w:rFonts w:cs="Arial"/>
                <w:sz w:val="20"/>
                <w:szCs w:val="20"/>
                <w:lang w:eastAsia="en-GB"/>
              </w:rPr>
              <w:t>of the FSAPP</w:t>
            </w:r>
          </w:p>
          <w:p w14:paraId="7D3E3678"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56BC8963" w14:textId="77777777" w:rsidR="00902F69" w:rsidRPr="0077659B" w:rsidRDefault="00902F69" w:rsidP="000913DD">
            <w:pPr>
              <w:rPr>
                <w:rFonts w:cs="Arial"/>
                <w:sz w:val="20"/>
                <w:szCs w:val="20"/>
              </w:rPr>
            </w:pPr>
            <w:r w:rsidRPr="0077659B">
              <w:rPr>
                <w:rFonts w:cs="Arial"/>
                <w:sz w:val="20"/>
                <w:szCs w:val="20"/>
                <w:lang w:eastAsia="en-GB"/>
              </w:rPr>
              <w:t>Applicable to 2; 3B &amp; 3D public entities: TR 29.1.1 &amp; TR 29.2</w:t>
            </w:r>
          </w:p>
        </w:tc>
        <w:tc>
          <w:tcPr>
            <w:tcW w:w="1006" w:type="pct"/>
            <w:tcBorders>
              <w:bottom w:val="single" w:sz="4" w:space="0" w:color="000000"/>
            </w:tcBorders>
            <w:shd w:val="clear" w:color="auto" w:fill="auto"/>
          </w:tcPr>
          <w:p w14:paraId="19EF751B" w14:textId="77777777" w:rsidR="000622DA" w:rsidRPr="0077659B" w:rsidRDefault="000622DA" w:rsidP="000913DD">
            <w:pPr>
              <w:rPr>
                <w:rFonts w:cs="Arial"/>
                <w:sz w:val="20"/>
                <w:szCs w:val="20"/>
              </w:rPr>
            </w:pPr>
            <w:r w:rsidRPr="0077659B">
              <w:rPr>
                <w:rFonts w:cs="Arial"/>
                <w:sz w:val="20"/>
                <w:szCs w:val="20"/>
              </w:rPr>
              <w:lastRenderedPageBreak/>
              <w:t>Section 15</w:t>
            </w:r>
            <w:r w:rsidR="00902F69" w:rsidRPr="0077659B">
              <w:rPr>
                <w:rFonts w:cs="Arial"/>
                <w:sz w:val="20"/>
                <w:szCs w:val="20"/>
              </w:rPr>
              <w:t xml:space="preserve">(1) and </w:t>
            </w:r>
            <w:r w:rsidRPr="0077659B">
              <w:rPr>
                <w:rFonts w:cs="Arial"/>
                <w:sz w:val="20"/>
                <w:szCs w:val="20"/>
              </w:rPr>
              <w:t>(2)(b) of the FMPPLA</w:t>
            </w:r>
          </w:p>
        </w:tc>
        <w:tc>
          <w:tcPr>
            <w:tcW w:w="985" w:type="pct"/>
            <w:tcBorders>
              <w:bottom w:val="single" w:sz="4" w:space="0" w:color="000000"/>
            </w:tcBorders>
          </w:tcPr>
          <w:p w14:paraId="126C53FE" w14:textId="77777777" w:rsidR="000622DA"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5(2)(m) of the regulations for reporting by </w:t>
            </w:r>
            <w:r w:rsidR="008D611A" w:rsidRPr="0077659B">
              <w:rPr>
                <w:rFonts w:cs="Arial"/>
                <w:sz w:val="20"/>
                <w:szCs w:val="20"/>
                <w:lang w:eastAsia="en-GB"/>
              </w:rPr>
              <w:lastRenderedPageBreak/>
              <w:t>public higher education institution</w:t>
            </w:r>
          </w:p>
        </w:tc>
      </w:tr>
      <w:tr w:rsidR="00542C02" w:rsidRPr="0077659B" w14:paraId="218F938C" w14:textId="77777777" w:rsidTr="000913DD">
        <w:trPr>
          <w:trHeight w:val="413"/>
        </w:trPr>
        <w:tc>
          <w:tcPr>
            <w:tcW w:w="995" w:type="pct"/>
            <w:tcBorders>
              <w:bottom w:val="single" w:sz="4" w:space="0" w:color="000000"/>
            </w:tcBorders>
            <w:shd w:val="clear" w:color="auto" w:fill="auto"/>
          </w:tcPr>
          <w:p w14:paraId="6616B46F" w14:textId="77777777" w:rsidR="00902F69" w:rsidRPr="0077659B" w:rsidRDefault="00902F69" w:rsidP="000913DD">
            <w:pPr>
              <w:numPr>
                <w:ilvl w:val="0"/>
                <w:numId w:val="15"/>
              </w:numPr>
              <w:spacing w:after="0"/>
              <w:rPr>
                <w:rFonts w:cs="Arial"/>
                <w:sz w:val="20"/>
                <w:szCs w:val="20"/>
              </w:rPr>
            </w:pPr>
            <w:r w:rsidRPr="0077659B">
              <w:rPr>
                <w:rFonts w:cs="Arial"/>
                <w:sz w:val="20"/>
                <w:szCs w:val="20"/>
                <w:lang w:eastAsia="en-GB"/>
              </w:rPr>
              <w:lastRenderedPageBreak/>
              <w:t>Reported achievements are consistent with the planned and reported indicator and target</w:t>
            </w:r>
          </w:p>
          <w:p w14:paraId="1014EA5B" w14:textId="77777777" w:rsidR="00DB0A16" w:rsidRPr="0077659B" w:rsidRDefault="00DB0A16" w:rsidP="000913DD">
            <w:pPr>
              <w:spacing w:after="0"/>
              <w:rPr>
                <w:rFonts w:cs="Arial"/>
                <w:sz w:val="20"/>
                <w:szCs w:val="20"/>
                <w:lang w:eastAsia="en-GB"/>
              </w:rPr>
            </w:pPr>
          </w:p>
          <w:p w14:paraId="0D6F6B58" w14:textId="77777777" w:rsidR="00DB0A16" w:rsidRPr="0077659B" w:rsidRDefault="00DB0A16" w:rsidP="000913DD">
            <w:pPr>
              <w:spacing w:after="0"/>
              <w:rPr>
                <w:rFonts w:cs="Arial"/>
                <w:sz w:val="20"/>
                <w:szCs w:val="20"/>
                <w:lang w:eastAsia="en-GB"/>
              </w:rPr>
            </w:pPr>
          </w:p>
          <w:p w14:paraId="0675D0FC" w14:textId="77777777" w:rsidR="00DB0A16" w:rsidRPr="0077659B" w:rsidRDefault="00DB0A16" w:rsidP="000913DD">
            <w:pPr>
              <w:spacing w:after="0"/>
              <w:rPr>
                <w:rFonts w:cs="Arial"/>
                <w:sz w:val="20"/>
                <w:szCs w:val="20"/>
                <w:lang w:eastAsia="en-GB"/>
              </w:rPr>
            </w:pPr>
          </w:p>
          <w:p w14:paraId="70DF07FE" w14:textId="77777777" w:rsidR="00DB0A16" w:rsidRPr="0077659B" w:rsidRDefault="00DB0A16" w:rsidP="000913DD">
            <w:pPr>
              <w:spacing w:after="0"/>
              <w:rPr>
                <w:rFonts w:cs="Arial"/>
                <w:sz w:val="20"/>
                <w:szCs w:val="20"/>
              </w:rPr>
            </w:pPr>
          </w:p>
        </w:tc>
        <w:tc>
          <w:tcPr>
            <w:tcW w:w="1007" w:type="pct"/>
            <w:tcBorders>
              <w:bottom w:val="single" w:sz="4" w:space="0" w:color="000000"/>
            </w:tcBorders>
            <w:shd w:val="clear" w:color="auto" w:fill="auto"/>
          </w:tcPr>
          <w:p w14:paraId="3742A12C" w14:textId="77777777" w:rsidR="00902F69"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40(3)(a) of the  PFMA  </w:t>
            </w:r>
          </w:p>
        </w:tc>
        <w:tc>
          <w:tcPr>
            <w:tcW w:w="1007" w:type="pct"/>
            <w:tcBorders>
              <w:bottom w:val="single" w:sz="4" w:space="0" w:color="000000"/>
            </w:tcBorders>
            <w:shd w:val="clear" w:color="auto" w:fill="auto"/>
          </w:tcPr>
          <w:p w14:paraId="122DDF3E"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55(2)(a) of the  PFMA</w:t>
            </w:r>
          </w:p>
        </w:tc>
        <w:tc>
          <w:tcPr>
            <w:tcW w:w="1006" w:type="pct"/>
            <w:tcBorders>
              <w:bottom w:val="single" w:sz="4" w:space="0" w:color="000000"/>
            </w:tcBorders>
            <w:shd w:val="clear" w:color="auto" w:fill="auto"/>
          </w:tcPr>
          <w:p w14:paraId="04DA013A" w14:textId="77777777" w:rsidR="00902F69"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55(3)(d) of the FMPPLA</w:t>
            </w:r>
          </w:p>
        </w:tc>
        <w:tc>
          <w:tcPr>
            <w:tcW w:w="985" w:type="pct"/>
            <w:tcBorders>
              <w:bottom w:val="single" w:sz="4" w:space="0" w:color="000000"/>
            </w:tcBorders>
          </w:tcPr>
          <w:p w14:paraId="3A6DCE49"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7(4)(a) of the regulations for reporting by </w:t>
            </w:r>
            <w:r w:rsidR="008D611A" w:rsidRPr="0077659B">
              <w:rPr>
                <w:rFonts w:cs="Arial"/>
                <w:sz w:val="20"/>
                <w:szCs w:val="20"/>
                <w:lang w:eastAsia="en-GB"/>
              </w:rPr>
              <w:t>public higher education institutions</w:t>
            </w:r>
          </w:p>
        </w:tc>
      </w:tr>
      <w:tr w:rsidR="000622DA" w:rsidRPr="0077659B" w14:paraId="7B1DAAB8" w14:textId="77777777" w:rsidTr="000913DD">
        <w:trPr>
          <w:trHeight w:val="340"/>
        </w:trPr>
        <w:tc>
          <w:tcPr>
            <w:tcW w:w="4015" w:type="pct"/>
            <w:gridSpan w:val="4"/>
            <w:shd w:val="clear" w:color="auto" w:fill="D9D9D9" w:themeFill="background1" w:themeFillShade="D9"/>
            <w:vAlign w:val="center"/>
          </w:tcPr>
          <w:p w14:paraId="1C1C3136" w14:textId="77777777" w:rsidR="000622DA" w:rsidRPr="0077659B" w:rsidRDefault="000622DA" w:rsidP="000913DD">
            <w:pPr>
              <w:rPr>
                <w:rFonts w:cs="Arial"/>
                <w:b/>
                <w:bCs/>
                <w:sz w:val="20"/>
                <w:szCs w:val="20"/>
              </w:rPr>
            </w:pPr>
            <w:r w:rsidRPr="0077659B">
              <w:rPr>
                <w:rFonts w:cs="Arial"/>
                <w:b/>
                <w:bCs/>
                <w:sz w:val="20"/>
                <w:szCs w:val="20"/>
              </w:rPr>
              <w:t>Measurability: Performance measures / indicators are well defined and verifiable, and targets are specific, measurable and time bound</w:t>
            </w:r>
          </w:p>
        </w:tc>
        <w:tc>
          <w:tcPr>
            <w:tcW w:w="985" w:type="pct"/>
            <w:shd w:val="clear" w:color="auto" w:fill="D9D9D9" w:themeFill="background1" w:themeFillShade="D9"/>
          </w:tcPr>
          <w:p w14:paraId="0098A5CF" w14:textId="77777777" w:rsidR="000622DA" w:rsidRPr="0077659B" w:rsidRDefault="000622DA" w:rsidP="000913DD">
            <w:pPr>
              <w:rPr>
                <w:rFonts w:cs="Arial"/>
                <w:b/>
                <w:bCs/>
                <w:sz w:val="20"/>
                <w:szCs w:val="20"/>
              </w:rPr>
            </w:pPr>
          </w:p>
        </w:tc>
      </w:tr>
      <w:tr w:rsidR="00542C02" w:rsidRPr="0077659B" w14:paraId="5282FE15" w14:textId="77777777" w:rsidTr="000913DD">
        <w:trPr>
          <w:trHeight w:val="1115"/>
        </w:trPr>
        <w:tc>
          <w:tcPr>
            <w:tcW w:w="995" w:type="pct"/>
            <w:shd w:val="clear" w:color="auto" w:fill="auto"/>
          </w:tcPr>
          <w:p w14:paraId="3C2B61B6"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t>A performance measure or indicator is well defined when it has a clear definition so that data will be collected consistently and is easy to understand and use</w:t>
            </w:r>
          </w:p>
        </w:tc>
        <w:tc>
          <w:tcPr>
            <w:tcW w:w="2014" w:type="pct"/>
            <w:gridSpan w:val="2"/>
            <w:shd w:val="clear" w:color="auto" w:fill="auto"/>
          </w:tcPr>
          <w:p w14:paraId="675054B6"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3.2</w:t>
            </w:r>
            <w:r w:rsidRPr="0077659B">
              <w:rPr>
                <w:rFonts w:cs="Arial"/>
                <w:sz w:val="20"/>
                <w:szCs w:val="20"/>
              </w:rPr>
              <w:br/>
            </w:r>
          </w:p>
        </w:tc>
        <w:tc>
          <w:tcPr>
            <w:tcW w:w="1006" w:type="pct"/>
            <w:shd w:val="clear" w:color="auto" w:fill="auto"/>
          </w:tcPr>
          <w:p w14:paraId="0FCEC2E8"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Pr>
          <w:p w14:paraId="0A17EA45"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1(d) of the regulations for reporting by </w:t>
            </w:r>
            <w:r w:rsidR="008D611A" w:rsidRPr="0077659B">
              <w:rPr>
                <w:rFonts w:cs="Arial"/>
                <w:sz w:val="20"/>
                <w:szCs w:val="20"/>
                <w:lang w:eastAsia="en-GB"/>
              </w:rPr>
              <w:t>public higher education institutions</w:t>
            </w:r>
          </w:p>
        </w:tc>
      </w:tr>
      <w:tr w:rsidR="0076617B" w:rsidRPr="0077659B" w14:paraId="16FB1AF7" w14:textId="77777777" w:rsidTr="000913DD">
        <w:tc>
          <w:tcPr>
            <w:tcW w:w="995" w:type="pct"/>
            <w:shd w:val="clear" w:color="auto" w:fill="auto"/>
          </w:tcPr>
          <w:p w14:paraId="065A3B22" w14:textId="77777777" w:rsidR="0076617B" w:rsidRPr="0077659B" w:rsidDel="0025631A" w:rsidRDefault="0076617B" w:rsidP="000913DD">
            <w:pPr>
              <w:numPr>
                <w:ilvl w:val="0"/>
                <w:numId w:val="15"/>
              </w:numPr>
              <w:spacing w:after="0"/>
              <w:rPr>
                <w:rFonts w:eastAsia="Times New Roman" w:cs="Arial"/>
                <w:sz w:val="20"/>
                <w:szCs w:val="20"/>
              </w:rPr>
            </w:pPr>
            <w:r w:rsidRPr="0077659B">
              <w:rPr>
                <w:rFonts w:cs="Arial"/>
                <w:sz w:val="20"/>
                <w:szCs w:val="20"/>
              </w:rPr>
              <w:t>A performance measure/indicator is verifiable when it is possible to validate or verify the processes and systems that produce the indicator</w:t>
            </w:r>
          </w:p>
        </w:tc>
        <w:tc>
          <w:tcPr>
            <w:tcW w:w="2014" w:type="pct"/>
            <w:gridSpan w:val="2"/>
            <w:shd w:val="clear" w:color="auto" w:fill="auto"/>
          </w:tcPr>
          <w:p w14:paraId="4E9B301D"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3.2</w:t>
            </w:r>
            <w:r w:rsidRPr="0077659B">
              <w:rPr>
                <w:rFonts w:cs="Arial"/>
                <w:sz w:val="20"/>
                <w:szCs w:val="20"/>
              </w:rPr>
              <w:br/>
            </w:r>
          </w:p>
        </w:tc>
        <w:tc>
          <w:tcPr>
            <w:tcW w:w="1991" w:type="pct"/>
            <w:gridSpan w:val="2"/>
            <w:shd w:val="clear" w:color="auto" w:fill="auto"/>
          </w:tcPr>
          <w:p w14:paraId="32919B2F" w14:textId="77777777" w:rsidR="0076617B" w:rsidRPr="0077659B" w:rsidRDefault="0076617B" w:rsidP="000913DD">
            <w:pPr>
              <w:rPr>
                <w:rFonts w:cs="Arial"/>
                <w:sz w:val="20"/>
                <w:szCs w:val="20"/>
              </w:rPr>
            </w:pPr>
            <w:r w:rsidRPr="0077659B">
              <w:rPr>
                <w:rFonts w:cs="Arial"/>
                <w:sz w:val="20"/>
                <w:szCs w:val="20"/>
              </w:rPr>
              <w:t>Criteria not applicable</w:t>
            </w:r>
          </w:p>
        </w:tc>
      </w:tr>
      <w:tr w:rsidR="00542C02" w:rsidRPr="0077659B" w14:paraId="2411D4CC" w14:textId="77777777" w:rsidTr="000913DD">
        <w:tc>
          <w:tcPr>
            <w:tcW w:w="995" w:type="pct"/>
            <w:shd w:val="clear" w:color="auto" w:fill="auto"/>
          </w:tcPr>
          <w:p w14:paraId="3A4634BF"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lastRenderedPageBreak/>
              <w:t>A target is specific when the nature and the required level of performance of the target are clearly identifiable</w:t>
            </w:r>
          </w:p>
        </w:tc>
        <w:tc>
          <w:tcPr>
            <w:tcW w:w="2014" w:type="pct"/>
            <w:gridSpan w:val="2"/>
            <w:shd w:val="clear" w:color="auto" w:fill="auto"/>
          </w:tcPr>
          <w:p w14:paraId="32625403"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00B65508" w:rsidRPr="0077659B">
              <w:rPr>
                <w:rFonts w:cs="Arial"/>
                <w:sz w:val="20"/>
                <w:szCs w:val="20"/>
              </w:rPr>
              <w:t>hapter 3.3</w:t>
            </w:r>
            <w:r w:rsidRPr="0077659B">
              <w:rPr>
                <w:rFonts w:cs="Arial"/>
                <w:sz w:val="20"/>
                <w:szCs w:val="20"/>
              </w:rPr>
              <w:br/>
            </w:r>
          </w:p>
        </w:tc>
        <w:tc>
          <w:tcPr>
            <w:tcW w:w="1006" w:type="pct"/>
            <w:shd w:val="clear" w:color="auto" w:fill="auto"/>
          </w:tcPr>
          <w:p w14:paraId="013DBBA7"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Pr>
          <w:p w14:paraId="3854B0DD"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1(a) of the regulations for reporting by </w:t>
            </w:r>
            <w:r w:rsidR="008D611A" w:rsidRPr="0077659B">
              <w:rPr>
                <w:rFonts w:cs="Arial"/>
                <w:sz w:val="20"/>
                <w:szCs w:val="20"/>
                <w:lang w:eastAsia="en-GB"/>
              </w:rPr>
              <w:t>public higher education institutions</w:t>
            </w:r>
          </w:p>
        </w:tc>
      </w:tr>
      <w:tr w:rsidR="00542C02" w:rsidRPr="0077659B" w14:paraId="4D38A460" w14:textId="77777777" w:rsidTr="000913DD">
        <w:trPr>
          <w:trHeight w:val="679"/>
        </w:trPr>
        <w:tc>
          <w:tcPr>
            <w:tcW w:w="995" w:type="pct"/>
            <w:shd w:val="clear" w:color="auto" w:fill="auto"/>
          </w:tcPr>
          <w:p w14:paraId="5B1D5220"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t>A target is measurable when the required performance can be measured</w:t>
            </w:r>
          </w:p>
        </w:tc>
        <w:tc>
          <w:tcPr>
            <w:tcW w:w="2014" w:type="pct"/>
            <w:gridSpan w:val="2"/>
            <w:shd w:val="clear" w:color="auto" w:fill="auto"/>
          </w:tcPr>
          <w:p w14:paraId="0EE4826D"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3.3</w:t>
            </w:r>
            <w:r w:rsidRPr="0077659B">
              <w:rPr>
                <w:rFonts w:cs="Arial"/>
                <w:sz w:val="20"/>
                <w:szCs w:val="20"/>
              </w:rPr>
              <w:br/>
            </w:r>
          </w:p>
        </w:tc>
        <w:tc>
          <w:tcPr>
            <w:tcW w:w="1006" w:type="pct"/>
            <w:shd w:val="clear" w:color="auto" w:fill="auto"/>
          </w:tcPr>
          <w:p w14:paraId="6F6C392E"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Pr>
          <w:p w14:paraId="25DA92A6"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1(b) of the regulations for reporting by </w:t>
            </w:r>
            <w:r w:rsidR="008D611A" w:rsidRPr="0077659B">
              <w:rPr>
                <w:rFonts w:cs="Arial"/>
                <w:sz w:val="20"/>
                <w:szCs w:val="20"/>
                <w:lang w:eastAsia="en-GB"/>
              </w:rPr>
              <w:t>public higher education institutions</w:t>
            </w:r>
          </w:p>
        </w:tc>
      </w:tr>
      <w:tr w:rsidR="00542C02" w:rsidRPr="0077659B" w14:paraId="57BBE6ED" w14:textId="77777777" w:rsidTr="000913DD">
        <w:trPr>
          <w:trHeight w:val="703"/>
        </w:trPr>
        <w:tc>
          <w:tcPr>
            <w:tcW w:w="995" w:type="pct"/>
            <w:tcBorders>
              <w:bottom w:val="single" w:sz="4" w:space="0" w:color="000000"/>
            </w:tcBorders>
            <w:shd w:val="clear" w:color="auto" w:fill="auto"/>
          </w:tcPr>
          <w:p w14:paraId="1106C7F3"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t>A target is time bound when the time frames for the achievement of the target are indicated</w:t>
            </w:r>
          </w:p>
        </w:tc>
        <w:tc>
          <w:tcPr>
            <w:tcW w:w="2014" w:type="pct"/>
            <w:gridSpan w:val="2"/>
            <w:tcBorders>
              <w:bottom w:val="single" w:sz="4" w:space="0" w:color="000000"/>
            </w:tcBorders>
            <w:shd w:val="clear" w:color="auto" w:fill="auto"/>
          </w:tcPr>
          <w:p w14:paraId="4C317D48" w14:textId="77777777" w:rsidR="0076617B" w:rsidRPr="0077659B" w:rsidRDefault="0076617B" w:rsidP="000913DD">
            <w:pPr>
              <w:rPr>
                <w:rFonts w:cs="Arial"/>
                <w:sz w:val="20"/>
                <w:szCs w:val="20"/>
              </w:rPr>
            </w:pPr>
            <w:r w:rsidRPr="0077659B">
              <w:rPr>
                <w:rFonts w:cs="Arial"/>
                <w:sz w:val="20"/>
                <w:szCs w:val="20"/>
              </w:rPr>
              <w:t>FMPPI Chapter 3.3</w:t>
            </w:r>
            <w:r w:rsidRPr="0077659B">
              <w:rPr>
                <w:rFonts w:cs="Arial"/>
                <w:sz w:val="20"/>
                <w:szCs w:val="20"/>
              </w:rPr>
              <w:br/>
            </w:r>
          </w:p>
        </w:tc>
        <w:tc>
          <w:tcPr>
            <w:tcW w:w="1006" w:type="pct"/>
            <w:tcBorders>
              <w:bottom w:val="single" w:sz="4" w:space="0" w:color="000000"/>
            </w:tcBorders>
            <w:shd w:val="clear" w:color="auto" w:fill="auto"/>
          </w:tcPr>
          <w:p w14:paraId="21A0225A"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Borders>
              <w:bottom w:val="single" w:sz="4" w:space="0" w:color="000000"/>
            </w:tcBorders>
          </w:tcPr>
          <w:p w14:paraId="17529F74"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1(c) of the regulations for reporting by </w:t>
            </w:r>
            <w:r w:rsidR="008D611A" w:rsidRPr="0077659B">
              <w:rPr>
                <w:rFonts w:cs="Arial"/>
                <w:sz w:val="20"/>
                <w:szCs w:val="20"/>
                <w:lang w:eastAsia="en-GB"/>
              </w:rPr>
              <w:t>public higher education institutions</w:t>
            </w:r>
          </w:p>
        </w:tc>
      </w:tr>
      <w:tr w:rsidR="000622DA" w:rsidRPr="0077659B" w14:paraId="363DBD6A" w14:textId="77777777" w:rsidTr="000913DD">
        <w:tc>
          <w:tcPr>
            <w:tcW w:w="4015" w:type="pct"/>
            <w:gridSpan w:val="4"/>
            <w:shd w:val="clear" w:color="auto" w:fill="D9D9D9" w:themeFill="background1" w:themeFillShade="D9"/>
            <w:vAlign w:val="center"/>
          </w:tcPr>
          <w:p w14:paraId="5E96FE5E" w14:textId="77777777" w:rsidR="000622DA" w:rsidRPr="0077659B" w:rsidRDefault="000622DA" w:rsidP="000913DD">
            <w:pPr>
              <w:spacing w:after="0" w:line="240" w:lineRule="auto"/>
              <w:rPr>
                <w:rFonts w:cs="Arial"/>
                <w:b/>
                <w:bCs/>
                <w:sz w:val="20"/>
                <w:szCs w:val="20"/>
              </w:rPr>
            </w:pPr>
            <w:r w:rsidRPr="0077659B">
              <w:rPr>
                <w:rFonts w:cs="Arial"/>
                <w:b/>
                <w:bCs/>
                <w:sz w:val="20"/>
                <w:szCs w:val="20"/>
              </w:rPr>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14:paraId="61A9480B" w14:textId="77777777" w:rsidR="000622DA" w:rsidRPr="0077659B" w:rsidRDefault="000622DA" w:rsidP="000913DD">
            <w:pPr>
              <w:spacing w:after="0" w:line="240" w:lineRule="auto"/>
              <w:ind w:left="720"/>
              <w:rPr>
                <w:rFonts w:cs="Arial"/>
                <w:b/>
                <w:bCs/>
                <w:sz w:val="20"/>
                <w:szCs w:val="20"/>
              </w:rPr>
            </w:pPr>
          </w:p>
        </w:tc>
      </w:tr>
      <w:tr w:rsidR="00542C02" w:rsidRPr="0077659B" w14:paraId="26772D12" w14:textId="77777777" w:rsidTr="000913DD">
        <w:tc>
          <w:tcPr>
            <w:tcW w:w="995" w:type="pct"/>
            <w:tcBorders>
              <w:bottom w:val="single" w:sz="4" w:space="0" w:color="000000"/>
            </w:tcBorders>
            <w:shd w:val="clear" w:color="auto" w:fill="auto"/>
          </w:tcPr>
          <w:p w14:paraId="7998692A" w14:textId="77777777" w:rsidR="00852E50" w:rsidRPr="0077659B" w:rsidRDefault="00852E50" w:rsidP="000913DD">
            <w:pPr>
              <w:numPr>
                <w:ilvl w:val="0"/>
                <w:numId w:val="15"/>
              </w:numPr>
              <w:spacing w:after="0"/>
              <w:rPr>
                <w:rFonts w:eastAsia="Times New Roman" w:cs="Arial"/>
                <w:sz w:val="20"/>
                <w:szCs w:val="20"/>
              </w:rPr>
            </w:pPr>
            <w:r w:rsidRPr="0077659B">
              <w:rPr>
                <w:rFonts w:cs="Arial"/>
                <w:sz w:val="20"/>
                <w:szCs w:val="20"/>
              </w:rPr>
              <w:t>The performance measure/indicator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14:paraId="67077268" w14:textId="77777777" w:rsidR="00852E50" w:rsidRPr="0077659B" w:rsidRDefault="00852E50"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 xml:space="preserve">hapter 3.2 </w:t>
            </w:r>
          </w:p>
        </w:tc>
        <w:tc>
          <w:tcPr>
            <w:tcW w:w="1006" w:type="pct"/>
            <w:tcBorders>
              <w:bottom w:val="single" w:sz="4" w:space="0" w:color="000000"/>
            </w:tcBorders>
            <w:shd w:val="clear" w:color="auto" w:fill="auto"/>
          </w:tcPr>
          <w:p w14:paraId="23BCED41" w14:textId="77777777" w:rsidR="00852E50" w:rsidRPr="0077659B" w:rsidRDefault="00852E50" w:rsidP="000913DD">
            <w:pPr>
              <w:rPr>
                <w:rFonts w:cs="Arial"/>
                <w:sz w:val="20"/>
                <w:szCs w:val="20"/>
              </w:rPr>
            </w:pPr>
            <w:r w:rsidRPr="0077659B">
              <w:rPr>
                <w:rFonts w:cs="Arial"/>
                <w:sz w:val="20"/>
                <w:szCs w:val="20"/>
              </w:rPr>
              <w:t>Criteria not applicable</w:t>
            </w:r>
          </w:p>
        </w:tc>
        <w:tc>
          <w:tcPr>
            <w:tcW w:w="985" w:type="pct"/>
            <w:tcBorders>
              <w:bottom w:val="single" w:sz="4" w:space="0" w:color="000000"/>
            </w:tcBorders>
          </w:tcPr>
          <w:p w14:paraId="21E6988D" w14:textId="77777777" w:rsidR="00852E50" w:rsidRPr="0077659B" w:rsidRDefault="00852E50" w:rsidP="000913DD">
            <w:pPr>
              <w:rPr>
                <w:rFonts w:cs="Arial"/>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1(e) of the regulations for reporting by Public Higher Education Institutions</w:t>
            </w:r>
          </w:p>
        </w:tc>
      </w:tr>
      <w:tr w:rsidR="000622DA" w:rsidRPr="0077659B" w14:paraId="04BCAAB2" w14:textId="77777777" w:rsidTr="000913DD">
        <w:tc>
          <w:tcPr>
            <w:tcW w:w="4015" w:type="pct"/>
            <w:gridSpan w:val="4"/>
            <w:shd w:val="clear" w:color="auto" w:fill="D9D9D9" w:themeFill="background1" w:themeFillShade="D9"/>
            <w:vAlign w:val="center"/>
          </w:tcPr>
          <w:p w14:paraId="4508C8D5" w14:textId="77777777" w:rsidR="000622DA" w:rsidRPr="0077659B" w:rsidRDefault="000622DA" w:rsidP="000913DD">
            <w:pPr>
              <w:spacing w:after="0" w:line="240" w:lineRule="auto"/>
              <w:ind w:left="34"/>
              <w:rPr>
                <w:rFonts w:cs="Arial"/>
                <w:b/>
                <w:bCs/>
                <w:sz w:val="20"/>
                <w:szCs w:val="20"/>
              </w:rPr>
            </w:pPr>
            <w:r w:rsidRPr="0077659B">
              <w:rPr>
                <w:rFonts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14:paraId="7D0D5D2E" w14:textId="77777777" w:rsidR="000622DA" w:rsidRPr="0077659B" w:rsidRDefault="000622DA" w:rsidP="000913DD">
            <w:pPr>
              <w:spacing w:after="0" w:line="240" w:lineRule="auto"/>
              <w:ind w:left="720"/>
              <w:rPr>
                <w:rFonts w:cs="Arial"/>
                <w:b/>
                <w:bCs/>
                <w:sz w:val="20"/>
                <w:szCs w:val="20"/>
              </w:rPr>
            </w:pPr>
          </w:p>
        </w:tc>
      </w:tr>
      <w:tr w:rsidR="00542C02" w:rsidRPr="0077659B" w14:paraId="4A767BC7" w14:textId="77777777" w:rsidTr="000913DD">
        <w:trPr>
          <w:trHeight w:val="1248"/>
        </w:trPr>
        <w:tc>
          <w:tcPr>
            <w:tcW w:w="995" w:type="pct"/>
            <w:shd w:val="clear" w:color="auto" w:fill="auto"/>
          </w:tcPr>
          <w:p w14:paraId="54ED213D" w14:textId="77777777" w:rsidR="00852E50" w:rsidRPr="0077659B" w:rsidRDefault="00852E50" w:rsidP="000913DD">
            <w:pPr>
              <w:numPr>
                <w:ilvl w:val="0"/>
                <w:numId w:val="15"/>
              </w:numPr>
              <w:spacing w:after="0"/>
              <w:rPr>
                <w:rFonts w:eastAsia="Times New Roman" w:cs="Arial"/>
                <w:sz w:val="20"/>
                <w:szCs w:val="20"/>
              </w:rPr>
            </w:pPr>
            <w:r w:rsidRPr="0077659B">
              <w:rPr>
                <w:rFonts w:cs="Arial"/>
                <w:sz w:val="20"/>
                <w:szCs w:val="20"/>
              </w:rPr>
              <w:t>Reasons for variances between planned and actual performance are disclosed in the annual performance report</w:t>
            </w:r>
          </w:p>
        </w:tc>
        <w:tc>
          <w:tcPr>
            <w:tcW w:w="1007" w:type="pct"/>
            <w:shd w:val="clear" w:color="auto" w:fill="auto"/>
          </w:tcPr>
          <w:p w14:paraId="2821124E" w14:textId="77777777" w:rsidR="00852E50" w:rsidRPr="0077659B" w:rsidRDefault="00852E50" w:rsidP="000913DD">
            <w:pPr>
              <w:spacing w:line="360" w:lineRule="auto"/>
              <w:rPr>
                <w:rFonts w:cs="Arial"/>
                <w:sz w:val="20"/>
                <w:szCs w:val="20"/>
              </w:rPr>
            </w:pPr>
            <w:r w:rsidRPr="0077659B">
              <w:rPr>
                <w:rFonts w:cs="Arial"/>
                <w:sz w:val="20"/>
                <w:szCs w:val="20"/>
              </w:rPr>
              <w:t>The NT’s annual report guide for national and provincial departments</w:t>
            </w:r>
          </w:p>
          <w:p w14:paraId="17C7F874" w14:textId="77777777" w:rsidR="00852E50" w:rsidRPr="0077659B" w:rsidRDefault="00852E50" w:rsidP="000913DD">
            <w:pPr>
              <w:rPr>
                <w:rFonts w:cs="Arial"/>
                <w:sz w:val="20"/>
                <w:szCs w:val="20"/>
              </w:rPr>
            </w:pPr>
            <w:r w:rsidRPr="0077659B">
              <w:rPr>
                <w:rFonts w:cs="Arial"/>
                <w:sz w:val="20"/>
                <w:szCs w:val="20"/>
              </w:rPr>
              <w:t>Sec</w:t>
            </w:r>
            <w:r w:rsidR="00C56BED" w:rsidRPr="0077659B">
              <w:rPr>
                <w:rFonts w:cs="Arial"/>
                <w:sz w:val="20"/>
                <w:szCs w:val="20"/>
              </w:rPr>
              <w:t>tion</w:t>
            </w:r>
            <w:r w:rsidRPr="0077659B">
              <w:rPr>
                <w:rFonts w:cs="Arial"/>
                <w:sz w:val="20"/>
                <w:szCs w:val="20"/>
              </w:rPr>
              <w:t xml:space="preserve"> 31(1) of the PSR</w:t>
            </w:r>
          </w:p>
        </w:tc>
        <w:tc>
          <w:tcPr>
            <w:tcW w:w="1007" w:type="pct"/>
            <w:shd w:val="clear" w:color="auto" w:fill="auto"/>
          </w:tcPr>
          <w:p w14:paraId="6D9343DE" w14:textId="77777777" w:rsidR="00852E50" w:rsidRPr="0077659B" w:rsidRDefault="00852E50" w:rsidP="000913DD">
            <w:pPr>
              <w:rPr>
                <w:rFonts w:cs="Arial"/>
                <w:sz w:val="20"/>
                <w:szCs w:val="20"/>
              </w:rPr>
            </w:pPr>
            <w:r w:rsidRPr="0077659B">
              <w:rPr>
                <w:rFonts w:cs="Arial"/>
                <w:sz w:val="20"/>
                <w:szCs w:val="20"/>
              </w:rPr>
              <w:t>Applicable to schedule 3A &amp; 3C public entities:</w:t>
            </w:r>
          </w:p>
          <w:p w14:paraId="459F91A9" w14:textId="77777777" w:rsidR="00852E50" w:rsidRPr="0077659B" w:rsidRDefault="00852E50" w:rsidP="000913DD">
            <w:pPr>
              <w:rPr>
                <w:rFonts w:cs="Arial"/>
                <w:sz w:val="20"/>
                <w:szCs w:val="20"/>
              </w:rPr>
            </w:pPr>
            <w:r w:rsidRPr="0077659B">
              <w:rPr>
                <w:rFonts w:cs="Arial"/>
                <w:sz w:val="20"/>
                <w:szCs w:val="20"/>
              </w:rPr>
              <w:t>The NT’s annual report guide for schedule 3A and 3C public entities</w:t>
            </w:r>
          </w:p>
        </w:tc>
        <w:tc>
          <w:tcPr>
            <w:tcW w:w="1991" w:type="pct"/>
            <w:gridSpan w:val="2"/>
            <w:shd w:val="clear" w:color="auto" w:fill="auto"/>
          </w:tcPr>
          <w:p w14:paraId="15A3DD89" w14:textId="77777777" w:rsidR="00852E50" w:rsidRPr="0077659B" w:rsidRDefault="00852E50" w:rsidP="000913DD">
            <w:pPr>
              <w:rPr>
                <w:rFonts w:cs="Arial"/>
                <w:sz w:val="20"/>
                <w:szCs w:val="20"/>
              </w:rPr>
            </w:pPr>
            <w:r w:rsidRPr="0077659B">
              <w:rPr>
                <w:rFonts w:cs="Arial"/>
                <w:sz w:val="20"/>
                <w:szCs w:val="20"/>
              </w:rPr>
              <w:t>Criteria not applicable</w:t>
            </w:r>
          </w:p>
        </w:tc>
      </w:tr>
      <w:tr w:rsidR="00542C02" w:rsidRPr="0077659B" w14:paraId="1C0EA8E5" w14:textId="77777777" w:rsidTr="000913DD">
        <w:tc>
          <w:tcPr>
            <w:tcW w:w="995" w:type="pct"/>
            <w:tcBorders>
              <w:bottom w:val="single" w:sz="4" w:space="0" w:color="000000"/>
            </w:tcBorders>
            <w:shd w:val="clear" w:color="auto" w:fill="auto"/>
          </w:tcPr>
          <w:p w14:paraId="3E77652C" w14:textId="77777777" w:rsidR="00852E50" w:rsidRPr="0077659B" w:rsidRDefault="00852E50" w:rsidP="000913DD">
            <w:pPr>
              <w:numPr>
                <w:ilvl w:val="0"/>
                <w:numId w:val="15"/>
              </w:numPr>
              <w:spacing w:after="0"/>
              <w:rPr>
                <w:rFonts w:eastAsia="Times New Roman" w:cs="Arial"/>
                <w:sz w:val="20"/>
                <w:szCs w:val="20"/>
              </w:rPr>
            </w:pPr>
            <w:r w:rsidRPr="0077659B">
              <w:rPr>
                <w:rFonts w:cs="Arial"/>
                <w:sz w:val="20"/>
                <w:szCs w:val="20"/>
              </w:rPr>
              <w:lastRenderedPageBreak/>
              <w:t>Reasons for variances are corroborated by source documentation</w:t>
            </w:r>
          </w:p>
        </w:tc>
        <w:tc>
          <w:tcPr>
            <w:tcW w:w="1007" w:type="pct"/>
            <w:tcBorders>
              <w:bottom w:val="single" w:sz="4" w:space="0" w:color="000000"/>
            </w:tcBorders>
            <w:shd w:val="clear" w:color="auto" w:fill="auto"/>
          </w:tcPr>
          <w:p w14:paraId="057127B3" w14:textId="77777777" w:rsidR="00852E50" w:rsidRPr="0077659B" w:rsidRDefault="00852E50" w:rsidP="000913DD">
            <w:pPr>
              <w:spacing w:line="360" w:lineRule="auto"/>
              <w:rPr>
                <w:rFonts w:cs="Arial"/>
                <w:sz w:val="20"/>
                <w:szCs w:val="20"/>
              </w:rPr>
            </w:pPr>
            <w:r w:rsidRPr="0077659B">
              <w:rPr>
                <w:rFonts w:cs="Arial"/>
                <w:sz w:val="20"/>
                <w:szCs w:val="20"/>
              </w:rPr>
              <w:t>The NT’s annual report guide for national and provincial departments</w:t>
            </w:r>
          </w:p>
          <w:p w14:paraId="610CA1EB" w14:textId="77777777" w:rsidR="00852E50" w:rsidRPr="0077659B" w:rsidRDefault="00852E50" w:rsidP="000913DD">
            <w:pPr>
              <w:rPr>
                <w:rFonts w:cs="Arial"/>
                <w:sz w:val="20"/>
                <w:szCs w:val="20"/>
              </w:rPr>
            </w:pPr>
            <w:r w:rsidRPr="0077659B">
              <w:rPr>
                <w:rFonts w:cs="Arial"/>
                <w:sz w:val="20"/>
                <w:szCs w:val="20"/>
              </w:rPr>
              <w:t>FMPPI chapter 5</w:t>
            </w:r>
          </w:p>
        </w:tc>
        <w:tc>
          <w:tcPr>
            <w:tcW w:w="1007" w:type="pct"/>
            <w:tcBorders>
              <w:bottom w:val="single" w:sz="4" w:space="0" w:color="000000"/>
            </w:tcBorders>
            <w:shd w:val="clear" w:color="auto" w:fill="auto"/>
          </w:tcPr>
          <w:p w14:paraId="3CAC8E6F" w14:textId="77777777" w:rsidR="00852E50" w:rsidRPr="0077659B" w:rsidRDefault="00852E50" w:rsidP="000913DD">
            <w:pPr>
              <w:rPr>
                <w:rFonts w:cs="Arial"/>
                <w:sz w:val="20"/>
                <w:szCs w:val="20"/>
              </w:rPr>
            </w:pPr>
            <w:r w:rsidRPr="0077659B">
              <w:rPr>
                <w:rFonts w:cs="Arial"/>
                <w:sz w:val="20"/>
                <w:szCs w:val="20"/>
              </w:rPr>
              <w:t>Applicable to schedule 3A &amp; 3C public entities:</w:t>
            </w:r>
          </w:p>
          <w:p w14:paraId="42E11EE7" w14:textId="77777777" w:rsidR="00852E50" w:rsidRPr="0077659B" w:rsidRDefault="00852E50" w:rsidP="000913DD">
            <w:pPr>
              <w:spacing w:line="360" w:lineRule="auto"/>
              <w:rPr>
                <w:rFonts w:cs="Arial"/>
                <w:sz w:val="20"/>
                <w:szCs w:val="20"/>
              </w:rPr>
            </w:pPr>
            <w:r w:rsidRPr="0077659B">
              <w:rPr>
                <w:rFonts w:cs="Arial"/>
                <w:sz w:val="20"/>
                <w:szCs w:val="20"/>
              </w:rPr>
              <w:t>The NT’s annual report guide for schedule 3A and 3C public entities</w:t>
            </w:r>
          </w:p>
          <w:p w14:paraId="516B50F2" w14:textId="77777777" w:rsidR="00852E50" w:rsidRPr="0077659B" w:rsidRDefault="00852E50" w:rsidP="000913DD">
            <w:pPr>
              <w:rPr>
                <w:rFonts w:cs="Arial"/>
                <w:sz w:val="20"/>
                <w:szCs w:val="20"/>
              </w:rPr>
            </w:pPr>
            <w:r w:rsidRPr="0077659B">
              <w:rPr>
                <w:rFonts w:cs="Arial"/>
                <w:sz w:val="20"/>
                <w:szCs w:val="20"/>
              </w:rPr>
              <w:t>FMPPI chapter 5</w:t>
            </w:r>
          </w:p>
        </w:tc>
        <w:tc>
          <w:tcPr>
            <w:tcW w:w="1991" w:type="pct"/>
            <w:gridSpan w:val="2"/>
            <w:tcBorders>
              <w:bottom w:val="single" w:sz="4" w:space="0" w:color="000000"/>
            </w:tcBorders>
            <w:shd w:val="clear" w:color="auto" w:fill="auto"/>
          </w:tcPr>
          <w:p w14:paraId="1D0D2344" w14:textId="77777777" w:rsidR="00852E50" w:rsidRPr="0077659B" w:rsidRDefault="00852E50" w:rsidP="000913DD">
            <w:pPr>
              <w:rPr>
                <w:rFonts w:cs="Arial"/>
                <w:sz w:val="20"/>
                <w:szCs w:val="20"/>
              </w:rPr>
            </w:pPr>
            <w:r w:rsidRPr="0077659B">
              <w:rPr>
                <w:rFonts w:cs="Arial"/>
                <w:sz w:val="20"/>
                <w:szCs w:val="20"/>
              </w:rPr>
              <w:t>Criteria not applicable</w:t>
            </w:r>
          </w:p>
        </w:tc>
      </w:tr>
      <w:tr w:rsidR="00542C02" w:rsidRPr="0077659B" w14:paraId="6C8F4F3A" w14:textId="77777777" w:rsidTr="000913DD">
        <w:tc>
          <w:tcPr>
            <w:tcW w:w="995" w:type="pct"/>
            <w:shd w:val="clear" w:color="auto" w:fill="auto"/>
          </w:tcPr>
          <w:p w14:paraId="79720DB7" w14:textId="77777777" w:rsidR="009A01CC" w:rsidRPr="0077659B" w:rsidRDefault="009A01CC" w:rsidP="000913DD">
            <w:pPr>
              <w:numPr>
                <w:ilvl w:val="0"/>
                <w:numId w:val="15"/>
              </w:numPr>
              <w:spacing w:after="0"/>
              <w:rPr>
                <w:rFonts w:cs="Arial"/>
                <w:b/>
                <w:bCs/>
                <w:sz w:val="20"/>
                <w:szCs w:val="20"/>
              </w:rPr>
            </w:pPr>
            <w:r w:rsidRPr="0077659B">
              <w:rPr>
                <w:rFonts w:cs="Arial"/>
                <w:sz w:val="20"/>
                <w:szCs w:val="20"/>
                <w:lang w:eastAsia="en-GB"/>
              </w:rPr>
              <w:t>Changes to objectives, performance indicators and performance targets are disclosed in the annual performance report</w:t>
            </w:r>
          </w:p>
        </w:tc>
        <w:tc>
          <w:tcPr>
            <w:tcW w:w="1007" w:type="pct"/>
            <w:shd w:val="clear" w:color="auto" w:fill="auto"/>
          </w:tcPr>
          <w:p w14:paraId="27850BFC" w14:textId="77777777" w:rsidR="009A01CC" w:rsidRPr="0077659B" w:rsidRDefault="009A01CC" w:rsidP="000913DD">
            <w:pPr>
              <w:rPr>
                <w:rFonts w:cs="Arial"/>
                <w:sz w:val="20"/>
                <w:szCs w:val="20"/>
                <w:lang w:eastAsia="en-GB"/>
              </w:rPr>
            </w:pPr>
            <w:r w:rsidRPr="0077659B">
              <w:rPr>
                <w:rFonts w:cs="Arial"/>
                <w:sz w:val="20"/>
                <w:szCs w:val="20"/>
                <w:lang w:eastAsia="en-GB"/>
              </w:rPr>
              <w:t>NT annual report guide for national and provincial departments</w:t>
            </w:r>
          </w:p>
          <w:p w14:paraId="3629889B" w14:textId="77777777" w:rsidR="009A01CC" w:rsidRPr="0077659B" w:rsidRDefault="009A01CC" w:rsidP="000913DD">
            <w:pPr>
              <w:rPr>
                <w:rFonts w:cs="Arial"/>
                <w:sz w:val="20"/>
                <w:szCs w:val="20"/>
                <w:lang w:eastAsia="en-GB"/>
              </w:rPr>
            </w:pPr>
          </w:p>
          <w:p w14:paraId="726A75C7" w14:textId="77777777" w:rsidR="009A01CC" w:rsidRPr="0077659B" w:rsidRDefault="009A01CC" w:rsidP="000913DD">
            <w:pPr>
              <w:rPr>
                <w:rFonts w:cs="Arial"/>
                <w:b/>
                <w:bCs/>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31(1) of the PSR</w:t>
            </w:r>
          </w:p>
        </w:tc>
        <w:tc>
          <w:tcPr>
            <w:tcW w:w="1007" w:type="pct"/>
            <w:shd w:val="clear" w:color="auto" w:fill="auto"/>
          </w:tcPr>
          <w:p w14:paraId="79353A77" w14:textId="77777777" w:rsidR="009A01CC" w:rsidRPr="0077659B" w:rsidRDefault="009A01CC" w:rsidP="000913DD">
            <w:pPr>
              <w:rPr>
                <w:rFonts w:cs="Arial"/>
                <w:sz w:val="20"/>
                <w:szCs w:val="20"/>
                <w:lang w:eastAsia="en-GB"/>
              </w:rPr>
            </w:pPr>
            <w:r w:rsidRPr="0077659B">
              <w:rPr>
                <w:rFonts w:cs="Arial"/>
                <w:sz w:val="20"/>
                <w:szCs w:val="20"/>
                <w:lang w:eastAsia="en-GB"/>
              </w:rPr>
              <w:t>Applicable to 3A &amp; 3C public entities:</w:t>
            </w:r>
          </w:p>
          <w:p w14:paraId="0A10EC15" w14:textId="77777777" w:rsidR="009A01CC" w:rsidRPr="0077659B" w:rsidRDefault="009A01CC" w:rsidP="000913DD">
            <w:pPr>
              <w:rPr>
                <w:rFonts w:cs="Arial"/>
                <w:b/>
                <w:bCs/>
                <w:sz w:val="20"/>
                <w:szCs w:val="20"/>
              </w:rPr>
            </w:pPr>
            <w:r w:rsidRPr="0077659B">
              <w:rPr>
                <w:rFonts w:cs="Arial"/>
                <w:sz w:val="20"/>
                <w:szCs w:val="20"/>
                <w:lang w:eastAsia="en-GB"/>
              </w:rPr>
              <w:t>NT annual report guide for schedule 3A and 3C public entities</w:t>
            </w:r>
          </w:p>
        </w:tc>
        <w:tc>
          <w:tcPr>
            <w:tcW w:w="1991" w:type="pct"/>
            <w:gridSpan w:val="2"/>
            <w:shd w:val="clear" w:color="auto" w:fill="auto"/>
          </w:tcPr>
          <w:p w14:paraId="463D970D" w14:textId="77777777" w:rsidR="009A01CC" w:rsidRPr="0077659B" w:rsidRDefault="009A01CC" w:rsidP="000913DD">
            <w:pPr>
              <w:spacing w:line="360" w:lineRule="auto"/>
              <w:rPr>
                <w:rFonts w:cs="Arial"/>
                <w:sz w:val="20"/>
                <w:szCs w:val="20"/>
                <w:lang w:eastAsia="en-GB"/>
              </w:rPr>
            </w:pPr>
            <w:r w:rsidRPr="0077659B">
              <w:rPr>
                <w:rFonts w:cs="Arial"/>
                <w:sz w:val="20"/>
                <w:szCs w:val="20"/>
                <w:lang w:eastAsia="en-GB"/>
              </w:rPr>
              <w:t>Criteria not applicable</w:t>
            </w:r>
          </w:p>
          <w:p w14:paraId="43D8BB1E" w14:textId="77777777" w:rsidR="009A01CC" w:rsidRPr="0077659B" w:rsidRDefault="009A01CC" w:rsidP="000913DD">
            <w:pPr>
              <w:rPr>
                <w:rFonts w:cs="Arial"/>
                <w:b/>
                <w:bCs/>
                <w:sz w:val="20"/>
                <w:szCs w:val="20"/>
              </w:rPr>
            </w:pPr>
          </w:p>
        </w:tc>
      </w:tr>
      <w:tr w:rsidR="000622DA" w:rsidRPr="0077659B" w14:paraId="2BA15E50" w14:textId="77777777" w:rsidTr="000913DD">
        <w:tc>
          <w:tcPr>
            <w:tcW w:w="4015" w:type="pct"/>
            <w:gridSpan w:val="4"/>
            <w:shd w:val="clear" w:color="auto" w:fill="D9D9D9" w:themeFill="background1" w:themeFillShade="D9"/>
          </w:tcPr>
          <w:p w14:paraId="50DF6266" w14:textId="77777777" w:rsidR="000622DA" w:rsidRPr="0077659B" w:rsidRDefault="000622DA" w:rsidP="000913DD">
            <w:pPr>
              <w:rPr>
                <w:rFonts w:cs="Arial"/>
                <w:b/>
                <w:bCs/>
                <w:sz w:val="20"/>
                <w:szCs w:val="20"/>
              </w:rPr>
            </w:pPr>
            <w:r w:rsidRPr="0077659B">
              <w:rPr>
                <w:rFonts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14:paraId="24CEC67D" w14:textId="77777777" w:rsidR="000622DA" w:rsidRPr="0077659B" w:rsidRDefault="000622DA" w:rsidP="000913DD">
            <w:pPr>
              <w:rPr>
                <w:rFonts w:cs="Arial"/>
                <w:b/>
                <w:bCs/>
                <w:sz w:val="20"/>
                <w:szCs w:val="20"/>
              </w:rPr>
            </w:pPr>
          </w:p>
        </w:tc>
      </w:tr>
      <w:tr w:rsidR="00542C02" w:rsidRPr="0077659B" w14:paraId="2AACF4C1" w14:textId="77777777" w:rsidTr="000913DD">
        <w:tc>
          <w:tcPr>
            <w:tcW w:w="995" w:type="pct"/>
            <w:shd w:val="clear" w:color="auto" w:fill="auto"/>
          </w:tcPr>
          <w:p w14:paraId="68ABDFAD" w14:textId="77777777" w:rsidR="009A01CC" w:rsidRPr="0077659B" w:rsidRDefault="009A01CC" w:rsidP="000913DD">
            <w:pPr>
              <w:numPr>
                <w:ilvl w:val="0"/>
                <w:numId w:val="12"/>
              </w:numPr>
              <w:spacing w:after="0"/>
              <w:rPr>
                <w:rFonts w:eastAsia="Times New Roman" w:cs="Arial"/>
                <w:sz w:val="20"/>
                <w:szCs w:val="20"/>
              </w:rPr>
            </w:pPr>
            <w:r w:rsidRPr="0077659B">
              <w:rPr>
                <w:rFonts w:cs="Arial"/>
                <w:sz w:val="20"/>
                <w:szCs w:val="20"/>
              </w:rPr>
              <w:t>Reported performance occurred and pertains to the reporting entity</w:t>
            </w:r>
          </w:p>
        </w:tc>
        <w:tc>
          <w:tcPr>
            <w:tcW w:w="1007" w:type="pct"/>
            <w:vMerge w:val="restart"/>
            <w:shd w:val="clear" w:color="auto" w:fill="auto"/>
          </w:tcPr>
          <w:p w14:paraId="24B0EE07" w14:textId="77777777" w:rsidR="009A01CC" w:rsidRPr="0077659B" w:rsidRDefault="009A01CC" w:rsidP="000913DD">
            <w:pPr>
              <w:rPr>
                <w:rFonts w:cs="Arial"/>
                <w:sz w:val="20"/>
                <w:szCs w:val="20"/>
              </w:rPr>
            </w:pPr>
            <w:r w:rsidRPr="0077659B">
              <w:rPr>
                <w:rFonts w:cs="Arial"/>
                <w:sz w:val="20"/>
                <w:szCs w:val="20"/>
              </w:rPr>
              <w:t>Section 40(3)(a) of the PFMA</w:t>
            </w:r>
          </w:p>
          <w:p w14:paraId="32A857E3" w14:textId="77777777" w:rsidR="009A01CC" w:rsidRPr="0077659B" w:rsidRDefault="009A01CC" w:rsidP="000913DD">
            <w:pPr>
              <w:rPr>
                <w:rFonts w:cs="Arial"/>
                <w:sz w:val="20"/>
                <w:szCs w:val="20"/>
                <w:lang w:eastAsia="en-GB"/>
              </w:rPr>
            </w:pPr>
            <w:r w:rsidRPr="0077659B">
              <w:rPr>
                <w:rFonts w:cs="Arial"/>
                <w:sz w:val="20"/>
                <w:szCs w:val="20"/>
                <w:lang w:eastAsia="en-GB"/>
              </w:rPr>
              <w:t xml:space="preserve">Chapter 5 of the FMPPI </w:t>
            </w:r>
          </w:p>
          <w:p w14:paraId="7F407508" w14:textId="77777777" w:rsidR="009A01CC" w:rsidRPr="0077659B" w:rsidRDefault="009A01CC" w:rsidP="000913DD">
            <w:pPr>
              <w:rPr>
                <w:rFonts w:cs="Arial"/>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25(1)(e) of the  PSR</w:t>
            </w:r>
            <w:r w:rsidRPr="0077659B">
              <w:rPr>
                <w:rFonts w:cs="Arial"/>
                <w:sz w:val="20"/>
                <w:szCs w:val="20"/>
              </w:rPr>
              <w:br/>
            </w:r>
          </w:p>
        </w:tc>
        <w:tc>
          <w:tcPr>
            <w:tcW w:w="1007" w:type="pct"/>
            <w:vMerge w:val="restart"/>
            <w:shd w:val="clear" w:color="auto" w:fill="auto"/>
          </w:tcPr>
          <w:p w14:paraId="66D69E61" w14:textId="77777777" w:rsidR="009A01CC" w:rsidRPr="0077659B" w:rsidRDefault="009A01CC" w:rsidP="000913DD">
            <w:pPr>
              <w:rPr>
                <w:rFonts w:cs="Arial"/>
                <w:sz w:val="20"/>
                <w:szCs w:val="20"/>
              </w:rPr>
            </w:pPr>
            <w:r w:rsidRPr="0077659B">
              <w:rPr>
                <w:rFonts w:cs="Arial"/>
                <w:sz w:val="20"/>
                <w:szCs w:val="20"/>
              </w:rPr>
              <w:t xml:space="preserve">Section 55(2)(a) of the PFMA </w:t>
            </w:r>
            <w:r w:rsidRPr="0077659B">
              <w:rPr>
                <w:rFonts w:cs="Arial"/>
                <w:sz w:val="20"/>
                <w:szCs w:val="20"/>
              </w:rPr>
              <w:br/>
            </w:r>
            <w:r w:rsidR="00C656F8" w:rsidRPr="0077659B">
              <w:rPr>
                <w:rFonts w:cs="Arial"/>
                <w:sz w:val="20"/>
                <w:szCs w:val="20"/>
                <w:lang w:eastAsia="en-GB"/>
              </w:rPr>
              <w:t>c</w:t>
            </w:r>
            <w:r w:rsidRPr="0077659B">
              <w:rPr>
                <w:rFonts w:cs="Arial"/>
                <w:sz w:val="20"/>
                <w:szCs w:val="20"/>
                <w:lang w:eastAsia="en-GB"/>
              </w:rPr>
              <w:t xml:space="preserve">hapter 5 of the FMPPI  </w:t>
            </w:r>
            <w:r w:rsidRPr="0077659B">
              <w:rPr>
                <w:rFonts w:cs="Arial"/>
                <w:sz w:val="20"/>
                <w:szCs w:val="20"/>
              </w:rPr>
              <w:br/>
            </w:r>
          </w:p>
        </w:tc>
        <w:tc>
          <w:tcPr>
            <w:tcW w:w="1006" w:type="pct"/>
            <w:vMerge w:val="restart"/>
            <w:shd w:val="clear" w:color="auto" w:fill="auto"/>
          </w:tcPr>
          <w:p w14:paraId="5286CD6C" w14:textId="77777777" w:rsidR="009A01CC" w:rsidRPr="0077659B" w:rsidRDefault="009A01CC" w:rsidP="000913DD">
            <w:pPr>
              <w:rPr>
                <w:rFonts w:cs="Arial"/>
                <w:sz w:val="20"/>
                <w:szCs w:val="20"/>
              </w:rPr>
            </w:pPr>
            <w:r w:rsidRPr="0077659B">
              <w:rPr>
                <w:rFonts w:cs="Arial"/>
                <w:sz w:val="20"/>
                <w:szCs w:val="20"/>
              </w:rPr>
              <w:t>Section 55 of the FMPPLA</w:t>
            </w:r>
          </w:p>
          <w:p w14:paraId="18838E70" w14:textId="77777777" w:rsidR="009A01CC" w:rsidRPr="0077659B" w:rsidRDefault="009A01CC" w:rsidP="000913DD">
            <w:pPr>
              <w:rPr>
                <w:rFonts w:cs="Arial"/>
                <w:sz w:val="20"/>
                <w:szCs w:val="20"/>
              </w:rPr>
            </w:pPr>
          </w:p>
        </w:tc>
        <w:tc>
          <w:tcPr>
            <w:tcW w:w="985" w:type="pct"/>
            <w:vMerge w:val="restart"/>
          </w:tcPr>
          <w:p w14:paraId="09FC2F3D" w14:textId="77777777" w:rsidR="009A01CC" w:rsidRPr="0077659B" w:rsidRDefault="009A01CC" w:rsidP="000913DD">
            <w:pPr>
              <w:rPr>
                <w:rFonts w:cs="Arial"/>
                <w:sz w:val="20"/>
                <w:szCs w:val="20"/>
              </w:rPr>
            </w:pPr>
            <w:r w:rsidRPr="0077659B">
              <w:rPr>
                <w:rFonts w:cs="Arial"/>
                <w:sz w:val="20"/>
                <w:szCs w:val="20"/>
                <w:lang w:eastAsia="en-GB"/>
              </w:rPr>
              <w:t>Sec</w:t>
            </w:r>
            <w:r w:rsidR="00542C02" w:rsidRPr="0077659B">
              <w:rPr>
                <w:rFonts w:cs="Arial"/>
                <w:sz w:val="20"/>
                <w:szCs w:val="20"/>
                <w:lang w:eastAsia="en-GB"/>
              </w:rPr>
              <w:t>tion</w:t>
            </w:r>
            <w:r w:rsidRPr="0077659B">
              <w:rPr>
                <w:rFonts w:cs="Arial"/>
                <w:sz w:val="20"/>
                <w:szCs w:val="20"/>
                <w:lang w:eastAsia="en-GB"/>
              </w:rPr>
              <w:t xml:space="preserve"> 7 of the regulations for reporting by </w:t>
            </w:r>
            <w:r w:rsidR="00C656F8" w:rsidRPr="0077659B">
              <w:rPr>
                <w:rFonts w:cs="Arial"/>
                <w:sz w:val="20"/>
                <w:szCs w:val="20"/>
                <w:lang w:eastAsia="en-GB"/>
              </w:rPr>
              <w:t>public higher education institutions</w:t>
            </w:r>
          </w:p>
        </w:tc>
      </w:tr>
      <w:tr w:rsidR="00542C02" w:rsidRPr="0077659B" w14:paraId="07FAB718" w14:textId="77777777" w:rsidTr="000913DD">
        <w:tc>
          <w:tcPr>
            <w:tcW w:w="995" w:type="pct"/>
            <w:shd w:val="clear" w:color="auto" w:fill="auto"/>
          </w:tcPr>
          <w:p w14:paraId="48364F6D" w14:textId="77777777" w:rsidR="009A01CC" w:rsidRPr="0077659B" w:rsidRDefault="009A01CC" w:rsidP="000913DD">
            <w:pPr>
              <w:numPr>
                <w:ilvl w:val="0"/>
                <w:numId w:val="12"/>
              </w:numPr>
              <w:spacing w:after="0"/>
              <w:rPr>
                <w:rFonts w:eastAsia="Times New Roman" w:cs="Arial"/>
                <w:sz w:val="20"/>
                <w:szCs w:val="20"/>
              </w:rPr>
            </w:pPr>
            <w:r w:rsidRPr="0077659B">
              <w:rPr>
                <w:rFonts w:cs="Arial"/>
                <w:sz w:val="20"/>
                <w:szCs w:val="20"/>
              </w:rPr>
              <w:t>Reported performance is recorded and reported accurately</w:t>
            </w:r>
          </w:p>
        </w:tc>
        <w:tc>
          <w:tcPr>
            <w:tcW w:w="1007" w:type="pct"/>
            <w:vMerge/>
            <w:shd w:val="clear" w:color="auto" w:fill="auto"/>
          </w:tcPr>
          <w:p w14:paraId="6691F517" w14:textId="77777777" w:rsidR="009A01CC" w:rsidRPr="0077659B" w:rsidRDefault="009A01CC" w:rsidP="000913DD">
            <w:pPr>
              <w:rPr>
                <w:rFonts w:cs="Arial"/>
                <w:sz w:val="20"/>
                <w:szCs w:val="20"/>
              </w:rPr>
            </w:pPr>
          </w:p>
        </w:tc>
        <w:tc>
          <w:tcPr>
            <w:tcW w:w="1007" w:type="pct"/>
            <w:vMerge/>
            <w:shd w:val="clear" w:color="auto" w:fill="auto"/>
          </w:tcPr>
          <w:p w14:paraId="08747429" w14:textId="77777777" w:rsidR="009A01CC" w:rsidRPr="0077659B" w:rsidRDefault="009A01CC" w:rsidP="000913DD">
            <w:pPr>
              <w:rPr>
                <w:rFonts w:cs="Arial"/>
                <w:sz w:val="20"/>
                <w:szCs w:val="20"/>
              </w:rPr>
            </w:pPr>
          </w:p>
        </w:tc>
        <w:tc>
          <w:tcPr>
            <w:tcW w:w="1006" w:type="pct"/>
            <w:vMerge/>
            <w:shd w:val="clear" w:color="auto" w:fill="auto"/>
          </w:tcPr>
          <w:p w14:paraId="76990595" w14:textId="77777777" w:rsidR="009A01CC" w:rsidRPr="0077659B" w:rsidRDefault="009A01CC" w:rsidP="000913DD">
            <w:pPr>
              <w:rPr>
                <w:rFonts w:cs="Arial"/>
                <w:sz w:val="20"/>
                <w:szCs w:val="20"/>
              </w:rPr>
            </w:pPr>
          </w:p>
        </w:tc>
        <w:tc>
          <w:tcPr>
            <w:tcW w:w="985" w:type="pct"/>
            <w:vMerge/>
          </w:tcPr>
          <w:p w14:paraId="67782A46" w14:textId="77777777" w:rsidR="009A01CC" w:rsidRPr="0077659B" w:rsidRDefault="009A01CC" w:rsidP="000913DD">
            <w:pPr>
              <w:rPr>
                <w:rFonts w:cs="Arial"/>
                <w:sz w:val="20"/>
                <w:szCs w:val="20"/>
              </w:rPr>
            </w:pPr>
          </w:p>
        </w:tc>
      </w:tr>
      <w:tr w:rsidR="00542C02" w:rsidRPr="0077659B" w14:paraId="06F2AD55" w14:textId="77777777" w:rsidTr="000913DD">
        <w:tc>
          <w:tcPr>
            <w:tcW w:w="995" w:type="pct"/>
            <w:shd w:val="clear" w:color="auto" w:fill="auto"/>
          </w:tcPr>
          <w:p w14:paraId="384ECA44" w14:textId="77777777" w:rsidR="009A01CC" w:rsidRPr="0077659B" w:rsidRDefault="009A01CC" w:rsidP="000913DD">
            <w:pPr>
              <w:numPr>
                <w:ilvl w:val="0"/>
                <w:numId w:val="12"/>
              </w:numPr>
              <w:spacing w:after="0"/>
              <w:rPr>
                <w:rFonts w:eastAsia="Times New Roman" w:cs="Arial"/>
                <w:sz w:val="20"/>
                <w:szCs w:val="20"/>
              </w:rPr>
            </w:pPr>
            <w:r w:rsidRPr="0077659B">
              <w:rPr>
                <w:rFonts w:cs="Arial"/>
                <w:sz w:val="20"/>
                <w:szCs w:val="20"/>
              </w:rPr>
              <w:t>All actual performance is recorded and included in the reported performance information</w:t>
            </w:r>
          </w:p>
        </w:tc>
        <w:tc>
          <w:tcPr>
            <w:tcW w:w="1007" w:type="pct"/>
            <w:vMerge/>
            <w:shd w:val="clear" w:color="auto" w:fill="auto"/>
          </w:tcPr>
          <w:p w14:paraId="41B27589" w14:textId="77777777" w:rsidR="009A01CC" w:rsidRPr="0077659B" w:rsidRDefault="009A01CC" w:rsidP="000913DD">
            <w:pPr>
              <w:rPr>
                <w:rFonts w:cs="Arial"/>
                <w:sz w:val="20"/>
                <w:szCs w:val="20"/>
              </w:rPr>
            </w:pPr>
          </w:p>
        </w:tc>
        <w:tc>
          <w:tcPr>
            <w:tcW w:w="1007" w:type="pct"/>
            <w:vMerge/>
            <w:shd w:val="clear" w:color="auto" w:fill="auto"/>
          </w:tcPr>
          <w:p w14:paraId="7653D2A5" w14:textId="77777777" w:rsidR="009A01CC" w:rsidRPr="0077659B" w:rsidRDefault="009A01CC" w:rsidP="000913DD">
            <w:pPr>
              <w:rPr>
                <w:rFonts w:cs="Arial"/>
                <w:sz w:val="20"/>
                <w:szCs w:val="20"/>
              </w:rPr>
            </w:pPr>
          </w:p>
        </w:tc>
        <w:tc>
          <w:tcPr>
            <w:tcW w:w="1006" w:type="pct"/>
            <w:vMerge/>
            <w:shd w:val="clear" w:color="auto" w:fill="auto"/>
          </w:tcPr>
          <w:p w14:paraId="08C507E5" w14:textId="77777777" w:rsidR="009A01CC" w:rsidRPr="0077659B" w:rsidRDefault="009A01CC" w:rsidP="000913DD">
            <w:pPr>
              <w:rPr>
                <w:rFonts w:cs="Arial"/>
                <w:sz w:val="20"/>
                <w:szCs w:val="20"/>
              </w:rPr>
            </w:pPr>
          </w:p>
        </w:tc>
        <w:tc>
          <w:tcPr>
            <w:tcW w:w="985" w:type="pct"/>
            <w:vMerge/>
          </w:tcPr>
          <w:p w14:paraId="09CC8ABA" w14:textId="77777777" w:rsidR="009A01CC" w:rsidRPr="0077659B" w:rsidRDefault="009A01CC" w:rsidP="000913DD">
            <w:pPr>
              <w:rPr>
                <w:rFonts w:cs="Arial"/>
                <w:sz w:val="20"/>
                <w:szCs w:val="20"/>
              </w:rPr>
            </w:pPr>
          </w:p>
        </w:tc>
      </w:tr>
    </w:tbl>
    <w:p w14:paraId="26F04C5B" w14:textId="372C1315" w:rsidR="002C07AF" w:rsidRPr="0077659B" w:rsidRDefault="00A301F9" w:rsidP="002C07AF">
      <w:pPr>
        <w:shd w:val="clear" w:color="auto" w:fill="FFFFFF"/>
        <w:spacing w:after="240" w:line="240" w:lineRule="auto"/>
        <w:rPr>
          <w:rFonts w:eastAsia="Calibri" w:cs="Arial"/>
        </w:rPr>
        <w:sectPr w:rsidR="002C07AF" w:rsidRPr="0077659B" w:rsidSect="00C12C2B">
          <w:endnotePr>
            <w:numFmt w:val="decimal"/>
          </w:endnotePr>
          <w:pgSz w:w="16838" w:h="11906" w:orient="landscape" w:code="9"/>
          <w:pgMar w:top="1134" w:right="1134" w:bottom="1134" w:left="1134" w:header="1134" w:footer="709" w:gutter="0"/>
          <w:cols w:space="708"/>
          <w:docGrid w:linePitch="360"/>
        </w:sectPr>
      </w:pPr>
      <w:r>
        <w:rPr>
          <w:rFonts w:eastAsia="Calibri" w:cs="Arial"/>
        </w:rPr>
        <w:br w:type="textWrapping" w:clear="all"/>
      </w:r>
    </w:p>
    <w:p w14:paraId="6BADF48E" w14:textId="0882C7B0" w:rsidR="002D6CC1" w:rsidRPr="0077659B" w:rsidRDefault="001B12C6" w:rsidP="002D6CC1">
      <w:pPr>
        <w:pStyle w:val="Heading2"/>
        <w:rPr>
          <w:rFonts w:ascii="Arial" w:hAnsi="Arial"/>
        </w:rPr>
      </w:pPr>
      <w:bookmarkStart w:id="202" w:name="AnnexureE"/>
      <w:bookmarkStart w:id="203" w:name="_Toc51154095"/>
      <w:bookmarkEnd w:id="202"/>
      <w:r w:rsidRPr="0077659B">
        <w:rPr>
          <w:caps w:val="0"/>
        </w:rPr>
        <w:lastRenderedPageBreak/>
        <w:t>ANNEXURE E: AUDITOR GENERAL’S RESPONSIBILITY FOR THE AUDIT OF THE REPORTED PERFORMANCE INFORMATION</w:t>
      </w:r>
      <w:bookmarkEnd w:id="203"/>
      <w:r w:rsidR="00C656F8" w:rsidRPr="0077659B">
        <w:rPr>
          <w:caps w:val="0"/>
        </w:rPr>
        <w:t xml:space="preserve"> </w:t>
      </w:r>
    </w:p>
    <w:p w14:paraId="0B8BDFF4" w14:textId="257AB180" w:rsidR="002C07AF" w:rsidRPr="0077659B" w:rsidRDefault="002C07AF" w:rsidP="00223FB6">
      <w:pPr>
        <w:pStyle w:val="Numbernormal"/>
        <w:numPr>
          <w:ilvl w:val="0"/>
          <w:numId w:val="17"/>
        </w:numPr>
        <w:ind w:left="567" w:hanging="567"/>
      </w:pPr>
      <w:r w:rsidRPr="0077659B">
        <w:t xml:space="preserve">As part of </w:t>
      </w:r>
      <w:r w:rsidR="00293419" w:rsidRPr="0077659B">
        <w:t xml:space="preserve">our </w:t>
      </w:r>
      <w:r w:rsidRPr="0077659B">
        <w:t xml:space="preserve">engagement conducted in accordance with ISAE 3000, </w:t>
      </w:r>
      <w:r w:rsidR="00293419" w:rsidRPr="0077659B">
        <w:t xml:space="preserve">we </w:t>
      </w:r>
      <w:r w:rsidRPr="0077659B">
        <w:t xml:space="preserve">exercise professional judgement and maintain professional scepticism throughout </w:t>
      </w:r>
      <w:r w:rsidR="00293419" w:rsidRPr="0077659B">
        <w:t xml:space="preserve">our </w:t>
      </w:r>
      <w:r w:rsidRPr="0077659B">
        <w:t>reasonable</w:t>
      </w:r>
      <w:r w:rsidR="0038335A" w:rsidRPr="0077659B">
        <w:t xml:space="preserve"> </w:t>
      </w:r>
      <w:r w:rsidRPr="0077659B">
        <w:t>assurance engagement on reported performance information for selected programmes.</w:t>
      </w:r>
    </w:p>
    <w:p w14:paraId="101B4A91" w14:textId="6EF831E5" w:rsidR="002C07AF" w:rsidRPr="0077659B" w:rsidRDefault="00293419" w:rsidP="00223FB6">
      <w:pPr>
        <w:pStyle w:val="Numbernormal"/>
        <w:numPr>
          <w:ilvl w:val="0"/>
          <w:numId w:val="16"/>
        </w:numPr>
        <w:ind w:left="567" w:hanging="567"/>
      </w:pPr>
      <w:r w:rsidRPr="0077659B">
        <w:t>We are</w:t>
      </w:r>
      <w:r w:rsidR="002C07AF" w:rsidRPr="0077659B">
        <w:t xml:space="preserve"> independent of the </w:t>
      </w:r>
      <w:r w:rsidR="00F55956">
        <w:t>department</w:t>
      </w:r>
      <w:r w:rsidR="002C07AF" w:rsidRPr="0077659B">
        <w:t xml:space="preserve"> in accordance with the International Ethics Standards Board for Accountants’ </w:t>
      </w:r>
      <w:r w:rsidR="002C07AF" w:rsidRPr="0077659B">
        <w:rPr>
          <w:i/>
        </w:rPr>
        <w:t>Code of ethics for professional accountants</w:t>
      </w:r>
      <w:r w:rsidR="002C07AF" w:rsidRPr="0077659B">
        <w:t xml:space="preserve"> (IESBA code) together with the ethical requirements that are relevant to </w:t>
      </w:r>
      <w:r w:rsidRPr="0077659B">
        <w:t xml:space="preserve">our </w:t>
      </w:r>
      <w:r w:rsidR="002C07AF" w:rsidRPr="0077659B">
        <w:t xml:space="preserve">audit in South Africa. </w:t>
      </w:r>
      <w:r w:rsidRPr="0077659B">
        <w:t xml:space="preserve">We </w:t>
      </w:r>
      <w:r w:rsidR="002C07AF" w:rsidRPr="0077659B">
        <w:t xml:space="preserve">have fulfilled </w:t>
      </w:r>
      <w:r w:rsidRPr="0077659B">
        <w:t xml:space="preserve">our </w:t>
      </w:r>
      <w:r w:rsidR="002C07AF" w:rsidRPr="0077659B">
        <w:t>other ethical responsibilities in accordance with these requirements and the IESBA code.</w:t>
      </w:r>
    </w:p>
    <w:p w14:paraId="020855A0" w14:textId="77777777" w:rsidR="002C07AF" w:rsidRPr="0077659B" w:rsidRDefault="006C0DAE" w:rsidP="00DB0A16">
      <w:pPr>
        <w:pStyle w:val="Heading3"/>
        <w:spacing w:line="276" w:lineRule="auto"/>
        <w:rPr>
          <w:szCs w:val="26"/>
          <w:lang w:val="en-ZA"/>
        </w:rPr>
      </w:pPr>
      <w:bookmarkStart w:id="204" w:name="_Toc51154096"/>
      <w:r w:rsidRPr="0077659B">
        <w:rPr>
          <w:szCs w:val="26"/>
          <w:lang w:val="en-ZA"/>
        </w:rPr>
        <w:t>QUALITY CONTROL RELATING TO ASSURANCE ENGAGEMENTS</w:t>
      </w:r>
      <w:bookmarkEnd w:id="204"/>
    </w:p>
    <w:p w14:paraId="14C99067" w14:textId="77777777" w:rsidR="002C07AF" w:rsidRPr="0077659B" w:rsidRDefault="002C07AF" w:rsidP="00223FB6">
      <w:pPr>
        <w:pStyle w:val="Numbernormal"/>
        <w:numPr>
          <w:ilvl w:val="0"/>
          <w:numId w:val="16"/>
        </w:numPr>
        <w:ind w:left="567" w:hanging="567"/>
      </w:pPr>
      <w:r w:rsidRPr="0077659B">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14:paraId="13B57885" w14:textId="77777777" w:rsidR="002C07AF" w:rsidRPr="0077659B" w:rsidRDefault="006C0DAE" w:rsidP="00DB0A16">
      <w:pPr>
        <w:pStyle w:val="Heading3"/>
        <w:spacing w:line="276" w:lineRule="auto"/>
        <w:rPr>
          <w:szCs w:val="26"/>
          <w:lang w:val="en-ZA"/>
        </w:rPr>
      </w:pPr>
      <w:bookmarkStart w:id="205" w:name="_Toc51154097"/>
      <w:r w:rsidRPr="0077659B">
        <w:rPr>
          <w:szCs w:val="26"/>
          <w:lang w:val="en-ZA"/>
        </w:rPr>
        <w:t>REPORTED PERFORMANCE INFORMATION</w:t>
      </w:r>
      <w:bookmarkEnd w:id="205"/>
    </w:p>
    <w:p w14:paraId="33DD3A2B" w14:textId="77777777" w:rsidR="002C07AF" w:rsidRPr="0077659B" w:rsidRDefault="002C07AF" w:rsidP="00223FB6">
      <w:pPr>
        <w:pStyle w:val="Numbernormal"/>
        <w:numPr>
          <w:ilvl w:val="0"/>
          <w:numId w:val="16"/>
        </w:numPr>
        <w:ind w:left="567" w:hanging="567"/>
      </w:pPr>
      <w:r w:rsidRPr="0077659B">
        <w:t xml:space="preserve">In addition to </w:t>
      </w:r>
      <w:r w:rsidR="00293419" w:rsidRPr="0077659B">
        <w:t xml:space="preserve">our </w:t>
      </w:r>
      <w:r w:rsidRPr="0077659B">
        <w:t xml:space="preserve">responsibility for the assurance engagement on reported performance information as described in the auditor’s report, </w:t>
      </w:r>
      <w:r w:rsidR="00293419" w:rsidRPr="0077659B">
        <w:t xml:space="preserve">we </w:t>
      </w:r>
      <w:r w:rsidRPr="0077659B">
        <w:t>also:</w:t>
      </w:r>
    </w:p>
    <w:p w14:paraId="490D51C5" w14:textId="566A8E43" w:rsidR="002C07AF" w:rsidRPr="0077659B" w:rsidRDefault="002C07AF" w:rsidP="00AE0E10">
      <w:pPr>
        <w:pStyle w:val="Bulletedlist"/>
        <w:ind w:left="851" w:hanging="283"/>
      </w:pPr>
      <w:r w:rsidRPr="0077659B">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w:t>
      </w:r>
      <w:r w:rsidR="008A1751" w:rsidRPr="0077659B">
        <w:t xml:space="preserve">our </w:t>
      </w:r>
      <w:r w:rsidRPr="0077659B">
        <w:t xml:space="preserve">opinion. In making those risk assessments, </w:t>
      </w:r>
      <w:r w:rsidR="00293419" w:rsidRPr="0077659B">
        <w:t xml:space="preserve">we </w:t>
      </w:r>
      <w:r w:rsidRPr="0077659B">
        <w:t>consider internal control relevant to the management and reporting of performance information per selected programme</w:t>
      </w:r>
      <w:r w:rsidR="00F55956">
        <w:t xml:space="preserve"> </w:t>
      </w:r>
      <w:r w:rsidRPr="0077659B">
        <w:t xml:space="preserve">in order to design audit procedures that are appropriate in the circumstances, but not for the purpose of expressing an opinion on the effectiveness of the </w:t>
      </w:r>
      <w:r w:rsidR="00A301F9">
        <w:t>department</w:t>
      </w:r>
      <w:r w:rsidRPr="0077659B">
        <w:t>’s internal control</w:t>
      </w:r>
    </w:p>
    <w:p w14:paraId="1F06DDB7" w14:textId="4E6B8C01" w:rsidR="002C07AF" w:rsidRPr="0077659B" w:rsidRDefault="002C07AF" w:rsidP="00AE0E10">
      <w:pPr>
        <w:pStyle w:val="Bulletedlist"/>
        <w:ind w:left="851" w:hanging="283"/>
      </w:pPr>
      <w:r w:rsidRPr="0077659B">
        <w:t xml:space="preserve">evaluate the documentation maintained by the </w:t>
      </w:r>
      <w:r w:rsidR="00A301F9">
        <w:t>department</w:t>
      </w:r>
      <w:r w:rsidRPr="0077659B">
        <w:t xml:space="preserve"> that supports the generation, collation, aggregation, monitoring and reporting of performance indicators/measures and their related targets for the selected </w:t>
      </w:r>
      <w:r w:rsidR="00F55956">
        <w:t>Programmes</w:t>
      </w:r>
    </w:p>
    <w:p w14:paraId="65748594" w14:textId="70B01CCB" w:rsidR="002C07AF" w:rsidRPr="0077659B" w:rsidRDefault="002C07AF" w:rsidP="00AE0E10">
      <w:pPr>
        <w:pStyle w:val="Bulletedlist"/>
        <w:ind w:left="851" w:hanging="283"/>
      </w:pPr>
      <w:r w:rsidRPr="0077659B">
        <w:t>evaluate and test the usefulness of planned and reported performance information, including presentation in the annual performance report</w:t>
      </w:r>
      <w:r w:rsidR="00A301F9">
        <w:t xml:space="preserve"> </w:t>
      </w:r>
      <w:r w:rsidR="00C56BED" w:rsidRPr="0077659B">
        <w:t xml:space="preserve">and </w:t>
      </w:r>
      <w:r w:rsidRPr="0077659B">
        <w:t xml:space="preserve">its consistency with the approved performance planning documents of the </w:t>
      </w:r>
      <w:r w:rsidR="00A301F9">
        <w:t>department</w:t>
      </w:r>
      <w:r w:rsidR="00C56BED" w:rsidRPr="0077659B">
        <w:t>,</w:t>
      </w:r>
      <w:r w:rsidRPr="0077659B">
        <w:t xml:space="preserve"> and </w:t>
      </w:r>
      <w:r w:rsidR="00C56BED" w:rsidRPr="0077659B">
        <w:t xml:space="preserve">determine </w:t>
      </w:r>
      <w:r w:rsidRPr="0077659B">
        <w:t>whether the indicators and related targets were measurable and relevant</w:t>
      </w:r>
    </w:p>
    <w:p w14:paraId="42355F46" w14:textId="77777777" w:rsidR="002C07AF" w:rsidRPr="0077659B" w:rsidRDefault="002C07AF" w:rsidP="00AE0E10">
      <w:pPr>
        <w:pStyle w:val="Bulletedlist"/>
        <w:ind w:left="851" w:hanging="283"/>
      </w:pPr>
      <w:proofErr w:type="gramStart"/>
      <w:r w:rsidRPr="0077659B">
        <w:t>evaluate</w:t>
      </w:r>
      <w:proofErr w:type="gramEnd"/>
      <w:r w:rsidRPr="0077659B">
        <w:t xml:space="preserve"> and test the reliability of information on performance achievement to determine whether it is valid, accurate and complete.</w:t>
      </w:r>
    </w:p>
    <w:p w14:paraId="1494D879" w14:textId="77777777" w:rsidR="002C07AF" w:rsidRPr="0077659B" w:rsidRDefault="006C0DAE" w:rsidP="00DB0A16">
      <w:pPr>
        <w:pStyle w:val="Heading3"/>
        <w:spacing w:line="276" w:lineRule="auto"/>
        <w:rPr>
          <w:szCs w:val="26"/>
          <w:lang w:val="en-ZA"/>
        </w:rPr>
      </w:pPr>
      <w:bookmarkStart w:id="206" w:name="_Toc51154098"/>
      <w:r w:rsidRPr="0077659B">
        <w:rPr>
          <w:szCs w:val="26"/>
          <w:lang w:val="en-ZA"/>
        </w:rPr>
        <w:t>COMMUNICATION WITH THOSE CHARGED WITH GOVERNANCE</w:t>
      </w:r>
      <w:bookmarkEnd w:id="206"/>
    </w:p>
    <w:p w14:paraId="2D415DD8" w14:textId="2F4D903C" w:rsidR="002C07AF" w:rsidRPr="0077659B" w:rsidRDefault="00293419" w:rsidP="00223FB6">
      <w:pPr>
        <w:pStyle w:val="Numbernormal"/>
        <w:numPr>
          <w:ilvl w:val="0"/>
          <w:numId w:val="16"/>
        </w:numPr>
        <w:ind w:left="567" w:hanging="567"/>
      </w:pPr>
      <w:r w:rsidRPr="0077659B">
        <w:t xml:space="preserve">We </w:t>
      </w:r>
      <w:r w:rsidR="002C07AF" w:rsidRPr="0077659B">
        <w:t xml:space="preserve">communicate with the </w:t>
      </w:r>
      <w:r w:rsidR="00A301F9">
        <w:t>accounting officer</w:t>
      </w:r>
      <w:r w:rsidR="002C07AF" w:rsidRPr="0077659B">
        <w:t xml:space="preserve"> regarding, among other matters, the planned scope and timing of the audit and significant audit findings, including any significant deficiencies in internal control that </w:t>
      </w:r>
      <w:r w:rsidRPr="0077659B">
        <w:t xml:space="preserve">we </w:t>
      </w:r>
      <w:r w:rsidR="002C07AF" w:rsidRPr="0077659B">
        <w:t xml:space="preserve">identify during </w:t>
      </w:r>
      <w:r w:rsidRPr="0077659B">
        <w:t xml:space="preserve">our </w:t>
      </w:r>
      <w:r w:rsidR="002C07AF" w:rsidRPr="0077659B">
        <w:t xml:space="preserve">audit. </w:t>
      </w:r>
    </w:p>
    <w:p w14:paraId="3FB9F0AD" w14:textId="4DA30FCF" w:rsidR="002C07AF" w:rsidRPr="00BB6EEC" w:rsidRDefault="00293419" w:rsidP="00223FB6">
      <w:pPr>
        <w:pStyle w:val="Numbernormal"/>
        <w:numPr>
          <w:ilvl w:val="0"/>
          <w:numId w:val="16"/>
        </w:numPr>
        <w:ind w:left="567" w:hanging="567"/>
      </w:pPr>
      <w:r w:rsidRPr="0077659B">
        <w:lastRenderedPageBreak/>
        <w:t xml:space="preserve">We </w:t>
      </w:r>
      <w:r w:rsidR="002C07AF" w:rsidRPr="0077659B">
        <w:t xml:space="preserve">also confirm to the </w:t>
      </w:r>
      <w:r w:rsidR="00A301F9">
        <w:t>accounting officer</w:t>
      </w:r>
      <w:r w:rsidR="002C07AF" w:rsidRPr="0077659B">
        <w:t xml:space="preserve"> that </w:t>
      </w:r>
      <w:r w:rsidRPr="0077659B">
        <w:t xml:space="preserve">we </w:t>
      </w:r>
      <w:r w:rsidR="002C07AF" w:rsidRPr="0077659B">
        <w:t xml:space="preserve">have complied with relevant ethical requirements regarding independence, and communicate all relationships and other matters that may reasonably be thought to </w:t>
      </w:r>
      <w:r w:rsidR="00AF4CA8" w:rsidRPr="0077659B">
        <w:t xml:space="preserve">have a </w:t>
      </w:r>
      <w:r w:rsidR="002C07AF" w:rsidRPr="0077659B">
        <w:t>bear</w:t>
      </w:r>
      <w:r w:rsidR="00AF4CA8" w:rsidRPr="0077659B">
        <w:t>ing</w:t>
      </w:r>
      <w:r w:rsidR="002C07AF" w:rsidRPr="0077659B">
        <w:t xml:space="preserve"> on </w:t>
      </w:r>
      <w:r w:rsidRPr="0077659B">
        <w:t xml:space="preserve">our </w:t>
      </w:r>
      <w:r w:rsidR="002C07AF" w:rsidRPr="0077659B">
        <w:t>independence and, where applicable, related safeguards.</w:t>
      </w:r>
    </w:p>
    <w:p w14:paraId="5B52E214" w14:textId="77777777" w:rsidR="002C07AF" w:rsidRPr="0077659B" w:rsidRDefault="002C07AF" w:rsidP="002C07AF">
      <w:pPr>
        <w:rPr>
          <w:rFonts w:eastAsia="MS Mincho" w:cs="Arial"/>
          <w:b/>
        </w:rPr>
      </w:pPr>
      <w:r w:rsidRPr="0077659B">
        <w:rPr>
          <w:rFonts w:eastAsia="MS Mincho" w:cs="Arial"/>
          <w:b/>
        </w:rPr>
        <w:br w:type="page"/>
      </w:r>
    </w:p>
    <w:p w14:paraId="15B8132D" w14:textId="03A25304" w:rsidR="002D6CC1" w:rsidRPr="0077659B" w:rsidRDefault="001B12C6" w:rsidP="002D6CC1">
      <w:pPr>
        <w:pStyle w:val="Heading2"/>
        <w:rPr>
          <w:rFonts w:ascii="Arial" w:hAnsi="Arial"/>
        </w:rPr>
      </w:pPr>
      <w:bookmarkStart w:id="207" w:name="_Toc51154099"/>
      <w:r w:rsidRPr="0077659B">
        <w:rPr>
          <w:caps w:val="0"/>
        </w:rPr>
        <w:lastRenderedPageBreak/>
        <w:t>ANNEXURE F: ASSESSMENT OF INTERNAL CONTROLS</w:t>
      </w:r>
      <w:bookmarkEnd w:id="207"/>
    </w:p>
    <w:p w14:paraId="51C46D21" w14:textId="68DEA60B" w:rsidR="002C07AF" w:rsidRPr="0077659B" w:rsidRDefault="002C07AF" w:rsidP="002D6CC1">
      <w:r w:rsidRPr="0077659B">
        <w:t xml:space="preserve">Below is our assessment of implementing the drivers of internal control based on significant deficiencies identified during our audit of the financial statements, the annual performance report and compliance with legislation. Significant deficiencies occur when internal controls do not exist, </w:t>
      </w:r>
      <w:proofErr w:type="gramStart"/>
      <w:r w:rsidRPr="0077659B">
        <w:t>are not appropriately designed</w:t>
      </w:r>
      <w:proofErr w:type="gramEnd"/>
      <w:r w:rsidRPr="0077659B">
        <w:t xml:space="preserve"> to address the risk, or are not implemented. These either had caused, or could cause, the financial statements or the</w:t>
      </w:r>
      <w:r w:rsidR="00A301F9">
        <w:t xml:space="preserve"> </w:t>
      </w:r>
      <w:r w:rsidRPr="0077659B">
        <w:t xml:space="preserve">annual performance report to be materially misstated, and material instances of non-compliance with legislation to occur. </w:t>
      </w:r>
    </w:p>
    <w:p w14:paraId="779B6546" w14:textId="77777777" w:rsidR="002C07AF" w:rsidRPr="0077659B" w:rsidRDefault="002C07AF" w:rsidP="002D6CC1">
      <w:r w:rsidRPr="0077659B">
        <w:t xml:space="preserve">The internal controls </w:t>
      </w:r>
      <w:proofErr w:type="gramStart"/>
      <w:r w:rsidRPr="0077659B">
        <w:t>were assessed</w:t>
      </w:r>
      <w:proofErr w:type="gramEnd"/>
      <w:r w:rsidRPr="0077659B">
        <w:t xml:space="preserve">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2C07AF" w:rsidRPr="0077659B" w14:paraId="3181B4F5" w14:textId="77777777" w:rsidTr="00804922">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8929EA" w14:textId="77777777" w:rsidR="002C07AF" w:rsidRPr="0077659B" w:rsidRDefault="002C07AF" w:rsidP="00804922">
            <w:pPr>
              <w:spacing w:before="120" w:line="240" w:lineRule="auto"/>
              <w:jc w:val="center"/>
              <w:rPr>
                <w:rFonts w:eastAsia="Calibri" w:cs="Arial"/>
              </w:rPr>
            </w:pPr>
            <w:r w:rsidRPr="0077659B">
              <w:rPr>
                <w:rFonts w:eastAsia="Calibri" w:cs="Arial"/>
                <w:noProof/>
                <w:lang w:eastAsia="en-ZA"/>
              </w:rPr>
              <w:drawing>
                <wp:inline distT="0" distB="0" distL="0" distR="0" wp14:anchorId="05F90989" wp14:editId="3DEF7C93">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19B6AB" w14:textId="77777777" w:rsidR="002C07AF" w:rsidRPr="0077659B" w:rsidRDefault="002C07AF" w:rsidP="00804922">
            <w:pPr>
              <w:spacing w:before="120" w:line="240" w:lineRule="auto"/>
              <w:rPr>
                <w:rFonts w:eastAsia="Calibri" w:cs="Arial"/>
              </w:rPr>
            </w:pPr>
            <w:r w:rsidRPr="0077659B">
              <w:rPr>
                <w:rFonts w:eastAsia="Calibri" w:cs="Arial"/>
                <w:lang w:eastAsia="en-ZA"/>
              </w:rPr>
              <w:t>The required preventative or detective controls were in place.</w:t>
            </w:r>
          </w:p>
        </w:tc>
      </w:tr>
      <w:tr w:rsidR="002C07AF" w:rsidRPr="0077659B" w14:paraId="2D1975A9" w14:textId="77777777"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07F823" w14:textId="77777777" w:rsidR="002C07AF" w:rsidRPr="0077659B" w:rsidRDefault="002C07AF" w:rsidP="00804922">
            <w:pPr>
              <w:spacing w:before="120" w:line="240" w:lineRule="auto"/>
              <w:jc w:val="center"/>
              <w:rPr>
                <w:rFonts w:eastAsia="Calibri" w:cs="Arial"/>
              </w:rPr>
            </w:pPr>
            <w:r w:rsidRPr="0077659B">
              <w:rPr>
                <w:rFonts w:eastAsia="Calibri" w:cs="Arial"/>
                <w:noProof/>
                <w:lang w:eastAsia="en-ZA"/>
              </w:rPr>
              <w:drawing>
                <wp:inline distT="0" distB="0" distL="0" distR="0" wp14:anchorId="278AE8E6" wp14:editId="17157CB3">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C74E73" w14:textId="77777777" w:rsidR="002C07AF" w:rsidRPr="0077659B" w:rsidRDefault="002C07AF" w:rsidP="00804922">
            <w:pPr>
              <w:spacing w:before="120" w:line="240" w:lineRule="auto"/>
              <w:rPr>
                <w:rFonts w:eastAsia="Calibri" w:cs="Arial"/>
              </w:rPr>
            </w:pPr>
            <w:r w:rsidRPr="0077659B">
              <w:rPr>
                <w:rFonts w:eastAsia="Calibri" w:cs="Arial"/>
                <w:lang w:eastAsia="en-ZA"/>
              </w:rPr>
              <w:t xml:space="preserve">Progress </w:t>
            </w:r>
            <w:proofErr w:type="gramStart"/>
            <w:r w:rsidRPr="0077659B">
              <w:rPr>
                <w:rFonts w:eastAsia="Calibri" w:cs="Arial"/>
                <w:lang w:eastAsia="en-ZA"/>
              </w:rPr>
              <w:t>was made</w:t>
            </w:r>
            <w:proofErr w:type="gramEnd"/>
            <w:r w:rsidRPr="0077659B">
              <w:rPr>
                <w:rFonts w:eastAsia="Calibri" w:cs="Arial"/>
                <w:lang w:eastAsia="en-ZA"/>
              </w:rPr>
              <w:t xml:space="preserve"> on implementing preventative or detective controls, but improvement is still required, or actions taken were not or have not been sustainable.</w:t>
            </w:r>
          </w:p>
        </w:tc>
      </w:tr>
      <w:tr w:rsidR="002C07AF" w:rsidRPr="0077659B" w14:paraId="68EBC0DB" w14:textId="77777777"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C38CBE" w14:textId="6CA6DCB6" w:rsidR="002C07AF" w:rsidRPr="0077659B" w:rsidRDefault="00400414" w:rsidP="00804922">
            <w:pPr>
              <w:spacing w:before="120" w:line="240" w:lineRule="auto"/>
              <w:jc w:val="center"/>
              <w:rPr>
                <w:rFonts w:eastAsia="Calibri" w:cs="Arial"/>
              </w:rPr>
            </w:pPr>
            <w:r w:rsidRPr="0077659B">
              <w:rPr>
                <w:rFonts w:eastAsia="Calibri" w:cs="Arial"/>
                <w:noProof/>
                <w:lang w:eastAsia="en-ZA"/>
              </w:rPr>
              <w:drawing>
                <wp:inline distT="0" distB="0" distL="0" distR="0" wp14:anchorId="270BA153" wp14:editId="0438B96F">
                  <wp:extent cx="176530" cy="1765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FB1F48" w14:textId="77777777" w:rsidR="002C07AF" w:rsidRPr="0077659B" w:rsidRDefault="002C07AF" w:rsidP="00804922">
            <w:pPr>
              <w:spacing w:before="120" w:line="240" w:lineRule="auto"/>
              <w:rPr>
                <w:rFonts w:eastAsia="Calibri" w:cs="Arial"/>
              </w:rPr>
            </w:pPr>
            <w:r w:rsidRPr="0077659B">
              <w:rPr>
                <w:rFonts w:eastAsia="Calibri" w:cs="Arial"/>
                <w:lang w:eastAsia="en-ZA"/>
              </w:rPr>
              <w:t xml:space="preserve">Internal controls were either not in place, </w:t>
            </w:r>
            <w:proofErr w:type="gramStart"/>
            <w:r w:rsidRPr="0077659B">
              <w:rPr>
                <w:rFonts w:eastAsia="Calibri" w:cs="Arial"/>
                <w:lang w:eastAsia="en-ZA"/>
              </w:rPr>
              <w:t>were not properly designed</w:t>
            </w:r>
            <w:proofErr w:type="gramEnd"/>
            <w:r w:rsidRPr="0077659B">
              <w:rPr>
                <w:rFonts w:eastAsia="Calibri" w:cs="Arial"/>
                <w:lang w:eastAsia="en-ZA"/>
              </w:rPr>
              <w:t>, were not implemented or were not operating effectively. Intervention is required to design and/or implement appropriate controls.</w:t>
            </w:r>
          </w:p>
        </w:tc>
      </w:tr>
    </w:tbl>
    <w:p w14:paraId="37527823" w14:textId="77777777" w:rsidR="002C07AF" w:rsidRPr="0077659B" w:rsidRDefault="002C07AF" w:rsidP="002C07AF">
      <w:pPr>
        <w:shd w:val="clear" w:color="auto" w:fill="FFFFFF"/>
        <w:spacing w:line="240" w:lineRule="auto"/>
        <w:rPr>
          <w:rFonts w:eastAsia="Times New Roman" w:cs="Arial"/>
        </w:rPr>
      </w:pPr>
    </w:p>
    <w:p w14:paraId="71D7A3BD" w14:textId="77777777" w:rsidR="002C07AF" w:rsidRPr="0077659B" w:rsidRDefault="002C07AF" w:rsidP="002D6CC1">
      <w:r w:rsidRPr="0077659B">
        <w:t xml:space="preserve">The movement in the status of the drivers from the previous year-end to the current year-end </w:t>
      </w:r>
      <w:proofErr w:type="gramStart"/>
      <w:r w:rsidRPr="0077659B">
        <w:t>is indicated</w:t>
      </w:r>
      <w:proofErr w:type="gramEnd"/>
      <w:r w:rsidRPr="0077659B">
        <w:t xml:space="preserve"> collectively for each of the three audit dimensions under the three fundamentals of internal control. The movement </w:t>
      </w:r>
      <w:proofErr w:type="gramStart"/>
      <w:r w:rsidRPr="0077659B">
        <w:t>is assessed</w:t>
      </w:r>
      <w:proofErr w:type="gramEnd"/>
      <w:r w:rsidRPr="0077659B">
        <w:t xml:space="preserve">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2C07AF" w:rsidRPr="0077659B" w14:paraId="0A65EBA6" w14:textId="77777777" w:rsidTr="00804922">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B17F5F" w14:textId="77777777" w:rsidR="002C07AF" w:rsidRPr="0077659B" w:rsidRDefault="002C07AF" w:rsidP="00804922">
            <w:pPr>
              <w:spacing w:before="120" w:line="240" w:lineRule="auto"/>
              <w:jc w:val="center"/>
              <w:rPr>
                <w:rFonts w:eastAsia="Calibri" w:cs="Arial"/>
              </w:rPr>
            </w:pPr>
            <w:r w:rsidRPr="0077659B">
              <w:rPr>
                <w:rFonts w:ascii="Times New Roman" w:eastAsia="Times New Roman" w:hAnsi="Times New Roman" w:cs="Times New Roman"/>
                <w:noProof/>
                <w:sz w:val="20"/>
                <w:szCs w:val="20"/>
                <w:lang w:eastAsia="en-ZA"/>
              </w:rPr>
              <mc:AlternateContent>
                <mc:Choice Requires="wps">
                  <w:drawing>
                    <wp:inline distT="0" distB="0" distL="0" distR="0" wp14:anchorId="648324E9" wp14:editId="162BF6D5">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771D2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704723" w14:textId="77777777" w:rsidR="002C07AF" w:rsidRPr="0077659B" w:rsidRDefault="002C07AF" w:rsidP="00804922">
            <w:pPr>
              <w:spacing w:before="120" w:line="240" w:lineRule="auto"/>
              <w:rPr>
                <w:rFonts w:eastAsia="Calibri" w:cs="Arial"/>
                <w:sz w:val="20"/>
                <w:szCs w:val="20"/>
              </w:rPr>
            </w:pPr>
            <w:r w:rsidRPr="0077659B">
              <w:rPr>
                <w:rFonts w:eastAsia="Calibri" w:cs="Arial"/>
                <w:sz w:val="20"/>
                <w:szCs w:val="20"/>
                <w:lang w:eastAsia="en-ZA"/>
              </w:rPr>
              <w:t>Improved</w:t>
            </w:r>
          </w:p>
        </w:tc>
      </w:tr>
      <w:tr w:rsidR="002C07AF" w:rsidRPr="0077659B" w14:paraId="3E2D7346" w14:textId="77777777" w:rsidTr="00804922">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E024B" w14:textId="77777777" w:rsidR="002C07AF" w:rsidRPr="0077659B" w:rsidRDefault="002C07AF" w:rsidP="00804922">
            <w:pPr>
              <w:spacing w:before="120" w:line="240" w:lineRule="auto"/>
              <w:jc w:val="center"/>
              <w:rPr>
                <w:rFonts w:eastAsia="Calibri" w:cs="Arial"/>
              </w:rPr>
            </w:pPr>
            <w:r w:rsidRPr="0077659B">
              <w:rPr>
                <w:rFonts w:eastAsia="Calibri" w:cs="Arial"/>
                <w:noProof/>
                <w:sz w:val="20"/>
                <w:szCs w:val="20"/>
                <w:lang w:eastAsia="en-ZA"/>
              </w:rPr>
              <mc:AlternateContent>
                <mc:Choice Requires="wps">
                  <w:drawing>
                    <wp:inline distT="0" distB="0" distL="0" distR="0" wp14:anchorId="2FA90A58" wp14:editId="02FE97F5">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1D7E17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7AB98F" w14:textId="77777777" w:rsidR="002C07AF" w:rsidRPr="0077659B" w:rsidRDefault="002C07AF" w:rsidP="00804922">
            <w:pPr>
              <w:spacing w:before="120" w:line="240" w:lineRule="auto"/>
              <w:rPr>
                <w:rFonts w:eastAsia="Calibri" w:cs="Arial"/>
                <w:sz w:val="20"/>
                <w:szCs w:val="20"/>
              </w:rPr>
            </w:pPr>
            <w:r w:rsidRPr="0077659B">
              <w:rPr>
                <w:rFonts w:eastAsia="Calibri" w:cs="Arial"/>
                <w:sz w:val="20"/>
                <w:szCs w:val="20"/>
                <w:lang w:eastAsia="en-ZA"/>
              </w:rPr>
              <w:t>Unchanged</w:t>
            </w:r>
          </w:p>
        </w:tc>
      </w:tr>
      <w:tr w:rsidR="002C07AF" w:rsidRPr="0077659B" w14:paraId="04A1AE4E" w14:textId="77777777" w:rsidTr="00804922">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AC2A7B" w14:textId="77777777" w:rsidR="002C07AF" w:rsidRPr="0077659B" w:rsidRDefault="002C07AF" w:rsidP="00804922">
            <w:pPr>
              <w:spacing w:before="120" w:line="240" w:lineRule="auto"/>
              <w:jc w:val="center"/>
              <w:rPr>
                <w:rFonts w:eastAsia="Calibri" w:cs="Arial"/>
              </w:rPr>
            </w:pPr>
            <w:r w:rsidRPr="0077659B">
              <w:rPr>
                <w:rFonts w:ascii="Calibri" w:eastAsia="Calibri" w:hAnsi="Calibri" w:cs="Times New Roman"/>
                <w:noProof/>
                <w:lang w:eastAsia="en-ZA"/>
              </w:rPr>
              <mc:AlternateContent>
                <mc:Choice Requires="wps">
                  <w:drawing>
                    <wp:anchor distT="0" distB="0" distL="114300" distR="114300" simplePos="0" relativeHeight="251671552" behindDoc="0" locked="0" layoutInCell="1" allowOverlap="1" wp14:anchorId="7C183824" wp14:editId="482EA861">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E07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699A9" w14:textId="77777777" w:rsidR="002C07AF" w:rsidRPr="0077659B" w:rsidRDefault="002C07AF" w:rsidP="00804922">
            <w:pPr>
              <w:spacing w:before="120" w:line="240" w:lineRule="auto"/>
              <w:rPr>
                <w:rFonts w:eastAsia="Calibri" w:cs="Arial"/>
                <w:sz w:val="20"/>
                <w:szCs w:val="20"/>
              </w:rPr>
            </w:pPr>
            <w:r w:rsidRPr="0077659B">
              <w:rPr>
                <w:rFonts w:eastAsia="Calibri" w:cs="Arial"/>
                <w:sz w:val="20"/>
                <w:szCs w:val="20"/>
                <w:lang w:eastAsia="en-ZA"/>
              </w:rPr>
              <w:t>Regressed</w:t>
            </w:r>
          </w:p>
        </w:tc>
      </w:tr>
    </w:tbl>
    <w:p w14:paraId="49A8ABDE" w14:textId="784F17FC" w:rsidR="002C07AF" w:rsidRDefault="002C07AF" w:rsidP="002C07AF">
      <w:pPr>
        <w:shd w:val="clear" w:color="auto" w:fill="FFFFFF"/>
        <w:spacing w:line="240" w:lineRule="auto"/>
        <w:rPr>
          <w:rFonts w:eastAsia="Times New Roman"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18"/>
        <w:gridCol w:w="849"/>
        <w:gridCol w:w="849"/>
        <w:gridCol w:w="849"/>
        <w:gridCol w:w="851"/>
        <w:gridCol w:w="849"/>
        <w:gridCol w:w="847"/>
      </w:tblGrid>
      <w:tr w:rsidR="003C2517" w:rsidRPr="00C516E8" w14:paraId="68D23CB7" w14:textId="77777777" w:rsidTr="00400414">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14:paraId="7ABC5208" w14:textId="77777777" w:rsidR="003C2517" w:rsidRPr="00C516E8" w:rsidRDefault="003C2517" w:rsidP="00400414">
            <w:pPr>
              <w:spacing w:after="0" w:line="240" w:lineRule="auto"/>
              <w:jc w:val="center"/>
              <w:rPr>
                <w:rFonts w:eastAsia="Times New Roman" w:cs="Arial"/>
              </w:rPr>
            </w:pPr>
          </w:p>
        </w:tc>
        <w:tc>
          <w:tcPr>
            <w:tcW w:w="941" w:type="pct"/>
            <w:gridSpan w:val="2"/>
            <w:tcBorders>
              <w:right w:val="single" w:sz="4" w:space="0" w:color="auto"/>
            </w:tcBorders>
            <w:shd w:val="clear" w:color="auto" w:fill="A6A6A6" w:themeFill="background1" w:themeFillShade="A6"/>
          </w:tcPr>
          <w:p w14:paraId="25A3FF35"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Financial statements</w:t>
            </w:r>
          </w:p>
        </w:tc>
        <w:tc>
          <w:tcPr>
            <w:tcW w:w="943" w:type="pct"/>
            <w:gridSpan w:val="2"/>
            <w:tcBorders>
              <w:right w:val="single" w:sz="4" w:space="0" w:color="auto"/>
            </w:tcBorders>
            <w:shd w:val="clear" w:color="auto" w:fill="A6A6A6" w:themeFill="background1" w:themeFillShade="A6"/>
          </w:tcPr>
          <w:p w14:paraId="1F82694D"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Performance reporting</w:t>
            </w:r>
          </w:p>
        </w:tc>
        <w:tc>
          <w:tcPr>
            <w:tcW w:w="941" w:type="pct"/>
            <w:gridSpan w:val="2"/>
            <w:tcBorders>
              <w:right w:val="single" w:sz="4" w:space="0" w:color="auto"/>
            </w:tcBorders>
            <w:shd w:val="clear" w:color="auto" w:fill="A6A6A6" w:themeFill="background1" w:themeFillShade="A6"/>
          </w:tcPr>
          <w:p w14:paraId="690E68AA"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Compliance with legislation</w:t>
            </w:r>
          </w:p>
        </w:tc>
      </w:tr>
      <w:tr w:rsidR="003C2517" w:rsidRPr="00C516E8" w14:paraId="510CFA49" w14:textId="77777777" w:rsidTr="00400414">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14:paraId="64701517"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rPr>
              <w:br w:type="page"/>
            </w:r>
          </w:p>
        </w:tc>
        <w:tc>
          <w:tcPr>
            <w:tcW w:w="471" w:type="pct"/>
            <w:tcBorders>
              <w:right w:val="single" w:sz="4" w:space="0" w:color="auto"/>
            </w:tcBorders>
            <w:shd w:val="clear" w:color="auto" w:fill="BFBFBF" w:themeFill="background1" w:themeFillShade="BF"/>
          </w:tcPr>
          <w:p w14:paraId="3AE600AD"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Current year</w:t>
            </w:r>
          </w:p>
        </w:tc>
        <w:tc>
          <w:tcPr>
            <w:tcW w:w="471" w:type="pct"/>
            <w:tcBorders>
              <w:right w:val="single" w:sz="4" w:space="0" w:color="auto"/>
            </w:tcBorders>
            <w:shd w:val="clear" w:color="auto" w:fill="BFBFBF" w:themeFill="background1" w:themeFillShade="BF"/>
          </w:tcPr>
          <w:p w14:paraId="24B4C737"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Prior year</w:t>
            </w:r>
          </w:p>
        </w:tc>
        <w:tc>
          <w:tcPr>
            <w:tcW w:w="471" w:type="pct"/>
            <w:tcBorders>
              <w:right w:val="single" w:sz="4" w:space="0" w:color="auto"/>
            </w:tcBorders>
            <w:shd w:val="clear" w:color="auto" w:fill="BFBFBF" w:themeFill="background1" w:themeFillShade="BF"/>
          </w:tcPr>
          <w:p w14:paraId="464B3EB4"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Current year</w:t>
            </w:r>
          </w:p>
        </w:tc>
        <w:tc>
          <w:tcPr>
            <w:tcW w:w="472" w:type="pct"/>
            <w:tcBorders>
              <w:right w:val="single" w:sz="4" w:space="0" w:color="auto"/>
            </w:tcBorders>
            <w:shd w:val="clear" w:color="auto" w:fill="BFBFBF" w:themeFill="background1" w:themeFillShade="BF"/>
          </w:tcPr>
          <w:p w14:paraId="4FB1624C"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Prior year</w:t>
            </w:r>
          </w:p>
        </w:tc>
        <w:tc>
          <w:tcPr>
            <w:tcW w:w="471" w:type="pct"/>
            <w:tcBorders>
              <w:right w:val="single" w:sz="4" w:space="0" w:color="auto"/>
            </w:tcBorders>
            <w:shd w:val="clear" w:color="auto" w:fill="BFBFBF" w:themeFill="background1" w:themeFillShade="BF"/>
          </w:tcPr>
          <w:p w14:paraId="6314CE75"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Current year</w:t>
            </w:r>
          </w:p>
        </w:tc>
        <w:tc>
          <w:tcPr>
            <w:tcW w:w="470" w:type="pct"/>
            <w:tcBorders>
              <w:right w:val="single" w:sz="4" w:space="0" w:color="auto"/>
            </w:tcBorders>
            <w:shd w:val="clear" w:color="auto" w:fill="BFBFBF" w:themeFill="background1" w:themeFillShade="BF"/>
          </w:tcPr>
          <w:p w14:paraId="304137F8"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Prior year</w:t>
            </w:r>
          </w:p>
        </w:tc>
      </w:tr>
      <w:tr w:rsidR="003C2517" w:rsidRPr="00C516E8" w14:paraId="3B82844E" w14:textId="77777777" w:rsidTr="00400414">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79EAB083"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bCs/>
                <w:sz w:val="18"/>
                <w:szCs w:val="18"/>
              </w:rPr>
              <w:t>Leadership</w:t>
            </w:r>
          </w:p>
        </w:tc>
      </w:tr>
      <w:tr w:rsidR="003C2517" w:rsidRPr="00C516E8" w14:paraId="1A01CE27" w14:textId="77777777" w:rsidTr="00400414">
        <w:trPr>
          <w:trHeight w:val="28"/>
        </w:trPr>
        <w:tc>
          <w:tcPr>
            <w:tcW w:w="2174" w:type="pct"/>
            <w:shd w:val="clear" w:color="auto" w:fill="F2F2F2" w:themeFill="background1" w:themeFillShade="F2"/>
            <w:tcMar>
              <w:top w:w="72" w:type="dxa"/>
              <w:left w:w="144" w:type="dxa"/>
              <w:bottom w:w="72" w:type="dxa"/>
              <w:right w:w="144" w:type="dxa"/>
            </w:tcMar>
            <w:hideMark/>
          </w:tcPr>
          <w:p w14:paraId="191A81C6"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28F14FD0"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7424" behindDoc="0" locked="0" layoutInCell="1" allowOverlap="1" wp14:anchorId="3D95BE45" wp14:editId="34B13841">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EC2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999" o:spid="_x0000_s1026" type="#_x0000_t67" style="position:absolute;margin-left:33pt;margin-top:-.4pt;width:8.5pt;height:1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4C8FB1F5" w14:textId="77777777" w:rsidR="003C2517" w:rsidRPr="00C516E8" w:rsidRDefault="003C2517"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5376" behindDoc="0" locked="0" layoutInCell="1" allowOverlap="1" wp14:anchorId="0DC7F1A1" wp14:editId="4A8D6310">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8E2C" id="Down Arrow 15997" o:spid="_x0000_s1026" type="#_x0000_t67" style="position:absolute;margin-left:40.25pt;margin-top:-.4pt;width:8.5pt;height:1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3FAAE436" w14:textId="30F2D39D"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0496" behindDoc="0" locked="0" layoutInCell="1" allowOverlap="1" wp14:anchorId="6EAD03D3" wp14:editId="4FA0B401">
                      <wp:simplePos x="0" y="0"/>
                      <wp:positionH relativeFrom="column">
                        <wp:posOffset>480695</wp:posOffset>
                      </wp:positionH>
                      <wp:positionV relativeFrom="paragraph">
                        <wp:posOffset>29210</wp:posOffset>
                      </wp:positionV>
                      <wp:extent cx="108000" cy="144000"/>
                      <wp:effectExtent l="19050" t="0" r="44450" b="46990"/>
                      <wp:wrapNone/>
                      <wp:docPr id="41" name="Down Arrow 41"/>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1D91C" id="Down Arrow 41" o:spid="_x0000_s1026" type="#_x0000_t67" style="position:absolute;margin-left:37.85pt;margin-top:2.3pt;width:8.5pt;height:11.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ubwIAAPQEAAAOAAAAZHJzL2Uyb0RvYy54bWysVE1v2zAMvQ/YfxB0X+106doGcYqgQYYB&#10;RRugHXpWZDk2IEsapcTJfv2eZCf9WE/DclBIkeLH46OnN/tWs50i31hT8NFZzpky0paN2RT859Py&#10;yxVnPghTCm2NKvhBeX4z+/xp2rmJOre11aUihiDGTzpX8DoEN8kyL2vVCn9mnTIwVpZaEaDSJitJ&#10;dIje6uw8z79lnaXSkZXKe9wueiOfpfhVpWR4qCqvAtMFR20hnZTOdTyz2VRMNiRc3cihDPEPVbSi&#10;MUh6CrUQQbAtNX+FahtJ1tsqnEnbZraqGqlSD+hmlL/r5rEWTqVeAI53J5j8/wsr73crYk1Z8PGI&#10;MyNazGhhO8PmRLZjuARCnfMTOD66FQ2ahxjb3VfUxn80wvYJ1cMJVbUPTOJylF/lObCXMI3G4ygj&#10;Svby2JEP35VtWRQKXiJ9yp4AFbs7H3r/o19M6K1uymWjdVJos77VxHYiTjm/vl4uhxRv3LRhXcG/&#10;ji4vUIwA2SotAsTWoX1vNpwJvQGLZaCU+s1jf/CnFOAfinxCg5xp4QMMMW/8fZQ31r0Qvu7rS1EH&#10;N21i+SrxdGgzYt2jG6W1LQ+YD9meuN7JZYNod0i6EgSmAldsX3jAUWmL9uwgcVZb+v3RffQHgWDl&#10;rAPz0fuvrSCFXn4YUOs6DgmrkpTxxeU5FHptWb+2mG17awE72IPqkhj9gz6KFdn2GUs6j1lhEkYi&#10;d4/yoNyGfiOx5lLN58kN6+FEuDOPTsbgEaeI49P+WZAbmBIwgXt73BIxeceV3je+NHa+DbZqEpFe&#10;cAULo4LVSnwcPgNxd1/ryevlYzX7AwAA//8DAFBLAwQUAAYACAAAACEAuZXBRtsAAAAGAQAADwAA&#10;AGRycy9kb3ducmV2LnhtbEyOwU6EMBRF9yb+Q/NM3EycIo6gyGNCJmoyOx2J6w48gUhbpGWKf+9z&#10;pcube3PuybeLHsSJJtdbg3C9jkCQqW3Tmxahenu6ugPhvDKNGqwhhG9ysC3Oz3KVNTaYVzodfCsY&#10;YlymEDrvx0xKV3eklVvbkQx3H3bSynOcWtlMKjBcDzKOokRq1Rt+6NRIu47qz8OsEeZ2nz7v3jdl&#10;qMLXapVUwZaPL4iXF0v5AMLT4v/G8KvP6lCw09HOpnFiQEhvU14ibBIQXN/HHI8IcXoDssjlf/3i&#10;BwAA//8DAFBLAQItABQABgAIAAAAIQC2gziS/gAAAOEBAAATAAAAAAAAAAAAAAAAAAAAAABbQ29u&#10;dGVudF9UeXBlc10ueG1sUEsBAi0AFAAGAAgAAAAhADj9If/WAAAAlAEAAAsAAAAAAAAAAAAAAAAA&#10;LwEAAF9yZWxzLy5yZWxzUEsBAi0AFAAGAAgAAAAhALH4wW5vAgAA9AQAAA4AAAAAAAAAAAAAAAAA&#10;LgIAAGRycy9lMm9Eb2MueG1sUEsBAi0AFAAGAAgAAAAhALmVwUbbAAAABgEAAA8AAAAAAAAAAAAA&#10;AAAAyQQAAGRycy9kb3ducmV2LnhtbFBLBQYAAAAABAAEAPMAAADRBQAAAAA=&#10;" adj="13500" fillcolor="#09f" strokecolor="windowText" strokeweight=".25pt"/>
                  </w:pict>
                </mc:Fallback>
              </mc:AlternateContent>
            </w:r>
          </w:p>
        </w:tc>
      </w:tr>
      <w:tr w:rsidR="003C2517" w:rsidRPr="00C516E8" w14:paraId="141D6586" w14:textId="77777777" w:rsidTr="00400414">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24E5C2C"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b/>
                <w:bCs/>
                <w:sz w:val="18"/>
                <w:szCs w:val="18"/>
              </w:rPr>
            </w:pPr>
            <w:r w:rsidRPr="00C516E8">
              <w:rPr>
                <w:rFonts w:eastAsia="Times New Roman"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14:paraId="2332F20E" w14:textId="4B78F62F"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7A89598A" wp14:editId="023CF5A1">
                  <wp:extent cx="189230" cy="17653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47CD66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F856F0E" wp14:editId="7D0234B0">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43A2D05" w14:textId="6285B8C5"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F0E4305" wp14:editId="212DEE69">
                  <wp:extent cx="176530" cy="1765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6DDFF8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5A0B297" wp14:editId="10F04152">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A15289" w14:textId="7356FCAD" w:rsidR="003C2517" w:rsidRPr="00C516E8" w:rsidRDefault="00400414" w:rsidP="00400414">
            <w:pPr>
              <w:spacing w:after="0" w:line="240" w:lineRule="auto"/>
              <w:jc w:val="center"/>
              <w:rPr>
                <w:rFonts w:eastAsia="Times New Roman" w:cs="Arial"/>
                <w:b/>
                <w:sz w:val="18"/>
                <w:szCs w:val="18"/>
              </w:rPr>
            </w:pPr>
            <w:r w:rsidRPr="0077659B">
              <w:rPr>
                <w:rFonts w:eastAsia="Calibri" w:cs="Arial"/>
                <w:noProof/>
                <w:lang w:eastAsia="en-ZA"/>
              </w:rPr>
              <w:drawing>
                <wp:inline distT="0" distB="0" distL="0" distR="0" wp14:anchorId="6B2860EC" wp14:editId="071B231E">
                  <wp:extent cx="176530" cy="176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0E81FE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A1EB09C" wp14:editId="166A20D9">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642FF88" w14:textId="77777777" w:rsidTr="00400414">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6CC6F91"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lastRenderedPageBreak/>
              <w:t>Exercise oversight responsibility regarding financial and performance reporting and 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BE0D5C2"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007AE5F3" wp14:editId="05D448D6">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754346"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BFAFE01" wp14:editId="26EF3D8C">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CA2BF6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318DB88" wp14:editId="2BAAC8AC">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A96A11F"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1E14746" wp14:editId="4A782BA2">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FB00B03" w14:textId="4BD604C7"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C8235C9" wp14:editId="5A5644A6">
                  <wp:extent cx="176530" cy="1765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FA3496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C6DF872" wp14:editId="61E0F4E5">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66788FB9" w14:textId="77777777" w:rsidTr="00400414">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351D075"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34B7005B" w14:textId="50AE5C06"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4C0D402D" wp14:editId="3363CAB3">
                  <wp:extent cx="189230" cy="17653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957374"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BC76631" wp14:editId="5BA8446F">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F7B258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156400C" wp14:editId="44E3F183">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25B4D3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7B510AB" wp14:editId="784D6767">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3AEE28B" w14:textId="6578708A"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882478E" wp14:editId="1900023B">
                  <wp:extent cx="189230" cy="17653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735CFF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F63DCF7" wp14:editId="5520B470">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D522D61" w14:textId="77777777" w:rsidTr="00400414">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A2E873F"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60749F7"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62B71C2E" wp14:editId="25C0F557">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0AD468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690E245" wp14:editId="2F455ED6">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2783D1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35415A1" wp14:editId="1BCE8BD2">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9CC086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DD6B1F5" wp14:editId="1075E677">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36B181F" w14:textId="4B6D7392"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0F784E0" wp14:editId="72B1613C">
                  <wp:extent cx="176530" cy="1765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E891E0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21B5823" wp14:editId="5E111379">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5E4B5F6C" w14:textId="77777777" w:rsidTr="00400414">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4A3A5DD"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651ED351"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50250437" wp14:editId="371F841A">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A9DC7E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F1BB648" wp14:editId="752CC404">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20BD8D1" w14:textId="150D81B2"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2353712" wp14:editId="0E8E8A3B">
                  <wp:extent cx="176530" cy="1765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B899E3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9D892ED" wp14:editId="148969BD">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987B172"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6AA30C1" wp14:editId="7A1D45AF">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5AF39D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007483A" wp14:editId="426ACA70">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79EC8CEF" w14:textId="77777777" w:rsidTr="00400414">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C989C90"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5BAEA1F"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15E4FDB6" wp14:editId="0CE5EC7D">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EB48EBC"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BAE21D1" wp14:editId="125447CA">
                  <wp:extent cx="167698" cy="1800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FD4BC94"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652C369" wp14:editId="701F615E">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F536463"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EE74543" wp14:editId="09590DC2">
                  <wp:extent cx="167698" cy="18000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D3F1616"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8718D0A" wp14:editId="773C8FFF">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83F27F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96D21E5" wp14:editId="1ABA3C90">
                  <wp:extent cx="167698" cy="18000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0D5B91EA" w14:textId="77777777" w:rsidTr="00400414">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02E7B01A" w14:textId="77777777" w:rsidR="003C2517" w:rsidRPr="00C516E8" w:rsidRDefault="003C2517" w:rsidP="00400414">
            <w:pPr>
              <w:spacing w:after="0" w:line="240" w:lineRule="auto"/>
              <w:rPr>
                <w:rFonts w:eastAsia="Times New Roman" w:cs="Arial"/>
                <w:b/>
                <w:bCs/>
                <w:sz w:val="18"/>
                <w:szCs w:val="18"/>
              </w:rPr>
            </w:pPr>
            <w:r w:rsidRPr="00C516E8">
              <w:rPr>
                <w:rFonts w:eastAsia="Times New Roman" w:cs="Arial"/>
                <w:b/>
                <w:bCs/>
                <w:sz w:val="18"/>
                <w:szCs w:val="18"/>
              </w:rPr>
              <w:t>Financial and performance management</w:t>
            </w:r>
          </w:p>
        </w:tc>
      </w:tr>
      <w:tr w:rsidR="003C2517" w:rsidRPr="00C516E8" w14:paraId="54829283" w14:textId="77777777" w:rsidTr="00400414">
        <w:trPr>
          <w:trHeight w:val="28"/>
        </w:trPr>
        <w:tc>
          <w:tcPr>
            <w:tcW w:w="2174" w:type="pct"/>
            <w:shd w:val="clear" w:color="auto" w:fill="F2F2F2" w:themeFill="background1" w:themeFillShade="F2"/>
            <w:tcMar>
              <w:top w:w="72" w:type="dxa"/>
              <w:left w:w="144" w:type="dxa"/>
              <w:bottom w:w="72" w:type="dxa"/>
              <w:right w:w="144" w:type="dxa"/>
            </w:tcMar>
            <w:hideMark/>
          </w:tcPr>
          <w:p w14:paraId="0CF987E5"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5BDF040D" w14:textId="190A7E1E" w:rsidR="003C2517" w:rsidRPr="00C516E8" w:rsidRDefault="00400414" w:rsidP="00400414">
            <w:pPr>
              <w:spacing w:after="0" w:line="240" w:lineRule="auto"/>
              <w:rPr>
                <w:rFonts w:eastAsia="Times New Roman" w:cs="Arial"/>
                <w:b/>
                <w:sz w:val="18"/>
                <w:szCs w:val="18"/>
              </w:rPr>
            </w:pPr>
            <w:r w:rsidRPr="0077659B">
              <w:rPr>
                <w:rFonts w:ascii="Times New Roman" w:eastAsia="Times New Roman" w:hAnsi="Times New Roman" w:cs="Times New Roman"/>
                <w:noProof/>
                <w:sz w:val="20"/>
                <w:szCs w:val="20"/>
                <w:lang w:eastAsia="en-ZA"/>
              </w:rPr>
              <mc:AlternateContent>
                <mc:Choice Requires="wps">
                  <w:drawing>
                    <wp:inline distT="0" distB="0" distL="0" distR="0" wp14:anchorId="42950FE7" wp14:editId="54AF6889">
                      <wp:extent cx="111600" cy="115200"/>
                      <wp:effectExtent l="36195" t="20955" r="39370" b="20320"/>
                      <wp:docPr id="57"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DDFE3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rzTQIAAKYEAAAOAAAAZHJzL2Uyb0RvYy54bWysVNuO0zAQfUfiHyy/0zShl23UdLXqUoS0&#10;wEoLH+DaTmLwDdttWr5+x062m8IbIg+W7RmfOTNnJuvbk5LoyJ0XRlc4n0wx4poaJnRT4e/fdu9u&#10;MPKBaEak0bzCZ+7x7ebtm3VnS16Y1kjGHQIQ7cvOVrgNwZZZ5mnLFfETY7kGY22cIgGOrsmYIx2g&#10;K5kV0+ki64xj1hnKvYfb+96INwm/rjkNX+va84BkhYFbSKtL6z6u2WZNysYR2wo60CD/wEIRoSHo&#10;BeqeBIIOTvwFpQR1xps6TKhRmalrQXnKAbLJp39k89QSy1MuUBxvL2Xy/w+Wfjk+OiRYhedLjDRR&#10;oNHdIZgUGuXLokg16qwvwfXJPrqYpbcPhv70SJttS3TD75wzXcsJA2Z5rGl29SAePDxF++6zYRCB&#10;QIRUrlPtFHIGZMkXICd86Rrqgk5JpPNFJH4KiMJlnucLcEMUTHk+h1cpICkjViRnnQ8fuVEobirs&#10;RNOGRDBBk+ODD0kpNqRL2I8co1pJEP5IJJonGn1jjHyKsc/72ewSd0DMXiOnEhkp2E5ImQ6u2W+l&#10;QwAP+UxXq91uIO3HblKjrsKreTFPVK9s/hrihSNEvXJTIsA8SaEqfBN9hg6P2nzQLCUViJD9Hh5L&#10;PYgV9YlT48u9YWfQKqkCdYbhhiq2xv3GqINBqbD/dSCOYyQ/adB7lUMtYLLSYTZfQsMgN7bsxxai&#10;KUBVOGDUb7ehn8aDTULF/okV0yZ2YS3CSzP1rAayMAywu5q28Tl5vf5eNs8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POyKvNN&#10;AgAApgQAAA4AAAAAAAAAAAAAAAAALgIAAGRycy9lMm9Eb2MueG1sUEsBAi0AFAAGAAgAAAAhAHo7&#10;SG7ZAAAAAwEAAA8AAAAAAAAAAAAAAAAApwQAAGRycy9kb3ducmV2LnhtbFBLBQYAAAAABAAEAPMA&#10;AACtBQAAAAA=&#10;" adj="14170" fillcolor="#09f">
                      <w10:anchorlock/>
                    </v:shape>
                  </w:pict>
                </mc:Fallback>
              </mc:AlternateContent>
            </w:r>
          </w:p>
        </w:tc>
        <w:tc>
          <w:tcPr>
            <w:tcW w:w="943" w:type="pct"/>
            <w:gridSpan w:val="2"/>
            <w:tcBorders>
              <w:right w:val="single" w:sz="4" w:space="0" w:color="auto"/>
            </w:tcBorders>
            <w:shd w:val="clear" w:color="auto" w:fill="F2F2F2" w:themeFill="background1" w:themeFillShade="F2"/>
          </w:tcPr>
          <w:p w14:paraId="15AB58D7" w14:textId="77777777" w:rsidR="003C2517" w:rsidRPr="00C516E8" w:rsidRDefault="003C2517"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6400" behindDoc="0" locked="0" layoutInCell="1" allowOverlap="1" wp14:anchorId="315C1B64" wp14:editId="35939835">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AE874" id="Down Arrow 15998" o:spid="_x0000_s1026" type="#_x0000_t67" style="position:absolute;margin-left:44.1pt;margin-top:-.35pt;width:8.5pt;height:11.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697BFC15" w14:textId="3581D2CC"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6640" behindDoc="0" locked="0" layoutInCell="1" allowOverlap="1" wp14:anchorId="5080B75F" wp14:editId="56179C88">
                      <wp:simplePos x="0" y="0"/>
                      <wp:positionH relativeFrom="column">
                        <wp:posOffset>489161</wp:posOffset>
                      </wp:positionH>
                      <wp:positionV relativeFrom="paragraph">
                        <wp:posOffset>51435</wp:posOffset>
                      </wp:positionV>
                      <wp:extent cx="108000" cy="144000"/>
                      <wp:effectExtent l="19050" t="0" r="44450" b="46990"/>
                      <wp:wrapNone/>
                      <wp:docPr id="16198" name="Down Arrow 16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936FD" id="Down Arrow 16198" o:spid="_x0000_s1026" type="#_x0000_t67" style="position:absolute;margin-left:38.5pt;margin-top:4.05pt;width:8.5pt;height:1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EocgIAAPoEAAAOAAAAZHJzL2Uyb0RvYy54bWysVMlu2zAQvRfoPxC8N5LSbDYiB0YMFwWC&#10;JEAS5ExTlCWAItkhbdn9+j5SirM0p6I+0DOc4Sxv3ujyatdptlXkW2tKXhzlnCkjbdWadcmfHpff&#10;LjjzQZhKaGtUyffK86vZ1y+XvZuqY9tYXSliCGL8tHclb0Jw0yzzslGd8EfWKQNjbakTASqts4pE&#10;j+idzo7z/CzrLVWOrFTe43YxGPksxa9rJcNdXXsVmC45agvppHSu4pnNLsV0TcI1rRzLEP9QRSda&#10;g6SHUAsRBNtQ+1eorpVkva3DkbRdZuu6lSr1gG6K/EM3D41wKvUCcLw7wOT/X1h5u70n1laY3Vkx&#10;wbCM6DCmhe0NmxPZng33wKl3fgr3B3dPo+YhxqZ3NXXxH+2wXcJ2f8BW7QKTuCzyizzHBCRMxclJ&#10;lBEle33syIcfynYsCiWvUEEqIMEqtjc+DP4vfjGht7qtlq3WSaH16loT24o463wyWS7HFO/ctGF9&#10;yb8X56coRoBytRYBYucAgjdrzoReg8syUEr97rHf+0MKsBBFPqJBzrTwAYaYN/4+yxvrXgjfDPWl&#10;qKObNrF8ldg6thmxHtCN0spWe0yJ7EBf7+SyRbQbJL0XBL4CV+xguMNRa4v27Chx1lj6/dl99AeN&#10;YOWsB//R+6+NIIVefhoQbBKHhIVJysnp+TEUemtZvbWYTXdtAXuBbXcyidE/6BexJts9Y1XnMStM&#10;wkjkHlAelesw7CWWXar5PLlhSZwIN+bByRg84hRxfNw9C3IjUwImcGtfdkVMP3Bl8I0vjZ1vgq3b&#10;RKRXXMHCqGDBEh/Hj0Hc4Ld68nr9ZM3+AAAA//8DAFBLAwQUAAYACAAAACEArJgRUdwAAAAGAQAA&#10;DwAAAGRycy9kb3ducmV2LnhtbEyPQU+DQBSE7yb+h80z8dLYpdoUijwa0qiJt1pJz1t2BSL7Ftml&#10;4L/3edLjZCYz32S72XbiYgbfOkJYLSMQhiqnW6oRyvfnuwSED4q06hwZhG/jYZdfX2Uq1W6iN3M5&#10;hlpwCflUITQh9KmUvmqMVX7pekPsfbjBqsByqKUe1MTltpP3UbSRVrXEC43qzb4x1edxtAhj/Rq/&#10;7E/rYiqnr8ViU06ueDog3t7MxSOIYObwF4ZffEaHnJnObiTtRYcQx3wlICQrEGxv1yzPCA9RAjLP&#10;5H/8/AcAAP//AwBQSwECLQAUAAYACAAAACEAtoM4kv4AAADhAQAAEwAAAAAAAAAAAAAAAAAAAAAA&#10;W0NvbnRlbnRfVHlwZXNdLnhtbFBLAQItABQABgAIAAAAIQA4/SH/1gAAAJQBAAALAAAAAAAAAAAA&#10;AAAAAC8BAABfcmVscy8ucmVsc1BLAQItABQABgAIAAAAIQCgnSEocgIAAPoEAAAOAAAAAAAAAAAA&#10;AAAAAC4CAABkcnMvZTJvRG9jLnhtbFBLAQItABQABgAIAAAAIQCsmBFR3AAAAAYBAAAPAAAAAAAA&#10;AAAAAAAAAMwEAABkcnMvZG93bnJldi54bWxQSwUGAAAAAAQABADzAAAA1QUAAAAA&#10;" adj="13500" fillcolor="#09f" strokecolor="windowText" strokeweight=".25pt"/>
                  </w:pict>
                </mc:Fallback>
              </mc:AlternateContent>
            </w:r>
          </w:p>
        </w:tc>
      </w:tr>
      <w:tr w:rsidR="003C2517" w:rsidRPr="00C516E8" w14:paraId="1A749E69" w14:textId="77777777" w:rsidTr="00400414">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03B801C"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5AE87D0"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26F7DA5D" wp14:editId="0D80E90C">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39D280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5791ADF" wp14:editId="3208A89E">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F148880" w14:textId="0523A81E"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3F52997" wp14:editId="2F496384">
                  <wp:extent cx="189230" cy="176530"/>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1C5840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A3D9756" wp14:editId="47E37491">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167896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BFBAC99" wp14:editId="01196631">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1C0F852C"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6721BF9" wp14:editId="22A805D0">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2B1BC01E" w14:textId="77777777" w:rsidTr="00400414">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6EDE92E"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01744AD" w14:textId="07A5217A"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6501E936" wp14:editId="155C96AF">
                  <wp:extent cx="167698" cy="18000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7B29F2D" w14:textId="1416D193"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A72B5BD" wp14:editId="2DB2FC7C">
                  <wp:extent cx="189230" cy="176530"/>
                  <wp:effectExtent l="0" t="0" r="1270" b="0"/>
                  <wp:docPr id="16192" name="Picture 1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A9164C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C6FED32" wp14:editId="2CEB7726">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6D4018F"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046BA6E" wp14:editId="146AEEB2">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E4C879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553E93F" wp14:editId="5F27F3C5">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8F99D7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ABFBD43" wp14:editId="48CC6E02">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50DD9270" w14:textId="77777777" w:rsidTr="00400414">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2A61477"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86C03B5"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65A5252E" wp14:editId="0B90497B">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2D6EE81" w14:textId="748F00BA"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D1BDB21" wp14:editId="20B248B2">
                  <wp:extent cx="189230" cy="17653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A8883B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77FB782" wp14:editId="79AFF17B">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23297F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DCFF43E" wp14:editId="5DD9D267">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9FCD94D" w14:textId="72077F10"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4A27277" wp14:editId="070DF735">
                  <wp:extent cx="189230" cy="17653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429563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8D6327A" wp14:editId="4C5B5945">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98189D4" w14:textId="77777777" w:rsidTr="00400414">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F47A256"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kern w:val="8"/>
                <w:sz w:val="18"/>
                <w:szCs w:val="18"/>
                <w:lang w:bidi="he-IL"/>
              </w:rPr>
            </w:pPr>
            <w:r w:rsidRPr="00C516E8">
              <w:rPr>
                <w:rFonts w:eastAsia="Times New Roman"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A2B9A4D" w14:textId="2DB2284E"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26C10A89" wp14:editId="56BDE736">
                  <wp:extent cx="167698" cy="1800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5CB6CB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6F867AA" wp14:editId="32ADD527">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81776A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1D6FE53" wp14:editId="3FE7A918">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7300FB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54EC99F" wp14:editId="2A99B2AD">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9D846C9" w14:textId="0D90AF9B"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2AD7D91" wp14:editId="54B6D640">
                  <wp:extent cx="176530" cy="176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9205C4C"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EF058D0" wp14:editId="558BEBDE">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2E1F5B5B" w14:textId="77777777" w:rsidTr="00400414">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9916907"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 xml:space="preserve">Design and implement formal controls over information technology systems to ensure the reliability of the systems and the </w:t>
            </w:r>
            <w:r w:rsidRPr="00C516E8">
              <w:rPr>
                <w:rFonts w:eastAsia="Times New Roman" w:cs="Arial"/>
                <w:sz w:val="18"/>
                <w:szCs w:val="18"/>
              </w:rPr>
              <w:lastRenderedPageBreak/>
              <w:t>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A76F14F"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lastRenderedPageBreak/>
              <w:drawing>
                <wp:inline distT="0" distB="0" distL="0" distR="0" wp14:anchorId="73E48859" wp14:editId="214FC355">
                  <wp:extent cx="189230" cy="17653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0142D4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C05573E" wp14:editId="43F0A450">
                  <wp:extent cx="167698" cy="18000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119E4DF"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1DC7326" wp14:editId="013A235E">
                  <wp:extent cx="189230" cy="176530"/>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96DFDF3"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E6B8739" wp14:editId="6E2F5769">
                  <wp:extent cx="189230" cy="176530"/>
                  <wp:effectExtent l="0" t="0" r="1270" b="0"/>
                  <wp:docPr id="15981" name="Picture 1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B4434B" w14:textId="77777777" w:rsidR="003C2517" w:rsidRPr="00C516E8" w:rsidRDefault="003C2517" w:rsidP="00400414">
            <w:pPr>
              <w:spacing w:after="0" w:line="240" w:lineRule="auto"/>
              <w:jc w:val="center"/>
              <w:rPr>
                <w:rFonts w:eastAsia="Times New Roman" w:cs="Arial"/>
                <w:b/>
                <w:sz w:val="18"/>
                <w:szCs w:val="18"/>
              </w:rPr>
            </w:pPr>
            <w:r>
              <w:rPr>
                <w:rFonts w:eastAsia="Times New Roman" w:cs="Arial"/>
                <w:b/>
                <w:sz w:val="18"/>
                <w:szCs w:val="18"/>
              </w:rPr>
              <w:t>N/A</w:t>
            </w:r>
          </w:p>
        </w:tc>
        <w:tc>
          <w:tcPr>
            <w:tcW w:w="470" w:type="pct"/>
            <w:tcBorders>
              <w:bottom w:val="single" w:sz="4" w:space="0" w:color="auto"/>
              <w:right w:val="single" w:sz="4" w:space="0" w:color="auto"/>
            </w:tcBorders>
            <w:shd w:val="clear" w:color="auto" w:fill="auto"/>
          </w:tcPr>
          <w:p w14:paraId="7D868EC0" w14:textId="77777777" w:rsidR="003C2517" w:rsidRPr="00C516E8" w:rsidRDefault="003C2517" w:rsidP="00400414">
            <w:pPr>
              <w:spacing w:after="0" w:line="240" w:lineRule="auto"/>
              <w:jc w:val="center"/>
              <w:rPr>
                <w:rFonts w:eastAsia="Times New Roman" w:cs="Arial"/>
                <w:b/>
                <w:sz w:val="18"/>
                <w:szCs w:val="18"/>
              </w:rPr>
            </w:pPr>
            <w:r>
              <w:rPr>
                <w:rFonts w:eastAsia="Times New Roman" w:cs="Arial"/>
                <w:b/>
                <w:sz w:val="18"/>
                <w:szCs w:val="18"/>
              </w:rPr>
              <w:t>N/A</w:t>
            </w:r>
          </w:p>
        </w:tc>
      </w:tr>
      <w:tr w:rsidR="003C2517" w:rsidRPr="00C516E8" w14:paraId="20327433" w14:textId="77777777" w:rsidTr="00400414">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0400726D"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bCs/>
                <w:sz w:val="18"/>
                <w:szCs w:val="18"/>
              </w:rPr>
              <w:t>Governance</w:t>
            </w:r>
          </w:p>
        </w:tc>
      </w:tr>
      <w:tr w:rsidR="003C2517" w:rsidRPr="00C516E8" w14:paraId="007A5D32" w14:textId="77777777" w:rsidTr="00400414">
        <w:trPr>
          <w:trHeight w:val="267"/>
        </w:trPr>
        <w:tc>
          <w:tcPr>
            <w:tcW w:w="2174" w:type="pct"/>
            <w:shd w:val="clear" w:color="auto" w:fill="F2F2F2" w:themeFill="background1" w:themeFillShade="F2"/>
            <w:tcMar>
              <w:top w:w="72" w:type="dxa"/>
              <w:left w:w="144" w:type="dxa"/>
              <w:bottom w:w="72" w:type="dxa"/>
              <w:right w:w="144" w:type="dxa"/>
            </w:tcMar>
            <w:hideMark/>
          </w:tcPr>
          <w:p w14:paraId="4AA08FA2"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0CB3222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sz w:val="20"/>
                <w:szCs w:val="20"/>
                <w:lang w:eastAsia="en-ZA"/>
              </w:rPr>
              <mc:AlternateContent>
                <mc:Choice Requires="wps">
                  <w:drawing>
                    <wp:inline distT="0" distB="0" distL="0" distR="0" wp14:anchorId="29394FAB" wp14:editId="16B22060">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2FF685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14:paraId="4F320603" w14:textId="620943B9"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2544" behindDoc="0" locked="0" layoutInCell="1" allowOverlap="1" wp14:anchorId="1877F42A" wp14:editId="3A1D0039">
                      <wp:simplePos x="0" y="0"/>
                      <wp:positionH relativeFrom="column">
                        <wp:posOffset>450850</wp:posOffset>
                      </wp:positionH>
                      <wp:positionV relativeFrom="paragraph">
                        <wp:posOffset>37041</wp:posOffset>
                      </wp:positionV>
                      <wp:extent cx="108000" cy="144000"/>
                      <wp:effectExtent l="19050" t="0" r="44450" b="46990"/>
                      <wp:wrapNone/>
                      <wp:docPr id="16196" name="Down Arrow 16196"/>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7403E" id="Down Arrow 16196" o:spid="_x0000_s1026" type="#_x0000_t67" style="position:absolute;margin-left:35.5pt;margin-top:2.9pt;width:8.5pt;height:1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1OcwIAAPoEAAAOAAAAZHJzL2Uyb0RvYy54bWysVMlu2zAQvRfoPxC8N5LSbDYiB0YMFwWC&#10;JEAS5ExTlCWAItkhbdn9+j5SirM0p6I+0DOc4Sxv3ujyatdptlXkW2tKXhzlnCkjbdWadcmfHpff&#10;LjjzQZhKaGtUyffK86vZ1y+XvZuqY9tYXSliCGL8tHclb0Jw0yzzslGd8EfWKQNjbakTASqts4pE&#10;j+idzo7z/CzrLVWOrFTe43YxGPksxa9rJcNdXXsVmC45agvppHSu4pnNLsV0TcI1rRzLEP9QRSda&#10;g6SHUAsRBNtQ+1eorpVkva3DkbRdZuu6lSr1gG6K/EM3D41wKvUCcLw7wOT/X1h5u70n1laY3Vkx&#10;OePMiA5jWtjesDmR7dlwD5x656dwf3D3NGoeYmx6V1MX/9EO2yVs9wds1S4wicsiv8hzTEDCVJyc&#10;RBlRstfHjnz4oWzHolDyChWkAhKsYnvjw+D/4hcTeqvbatlqnRRar641sa2Is84nk+VyTPHOTRvW&#10;l/x7cX6KYgQoV2sRIHYOIHiz5kzoNbgsA6XU7x77vT+kAAtR5CMa5EwLH2CIeePvs7yx7oXwzVBf&#10;ijq6aRPLV4mtY5sR6wHdKK1stceUyA709U4uW0S7QdJ7QeArcMUOhjsctbZoz44SZ42l35/dR3/Q&#10;CFbOevAfvf/aCFLo5acBwSZxSFiYpJycnh9DobeW1VuL2XTXFrAX2HYnkxj9g34Ra7LdM1Z1HrPC&#10;JIxE7gHlUbkOw15i2aWaz5MblsSJcGMenIzBI04Rx8fdsyA3MiVgArf2ZVfE9ANXBt/40tj5Jti6&#10;TUR6xRUsjAoWLPFx/BjEDX6rJ6/XT9bsDwAAAP//AwBQSwMEFAAGAAgAAAAhAL0jBp3cAAAABgEA&#10;AA8AAABkcnMvZG93bnJldi54bWxMj8FOwzAQRO9I/IO1SFwq6rSibRTiVFEFSNygRJzdeEki4nWI&#10;nTr8PcuJHkczmnmT72fbizOOvnOkYLVMQCDVznTUKKjen+5SED5oMrp3hAp+0MO+uL7KdWZcpDc8&#10;H0MjuIR8phW0IQyZlL5u0Wq/dAMSe59utDqwHBtpRh253PZynSRbaXVHvNDqAQ8t1l/HySqYmpfd&#10;8+HjvoxV/F4stlV05eOrUrc3c/kAIuAc/sPwh8/oUDDTyU1kvOgV7FZ8JSjY8AG205TlScE63YAs&#10;cnmJX/wCAAD//wMAUEsBAi0AFAAGAAgAAAAhALaDOJL+AAAA4QEAABMAAAAAAAAAAAAAAAAAAAAA&#10;AFtDb250ZW50X1R5cGVzXS54bWxQSwECLQAUAAYACAAAACEAOP0h/9YAAACUAQAACwAAAAAAAAAA&#10;AAAAAAAvAQAAX3JlbHMvLnJlbHNQSwECLQAUAAYACAAAACEAlUq9TnMCAAD6BAAADgAAAAAAAAAA&#10;AAAAAAAuAgAAZHJzL2Uyb0RvYy54bWxQSwECLQAUAAYACAAAACEAvSMGnd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4D1D84BE" w14:textId="25126003"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4592" behindDoc="0" locked="0" layoutInCell="1" allowOverlap="1" wp14:anchorId="4CFA2762" wp14:editId="31891DC0">
                      <wp:simplePos x="0" y="0"/>
                      <wp:positionH relativeFrom="column">
                        <wp:posOffset>446829</wp:posOffset>
                      </wp:positionH>
                      <wp:positionV relativeFrom="paragraph">
                        <wp:posOffset>37041</wp:posOffset>
                      </wp:positionV>
                      <wp:extent cx="108000" cy="144000"/>
                      <wp:effectExtent l="19050" t="0" r="44450" b="46990"/>
                      <wp:wrapNone/>
                      <wp:docPr id="16197" name="Down Arrow 161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526E" id="Down Arrow 16197" o:spid="_x0000_s1026" type="#_x0000_t67" style="position:absolute;margin-left:35.2pt;margin-top:2.9pt;width:8.5pt;height:1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eocwIAAPoEAAAOAAAAZHJzL2Uyb0RvYy54bWysVMlu2zAQvRfoPxC8N5LSbDYiB0YMFwWC&#10;JEAS5ExTlCWA4rAkbdn9+j5SirM0p6I+0DOc4Sxv3ujyatdptlXOt2RKXhzlnCkjqWrNuuRPj8tv&#10;F5z5IEwlNBlV8r3y/Gr29ctlb6fqmBrSlXIMQYyf9rbkTQh2mmVeNqoT/oisMjDW5DoRoLp1VjnR&#10;I3qns+M8P8t6cpV1JJX3uF0MRj5L8etayXBX114FpkuO2kI6XTpX8cxml2K6dsI2rRzLEP9QRSda&#10;g6SHUAsRBNu49q9QXSsdearDkaQuo7pupUo9oJsi/9DNQyOsSr0AHG8PMPn/F1bebu8dayvM7qyY&#10;nHNmRIcxLag3bO4c9Wy4B0699VO4P9h7N2oeYmx6V7su/qMdtkvY7g/Yql1gEpdFfpHnmICEqTg5&#10;iTKiZK+PrfPhh6KORaHkFSpIBSRYxfbGh8H/xS8m9KTbatlqnRS3Xl1rx7YizjqfTJbLMcU7N21Y&#10;X/LvxfkpihGgXK1FgNhZgODNmjOh1+CyDC6lfvfY7/0hBViIIh/RIGda+ABDzBt/n+WNdS+Eb4b6&#10;UtTRTZtYvkpsHduMWA/oRmlF1R5TcjTQ11u5bBHtBknvhQNfgSt2MNzhqDWhPRolzhpyvz+7j/6g&#10;Eayc9eA/ev+1EU6hl58GBJvEIWFhknJyen4Mxb21rN5azKa7JsBeYNutTGL0D/pFrB11z1jVecwK&#10;kzASuQeUR+U6DHuJZZdqPk9uWBIrwo15sDIGjzhFHB93z8LZkSkBE7ill10R0w9cGXzjS0PzTaC6&#10;TUR6xRUsjAoWLPFx/BjEDX6rJ6/XT9bsDwAAAP//AwBQSwMEFAAGAAgAAAAhAMO8h1vcAAAABgEA&#10;AA8AAABkcnMvZG93bnJldi54bWxMj0FPg0AUhO8m/ofNM/HS2MWmLYSyNKRRE29aiect+wpE9i2y&#10;S8F/7/Nkj5OZzHyT7WfbiQsOvnWk4HEZgUCqnGmpVlB+PD8kIHzQZHTnCBX8oId9fnuT6dS4id7x&#10;cgy14BLyqVbQhNCnUvqqQav90vVI7J3dYHVgOdTSDHrictvJVRRtpdUt8UKjezw0WH0dR6tgrF/j&#10;l8PnupjK6Xux2JaTK57elLq/m4sdiIBz+A/DHz6jQ85MJzeS8aJTEEdrTirY8AG2k5jlScEq2YDM&#10;M3mNn/8CAAD//wMAUEsBAi0AFAAGAAgAAAAhALaDOJL+AAAA4QEAABMAAAAAAAAAAAAAAAAAAAAA&#10;AFtDb250ZW50X1R5cGVzXS54bWxQSwECLQAUAAYACAAAACEAOP0h/9YAAACUAQAACwAAAAAAAAAA&#10;AAAAAAAvAQAAX3JlbHMvLnJlbHNQSwECLQAUAAYACAAAACEAhtzHqHMCAAD6BAAADgAAAAAAAAAA&#10;AAAAAAAuAgAAZHJzL2Uyb0RvYy54bWxQSwECLQAUAAYACAAAACEAw7yHW9wAAAAGAQAADwAAAAAA&#10;AAAAAAAAAADNBAAAZHJzL2Rvd25yZXYueG1sUEsFBgAAAAAEAAQA8wAAANYFAAAAAA==&#10;" adj="13500" fillcolor="#09f" strokecolor="windowText" strokeweight=".25pt"/>
                  </w:pict>
                </mc:Fallback>
              </mc:AlternateContent>
            </w:r>
          </w:p>
        </w:tc>
      </w:tr>
      <w:tr w:rsidR="003C2517" w:rsidRPr="00C516E8" w14:paraId="6CE8196C" w14:textId="77777777" w:rsidTr="00400414">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155F76A"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A019CD1"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3B6C5477" wp14:editId="45F13252">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AE9ADF4"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1244C81" wp14:editId="7897CD19">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1C35409" w14:textId="5EB302D2"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480259B" wp14:editId="132F73B1">
                  <wp:extent cx="189230" cy="176530"/>
                  <wp:effectExtent l="0" t="0" r="1270" b="0"/>
                  <wp:docPr id="16193" name="Picture 1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D7BDAC6"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36C976C" wp14:editId="67F9D71C">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384C15C" w14:textId="1ABAA1B3"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4DA2094" wp14:editId="3F208B5B">
                  <wp:extent cx="189230" cy="176530"/>
                  <wp:effectExtent l="0" t="0" r="1270" b="0"/>
                  <wp:docPr id="16194" name="Picture 1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6FAC1C2"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D5454E5" wp14:editId="67499C72">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4640742" w14:textId="77777777" w:rsidTr="00400414">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F243E4B"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C76990A"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0E03B7A7" wp14:editId="3FA94D45">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CD9EDA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D063478" wp14:editId="5217C8B8">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F7ECB0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57C0E9C" wp14:editId="334979B9">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E40922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4CF7C36" wp14:editId="46DCDA77">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E33D99B" w14:textId="249F4215"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CB6DE46" wp14:editId="5E79D136">
                  <wp:extent cx="189230" cy="176530"/>
                  <wp:effectExtent l="0" t="0" r="1270" b="0"/>
                  <wp:docPr id="16195" name="Picture 1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62FD75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DBA4832" wp14:editId="2E706CE6">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778828E5" w14:textId="77777777" w:rsidTr="00400414">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C7737BB"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4A1E916"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2A0E7904" wp14:editId="0845508B">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277B70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62F9FEA" wp14:editId="4C16AF6B">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5B6413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D548CCA" wp14:editId="4FA9F0F5">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BEFDBF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58DBD19" wp14:editId="699C369B">
                  <wp:extent cx="167698" cy="180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BD6E43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8E7BFF0" wp14:editId="5DBB15AE">
                  <wp:extent cx="167698" cy="1800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DFE802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D3B9697" wp14:editId="220D0BA7">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14:paraId="0D580C9F" w14:textId="3CE79F44" w:rsidR="003C2517" w:rsidRDefault="003C2517" w:rsidP="002C07AF">
      <w:pPr>
        <w:shd w:val="clear" w:color="auto" w:fill="FFFFFF"/>
        <w:spacing w:line="240" w:lineRule="auto"/>
        <w:rPr>
          <w:rFonts w:eastAsia="Times New Roman" w:cs="Arial"/>
        </w:rPr>
      </w:pPr>
    </w:p>
    <w:p w14:paraId="1CD5CD9F" w14:textId="77777777" w:rsidR="003C2517" w:rsidRPr="0077659B" w:rsidRDefault="003C2517" w:rsidP="002C07AF">
      <w:pPr>
        <w:shd w:val="clear" w:color="auto" w:fill="FFFFFF"/>
        <w:spacing w:line="240" w:lineRule="auto"/>
        <w:rPr>
          <w:rFonts w:eastAsia="Times New Roman" w:cs="Arial"/>
        </w:rPr>
      </w:pPr>
    </w:p>
    <w:p w14:paraId="1A1B5BD5" w14:textId="360A053F" w:rsidR="00021328" w:rsidRDefault="00021328" w:rsidP="00BB6EEC">
      <w:pPr>
        <w:shd w:val="clear" w:color="auto" w:fill="FFFFFF"/>
        <w:tabs>
          <w:tab w:val="left" w:pos="756"/>
        </w:tabs>
        <w:spacing w:line="240" w:lineRule="auto"/>
        <w:rPr>
          <w:rFonts w:eastAsia="Times New Roman" w:cs="Arial"/>
          <w:color w:val="003B79"/>
          <w:lang w:eastAsia="en-GB"/>
        </w:rPr>
      </w:pPr>
      <w:bookmarkStart w:id="208" w:name="_PART_B:_EXPLANATORY"/>
      <w:bookmarkStart w:id="209" w:name="_E1._Addressee"/>
      <w:bookmarkStart w:id="210" w:name="E0_2"/>
      <w:bookmarkStart w:id="211" w:name="E0_3"/>
      <w:bookmarkStart w:id="212" w:name="S1E1"/>
      <w:bookmarkStart w:id="213" w:name="_E2._Material_misstatements"/>
      <w:bookmarkStart w:id="214" w:name="EME1"/>
      <w:bookmarkStart w:id="215" w:name="_E3._Material_misstatements"/>
      <w:bookmarkStart w:id="216" w:name="EME2"/>
      <w:bookmarkStart w:id="217" w:name="E4"/>
      <w:bookmarkStart w:id="218" w:name="E4_1"/>
      <w:bookmarkStart w:id="219" w:name="_E4._Basis_of"/>
      <w:bookmarkStart w:id="220" w:name="EME3"/>
      <w:bookmarkStart w:id="221" w:name="_E5._Significant_uncertainties"/>
      <w:bookmarkStart w:id="222" w:name="EME4"/>
      <w:bookmarkStart w:id="223" w:name="_E6._Restatement_of"/>
      <w:bookmarkStart w:id="224" w:name="EME5"/>
      <w:bookmarkStart w:id="225" w:name="_E7._Unauthorised_/"/>
      <w:bookmarkStart w:id="226" w:name="_E7._Funding_of"/>
      <w:bookmarkStart w:id="227" w:name="EME6"/>
      <w:bookmarkStart w:id="228" w:name="_E7._Unauthorised_/_1"/>
      <w:bookmarkStart w:id="229" w:name="EME7"/>
      <w:bookmarkStart w:id="230" w:name="_E8._Material_losses"/>
      <w:bookmarkStart w:id="231" w:name="EME8"/>
      <w:bookmarkStart w:id="232" w:name="_E9._Material_under"/>
      <w:bookmarkStart w:id="233" w:name="_E10._Material_underspending"/>
      <w:bookmarkStart w:id="234" w:name="EME9"/>
      <w:bookmarkStart w:id="235" w:name="_E10._Funding_of"/>
      <w:bookmarkStart w:id="236" w:name="EME10"/>
      <w:bookmarkStart w:id="237" w:name="E5"/>
      <w:bookmarkStart w:id="238" w:name="_E11._Prior_year"/>
      <w:bookmarkStart w:id="239" w:name="EME11"/>
      <w:bookmarkStart w:id="240" w:name="_E12._Material_inconsistencies"/>
      <w:bookmarkStart w:id="241" w:name="EME12"/>
      <w:bookmarkStart w:id="242" w:name="_E13._Unaudited_supplementary"/>
      <w:bookmarkStart w:id="243" w:name="EME13"/>
      <w:bookmarkStart w:id="244" w:name="_E15._Opinion_on"/>
      <w:bookmarkStart w:id="245" w:name="EME14"/>
      <w:bookmarkStart w:id="246" w:name="_E16._Other_(please"/>
      <w:bookmarkStart w:id="247" w:name="EME15"/>
      <w:bookmarkStart w:id="248" w:name="Scope_limitation"/>
      <w:bookmarkStart w:id="249" w:name="Other"/>
      <w:bookmarkStart w:id="250" w:name="Other_reports"/>
      <w:bookmarkStart w:id="251" w:name="E17"/>
      <w:bookmarkStart w:id="252" w:name="New4E6"/>
      <w:bookmarkStart w:id="253" w:name="E8"/>
      <w:bookmarkStart w:id="254" w:name="E9"/>
      <w:bookmarkStart w:id="255" w:name="E10"/>
      <w:bookmarkStart w:id="256" w:name="AoPOa"/>
      <w:bookmarkStart w:id="257" w:name="AoPOb"/>
      <w:bookmarkStart w:id="258" w:name="E11"/>
      <w:bookmarkStart w:id="259" w:name="E12"/>
      <w:bookmarkStart w:id="260" w:name="E13"/>
      <w:bookmarkStart w:id="261" w:name="AoPOc"/>
      <w:bookmarkStart w:id="262" w:name="E14"/>
      <w:bookmarkStart w:id="263" w:name="AoPOd"/>
      <w:bookmarkStart w:id="264" w:name="E25"/>
      <w:bookmarkStart w:id="265" w:name="E25B"/>
      <w:bookmarkStart w:id="266" w:name="AoPOe"/>
      <w:bookmarkStart w:id="267" w:name="AoPOf"/>
      <w:bookmarkStart w:id="268" w:name="E26"/>
      <w:bookmarkStart w:id="269" w:name="AoPOg"/>
      <w:bookmarkStart w:id="270" w:name="E18b"/>
      <w:bookmarkStart w:id="271" w:name="E28A"/>
      <w:bookmarkStart w:id="272" w:name="E28B"/>
      <w:bookmarkStart w:id="273" w:name="AoPOh"/>
      <w:bookmarkStart w:id="274" w:name="E20b"/>
      <w:bookmarkStart w:id="275" w:name="New4E7"/>
      <w:bookmarkStart w:id="276" w:name="_E14._Internal_control"/>
      <w:bookmarkStart w:id="277" w:name="_E15._Achievement_of"/>
      <w:bookmarkStart w:id="278" w:name="_E17._Achievement_of"/>
      <w:bookmarkStart w:id="279" w:name="EME16"/>
      <w:bookmarkStart w:id="280" w:name="_E16._Remedial_action"/>
      <w:bookmarkStart w:id="281" w:name="_E18._Action_taken"/>
      <w:bookmarkStart w:id="282" w:name="_E17._Oversight_responsibility"/>
      <w:bookmarkStart w:id="283" w:name="E17_1"/>
      <w:bookmarkStart w:id="284" w:name="S5E18"/>
      <w:bookmarkStart w:id="285" w:name="S5E19"/>
      <w:bookmarkStart w:id="286" w:name="S5E20"/>
      <w:bookmarkStart w:id="287" w:name="S5E21"/>
      <w:bookmarkStart w:id="288" w:name="Develop"/>
      <w:bookmarkStart w:id="289" w:name="S5E22"/>
      <w:bookmarkStart w:id="290" w:name="S5E23"/>
      <w:bookmarkStart w:id="291" w:name="S5E24"/>
      <w:bookmarkStart w:id="292" w:name="S5E25"/>
      <w:bookmarkStart w:id="293" w:name="S5E26"/>
      <w:bookmarkStart w:id="294" w:name="Regular"/>
      <w:bookmarkStart w:id="295" w:name="Review"/>
      <w:bookmarkStart w:id="296" w:name="S5E27"/>
      <w:bookmarkStart w:id="297" w:name="S5E28"/>
      <w:bookmarkStart w:id="298" w:name="S5E29"/>
      <w:bookmarkStart w:id="299" w:name="S5E30"/>
      <w:bookmarkStart w:id="300" w:name="S5E31"/>
      <w:bookmarkStart w:id="301" w:name="S5E32"/>
      <w:bookmarkStart w:id="302" w:name="S5E33"/>
      <w:bookmarkStart w:id="303" w:name="S5E34"/>
      <w:bookmarkStart w:id="304" w:name="Risk"/>
      <w:bookmarkStart w:id="305" w:name="S5E35"/>
      <w:bookmarkStart w:id="306" w:name="Internal"/>
      <w:bookmarkStart w:id="307" w:name="S5E37"/>
      <w:bookmarkStart w:id="308" w:name="EME18"/>
      <w:bookmarkStart w:id="309" w:name="_E21._Oversight_responsibility"/>
      <w:bookmarkStart w:id="310" w:name="EME19"/>
      <w:bookmarkStart w:id="311" w:name="_E18._Availability_of"/>
      <w:bookmarkStart w:id="312" w:name="_E22._Adequacy_and"/>
      <w:bookmarkStart w:id="313" w:name="EME20"/>
      <w:bookmarkStart w:id="314" w:name="_E23._Availability_of"/>
      <w:bookmarkStart w:id="315" w:name="_E19._Adequacy_and"/>
      <w:bookmarkStart w:id="316" w:name="_E20._Integrity_and"/>
      <w:bookmarkStart w:id="317" w:name="_E21._Implementation_of"/>
      <w:bookmarkStart w:id="318" w:name="EME21"/>
      <w:bookmarkStart w:id="319" w:name="Para22"/>
      <w:bookmarkStart w:id="320" w:name="_E25._Actions_taken"/>
      <w:bookmarkStart w:id="321" w:name="_E26._Status_of"/>
      <w:bookmarkStart w:id="322" w:name="EME22"/>
      <w:bookmarkStart w:id="323" w:name="EME23"/>
      <w:bookmarkStart w:id="324" w:name="_E22._Adequacy_of"/>
      <w:bookmarkStart w:id="325" w:name="_E27._Availability_of"/>
      <w:bookmarkStart w:id="326" w:name="EME24"/>
      <w:bookmarkStart w:id="327" w:name="_E28._Late_submission"/>
      <w:bookmarkStart w:id="328" w:name="_E29._Controls_over"/>
      <w:bookmarkStart w:id="329" w:name="EME25"/>
      <w:bookmarkStart w:id="330" w:name="Para26"/>
      <w:bookmarkStart w:id="331" w:name="_E30_Adequacy_of"/>
      <w:bookmarkStart w:id="332" w:name="EME26"/>
      <w:bookmarkStart w:id="333" w:name="EME27"/>
      <w:bookmarkStart w:id="334" w:name="_E23._Accounting_discipline"/>
      <w:bookmarkStart w:id="335" w:name="_E24._Accounting_policies,"/>
      <w:bookmarkStart w:id="336" w:name="_E31._Accounting_policies,"/>
      <w:bookmarkStart w:id="337" w:name="EME28"/>
      <w:bookmarkStart w:id="338" w:name="_E32._Use_of"/>
      <w:bookmarkStart w:id="339" w:name="EME29"/>
      <w:bookmarkStart w:id="340" w:name="_E25._Budget_process"/>
      <w:bookmarkStart w:id="341" w:name="_E33._Budget_process"/>
      <w:bookmarkStart w:id="342" w:name="EME30"/>
      <w:bookmarkStart w:id="343" w:name="_E26._Availability_of"/>
      <w:bookmarkStart w:id="344" w:name="_E28._Related_party"/>
      <w:bookmarkStart w:id="345" w:name="_E34._Related_party"/>
      <w:bookmarkStart w:id="346" w:name="EME31"/>
      <w:bookmarkStart w:id="347" w:name="_E29._Use_of"/>
      <w:bookmarkStart w:id="348" w:name="_E35._Monitoring_compliance"/>
      <w:bookmarkStart w:id="349" w:name="EME32"/>
      <w:bookmarkStart w:id="350" w:name="EME33"/>
      <w:bookmarkStart w:id="351" w:name="_E29._Risk_identification"/>
      <w:bookmarkStart w:id="352" w:name="_E30._Risk_identification"/>
      <w:bookmarkStart w:id="353" w:name="_E36._Risk_identification"/>
      <w:bookmarkStart w:id="354" w:name="EME34"/>
      <w:bookmarkStart w:id="355" w:name="_E30._Fraud_prevention,"/>
      <w:bookmarkStart w:id="356" w:name="_E31._Fraud_prevention,"/>
      <w:bookmarkStart w:id="357" w:name="_E37._Fraud_prevention,"/>
      <w:bookmarkStart w:id="358" w:name="EME35"/>
      <w:bookmarkStart w:id="359" w:name="_E31._Internal_audit"/>
      <w:bookmarkStart w:id="360" w:name="_E32._Internal_audit"/>
      <w:bookmarkStart w:id="361" w:name="_E38._Internal_audit"/>
      <w:bookmarkStart w:id="362" w:name="EME36"/>
      <w:bookmarkStart w:id="363" w:name="_E32._Audit_committee"/>
      <w:bookmarkStart w:id="364" w:name="_E33._Audit_committee"/>
      <w:bookmarkStart w:id="365" w:name="_E39._Audit_committee"/>
      <w:bookmarkStart w:id="366" w:name="EME37"/>
      <w:bookmarkStart w:id="367" w:name="E32"/>
      <w:bookmarkStart w:id="368" w:name="E33"/>
      <w:bookmarkStart w:id="369" w:name="E22"/>
      <w:bookmarkStart w:id="370" w:name="New4E25"/>
      <w:bookmarkStart w:id="371" w:name="New4E26"/>
      <w:bookmarkStart w:id="372" w:name="New4E27"/>
      <w:bookmarkStart w:id="373" w:name="Accounting"/>
      <w:bookmarkStart w:id="374" w:name="subsequent"/>
      <w:bookmarkStart w:id="375" w:name="EME42"/>
      <w:bookmarkStart w:id="376" w:name="EME43"/>
      <w:bookmarkStart w:id="377" w:name="E35"/>
      <w:bookmarkStart w:id="378" w:name="_E33._Actions_taken"/>
      <w:bookmarkStart w:id="379" w:name="_E34._Actions_taken"/>
      <w:bookmarkStart w:id="380" w:name="EME38"/>
      <w:bookmarkStart w:id="381" w:name="Assesstable"/>
      <w:bookmarkStart w:id="382" w:name="Consultants"/>
      <w:bookmarkStart w:id="383" w:name="Fraud"/>
      <w:bookmarkStart w:id="384" w:name="Para35"/>
      <w:bookmarkStart w:id="385" w:name="E40"/>
      <w:bookmarkStart w:id="386" w:name="Para36"/>
      <w:bookmarkStart w:id="387" w:name="_E36._Accounting_and"/>
      <w:bookmarkStart w:id="388" w:name="_E37._Accounting_and"/>
      <w:bookmarkStart w:id="389" w:name="_E40._Accounting_and"/>
      <w:bookmarkStart w:id="390" w:name="EME39"/>
      <w:bookmarkStart w:id="391" w:name="_E37._Susceptibility_of"/>
      <w:bookmarkStart w:id="392" w:name="_E38._Susceptibility_of"/>
      <w:bookmarkStart w:id="393" w:name="_E38._Subsequent_events"/>
      <w:bookmarkStart w:id="394" w:name="_E39._Subsequent_events"/>
      <w:bookmarkStart w:id="395" w:name="_E41._Subsequent_events[Back]"/>
      <w:bookmarkStart w:id="396" w:name="EME40"/>
      <w:bookmarkStart w:id="397" w:name="EME44"/>
      <w:bookmarkStart w:id="398" w:name="Oversight"/>
      <w:bookmarkStart w:id="399" w:name="_E19._Internal_control"/>
      <w:bookmarkStart w:id="400" w:name="EME17"/>
      <w:bookmarkStart w:id="401" w:name="E45"/>
      <w:bookmarkStart w:id="402" w:name="New_E41"/>
      <w:bookmarkStart w:id="403" w:name="E_section7"/>
      <w:bookmarkStart w:id="404" w:name="EME41"/>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3978119C" w14:textId="77777777" w:rsidR="00F55956" w:rsidRPr="00BB6EEC" w:rsidRDefault="00F55956" w:rsidP="000913DD">
      <w:pPr>
        <w:shd w:val="clear" w:color="auto" w:fill="FFFFFF"/>
        <w:tabs>
          <w:tab w:val="left" w:pos="756"/>
        </w:tabs>
        <w:spacing w:line="240" w:lineRule="auto"/>
        <w:rPr>
          <w:rFonts w:eastAsia="Times New Roman" w:cs="Arial"/>
          <w:color w:val="003B79"/>
          <w:lang w:eastAsia="en-GB"/>
        </w:rPr>
      </w:pPr>
    </w:p>
    <w:sectPr w:rsidR="00F55956" w:rsidRPr="00BB6EEC" w:rsidSect="00BB6EEC">
      <w:headerReference w:type="even" r:id="rId50"/>
      <w:headerReference w:type="default" r:id="rId51"/>
      <w:footerReference w:type="default" r:id="rId52"/>
      <w:headerReference w:type="first" r:id="rId53"/>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4636F" w14:textId="77777777" w:rsidR="004313B2" w:rsidRDefault="004313B2">
      <w:pPr>
        <w:spacing w:after="0" w:line="240" w:lineRule="auto"/>
      </w:pPr>
      <w:r>
        <w:separator/>
      </w:r>
    </w:p>
    <w:p w14:paraId="3CC75199" w14:textId="77777777" w:rsidR="004313B2" w:rsidRDefault="004313B2"/>
  </w:endnote>
  <w:endnote w:type="continuationSeparator" w:id="0">
    <w:p w14:paraId="1190ABD6" w14:textId="77777777" w:rsidR="004313B2" w:rsidRDefault="004313B2">
      <w:pPr>
        <w:spacing w:after="0" w:line="240" w:lineRule="auto"/>
      </w:pPr>
      <w:r>
        <w:continuationSeparator/>
      </w:r>
    </w:p>
    <w:p w14:paraId="761CF094" w14:textId="77777777" w:rsidR="004313B2" w:rsidRDefault="004313B2"/>
  </w:endnote>
  <w:endnote w:type="continuationNotice" w:id="1">
    <w:p w14:paraId="582B54E0" w14:textId="77777777" w:rsidR="004313B2" w:rsidRDefault="004313B2">
      <w:pPr>
        <w:spacing w:after="0" w:line="240" w:lineRule="auto"/>
      </w:pPr>
    </w:p>
    <w:p w14:paraId="11640206" w14:textId="77777777" w:rsidR="004313B2" w:rsidRDefault="00431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Bahnschrift Light"/>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B11C" w14:textId="77777777" w:rsidR="00400414" w:rsidRDefault="00400414"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29568" behindDoc="1" locked="0" layoutInCell="1" allowOverlap="1" wp14:anchorId="48545D6F" wp14:editId="679156B2">
          <wp:simplePos x="0" y="0"/>
          <wp:positionH relativeFrom="column">
            <wp:posOffset>-282575</wp:posOffset>
          </wp:positionH>
          <wp:positionV relativeFrom="paragraph">
            <wp:posOffset>135255</wp:posOffset>
          </wp:positionV>
          <wp:extent cx="6400800" cy="344170"/>
          <wp:effectExtent l="19050" t="0" r="0" b="0"/>
          <wp:wrapNone/>
          <wp:docPr id="3"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315829CF" w14:textId="77777777" w:rsidR="00400414" w:rsidRDefault="00400414" w:rsidP="00DC267C">
    <w:pPr>
      <w:pStyle w:val="Footer"/>
      <w:tabs>
        <w:tab w:val="clear" w:pos="4320"/>
        <w:tab w:val="clear" w:pos="8640"/>
        <w:tab w:val="center" w:pos="4111"/>
        <w:tab w:val="right" w:pos="9923"/>
      </w:tabs>
      <w:ind w:left="-142" w:right="-285"/>
      <w:jc w:val="right"/>
      <w:rPr>
        <w:rFonts w:ascii="Arial" w:hAnsi="Arial" w:cs="Arial"/>
        <w:b/>
        <w:color w:val="003B79"/>
      </w:rPr>
    </w:pPr>
  </w:p>
  <w:p w14:paraId="1E48AB3D" w14:textId="77777777" w:rsidR="00400414" w:rsidRPr="002D6730" w:rsidRDefault="00400414" w:rsidP="00DC267C">
    <w:pPr>
      <w:pStyle w:val="Footer"/>
      <w:tabs>
        <w:tab w:val="clear" w:pos="4320"/>
        <w:tab w:val="clear" w:pos="8640"/>
        <w:tab w:val="center" w:pos="4111"/>
        <w:tab w:val="right" w:pos="9923"/>
      </w:tabs>
      <w:ind w:left="-142" w:right="-285"/>
      <w:jc w:val="right"/>
      <w:rPr>
        <w:rFonts w:ascii="Arial" w:hAnsi="Arial" w:cs="Arial"/>
        <w:b/>
        <w:color w:val="003B79"/>
      </w:rPr>
    </w:pPr>
  </w:p>
  <w:p w14:paraId="64DE101C" w14:textId="77777777" w:rsidR="00400414" w:rsidRDefault="00400414" w:rsidP="00DC267C">
    <w:pPr>
      <w:pStyle w:val="Footer"/>
      <w:tabs>
        <w:tab w:val="clear" w:pos="4320"/>
        <w:tab w:val="center" w:pos="4111"/>
        <w:tab w:val="right" w:pos="9923"/>
      </w:tabs>
      <w:ind w:left="-142"/>
      <w:jc w:val="right"/>
      <w:rPr>
        <w:szCs w:val="22"/>
      </w:rPr>
    </w:pPr>
  </w:p>
  <w:p w14:paraId="361CF0EB" w14:textId="77777777" w:rsidR="00400414" w:rsidRDefault="00400414" w:rsidP="00DC267C">
    <w:pPr>
      <w:pStyle w:val="Footer"/>
      <w:tabs>
        <w:tab w:val="clear" w:pos="4320"/>
        <w:tab w:val="center" w:pos="4111"/>
        <w:tab w:val="right" w:pos="9923"/>
      </w:tabs>
      <w:ind w:left="-142"/>
      <w:jc w:val="right"/>
      <w:rPr>
        <w:szCs w:val="22"/>
      </w:rPr>
    </w:pPr>
  </w:p>
  <w:p w14:paraId="0F532CAF" w14:textId="77777777" w:rsidR="00400414" w:rsidRPr="005F7D46" w:rsidRDefault="00400414"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0B672" w14:textId="77777777" w:rsidR="00400414" w:rsidRDefault="00400414" w:rsidP="00CB4728">
    <w:pPr>
      <w:pStyle w:val="Footer"/>
      <w:tabs>
        <w:tab w:val="clear" w:pos="4320"/>
        <w:tab w:val="center" w:pos="4111"/>
      </w:tabs>
      <w:rPr>
        <w:szCs w:val="22"/>
      </w:rPr>
    </w:pPr>
  </w:p>
  <w:p w14:paraId="5E942BBF" w14:textId="34BAE1BE" w:rsidR="00400414" w:rsidRPr="002D6730" w:rsidRDefault="00400414"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706368" behindDoc="1" locked="0" layoutInCell="1" allowOverlap="1" wp14:anchorId="38FE8D7E" wp14:editId="1886DFDC">
          <wp:simplePos x="0" y="0"/>
          <wp:positionH relativeFrom="column">
            <wp:align>left</wp:align>
          </wp:positionH>
          <wp:positionV relativeFrom="paragraph">
            <wp:posOffset>-10795</wp:posOffset>
          </wp:positionV>
          <wp:extent cx="6400800" cy="344170"/>
          <wp:effectExtent l="19050" t="0" r="0" b="0"/>
          <wp:wrapNone/>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C00714">
      <w:rPr>
        <w:rStyle w:val="PageNumber"/>
        <w:rFonts w:ascii="Arial" w:hAnsi="Arial" w:cs="Arial"/>
        <w:b/>
        <w:noProof/>
        <w:color w:val="003B79"/>
      </w:rPr>
      <w:t>32</w:t>
    </w:r>
    <w:r w:rsidRPr="002D6730">
      <w:rPr>
        <w:rStyle w:val="PageNumber"/>
        <w:rFonts w:ascii="Arial" w:hAnsi="Arial" w:cs="Arial"/>
        <w:b/>
        <w:color w:val="003B79"/>
      </w:rPr>
      <w:fldChar w:fldCharType="end"/>
    </w:r>
  </w:p>
  <w:p w14:paraId="755F33A6" w14:textId="77777777" w:rsidR="00400414" w:rsidRPr="0072219B" w:rsidRDefault="00400414" w:rsidP="00CB4728">
    <w:pPr>
      <w:pStyle w:val="Footer"/>
      <w:rPr>
        <w:szCs w:val="22"/>
      </w:rPr>
    </w:pPr>
  </w:p>
  <w:p w14:paraId="604D4B68" w14:textId="77777777" w:rsidR="00400414" w:rsidRPr="005F7D46" w:rsidRDefault="00400414" w:rsidP="00CB4728">
    <w:pPr>
      <w:pStyle w:val="Footer"/>
      <w:tabs>
        <w:tab w:val="clear" w:pos="4320"/>
        <w:tab w:val="center" w:pos="4111"/>
        <w:tab w:val="right" w:pos="9923"/>
      </w:tabs>
      <w:ind w:left="-142"/>
      <w:rPr>
        <w:szCs w:val="22"/>
      </w:rPr>
    </w:pPr>
  </w:p>
  <w:p w14:paraId="1052C866" w14:textId="77777777" w:rsidR="00400414" w:rsidRPr="00CB4728" w:rsidRDefault="00400414" w:rsidP="00CB4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DC96E" w14:textId="77777777" w:rsidR="00400414" w:rsidRDefault="00400414" w:rsidP="00DC267C">
    <w:pPr>
      <w:pStyle w:val="Footer"/>
      <w:tabs>
        <w:tab w:val="clear" w:pos="4320"/>
        <w:tab w:val="center" w:pos="4111"/>
      </w:tabs>
      <w:ind w:left="-142"/>
      <w:rPr>
        <w:szCs w:val="22"/>
      </w:rPr>
    </w:pPr>
    <w:r>
      <w:rPr>
        <w:szCs w:val="22"/>
      </w:rPr>
      <w:t>`</w:t>
    </w:r>
  </w:p>
  <w:p w14:paraId="2F954B37" w14:textId="041E85E7" w:rsidR="00400414" w:rsidRPr="002D6730" w:rsidRDefault="00400414"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54B41E4E" wp14:editId="1CFB6E28">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C00714">
      <w:rPr>
        <w:rStyle w:val="PageNumber"/>
        <w:rFonts w:cs="Arial"/>
        <w:noProof/>
        <w:color w:val="003B79"/>
      </w:rPr>
      <w:t>179</w:t>
    </w:r>
    <w:r w:rsidRPr="002D6730">
      <w:rPr>
        <w:rStyle w:val="PageNumber"/>
        <w:rFonts w:cs="Arial"/>
        <w:b/>
        <w:color w:val="003B79"/>
      </w:rPr>
      <w:fldChar w:fldCharType="end"/>
    </w:r>
  </w:p>
  <w:p w14:paraId="0D73570C" w14:textId="77777777" w:rsidR="00400414" w:rsidRPr="0072219B" w:rsidRDefault="00400414" w:rsidP="00DC267C">
    <w:pPr>
      <w:pStyle w:val="Footer"/>
      <w:rPr>
        <w:szCs w:val="22"/>
      </w:rPr>
    </w:pPr>
  </w:p>
  <w:p w14:paraId="1CDF2793" w14:textId="77777777" w:rsidR="00400414" w:rsidRPr="005F7D46" w:rsidRDefault="00400414" w:rsidP="00DC267C">
    <w:pPr>
      <w:pStyle w:val="Footer"/>
      <w:tabs>
        <w:tab w:val="clear" w:pos="4320"/>
        <w:tab w:val="center" w:pos="4111"/>
        <w:tab w:val="right" w:pos="9923"/>
      </w:tabs>
      <w:ind w:left="-142"/>
      <w:rPr>
        <w:szCs w:val="22"/>
      </w:rPr>
    </w:pPr>
  </w:p>
  <w:p w14:paraId="37FDFF6E" w14:textId="77777777" w:rsidR="00400414" w:rsidRDefault="004004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7115E" w14:textId="77777777" w:rsidR="004313B2" w:rsidRDefault="004313B2">
      <w:pPr>
        <w:spacing w:after="0" w:line="240" w:lineRule="auto"/>
      </w:pPr>
      <w:r>
        <w:separator/>
      </w:r>
    </w:p>
    <w:p w14:paraId="72820C0D" w14:textId="77777777" w:rsidR="004313B2" w:rsidRDefault="004313B2"/>
  </w:footnote>
  <w:footnote w:type="continuationSeparator" w:id="0">
    <w:p w14:paraId="04FD9D3B" w14:textId="77777777" w:rsidR="004313B2" w:rsidRDefault="004313B2">
      <w:pPr>
        <w:spacing w:after="0" w:line="240" w:lineRule="auto"/>
      </w:pPr>
      <w:r>
        <w:continuationSeparator/>
      </w:r>
    </w:p>
    <w:p w14:paraId="1085A6B9" w14:textId="77777777" w:rsidR="004313B2" w:rsidRDefault="004313B2"/>
  </w:footnote>
  <w:footnote w:type="continuationNotice" w:id="1">
    <w:p w14:paraId="773BA2B1" w14:textId="77777777" w:rsidR="004313B2" w:rsidRDefault="004313B2">
      <w:pPr>
        <w:spacing w:after="0" w:line="240" w:lineRule="auto"/>
      </w:pPr>
    </w:p>
    <w:p w14:paraId="45DD5544" w14:textId="77777777" w:rsidR="004313B2" w:rsidRDefault="004313B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0AD09" w14:textId="77777777" w:rsidR="00400414" w:rsidRDefault="004313B2">
    <w:pPr>
      <w:pStyle w:val="Header"/>
    </w:pPr>
    <w:r>
      <w:rPr>
        <w:noProof/>
      </w:rPr>
      <w:pict w14:anchorId="786021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4" o:spid="_x0000_s2050" type="#_x0000_t136" style="position:absolute;margin-left:0;margin-top:0;width:485.3pt;height:194.1pt;rotation:315;z-index:-2516060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3278" w14:textId="77777777" w:rsidR="00400414" w:rsidRDefault="004313B2">
    <w:pPr>
      <w:pStyle w:val="Header"/>
    </w:pPr>
    <w:r>
      <w:rPr>
        <w:noProof/>
      </w:rPr>
      <w:pict w14:anchorId="4154E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3" o:spid="_x0000_s2059" type="#_x0000_t136" style="position:absolute;margin-left:0;margin-top:0;width:485.3pt;height:194.1pt;rotation:315;z-index:-2515875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A68F5" w14:textId="77777777" w:rsidR="00400414" w:rsidRPr="00862481" w:rsidRDefault="004313B2"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10324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4" o:spid="_x0000_s2060" type="#_x0000_t136" style="position:absolute;left:0;text-align:left;margin-left:0;margin-top:0;width:485.3pt;height:194.1pt;rotation:315;z-index:-2515855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w:t>
    </w:r>
    <w:r w:rsidR="00400414" w:rsidRPr="0077659B">
      <w:rPr>
        <w:rFonts w:ascii="Arial" w:hAnsi="Arial" w:cs="Arial"/>
        <w:b/>
        <w:color w:val="5C89BF"/>
        <w:sz w:val="18"/>
        <w:szCs w:val="18"/>
      </w:rPr>
      <w:t xml:space="preserve">of </w:t>
    </w:r>
    <w:r w:rsidR="00400414">
      <w:rPr>
        <w:rFonts w:ascii="Arial" w:hAnsi="Arial" w:cs="Arial"/>
        <w:b/>
        <w:color w:val="5C89BF"/>
        <w:sz w:val="18"/>
        <w:szCs w:val="18"/>
      </w:rPr>
      <w:t>Department of Public Works and Infrastructure</w:t>
    </w:r>
  </w:p>
  <w:p w14:paraId="45394F1A"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23424" behindDoc="0" locked="0" layoutInCell="1" allowOverlap="1" wp14:anchorId="20986A72" wp14:editId="123867F7">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DB2D8"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900AF" w14:textId="77777777" w:rsidR="00400414" w:rsidRDefault="004313B2">
    <w:pPr>
      <w:pStyle w:val="Header"/>
    </w:pPr>
    <w:r>
      <w:rPr>
        <w:noProof/>
      </w:rPr>
      <w:pict w14:anchorId="18F92C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2" o:spid="_x0000_s2058" type="#_x0000_t136" style="position:absolute;margin-left:0;margin-top:0;width:485.3pt;height:194.1pt;rotation:315;z-index:-2515896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56C7B" w14:textId="77777777" w:rsidR="00BA77B8" w:rsidRPr="00862481" w:rsidRDefault="00BA77B8"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w:t>
    </w:r>
    <w:r w:rsidRPr="0077659B">
      <w:rPr>
        <w:rFonts w:ascii="Arial" w:hAnsi="Arial" w:cs="Arial"/>
        <w:b/>
        <w:color w:val="5C89BF"/>
        <w:sz w:val="18"/>
        <w:szCs w:val="18"/>
      </w:rPr>
      <w:t xml:space="preserve">report of </w:t>
    </w:r>
    <w:r>
      <w:rPr>
        <w:rFonts w:ascii="Arial" w:hAnsi="Arial" w:cs="Arial"/>
        <w:b/>
        <w:color w:val="5C89BF"/>
        <w:sz w:val="18"/>
        <w:szCs w:val="18"/>
      </w:rPr>
      <w:t>Department of Public Works and Infrastructure</w:t>
    </w:r>
  </w:p>
  <w:p w14:paraId="27FF75EA" w14:textId="77777777" w:rsidR="00BA77B8" w:rsidRPr="008F2827" w:rsidRDefault="00BA77B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755520" behindDoc="0" locked="0" layoutInCell="1" allowOverlap="1" wp14:anchorId="79F9937E" wp14:editId="769C332B">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AC782" id="Line 11" o:spid="_x0000_s1026" style="position:absolute;z-index:25175552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1DF67" w14:textId="77777777" w:rsidR="00BA77B8" w:rsidRDefault="004313B2">
    <w:pPr>
      <w:pStyle w:val="Header"/>
    </w:pPr>
    <w:r>
      <w:rPr>
        <w:noProof/>
      </w:rPr>
      <w:pict w14:anchorId="49A5F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margin-left:0;margin-top:0;width:485.3pt;height:194.1pt;rotation:315;z-index:-2515630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5D24" w14:textId="77777777" w:rsidR="00BA77B8" w:rsidRPr="00862481" w:rsidRDefault="004313B2"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EA288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0;margin-top:0;width:485.3pt;height:194.1pt;rotation:315;z-index:-2515619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A77B8">
      <w:rPr>
        <w:rFonts w:ascii="Arial" w:hAnsi="Arial" w:cs="Arial"/>
        <w:b/>
        <w:color w:val="5C89BF"/>
        <w:sz w:val="18"/>
        <w:szCs w:val="18"/>
      </w:rPr>
      <w:t xml:space="preserve">Management report </w:t>
    </w:r>
    <w:r w:rsidR="00BA77B8" w:rsidRPr="0077659B">
      <w:rPr>
        <w:rFonts w:ascii="Arial" w:hAnsi="Arial" w:cs="Arial"/>
        <w:b/>
        <w:color w:val="5C89BF"/>
        <w:sz w:val="18"/>
        <w:szCs w:val="18"/>
      </w:rPr>
      <w:t xml:space="preserve">of </w:t>
    </w:r>
    <w:r w:rsidR="00BA77B8">
      <w:rPr>
        <w:rFonts w:ascii="Arial" w:hAnsi="Arial" w:cs="Arial"/>
        <w:b/>
        <w:color w:val="5C89BF"/>
        <w:sz w:val="18"/>
        <w:szCs w:val="18"/>
      </w:rPr>
      <w:t>Department of Public Works and Infrastructure</w:t>
    </w:r>
  </w:p>
  <w:p w14:paraId="7D6B164D" w14:textId="77777777" w:rsidR="00BA77B8" w:rsidRPr="008F2827" w:rsidRDefault="00BA77B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751424" behindDoc="0" locked="0" layoutInCell="1" allowOverlap="1" wp14:anchorId="6163F620" wp14:editId="52E60D0E">
              <wp:simplePos x="0" y="0"/>
              <wp:positionH relativeFrom="column">
                <wp:align>left</wp:align>
              </wp:positionH>
              <wp:positionV relativeFrom="paragraph">
                <wp:posOffset>17144</wp:posOffset>
              </wp:positionV>
              <wp:extent cx="6400800" cy="0"/>
              <wp:effectExtent l="0" t="0" r="19050" b="1905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8A7D4" id="Line 9" o:spid="_x0000_s1026" style="position:absolute;z-index:251751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ENFAIAACk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VJniBF&#10;OpBoIxRH8zCZ3rgCEiq1taE3elIvZqPpd4eUrlqi9jwyfD0bKMtCRXpXEjbOAP6u/6wZ5JCD13FM&#10;p8Z2ARIGgE5RjfNNDX7yiMLPaY7xDINodDhLSTEUGuv8J647FIIykcA5ApPjxvlAhBRDSrhH6bWQ&#10;MootFeqB7Rw/4ljhtBQsnIY8Z/e7Slp0JMEv+OHjUxwEoN2lWX1QLKK1nLDVNfZEyEsM+VIFPOgF&#10;+FyjiyF+zPF8NVvN8lE+ma5GOa7r0Yd1lY+m6+zpsX6oq6rOfgZqWV60gjGuArvBnFn+d+Jfn8nF&#10;Vjd73uaQ3qPHgQHZ4RtJRzGDfhcn7DQ7b+0gMvgxJl/fTjD82z3Eb1/48hcAAAD//wMAUEsDBBQA&#10;BgAIAAAAIQD3vKeb2gAAAAUBAAAPAAAAZHJzL2Rvd25yZXYueG1sTI/NasMwEITvhbyD2EAvpZEa&#10;+mNcyyEUAoVckrQPoFhby0RaGUtJ3D59N7m0x5lZZr6tFmPw4oRD6iJpeJgpEEhNtB21Gj4/VvcF&#10;iJQNWeMjoYZvTLCoJzeVKW080xZPu9wKLqFUGg0u576UMjUOg0mz2CNx9hWHYDLLoZV2MGcuD17O&#10;lXqWwXTEC870+OawOeyOQcPP1q+fZLda38n3QI/9YYmF22h9Ox2XryAyjvnvGC74jA41M+3jkWwS&#10;XgM/kjXMX0BcQqUKNvZXQ9aV/E9f/wIAAP//AwBQSwECLQAUAAYACAAAACEAtoM4kv4AAADhAQAA&#10;EwAAAAAAAAAAAAAAAAAAAAAAW0NvbnRlbnRfVHlwZXNdLnhtbFBLAQItABQABgAIAAAAIQA4/SH/&#10;1gAAAJQBAAALAAAAAAAAAAAAAAAAAC8BAABfcmVscy8ucmVsc1BLAQItABQABgAIAAAAIQA7p1EN&#10;FAIAACkEAAAOAAAAAAAAAAAAAAAAAC4CAABkcnMvZTJvRG9jLnhtbFBLAQItABQABgAIAAAAIQD3&#10;vKeb2gAAAAUBAAAPAAAAAAAAAAAAAAAAAG4EAABkcnMvZG93bnJldi54bWxQSwUGAAAAAAQABADz&#10;AAAAdQUAAAAA&#10;" strokecolor="#003b79" strokeweight="1.5pt"/>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8E58" w14:textId="77777777" w:rsidR="00BA77B8" w:rsidRDefault="004313B2">
    <w:pPr>
      <w:pStyle w:val="Header"/>
    </w:pPr>
    <w:r>
      <w:rPr>
        <w:noProof/>
      </w:rPr>
      <w:pict w14:anchorId="3C68FA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style="position:absolute;margin-left:0;margin-top:0;width:485.3pt;height:194.1pt;rotation:315;z-index:-2515640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B6753" w14:textId="77777777" w:rsidR="00400414" w:rsidRDefault="004313B2">
    <w:pPr>
      <w:pStyle w:val="Header"/>
    </w:pPr>
    <w:r>
      <w:rPr>
        <w:noProof/>
      </w:rPr>
      <w:pict w14:anchorId="716CC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9" o:spid="_x0000_s2065" type="#_x0000_t136" style="position:absolute;margin-left:0;margin-top:0;width:485.3pt;height:194.1pt;rotation:315;z-index:-2515752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5C042" w14:textId="3B01FAAD" w:rsidR="00400414" w:rsidRPr="00862481" w:rsidRDefault="004313B2"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4B287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0" o:spid="_x0000_s2066" type="#_x0000_t136" style="position:absolute;left:0;text-align:left;margin-left:0;margin-top:0;width:485.3pt;height:194.1pt;rotation:315;z-index:-2515732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w:t>
    </w:r>
    <w:r w:rsidR="00400414" w:rsidRPr="0077659B">
      <w:rPr>
        <w:rFonts w:ascii="Arial" w:hAnsi="Arial" w:cs="Arial"/>
        <w:b/>
        <w:color w:val="5C89BF"/>
        <w:sz w:val="18"/>
        <w:szCs w:val="18"/>
      </w:rPr>
      <w:t xml:space="preserve">of </w:t>
    </w:r>
    <w:r w:rsidR="00400414">
      <w:rPr>
        <w:rFonts w:ascii="Arial" w:hAnsi="Arial" w:cs="Arial"/>
        <w:b/>
        <w:color w:val="5C89BF"/>
        <w:sz w:val="18"/>
        <w:szCs w:val="18"/>
      </w:rPr>
      <w:t>Department of Public Works and Infrastructure</w:t>
    </w:r>
  </w:p>
  <w:p w14:paraId="78CD617D"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91008" behindDoc="0" locked="0" layoutInCell="1" allowOverlap="1" wp14:anchorId="00002E8B" wp14:editId="220634AF">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CD3D9" id="Line 9" o:spid="_x0000_s1026" style="position:absolute;z-index:25169100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484E" w14:textId="77777777" w:rsidR="00400414" w:rsidRDefault="004313B2">
    <w:pPr>
      <w:pStyle w:val="Header"/>
    </w:pPr>
    <w:r>
      <w:rPr>
        <w:noProof/>
      </w:rPr>
      <w:pict w14:anchorId="631FDB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8" o:spid="_x0000_s2064" type="#_x0000_t136" style="position:absolute;margin-left:0;margin-top:0;width:485.3pt;height:194.1pt;rotation:315;z-index:-2515773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F5FA" w14:textId="77777777" w:rsidR="00400414" w:rsidRPr="002D3B5F" w:rsidRDefault="004313B2" w:rsidP="00DC267C">
    <w:pPr>
      <w:pStyle w:val="Header"/>
    </w:pPr>
    <w:r>
      <w:rPr>
        <w:noProof/>
      </w:rPr>
      <w:pict w14:anchorId="1AEE3F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5" o:spid="_x0000_s2051" type="#_x0000_t136" style="position:absolute;margin-left:0;margin-top:0;width:485.3pt;height:194.1pt;rotation:315;z-index:-2516039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noProof/>
        <w:lang w:eastAsia="en-ZA"/>
      </w:rPr>
      <w:drawing>
        <wp:inline distT="0" distB="0" distL="0" distR="0" wp14:anchorId="4115CECB" wp14:editId="7CAB07BA">
          <wp:extent cx="6283960" cy="1062990"/>
          <wp:effectExtent l="19050" t="0" r="2540" b="0"/>
          <wp:docPr id="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BFBB7" w14:textId="77777777" w:rsidR="00400414" w:rsidRDefault="004313B2">
    <w:pPr>
      <w:pStyle w:val="Header"/>
    </w:pPr>
    <w:r>
      <w:rPr>
        <w:noProof/>
      </w:rPr>
      <w:pict w14:anchorId="5827CD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2" o:spid="_x0000_s2068" type="#_x0000_t136" style="position:absolute;margin-left:0;margin-top:0;width:485.3pt;height:194.1pt;rotation:315;z-index:-2515691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BB77A" w14:textId="77777777" w:rsidR="00400414" w:rsidRDefault="004313B2" w:rsidP="00DC267C">
    <w:pPr>
      <w:pStyle w:val="Header"/>
      <w:ind w:left="-142" w:right="6"/>
      <w:rPr>
        <w:b/>
        <w:color w:val="022B69"/>
        <w:sz w:val="16"/>
        <w:szCs w:val="16"/>
      </w:rPr>
    </w:pPr>
    <w:r>
      <w:rPr>
        <w:noProof/>
      </w:rPr>
      <w:pict w14:anchorId="0A0C08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3" o:spid="_x0000_s2069" type="#_x0000_t136" style="position:absolute;left:0;text-align:left;margin-left:0;margin-top:0;width:485.3pt;height:194.1pt;rotation:315;z-index:-2515671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3F9A80FD" w14:textId="55FA8521" w:rsidR="00400414" w:rsidRPr="00862481" w:rsidRDefault="0040041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 and Infrastructure</w:t>
    </w:r>
    <w:r w:rsidDel="00A301F9">
      <w:rPr>
        <w:rFonts w:ascii="Arial" w:hAnsi="Arial" w:cs="Arial"/>
        <w:b/>
        <w:color w:val="5C89BF"/>
        <w:sz w:val="18"/>
        <w:szCs w:val="18"/>
      </w:rPr>
      <w:t xml:space="preserve"> </w:t>
    </w:r>
  </w:p>
  <w:p w14:paraId="25533032"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0AAFE01D" wp14:editId="18356D70">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E7DC0"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036CB02E" w14:textId="77777777" w:rsidR="00400414" w:rsidRDefault="00400414"/>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3441" w14:textId="77777777" w:rsidR="00400414" w:rsidRDefault="004313B2">
    <w:pPr>
      <w:pStyle w:val="Header"/>
    </w:pPr>
    <w:r>
      <w:rPr>
        <w:noProof/>
      </w:rPr>
      <w:pict w14:anchorId="74BDA3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1" o:spid="_x0000_s2067" type="#_x0000_t136" style="position:absolute;margin-left:0;margin-top:0;width:485.3pt;height:194.1pt;rotation:315;z-index:-2515712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4483C" w14:textId="77777777" w:rsidR="00400414" w:rsidRDefault="004313B2">
    <w:pPr>
      <w:pStyle w:val="Header"/>
    </w:pPr>
    <w:r>
      <w:rPr>
        <w:noProof/>
      </w:rPr>
      <w:pict w14:anchorId="4DB7CF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3" o:spid="_x0000_s2049" type="#_x0000_t136" style="position:absolute;margin-left:0;margin-top:0;width:485.3pt;height:194.1pt;rotation:315;z-index:-2516080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2C2AE" w14:textId="77777777" w:rsidR="00400414" w:rsidRDefault="004313B2">
    <w:pPr>
      <w:pStyle w:val="Header"/>
    </w:pPr>
    <w:r>
      <w:rPr>
        <w:noProof/>
      </w:rPr>
      <w:pict w14:anchorId="1FA6A7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7" o:spid="_x0000_s2053" type="#_x0000_t136" style="position:absolute;margin-left:0;margin-top:0;width:485.3pt;height:194.1pt;rotation:315;z-index:-2515998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1480" w14:textId="77777777" w:rsidR="00400414" w:rsidRPr="00862481" w:rsidRDefault="004313B2" w:rsidP="00DC267C">
    <w:pPr>
      <w:pStyle w:val="Header"/>
      <w:tabs>
        <w:tab w:val="clear" w:pos="8640"/>
        <w:tab w:val="right" w:pos="9923"/>
      </w:tabs>
      <w:ind w:left="-3420" w:right="-285"/>
      <w:jc w:val="right"/>
      <w:rPr>
        <w:rFonts w:ascii="Arial" w:hAnsi="Arial" w:cs="Arial"/>
        <w:b/>
        <w:color w:val="5C89BF"/>
        <w:sz w:val="18"/>
        <w:szCs w:val="18"/>
      </w:rPr>
    </w:pPr>
    <w:r>
      <w:rPr>
        <w:noProof/>
      </w:rPr>
      <w:pict w14:anchorId="576BB4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8" o:spid="_x0000_s2054" type="#_x0000_t136" style="position:absolute;left:0;text-align:left;margin-left:0;margin-top:0;width:485.3pt;height:194.1pt;rotation:315;z-index:-2515978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w:t>
    </w:r>
    <w:r w:rsidR="00400414" w:rsidRPr="0077659B">
      <w:rPr>
        <w:rFonts w:ascii="Arial" w:hAnsi="Arial" w:cs="Arial"/>
        <w:b/>
        <w:color w:val="5C89BF"/>
        <w:sz w:val="18"/>
        <w:szCs w:val="18"/>
      </w:rPr>
      <w:t xml:space="preserve">of </w:t>
    </w:r>
    <w:r w:rsidR="00400414">
      <w:rPr>
        <w:rFonts w:ascii="Arial" w:hAnsi="Arial" w:cs="Arial"/>
        <w:b/>
        <w:color w:val="5C89BF"/>
        <w:sz w:val="18"/>
        <w:szCs w:val="18"/>
      </w:rPr>
      <w:t>Department O</w:t>
    </w:r>
    <w:r w:rsidR="00400414" w:rsidRPr="00E47CB6">
      <w:rPr>
        <w:rFonts w:ascii="Arial" w:hAnsi="Arial" w:cs="Arial"/>
        <w:b/>
        <w:color w:val="5C89BF"/>
        <w:sz w:val="18"/>
        <w:szCs w:val="18"/>
      </w:rPr>
      <w:t>f Public Works And Infrastructure</w:t>
    </w:r>
  </w:p>
  <w:p w14:paraId="758E1856"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44928" behindDoc="0" locked="0" layoutInCell="1" allowOverlap="1" wp14:anchorId="5A068855" wp14:editId="47A8FCFF">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8F5B4"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A551A" w14:textId="77777777" w:rsidR="00400414" w:rsidRDefault="004313B2">
    <w:pPr>
      <w:pStyle w:val="Header"/>
    </w:pPr>
    <w:r>
      <w:rPr>
        <w:noProof/>
      </w:rPr>
      <w:pict w14:anchorId="0946C0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6" o:spid="_x0000_s2052" type="#_x0000_t136" style="position:absolute;margin-left:0;margin-top:0;width:485.3pt;height:194.1pt;rotation:315;z-index:-2516019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83E71" w14:textId="77777777" w:rsidR="00400414" w:rsidRDefault="004313B2">
    <w:pPr>
      <w:pStyle w:val="Header"/>
    </w:pPr>
    <w:r>
      <w:rPr>
        <w:noProof/>
      </w:rPr>
      <w:pict w14:anchorId="7A54F1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 o:spid="_x0000_s2056" type="#_x0000_t136" style="position:absolute;margin-left:0;margin-top:0;width:485.3pt;height:194.1pt;rotation:315;z-index:-251593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47AE8" w14:textId="10201CEA" w:rsidR="00400414" w:rsidRPr="00862481" w:rsidRDefault="004313B2"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7BEE2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1" o:spid="_x0000_s2057" type="#_x0000_t136" style="position:absolute;left:0;text-align:left;margin-left:0;margin-top:0;width:485.3pt;height:194.1pt;rotation:315;z-index:-2515916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of </w:t>
    </w:r>
    <w:r w:rsidR="00F55956">
      <w:rPr>
        <w:rFonts w:ascii="Arial" w:hAnsi="Arial" w:cs="Arial"/>
        <w:b/>
        <w:color w:val="5C89BF"/>
        <w:sz w:val="18"/>
        <w:szCs w:val="18"/>
      </w:rPr>
      <w:t>Department of Public Works and Infrastructure</w:t>
    </w:r>
    <w:r w:rsidR="00F55956" w:rsidRPr="0077659B" w:rsidDel="00F55956">
      <w:rPr>
        <w:rFonts w:ascii="Arial" w:hAnsi="Arial" w:cs="Arial"/>
        <w:b/>
        <w:color w:val="5C89BF"/>
        <w:sz w:val="18"/>
        <w:szCs w:val="18"/>
      </w:rPr>
      <w:t xml:space="preserve"> </w:t>
    </w:r>
  </w:p>
  <w:p w14:paraId="582BEEFF"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610424BC" wp14:editId="77023123">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C72DA"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C3DA" w14:textId="77777777" w:rsidR="00400414" w:rsidRDefault="004313B2">
    <w:pPr>
      <w:pStyle w:val="Header"/>
    </w:pPr>
    <w:r>
      <w:rPr>
        <w:noProof/>
      </w:rPr>
      <w:pict w14:anchorId="2A23FA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9" o:spid="_x0000_s2055" type="#_x0000_t136" style="position:absolute;margin-left:0;margin-top:0;width:485.3pt;height:194.1pt;rotation:315;z-index:-251595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8.6pt;height:2in" o:bullet="t">
        <v:imagedata r:id="rId1" o:title="MC900293188[1]"/>
      </v:shape>
    </w:pict>
  </w:numPicBullet>
  <w:numPicBullet w:numPicBulletId="1">
    <w:pict>
      <v:shape id="_x0000_i1049" type="#_x0000_t75" style="width:120pt;height:138.6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43347A4"/>
    <w:multiLevelType w:val="hybridMultilevel"/>
    <w:tmpl w:val="A770F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916167"/>
    <w:multiLevelType w:val="hybridMultilevel"/>
    <w:tmpl w:val="BCA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C45CA"/>
    <w:multiLevelType w:val="hybridMultilevel"/>
    <w:tmpl w:val="33BE6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FBC4643"/>
    <w:multiLevelType w:val="multilevel"/>
    <w:tmpl w:val="5DEC89D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7" w15:restartNumberingAfterBreak="0">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8" w15:restartNumberingAfterBreak="0">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15:restartNumberingAfterBreak="0">
    <w:nsid w:val="22346851"/>
    <w:multiLevelType w:val="hybridMultilevel"/>
    <w:tmpl w:val="80E0BA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5B9636F"/>
    <w:multiLevelType w:val="hybridMultilevel"/>
    <w:tmpl w:val="9964014E"/>
    <w:lvl w:ilvl="0" w:tplc="69CC0FDC">
      <w:start w:val="14"/>
      <w:numFmt w:val="decimal"/>
      <w:lvlText w:val="%1."/>
      <w:lvlJc w:val="left"/>
      <w:pPr>
        <w:ind w:left="1212"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9E74EFA"/>
    <w:multiLevelType w:val="hybridMultilevel"/>
    <w:tmpl w:val="952665B0"/>
    <w:lvl w:ilvl="0" w:tplc="45A2AF82">
      <w:start w:val="1"/>
      <w:numFmt w:val="decimal"/>
      <w:suff w:val="space"/>
      <w:lvlText w:val="%1."/>
      <w:lvlJc w:val="left"/>
      <w:pPr>
        <w:ind w:left="785"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2D2C332B"/>
    <w:multiLevelType w:val="hybridMultilevel"/>
    <w:tmpl w:val="8B24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3" w15:restartNumberingAfterBreak="0">
    <w:nsid w:val="482A2CFC"/>
    <w:multiLevelType w:val="hybridMultilevel"/>
    <w:tmpl w:val="0762BF28"/>
    <w:lvl w:ilvl="0" w:tplc="C240C376">
      <w:start w:val="1"/>
      <w:numFmt w:val="bullet"/>
      <w:lvlText w:val=""/>
      <w:lvlJc w:val="left"/>
      <w:pPr>
        <w:ind w:left="928" w:hanging="360"/>
      </w:pPr>
      <w:rPr>
        <w:rFonts w:ascii="Symbol" w:hAnsi="Symbol" w:hint="default"/>
      </w:rPr>
    </w:lvl>
    <w:lvl w:ilvl="1" w:tplc="1C090005">
      <w:start w:val="1"/>
      <w:numFmt w:val="bullet"/>
      <w:lvlText w:val=""/>
      <w:lvlJc w:val="left"/>
      <w:pPr>
        <w:ind w:left="1500" w:hanging="360"/>
      </w:pPr>
      <w:rPr>
        <w:rFonts w:ascii="Wingdings" w:hAnsi="Wingdings"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25" w15:restartNumberingAfterBreak="0">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C66809"/>
    <w:multiLevelType w:val="hybridMultilevel"/>
    <w:tmpl w:val="B9AEF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27736B3"/>
    <w:multiLevelType w:val="hybridMultilevel"/>
    <w:tmpl w:val="3E72EB1E"/>
    <w:lvl w:ilvl="0" w:tplc="5EC63500">
      <w:start w:val="56"/>
      <w:numFmt w:val="decimal"/>
      <w:lvlText w:val="%1."/>
      <w:lvlJc w:val="left"/>
      <w:pPr>
        <w:tabs>
          <w:tab w:val="num" w:pos="360"/>
        </w:tabs>
        <w:ind w:left="36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58151B2"/>
    <w:multiLevelType w:val="multilevel"/>
    <w:tmpl w:val="CD18BC2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0" w15:restartNumberingAfterBreak="0">
    <w:nsid w:val="69757B4E"/>
    <w:multiLevelType w:val="hybridMultilevel"/>
    <w:tmpl w:val="438CB4C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2"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DBA4042"/>
    <w:multiLevelType w:val="hybridMultilevel"/>
    <w:tmpl w:val="B308D762"/>
    <w:lvl w:ilvl="0" w:tplc="04090003">
      <w:start w:val="1"/>
      <w:numFmt w:val="bullet"/>
      <w:lvlText w:val="o"/>
      <w:lvlJc w:val="left"/>
      <w:pPr>
        <w:tabs>
          <w:tab w:val="num" w:pos="1353"/>
        </w:tabs>
        <w:ind w:left="1353" w:hanging="360"/>
      </w:pPr>
      <w:rPr>
        <w:rFonts w:ascii="Courier New" w:hAnsi="Courier New" w:cs="Courier New" w:hint="default"/>
      </w:rPr>
    </w:lvl>
    <w:lvl w:ilvl="1" w:tplc="08090003">
      <w:start w:val="1"/>
      <w:numFmt w:val="decimal"/>
      <w:lvlText w:val="%2."/>
      <w:lvlJc w:val="left"/>
      <w:pPr>
        <w:tabs>
          <w:tab w:val="num" w:pos="2073"/>
        </w:tabs>
        <w:ind w:left="2073" w:hanging="360"/>
      </w:pPr>
      <w:rPr>
        <w:rFonts w:cs="Times New Roman" w:hint="default"/>
      </w:rPr>
    </w:lvl>
    <w:lvl w:ilvl="2" w:tplc="08090005" w:tentative="1">
      <w:start w:val="1"/>
      <w:numFmt w:val="bullet"/>
      <w:lvlText w:val=""/>
      <w:lvlJc w:val="left"/>
      <w:pPr>
        <w:tabs>
          <w:tab w:val="num" w:pos="2793"/>
        </w:tabs>
        <w:ind w:left="2793" w:hanging="360"/>
      </w:pPr>
      <w:rPr>
        <w:rFonts w:ascii="Wingdings" w:hAnsi="Wingdings" w:hint="default"/>
      </w:rPr>
    </w:lvl>
    <w:lvl w:ilvl="3" w:tplc="08090001" w:tentative="1">
      <w:start w:val="1"/>
      <w:numFmt w:val="bullet"/>
      <w:lvlText w:val=""/>
      <w:lvlJc w:val="left"/>
      <w:pPr>
        <w:tabs>
          <w:tab w:val="num" w:pos="3513"/>
        </w:tabs>
        <w:ind w:left="3513" w:hanging="360"/>
      </w:pPr>
      <w:rPr>
        <w:rFonts w:ascii="Symbol" w:hAnsi="Symbol" w:hint="default"/>
      </w:rPr>
    </w:lvl>
    <w:lvl w:ilvl="4" w:tplc="08090003" w:tentative="1">
      <w:start w:val="1"/>
      <w:numFmt w:val="bullet"/>
      <w:lvlText w:val="o"/>
      <w:lvlJc w:val="left"/>
      <w:pPr>
        <w:tabs>
          <w:tab w:val="num" w:pos="4233"/>
        </w:tabs>
        <w:ind w:left="4233" w:hanging="360"/>
      </w:pPr>
      <w:rPr>
        <w:rFonts w:ascii="Courier New" w:hAnsi="Courier New" w:hint="default"/>
      </w:rPr>
    </w:lvl>
    <w:lvl w:ilvl="5" w:tplc="08090005" w:tentative="1">
      <w:start w:val="1"/>
      <w:numFmt w:val="bullet"/>
      <w:lvlText w:val=""/>
      <w:lvlJc w:val="left"/>
      <w:pPr>
        <w:tabs>
          <w:tab w:val="num" w:pos="4953"/>
        </w:tabs>
        <w:ind w:left="4953" w:hanging="360"/>
      </w:pPr>
      <w:rPr>
        <w:rFonts w:ascii="Wingdings" w:hAnsi="Wingdings" w:hint="default"/>
      </w:rPr>
    </w:lvl>
    <w:lvl w:ilvl="6" w:tplc="08090001" w:tentative="1">
      <w:start w:val="1"/>
      <w:numFmt w:val="bullet"/>
      <w:lvlText w:val=""/>
      <w:lvlJc w:val="left"/>
      <w:pPr>
        <w:tabs>
          <w:tab w:val="num" w:pos="5673"/>
        </w:tabs>
        <w:ind w:left="5673" w:hanging="360"/>
      </w:pPr>
      <w:rPr>
        <w:rFonts w:ascii="Symbol" w:hAnsi="Symbol" w:hint="default"/>
      </w:rPr>
    </w:lvl>
    <w:lvl w:ilvl="7" w:tplc="08090003" w:tentative="1">
      <w:start w:val="1"/>
      <w:numFmt w:val="bullet"/>
      <w:lvlText w:val="o"/>
      <w:lvlJc w:val="left"/>
      <w:pPr>
        <w:tabs>
          <w:tab w:val="num" w:pos="6393"/>
        </w:tabs>
        <w:ind w:left="6393" w:hanging="360"/>
      </w:pPr>
      <w:rPr>
        <w:rFonts w:ascii="Courier New" w:hAnsi="Courier New" w:hint="default"/>
      </w:rPr>
    </w:lvl>
    <w:lvl w:ilvl="8" w:tplc="08090005" w:tentative="1">
      <w:start w:val="1"/>
      <w:numFmt w:val="bullet"/>
      <w:lvlText w:val=""/>
      <w:lvlJc w:val="left"/>
      <w:pPr>
        <w:tabs>
          <w:tab w:val="num" w:pos="7113"/>
        </w:tabs>
        <w:ind w:left="7113" w:hanging="360"/>
      </w:pPr>
      <w:rPr>
        <w:rFonts w:ascii="Wingdings" w:hAnsi="Wingdings" w:hint="default"/>
      </w:rPr>
    </w:lvl>
  </w:abstractNum>
  <w:abstractNum w:abstractNumId="34" w15:restartNumberingAfterBreak="0">
    <w:nsid w:val="6F487603"/>
    <w:multiLevelType w:val="hybridMultilevel"/>
    <w:tmpl w:val="68D41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09311CC"/>
    <w:multiLevelType w:val="hybridMultilevel"/>
    <w:tmpl w:val="46604D58"/>
    <w:lvl w:ilvl="0" w:tplc="8DC09DEC">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F0666F0"/>
    <w:multiLevelType w:val="hybridMultilevel"/>
    <w:tmpl w:val="96BE7088"/>
    <w:lvl w:ilvl="0" w:tplc="32321DDC">
      <w:start w:val="1"/>
      <w:numFmt w:val="decimal"/>
      <w:lvlText w:val="%1."/>
      <w:lvlJc w:val="left"/>
      <w:pPr>
        <w:ind w:left="840" w:hanging="360"/>
      </w:pPr>
      <w:rPr>
        <w:rFonts w:hint="default"/>
        <w:color w:val="auto"/>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27"/>
  </w:num>
  <w:num w:numId="5">
    <w:abstractNumId w:val="33"/>
  </w:num>
  <w:num w:numId="6">
    <w:abstractNumId w:val="17"/>
  </w:num>
  <w:num w:numId="7">
    <w:abstractNumId w:val="0"/>
  </w:num>
  <w:num w:numId="8">
    <w:abstractNumId w:val="10"/>
  </w:num>
  <w:num w:numId="9">
    <w:abstractNumId w:val="25"/>
  </w:num>
  <w:num w:numId="10">
    <w:abstractNumId w:val="11"/>
  </w:num>
  <w:num w:numId="11">
    <w:abstractNumId w:val="13"/>
  </w:num>
  <w:num w:numId="12">
    <w:abstractNumId w:val="22"/>
  </w:num>
  <w:num w:numId="13">
    <w:abstractNumId w:val="31"/>
  </w:num>
  <w:num w:numId="14">
    <w:abstractNumId w:val="19"/>
  </w:num>
  <w:num w:numId="15">
    <w:abstractNumId w:val="7"/>
  </w:num>
  <w:num w:numId="16">
    <w:abstractNumId w:val="15"/>
  </w:num>
  <w:num w:numId="17">
    <w:abstractNumId w:val="15"/>
    <w:lvlOverride w:ilvl="0">
      <w:startOverride w:val="1"/>
    </w:lvlOverride>
  </w:num>
  <w:num w:numId="18">
    <w:abstractNumId w:val="9"/>
  </w:num>
  <w:num w:numId="19">
    <w:abstractNumId w:val="18"/>
  </w:num>
  <w:num w:numId="20">
    <w:abstractNumId w:val="29"/>
  </w:num>
  <w:num w:numId="21">
    <w:abstractNumId w:val="6"/>
  </w:num>
  <w:num w:numId="22">
    <w:abstractNumId w:val="34"/>
  </w:num>
  <w:num w:numId="23">
    <w:abstractNumId w:val="2"/>
  </w:num>
  <w:num w:numId="24">
    <w:abstractNumId w:val="16"/>
  </w:num>
  <w:num w:numId="25">
    <w:abstractNumId w:val="32"/>
  </w:num>
  <w:num w:numId="26">
    <w:abstractNumId w:val="36"/>
  </w:num>
  <w:num w:numId="27">
    <w:abstractNumId w:val="26"/>
  </w:num>
  <w:num w:numId="28">
    <w:abstractNumId w:val="35"/>
  </w:num>
  <w:num w:numId="29">
    <w:abstractNumId w:val="4"/>
  </w:num>
  <w:num w:numId="30">
    <w:abstractNumId w:val="24"/>
  </w:num>
  <w:num w:numId="31">
    <w:abstractNumId w:val="30"/>
  </w:num>
  <w:num w:numId="32">
    <w:abstractNumId w:val="23"/>
  </w:num>
  <w:num w:numId="33">
    <w:abstractNumId w:val="14"/>
  </w:num>
  <w:num w:numId="34">
    <w:abstractNumId w:val="8"/>
  </w:num>
  <w:num w:numId="35">
    <w:abstractNumId w:val="21"/>
  </w:num>
  <w:num w:numId="36">
    <w:abstractNumId w:val="12"/>
  </w:num>
  <w:num w:numId="37">
    <w:abstractNumId w:val="3"/>
  </w:num>
  <w:num w:numId="38">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73"/>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20B9"/>
    <w:rsid w:val="00012C2F"/>
    <w:rsid w:val="00013575"/>
    <w:rsid w:val="000138B2"/>
    <w:rsid w:val="000142F4"/>
    <w:rsid w:val="00014678"/>
    <w:rsid w:val="00015DC0"/>
    <w:rsid w:val="0002110E"/>
    <w:rsid w:val="00021328"/>
    <w:rsid w:val="000226DC"/>
    <w:rsid w:val="000228EA"/>
    <w:rsid w:val="0002329F"/>
    <w:rsid w:val="00024EB0"/>
    <w:rsid w:val="000262C0"/>
    <w:rsid w:val="00027ACC"/>
    <w:rsid w:val="00027E46"/>
    <w:rsid w:val="00027F5A"/>
    <w:rsid w:val="00030521"/>
    <w:rsid w:val="000338C5"/>
    <w:rsid w:val="00034830"/>
    <w:rsid w:val="000351DC"/>
    <w:rsid w:val="000376A9"/>
    <w:rsid w:val="00041540"/>
    <w:rsid w:val="00041838"/>
    <w:rsid w:val="0004644A"/>
    <w:rsid w:val="00046A45"/>
    <w:rsid w:val="000504B9"/>
    <w:rsid w:val="00051839"/>
    <w:rsid w:val="00052817"/>
    <w:rsid w:val="000550D9"/>
    <w:rsid w:val="000554E4"/>
    <w:rsid w:val="00056309"/>
    <w:rsid w:val="00056395"/>
    <w:rsid w:val="0005745D"/>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5F8"/>
    <w:rsid w:val="000847F8"/>
    <w:rsid w:val="00086009"/>
    <w:rsid w:val="00086A8C"/>
    <w:rsid w:val="00086EF1"/>
    <w:rsid w:val="00087CA0"/>
    <w:rsid w:val="00090E6D"/>
    <w:rsid w:val="000913DD"/>
    <w:rsid w:val="0009390C"/>
    <w:rsid w:val="000945A8"/>
    <w:rsid w:val="00095C41"/>
    <w:rsid w:val="00097070"/>
    <w:rsid w:val="000A2286"/>
    <w:rsid w:val="000A2E32"/>
    <w:rsid w:val="000A318E"/>
    <w:rsid w:val="000A4B81"/>
    <w:rsid w:val="000A4DBD"/>
    <w:rsid w:val="000B0318"/>
    <w:rsid w:val="000B0E16"/>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D6A86"/>
    <w:rsid w:val="000E0E98"/>
    <w:rsid w:val="000E2027"/>
    <w:rsid w:val="000E2C06"/>
    <w:rsid w:val="000E3B91"/>
    <w:rsid w:val="000E3CB5"/>
    <w:rsid w:val="000E4C0D"/>
    <w:rsid w:val="000E67CA"/>
    <w:rsid w:val="000E69B8"/>
    <w:rsid w:val="000E78E8"/>
    <w:rsid w:val="000F1F3A"/>
    <w:rsid w:val="000F2065"/>
    <w:rsid w:val="000F234E"/>
    <w:rsid w:val="000F388F"/>
    <w:rsid w:val="000F6788"/>
    <w:rsid w:val="00100242"/>
    <w:rsid w:val="00100392"/>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21060"/>
    <w:rsid w:val="00121F7C"/>
    <w:rsid w:val="00122450"/>
    <w:rsid w:val="00123CE3"/>
    <w:rsid w:val="0012667F"/>
    <w:rsid w:val="00127D0D"/>
    <w:rsid w:val="001306D1"/>
    <w:rsid w:val="001324CE"/>
    <w:rsid w:val="00133E8C"/>
    <w:rsid w:val="00134BC8"/>
    <w:rsid w:val="00137334"/>
    <w:rsid w:val="00141585"/>
    <w:rsid w:val="0014262A"/>
    <w:rsid w:val="00143CDB"/>
    <w:rsid w:val="00146834"/>
    <w:rsid w:val="00147697"/>
    <w:rsid w:val="001500B7"/>
    <w:rsid w:val="0015169F"/>
    <w:rsid w:val="001516CD"/>
    <w:rsid w:val="00152099"/>
    <w:rsid w:val="0015211F"/>
    <w:rsid w:val="001528F8"/>
    <w:rsid w:val="001529AE"/>
    <w:rsid w:val="0015343C"/>
    <w:rsid w:val="00153824"/>
    <w:rsid w:val="00153FF6"/>
    <w:rsid w:val="001574FC"/>
    <w:rsid w:val="0016007C"/>
    <w:rsid w:val="001603BD"/>
    <w:rsid w:val="00161CA6"/>
    <w:rsid w:val="00164F12"/>
    <w:rsid w:val="00170952"/>
    <w:rsid w:val="00170C11"/>
    <w:rsid w:val="001719ED"/>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62F"/>
    <w:rsid w:val="001A367B"/>
    <w:rsid w:val="001A387D"/>
    <w:rsid w:val="001A4272"/>
    <w:rsid w:val="001A69E5"/>
    <w:rsid w:val="001A771C"/>
    <w:rsid w:val="001A776D"/>
    <w:rsid w:val="001B02F2"/>
    <w:rsid w:val="001B12C6"/>
    <w:rsid w:val="001B1624"/>
    <w:rsid w:val="001B3005"/>
    <w:rsid w:val="001B50CE"/>
    <w:rsid w:val="001B60AA"/>
    <w:rsid w:val="001B6809"/>
    <w:rsid w:val="001B7737"/>
    <w:rsid w:val="001B781C"/>
    <w:rsid w:val="001C02EF"/>
    <w:rsid w:val="001C1A86"/>
    <w:rsid w:val="001C288F"/>
    <w:rsid w:val="001C4638"/>
    <w:rsid w:val="001C5292"/>
    <w:rsid w:val="001C5F3D"/>
    <w:rsid w:val="001C6B38"/>
    <w:rsid w:val="001C707A"/>
    <w:rsid w:val="001C76CF"/>
    <w:rsid w:val="001C7B67"/>
    <w:rsid w:val="001D1D6E"/>
    <w:rsid w:val="001D4E37"/>
    <w:rsid w:val="001D5CBD"/>
    <w:rsid w:val="001D6332"/>
    <w:rsid w:val="001E0928"/>
    <w:rsid w:val="001E2DA9"/>
    <w:rsid w:val="001E37EE"/>
    <w:rsid w:val="001E3F4B"/>
    <w:rsid w:val="001E570A"/>
    <w:rsid w:val="001E5BB4"/>
    <w:rsid w:val="001E6115"/>
    <w:rsid w:val="001E6959"/>
    <w:rsid w:val="001F03F7"/>
    <w:rsid w:val="001F0A88"/>
    <w:rsid w:val="001F1899"/>
    <w:rsid w:val="001F1CF5"/>
    <w:rsid w:val="001F33AF"/>
    <w:rsid w:val="001F38DA"/>
    <w:rsid w:val="001F4083"/>
    <w:rsid w:val="001F4789"/>
    <w:rsid w:val="001F50D7"/>
    <w:rsid w:val="001F6C60"/>
    <w:rsid w:val="001F7DCB"/>
    <w:rsid w:val="0020027A"/>
    <w:rsid w:val="002004A3"/>
    <w:rsid w:val="00201880"/>
    <w:rsid w:val="00203E15"/>
    <w:rsid w:val="00205B73"/>
    <w:rsid w:val="00206235"/>
    <w:rsid w:val="0020665F"/>
    <w:rsid w:val="00207C88"/>
    <w:rsid w:val="00210D3E"/>
    <w:rsid w:val="00211B8D"/>
    <w:rsid w:val="00212B1A"/>
    <w:rsid w:val="00213751"/>
    <w:rsid w:val="00214936"/>
    <w:rsid w:val="002156DB"/>
    <w:rsid w:val="00215B00"/>
    <w:rsid w:val="00216005"/>
    <w:rsid w:val="0021652D"/>
    <w:rsid w:val="0022009C"/>
    <w:rsid w:val="002203FF"/>
    <w:rsid w:val="00223FB6"/>
    <w:rsid w:val="0022586F"/>
    <w:rsid w:val="00226048"/>
    <w:rsid w:val="00226983"/>
    <w:rsid w:val="0022746F"/>
    <w:rsid w:val="00230577"/>
    <w:rsid w:val="0023093E"/>
    <w:rsid w:val="00236884"/>
    <w:rsid w:val="00237003"/>
    <w:rsid w:val="00237F7F"/>
    <w:rsid w:val="002409AF"/>
    <w:rsid w:val="00241A04"/>
    <w:rsid w:val="00242800"/>
    <w:rsid w:val="00244491"/>
    <w:rsid w:val="00244512"/>
    <w:rsid w:val="0024537E"/>
    <w:rsid w:val="002456F1"/>
    <w:rsid w:val="002459C9"/>
    <w:rsid w:val="00250620"/>
    <w:rsid w:val="00251554"/>
    <w:rsid w:val="00252A9C"/>
    <w:rsid w:val="00253084"/>
    <w:rsid w:val="00253FDE"/>
    <w:rsid w:val="00254191"/>
    <w:rsid w:val="00254867"/>
    <w:rsid w:val="002565BD"/>
    <w:rsid w:val="002566F1"/>
    <w:rsid w:val="0025744E"/>
    <w:rsid w:val="0026061E"/>
    <w:rsid w:val="0026108A"/>
    <w:rsid w:val="00262088"/>
    <w:rsid w:val="00262A5F"/>
    <w:rsid w:val="00262BD0"/>
    <w:rsid w:val="00263413"/>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636"/>
    <w:rsid w:val="002860B6"/>
    <w:rsid w:val="00287619"/>
    <w:rsid w:val="00287710"/>
    <w:rsid w:val="00287920"/>
    <w:rsid w:val="00290FB4"/>
    <w:rsid w:val="0029101B"/>
    <w:rsid w:val="0029185D"/>
    <w:rsid w:val="00292A3F"/>
    <w:rsid w:val="00293419"/>
    <w:rsid w:val="0029504D"/>
    <w:rsid w:val="002956B8"/>
    <w:rsid w:val="002A0937"/>
    <w:rsid w:val="002A0B82"/>
    <w:rsid w:val="002A22E9"/>
    <w:rsid w:val="002A26C0"/>
    <w:rsid w:val="002A2A8E"/>
    <w:rsid w:val="002A2B32"/>
    <w:rsid w:val="002A588C"/>
    <w:rsid w:val="002A7206"/>
    <w:rsid w:val="002A735C"/>
    <w:rsid w:val="002B2FC4"/>
    <w:rsid w:val="002B42A1"/>
    <w:rsid w:val="002B7F23"/>
    <w:rsid w:val="002C07AF"/>
    <w:rsid w:val="002C13C9"/>
    <w:rsid w:val="002D22C7"/>
    <w:rsid w:val="002D28FD"/>
    <w:rsid w:val="002D6CC1"/>
    <w:rsid w:val="002D7AB0"/>
    <w:rsid w:val="002E06BD"/>
    <w:rsid w:val="002E403A"/>
    <w:rsid w:val="002E48CB"/>
    <w:rsid w:val="002E72EF"/>
    <w:rsid w:val="002E76E3"/>
    <w:rsid w:val="002F14D1"/>
    <w:rsid w:val="002F24A8"/>
    <w:rsid w:val="003008D3"/>
    <w:rsid w:val="003049A8"/>
    <w:rsid w:val="00305A60"/>
    <w:rsid w:val="00307016"/>
    <w:rsid w:val="00307661"/>
    <w:rsid w:val="00307684"/>
    <w:rsid w:val="00307DE0"/>
    <w:rsid w:val="003108DB"/>
    <w:rsid w:val="00313524"/>
    <w:rsid w:val="00314B76"/>
    <w:rsid w:val="00314BBE"/>
    <w:rsid w:val="00315DA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2C2C"/>
    <w:rsid w:val="00344497"/>
    <w:rsid w:val="00351318"/>
    <w:rsid w:val="00351D4A"/>
    <w:rsid w:val="00355ED7"/>
    <w:rsid w:val="00355F20"/>
    <w:rsid w:val="003564C7"/>
    <w:rsid w:val="00356762"/>
    <w:rsid w:val="00356C84"/>
    <w:rsid w:val="0036018B"/>
    <w:rsid w:val="00362E11"/>
    <w:rsid w:val="00366A91"/>
    <w:rsid w:val="003706FA"/>
    <w:rsid w:val="00372127"/>
    <w:rsid w:val="00373FF5"/>
    <w:rsid w:val="003744D4"/>
    <w:rsid w:val="0037551A"/>
    <w:rsid w:val="00375608"/>
    <w:rsid w:val="00375613"/>
    <w:rsid w:val="00377D3C"/>
    <w:rsid w:val="0038078F"/>
    <w:rsid w:val="00380E12"/>
    <w:rsid w:val="00381C53"/>
    <w:rsid w:val="0038335A"/>
    <w:rsid w:val="003843A9"/>
    <w:rsid w:val="00384993"/>
    <w:rsid w:val="003855D4"/>
    <w:rsid w:val="00387349"/>
    <w:rsid w:val="00387635"/>
    <w:rsid w:val="00392DF7"/>
    <w:rsid w:val="0039364E"/>
    <w:rsid w:val="0039423B"/>
    <w:rsid w:val="0039626F"/>
    <w:rsid w:val="00397E0A"/>
    <w:rsid w:val="00397EBD"/>
    <w:rsid w:val="003A047F"/>
    <w:rsid w:val="003A5D37"/>
    <w:rsid w:val="003A68D5"/>
    <w:rsid w:val="003B0EDA"/>
    <w:rsid w:val="003B5092"/>
    <w:rsid w:val="003B5437"/>
    <w:rsid w:val="003B6814"/>
    <w:rsid w:val="003C1C8C"/>
    <w:rsid w:val="003C2517"/>
    <w:rsid w:val="003C4106"/>
    <w:rsid w:val="003C57C8"/>
    <w:rsid w:val="003C5D3B"/>
    <w:rsid w:val="003C7E81"/>
    <w:rsid w:val="003D080D"/>
    <w:rsid w:val="003D2A9B"/>
    <w:rsid w:val="003D41B4"/>
    <w:rsid w:val="003D7C22"/>
    <w:rsid w:val="003D7E72"/>
    <w:rsid w:val="003E20F7"/>
    <w:rsid w:val="003E26B0"/>
    <w:rsid w:val="003E3B64"/>
    <w:rsid w:val="003E3D2D"/>
    <w:rsid w:val="003E440D"/>
    <w:rsid w:val="003E45F6"/>
    <w:rsid w:val="003E4960"/>
    <w:rsid w:val="003E6ADE"/>
    <w:rsid w:val="003F25A1"/>
    <w:rsid w:val="003F2B14"/>
    <w:rsid w:val="003F2C16"/>
    <w:rsid w:val="003F3039"/>
    <w:rsid w:val="003F4C11"/>
    <w:rsid w:val="003F510C"/>
    <w:rsid w:val="003F5910"/>
    <w:rsid w:val="003F5C32"/>
    <w:rsid w:val="003F5EA4"/>
    <w:rsid w:val="003F6912"/>
    <w:rsid w:val="003F6D80"/>
    <w:rsid w:val="003F6FB2"/>
    <w:rsid w:val="003F722B"/>
    <w:rsid w:val="00400414"/>
    <w:rsid w:val="0040240C"/>
    <w:rsid w:val="004052DF"/>
    <w:rsid w:val="00405AC8"/>
    <w:rsid w:val="00406EB3"/>
    <w:rsid w:val="004127C3"/>
    <w:rsid w:val="004139CB"/>
    <w:rsid w:val="0041464E"/>
    <w:rsid w:val="0041794E"/>
    <w:rsid w:val="004210F8"/>
    <w:rsid w:val="00422903"/>
    <w:rsid w:val="004229DA"/>
    <w:rsid w:val="00424192"/>
    <w:rsid w:val="00424A73"/>
    <w:rsid w:val="004252FA"/>
    <w:rsid w:val="0042577B"/>
    <w:rsid w:val="004261A3"/>
    <w:rsid w:val="0042657F"/>
    <w:rsid w:val="00427380"/>
    <w:rsid w:val="00427DF3"/>
    <w:rsid w:val="004300F9"/>
    <w:rsid w:val="00430C92"/>
    <w:rsid w:val="0043131C"/>
    <w:rsid w:val="004313B2"/>
    <w:rsid w:val="004315E1"/>
    <w:rsid w:val="0043163C"/>
    <w:rsid w:val="004317BC"/>
    <w:rsid w:val="0043232E"/>
    <w:rsid w:val="00432611"/>
    <w:rsid w:val="00433864"/>
    <w:rsid w:val="00433D02"/>
    <w:rsid w:val="00434F0F"/>
    <w:rsid w:val="00434F12"/>
    <w:rsid w:val="00437104"/>
    <w:rsid w:val="004373D5"/>
    <w:rsid w:val="004379C3"/>
    <w:rsid w:val="00440809"/>
    <w:rsid w:val="00440928"/>
    <w:rsid w:val="00441AE6"/>
    <w:rsid w:val="004443E0"/>
    <w:rsid w:val="00444600"/>
    <w:rsid w:val="004456D7"/>
    <w:rsid w:val="00450936"/>
    <w:rsid w:val="00450EC3"/>
    <w:rsid w:val="004523B1"/>
    <w:rsid w:val="00453D1F"/>
    <w:rsid w:val="00457304"/>
    <w:rsid w:val="00460939"/>
    <w:rsid w:val="00460C64"/>
    <w:rsid w:val="00463D92"/>
    <w:rsid w:val="00465505"/>
    <w:rsid w:val="00465FEA"/>
    <w:rsid w:val="0046733A"/>
    <w:rsid w:val="00467A50"/>
    <w:rsid w:val="00470547"/>
    <w:rsid w:val="004705FD"/>
    <w:rsid w:val="00470C7D"/>
    <w:rsid w:val="00471780"/>
    <w:rsid w:val="00473558"/>
    <w:rsid w:val="004735FB"/>
    <w:rsid w:val="00475888"/>
    <w:rsid w:val="0047596D"/>
    <w:rsid w:val="00475AE1"/>
    <w:rsid w:val="00475D21"/>
    <w:rsid w:val="00475EBF"/>
    <w:rsid w:val="004764C1"/>
    <w:rsid w:val="00476A73"/>
    <w:rsid w:val="00476B67"/>
    <w:rsid w:val="00480597"/>
    <w:rsid w:val="00486054"/>
    <w:rsid w:val="004921F9"/>
    <w:rsid w:val="00495554"/>
    <w:rsid w:val="004A16A0"/>
    <w:rsid w:val="004A2CF3"/>
    <w:rsid w:val="004A30C1"/>
    <w:rsid w:val="004A33FD"/>
    <w:rsid w:val="004A34FC"/>
    <w:rsid w:val="004A4115"/>
    <w:rsid w:val="004B0C76"/>
    <w:rsid w:val="004B1010"/>
    <w:rsid w:val="004B2970"/>
    <w:rsid w:val="004B2AA4"/>
    <w:rsid w:val="004B4113"/>
    <w:rsid w:val="004B6A69"/>
    <w:rsid w:val="004B7B93"/>
    <w:rsid w:val="004C179C"/>
    <w:rsid w:val="004C247C"/>
    <w:rsid w:val="004C2A91"/>
    <w:rsid w:val="004C3FB5"/>
    <w:rsid w:val="004C4EB1"/>
    <w:rsid w:val="004C5685"/>
    <w:rsid w:val="004C6D3B"/>
    <w:rsid w:val="004C7F0D"/>
    <w:rsid w:val="004D06CB"/>
    <w:rsid w:val="004D184D"/>
    <w:rsid w:val="004D3A0F"/>
    <w:rsid w:val="004D5904"/>
    <w:rsid w:val="004D635D"/>
    <w:rsid w:val="004E2951"/>
    <w:rsid w:val="004E2A88"/>
    <w:rsid w:val="004E3BC6"/>
    <w:rsid w:val="004E4C9B"/>
    <w:rsid w:val="004F2886"/>
    <w:rsid w:val="004F3317"/>
    <w:rsid w:val="004F4566"/>
    <w:rsid w:val="004F5053"/>
    <w:rsid w:val="004F5DD8"/>
    <w:rsid w:val="004F68E9"/>
    <w:rsid w:val="00501068"/>
    <w:rsid w:val="00501E41"/>
    <w:rsid w:val="00502677"/>
    <w:rsid w:val="005050E2"/>
    <w:rsid w:val="00506B95"/>
    <w:rsid w:val="0050737A"/>
    <w:rsid w:val="00507792"/>
    <w:rsid w:val="00510C3C"/>
    <w:rsid w:val="0051471C"/>
    <w:rsid w:val="00516AD1"/>
    <w:rsid w:val="00517C1F"/>
    <w:rsid w:val="00520011"/>
    <w:rsid w:val="00524274"/>
    <w:rsid w:val="00524DC7"/>
    <w:rsid w:val="00526D5A"/>
    <w:rsid w:val="005306E1"/>
    <w:rsid w:val="0053300F"/>
    <w:rsid w:val="00533040"/>
    <w:rsid w:val="0053329C"/>
    <w:rsid w:val="00536F59"/>
    <w:rsid w:val="00537F4F"/>
    <w:rsid w:val="00542C02"/>
    <w:rsid w:val="00543B98"/>
    <w:rsid w:val="00544A96"/>
    <w:rsid w:val="00546E69"/>
    <w:rsid w:val="00551DBD"/>
    <w:rsid w:val="005526D0"/>
    <w:rsid w:val="005528D3"/>
    <w:rsid w:val="005536CA"/>
    <w:rsid w:val="00553A29"/>
    <w:rsid w:val="005551E4"/>
    <w:rsid w:val="0055637F"/>
    <w:rsid w:val="00560DFB"/>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6A5E"/>
    <w:rsid w:val="00576FEB"/>
    <w:rsid w:val="00577658"/>
    <w:rsid w:val="00580EB7"/>
    <w:rsid w:val="00581DB9"/>
    <w:rsid w:val="005827DA"/>
    <w:rsid w:val="00582A5A"/>
    <w:rsid w:val="00582F2C"/>
    <w:rsid w:val="005843BD"/>
    <w:rsid w:val="00585FFB"/>
    <w:rsid w:val="0058654C"/>
    <w:rsid w:val="0058770D"/>
    <w:rsid w:val="00591EBA"/>
    <w:rsid w:val="00596AF2"/>
    <w:rsid w:val="005A003B"/>
    <w:rsid w:val="005A074F"/>
    <w:rsid w:val="005A2873"/>
    <w:rsid w:val="005A59A2"/>
    <w:rsid w:val="005A631A"/>
    <w:rsid w:val="005A69DF"/>
    <w:rsid w:val="005A6C11"/>
    <w:rsid w:val="005A73AD"/>
    <w:rsid w:val="005B0ABB"/>
    <w:rsid w:val="005B120C"/>
    <w:rsid w:val="005B2225"/>
    <w:rsid w:val="005B3113"/>
    <w:rsid w:val="005B3137"/>
    <w:rsid w:val="005B34F7"/>
    <w:rsid w:val="005B35EB"/>
    <w:rsid w:val="005B3834"/>
    <w:rsid w:val="005B4D2C"/>
    <w:rsid w:val="005B759E"/>
    <w:rsid w:val="005C20E6"/>
    <w:rsid w:val="005C212D"/>
    <w:rsid w:val="005C3222"/>
    <w:rsid w:val="005C4987"/>
    <w:rsid w:val="005C5113"/>
    <w:rsid w:val="005C7DB2"/>
    <w:rsid w:val="005D0338"/>
    <w:rsid w:val="005D183A"/>
    <w:rsid w:val="005D289B"/>
    <w:rsid w:val="005D34AA"/>
    <w:rsid w:val="005D3C78"/>
    <w:rsid w:val="005D4607"/>
    <w:rsid w:val="005D6767"/>
    <w:rsid w:val="005D6D40"/>
    <w:rsid w:val="005E0E52"/>
    <w:rsid w:val="005E12C1"/>
    <w:rsid w:val="005E24E8"/>
    <w:rsid w:val="005E31C1"/>
    <w:rsid w:val="005E3571"/>
    <w:rsid w:val="005E3880"/>
    <w:rsid w:val="005E4810"/>
    <w:rsid w:val="005E7651"/>
    <w:rsid w:val="005F071B"/>
    <w:rsid w:val="005F1A7A"/>
    <w:rsid w:val="005F2FEA"/>
    <w:rsid w:val="005F4E3F"/>
    <w:rsid w:val="005F5AD8"/>
    <w:rsid w:val="005F7F29"/>
    <w:rsid w:val="00600B4F"/>
    <w:rsid w:val="006010AA"/>
    <w:rsid w:val="00601BE5"/>
    <w:rsid w:val="00602BAB"/>
    <w:rsid w:val="006035C5"/>
    <w:rsid w:val="006039CD"/>
    <w:rsid w:val="00605BCC"/>
    <w:rsid w:val="00605E2D"/>
    <w:rsid w:val="0060747D"/>
    <w:rsid w:val="00607585"/>
    <w:rsid w:val="00607800"/>
    <w:rsid w:val="0061270E"/>
    <w:rsid w:val="00613A45"/>
    <w:rsid w:val="00615FC6"/>
    <w:rsid w:val="006179E4"/>
    <w:rsid w:val="00617D69"/>
    <w:rsid w:val="006219B8"/>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300E"/>
    <w:rsid w:val="00647454"/>
    <w:rsid w:val="00651DC2"/>
    <w:rsid w:val="00651E59"/>
    <w:rsid w:val="00651F93"/>
    <w:rsid w:val="0065322C"/>
    <w:rsid w:val="00656376"/>
    <w:rsid w:val="006563DC"/>
    <w:rsid w:val="00656A73"/>
    <w:rsid w:val="00657563"/>
    <w:rsid w:val="0066146C"/>
    <w:rsid w:val="0066203A"/>
    <w:rsid w:val="00667BE9"/>
    <w:rsid w:val="0067694C"/>
    <w:rsid w:val="0068422E"/>
    <w:rsid w:val="00684416"/>
    <w:rsid w:val="0068772F"/>
    <w:rsid w:val="0068781A"/>
    <w:rsid w:val="00693FF5"/>
    <w:rsid w:val="006958A8"/>
    <w:rsid w:val="00696D56"/>
    <w:rsid w:val="006973FA"/>
    <w:rsid w:val="006975C7"/>
    <w:rsid w:val="00697CD2"/>
    <w:rsid w:val="006A0B6A"/>
    <w:rsid w:val="006A1979"/>
    <w:rsid w:val="006A3F20"/>
    <w:rsid w:val="006A4063"/>
    <w:rsid w:val="006A456C"/>
    <w:rsid w:val="006A45C0"/>
    <w:rsid w:val="006A6243"/>
    <w:rsid w:val="006A70C3"/>
    <w:rsid w:val="006A7C84"/>
    <w:rsid w:val="006A7CD8"/>
    <w:rsid w:val="006B082B"/>
    <w:rsid w:val="006B1269"/>
    <w:rsid w:val="006B1D3E"/>
    <w:rsid w:val="006B2E0D"/>
    <w:rsid w:val="006B35B3"/>
    <w:rsid w:val="006C08BB"/>
    <w:rsid w:val="006C0DAE"/>
    <w:rsid w:val="006C1440"/>
    <w:rsid w:val="006C168B"/>
    <w:rsid w:val="006C32AD"/>
    <w:rsid w:val="006C3468"/>
    <w:rsid w:val="006C3494"/>
    <w:rsid w:val="006C4646"/>
    <w:rsid w:val="006C52DC"/>
    <w:rsid w:val="006C5E31"/>
    <w:rsid w:val="006C6F2E"/>
    <w:rsid w:val="006C7B67"/>
    <w:rsid w:val="006D0DED"/>
    <w:rsid w:val="006D16D4"/>
    <w:rsid w:val="006D1B48"/>
    <w:rsid w:val="006D2DC7"/>
    <w:rsid w:val="006D35DB"/>
    <w:rsid w:val="006D6CD4"/>
    <w:rsid w:val="006D7E03"/>
    <w:rsid w:val="006E470D"/>
    <w:rsid w:val="006E4D52"/>
    <w:rsid w:val="006E4F8A"/>
    <w:rsid w:val="006E5DAC"/>
    <w:rsid w:val="006E6EE7"/>
    <w:rsid w:val="006F4425"/>
    <w:rsid w:val="006F5AC4"/>
    <w:rsid w:val="006F7DF0"/>
    <w:rsid w:val="00703376"/>
    <w:rsid w:val="007045E3"/>
    <w:rsid w:val="00705CDC"/>
    <w:rsid w:val="007068EE"/>
    <w:rsid w:val="007071A4"/>
    <w:rsid w:val="007110C4"/>
    <w:rsid w:val="00712AAD"/>
    <w:rsid w:val="00712C86"/>
    <w:rsid w:val="007138F1"/>
    <w:rsid w:val="007143D3"/>
    <w:rsid w:val="00717059"/>
    <w:rsid w:val="00717CFA"/>
    <w:rsid w:val="007207E7"/>
    <w:rsid w:val="0072104B"/>
    <w:rsid w:val="0072167B"/>
    <w:rsid w:val="00721694"/>
    <w:rsid w:val="00722F26"/>
    <w:rsid w:val="00723090"/>
    <w:rsid w:val="00725180"/>
    <w:rsid w:val="00725FEE"/>
    <w:rsid w:val="00732678"/>
    <w:rsid w:val="00733586"/>
    <w:rsid w:val="007343A9"/>
    <w:rsid w:val="0073695C"/>
    <w:rsid w:val="007375C1"/>
    <w:rsid w:val="00740A6A"/>
    <w:rsid w:val="0074264D"/>
    <w:rsid w:val="00746E34"/>
    <w:rsid w:val="00746F0A"/>
    <w:rsid w:val="00747F0B"/>
    <w:rsid w:val="0075308A"/>
    <w:rsid w:val="00755B4E"/>
    <w:rsid w:val="00757753"/>
    <w:rsid w:val="00757BC0"/>
    <w:rsid w:val="00760936"/>
    <w:rsid w:val="007617F4"/>
    <w:rsid w:val="00762D30"/>
    <w:rsid w:val="00764037"/>
    <w:rsid w:val="00765AE9"/>
    <w:rsid w:val="0076617B"/>
    <w:rsid w:val="007717FD"/>
    <w:rsid w:val="007719E8"/>
    <w:rsid w:val="0077443B"/>
    <w:rsid w:val="00774981"/>
    <w:rsid w:val="007750A1"/>
    <w:rsid w:val="0077556A"/>
    <w:rsid w:val="00775734"/>
    <w:rsid w:val="00775DE4"/>
    <w:rsid w:val="00776161"/>
    <w:rsid w:val="0077659B"/>
    <w:rsid w:val="007802AA"/>
    <w:rsid w:val="00780727"/>
    <w:rsid w:val="00782560"/>
    <w:rsid w:val="00783AC2"/>
    <w:rsid w:val="00784A43"/>
    <w:rsid w:val="007855D0"/>
    <w:rsid w:val="0079182F"/>
    <w:rsid w:val="00791E9A"/>
    <w:rsid w:val="00793236"/>
    <w:rsid w:val="00793C46"/>
    <w:rsid w:val="00793F5A"/>
    <w:rsid w:val="00794CEB"/>
    <w:rsid w:val="0079575E"/>
    <w:rsid w:val="00796600"/>
    <w:rsid w:val="0079754F"/>
    <w:rsid w:val="007A2994"/>
    <w:rsid w:val="007A45CB"/>
    <w:rsid w:val="007A4B17"/>
    <w:rsid w:val="007A5D4C"/>
    <w:rsid w:val="007A6439"/>
    <w:rsid w:val="007B0A8B"/>
    <w:rsid w:val="007B0F48"/>
    <w:rsid w:val="007B1990"/>
    <w:rsid w:val="007B2DE1"/>
    <w:rsid w:val="007B329E"/>
    <w:rsid w:val="007B37DD"/>
    <w:rsid w:val="007B5E1B"/>
    <w:rsid w:val="007B6AF6"/>
    <w:rsid w:val="007B7C88"/>
    <w:rsid w:val="007C01B1"/>
    <w:rsid w:val="007C0410"/>
    <w:rsid w:val="007C2A1C"/>
    <w:rsid w:val="007C3300"/>
    <w:rsid w:val="007C495A"/>
    <w:rsid w:val="007C57D9"/>
    <w:rsid w:val="007C60C3"/>
    <w:rsid w:val="007C6AB7"/>
    <w:rsid w:val="007C7025"/>
    <w:rsid w:val="007C7207"/>
    <w:rsid w:val="007D0BB4"/>
    <w:rsid w:val="007D3604"/>
    <w:rsid w:val="007D37B9"/>
    <w:rsid w:val="007D3F82"/>
    <w:rsid w:val="007D5611"/>
    <w:rsid w:val="007D5B0B"/>
    <w:rsid w:val="007D6519"/>
    <w:rsid w:val="007D6696"/>
    <w:rsid w:val="007D6AA2"/>
    <w:rsid w:val="007E181F"/>
    <w:rsid w:val="007E20D1"/>
    <w:rsid w:val="007E2BE9"/>
    <w:rsid w:val="007E3153"/>
    <w:rsid w:val="007E3D21"/>
    <w:rsid w:val="007E4163"/>
    <w:rsid w:val="007E5459"/>
    <w:rsid w:val="007E5616"/>
    <w:rsid w:val="007E5C22"/>
    <w:rsid w:val="007E60B2"/>
    <w:rsid w:val="007E6D09"/>
    <w:rsid w:val="007F0BF1"/>
    <w:rsid w:val="007F4B70"/>
    <w:rsid w:val="007F66B9"/>
    <w:rsid w:val="007F7401"/>
    <w:rsid w:val="007F790F"/>
    <w:rsid w:val="00800D11"/>
    <w:rsid w:val="00802545"/>
    <w:rsid w:val="008028BA"/>
    <w:rsid w:val="00804922"/>
    <w:rsid w:val="00804D02"/>
    <w:rsid w:val="0080526C"/>
    <w:rsid w:val="0080602A"/>
    <w:rsid w:val="008108C5"/>
    <w:rsid w:val="00811EC5"/>
    <w:rsid w:val="0081249B"/>
    <w:rsid w:val="008145CE"/>
    <w:rsid w:val="00817CA2"/>
    <w:rsid w:val="00823693"/>
    <w:rsid w:val="00825827"/>
    <w:rsid w:val="008258E8"/>
    <w:rsid w:val="00825B54"/>
    <w:rsid w:val="008268DA"/>
    <w:rsid w:val="00826E05"/>
    <w:rsid w:val="008270A5"/>
    <w:rsid w:val="008274F1"/>
    <w:rsid w:val="00827B59"/>
    <w:rsid w:val="008304A3"/>
    <w:rsid w:val="00831ECA"/>
    <w:rsid w:val="0083243C"/>
    <w:rsid w:val="00832596"/>
    <w:rsid w:val="00833240"/>
    <w:rsid w:val="008341AC"/>
    <w:rsid w:val="00834855"/>
    <w:rsid w:val="0083595A"/>
    <w:rsid w:val="00836A5A"/>
    <w:rsid w:val="00836BC6"/>
    <w:rsid w:val="00836FC5"/>
    <w:rsid w:val="00840A00"/>
    <w:rsid w:val="00841F14"/>
    <w:rsid w:val="008427DF"/>
    <w:rsid w:val="008429BF"/>
    <w:rsid w:val="00843303"/>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9AA"/>
    <w:rsid w:val="00880829"/>
    <w:rsid w:val="008814C8"/>
    <w:rsid w:val="008818B8"/>
    <w:rsid w:val="00881F76"/>
    <w:rsid w:val="00882544"/>
    <w:rsid w:val="00883095"/>
    <w:rsid w:val="008855D3"/>
    <w:rsid w:val="008863C7"/>
    <w:rsid w:val="00886A75"/>
    <w:rsid w:val="008870BA"/>
    <w:rsid w:val="0088795D"/>
    <w:rsid w:val="00887EB3"/>
    <w:rsid w:val="0089115A"/>
    <w:rsid w:val="0089187B"/>
    <w:rsid w:val="00891DC3"/>
    <w:rsid w:val="00892247"/>
    <w:rsid w:val="00892F3D"/>
    <w:rsid w:val="00893B40"/>
    <w:rsid w:val="008952E9"/>
    <w:rsid w:val="008957BC"/>
    <w:rsid w:val="00897CD7"/>
    <w:rsid w:val="008A1751"/>
    <w:rsid w:val="008A1A13"/>
    <w:rsid w:val="008A1F2D"/>
    <w:rsid w:val="008A3441"/>
    <w:rsid w:val="008A34B7"/>
    <w:rsid w:val="008A36D6"/>
    <w:rsid w:val="008A49BF"/>
    <w:rsid w:val="008A50A7"/>
    <w:rsid w:val="008A566B"/>
    <w:rsid w:val="008A7579"/>
    <w:rsid w:val="008A772B"/>
    <w:rsid w:val="008B14CD"/>
    <w:rsid w:val="008B20A3"/>
    <w:rsid w:val="008B6701"/>
    <w:rsid w:val="008B70A5"/>
    <w:rsid w:val="008C0C88"/>
    <w:rsid w:val="008C3E68"/>
    <w:rsid w:val="008C46E3"/>
    <w:rsid w:val="008D00BB"/>
    <w:rsid w:val="008D1701"/>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F0228"/>
    <w:rsid w:val="008F0E7C"/>
    <w:rsid w:val="008F179F"/>
    <w:rsid w:val="008F55DD"/>
    <w:rsid w:val="008F6C98"/>
    <w:rsid w:val="0090099F"/>
    <w:rsid w:val="0090228B"/>
    <w:rsid w:val="00902F69"/>
    <w:rsid w:val="00904D91"/>
    <w:rsid w:val="009054F9"/>
    <w:rsid w:val="00907323"/>
    <w:rsid w:val="00907575"/>
    <w:rsid w:val="0091054D"/>
    <w:rsid w:val="00911DBE"/>
    <w:rsid w:val="00913111"/>
    <w:rsid w:val="00913379"/>
    <w:rsid w:val="009138FF"/>
    <w:rsid w:val="0091433A"/>
    <w:rsid w:val="0091434F"/>
    <w:rsid w:val="00920041"/>
    <w:rsid w:val="0092184F"/>
    <w:rsid w:val="00922655"/>
    <w:rsid w:val="00926A54"/>
    <w:rsid w:val="00926E1E"/>
    <w:rsid w:val="00927248"/>
    <w:rsid w:val="00934A8F"/>
    <w:rsid w:val="00935BCB"/>
    <w:rsid w:val="009377A0"/>
    <w:rsid w:val="009378D9"/>
    <w:rsid w:val="0094140A"/>
    <w:rsid w:val="0094253C"/>
    <w:rsid w:val="00943E98"/>
    <w:rsid w:val="009454C9"/>
    <w:rsid w:val="00945702"/>
    <w:rsid w:val="00946C32"/>
    <w:rsid w:val="00953B4C"/>
    <w:rsid w:val="00953CBC"/>
    <w:rsid w:val="00953CD0"/>
    <w:rsid w:val="00954D36"/>
    <w:rsid w:val="009550C6"/>
    <w:rsid w:val="009634E6"/>
    <w:rsid w:val="0096469C"/>
    <w:rsid w:val="00964770"/>
    <w:rsid w:val="00964B4B"/>
    <w:rsid w:val="00966B1F"/>
    <w:rsid w:val="00970525"/>
    <w:rsid w:val="00970860"/>
    <w:rsid w:val="00971682"/>
    <w:rsid w:val="00972A1C"/>
    <w:rsid w:val="0097338B"/>
    <w:rsid w:val="00973A62"/>
    <w:rsid w:val="00981194"/>
    <w:rsid w:val="0098215C"/>
    <w:rsid w:val="009828A2"/>
    <w:rsid w:val="0098396E"/>
    <w:rsid w:val="0098579A"/>
    <w:rsid w:val="00986F11"/>
    <w:rsid w:val="009913F3"/>
    <w:rsid w:val="00991876"/>
    <w:rsid w:val="00991991"/>
    <w:rsid w:val="0099203B"/>
    <w:rsid w:val="00995B91"/>
    <w:rsid w:val="009A01CC"/>
    <w:rsid w:val="009A0402"/>
    <w:rsid w:val="009A0A2D"/>
    <w:rsid w:val="009A3EAA"/>
    <w:rsid w:val="009A4AF3"/>
    <w:rsid w:val="009A4E3D"/>
    <w:rsid w:val="009A5515"/>
    <w:rsid w:val="009A63CF"/>
    <w:rsid w:val="009B0621"/>
    <w:rsid w:val="009B2394"/>
    <w:rsid w:val="009B436F"/>
    <w:rsid w:val="009C12BF"/>
    <w:rsid w:val="009C558C"/>
    <w:rsid w:val="009C7749"/>
    <w:rsid w:val="009C7781"/>
    <w:rsid w:val="009C7849"/>
    <w:rsid w:val="009D089B"/>
    <w:rsid w:val="009D0915"/>
    <w:rsid w:val="009D21D3"/>
    <w:rsid w:val="009D2681"/>
    <w:rsid w:val="009D3270"/>
    <w:rsid w:val="009D3CE7"/>
    <w:rsid w:val="009E1290"/>
    <w:rsid w:val="009E2385"/>
    <w:rsid w:val="009E33A1"/>
    <w:rsid w:val="009E3570"/>
    <w:rsid w:val="009E4049"/>
    <w:rsid w:val="009E6697"/>
    <w:rsid w:val="009F2DC4"/>
    <w:rsid w:val="009F387C"/>
    <w:rsid w:val="009F38E7"/>
    <w:rsid w:val="009F3B37"/>
    <w:rsid w:val="009F3EA9"/>
    <w:rsid w:val="009F6E46"/>
    <w:rsid w:val="00A001AA"/>
    <w:rsid w:val="00A002ED"/>
    <w:rsid w:val="00A03372"/>
    <w:rsid w:val="00A03476"/>
    <w:rsid w:val="00A036DE"/>
    <w:rsid w:val="00A0400D"/>
    <w:rsid w:val="00A055FC"/>
    <w:rsid w:val="00A07E2E"/>
    <w:rsid w:val="00A10A07"/>
    <w:rsid w:val="00A14CAB"/>
    <w:rsid w:val="00A211E9"/>
    <w:rsid w:val="00A21A21"/>
    <w:rsid w:val="00A22C95"/>
    <w:rsid w:val="00A266A2"/>
    <w:rsid w:val="00A301F9"/>
    <w:rsid w:val="00A33DEB"/>
    <w:rsid w:val="00A34771"/>
    <w:rsid w:val="00A3483C"/>
    <w:rsid w:val="00A3735E"/>
    <w:rsid w:val="00A37568"/>
    <w:rsid w:val="00A41DC6"/>
    <w:rsid w:val="00A429C3"/>
    <w:rsid w:val="00A4391A"/>
    <w:rsid w:val="00A43F6F"/>
    <w:rsid w:val="00A4682B"/>
    <w:rsid w:val="00A479A3"/>
    <w:rsid w:val="00A50559"/>
    <w:rsid w:val="00A51E01"/>
    <w:rsid w:val="00A520E1"/>
    <w:rsid w:val="00A52771"/>
    <w:rsid w:val="00A5322F"/>
    <w:rsid w:val="00A54806"/>
    <w:rsid w:val="00A574C4"/>
    <w:rsid w:val="00A60154"/>
    <w:rsid w:val="00A61A68"/>
    <w:rsid w:val="00A6241C"/>
    <w:rsid w:val="00A63128"/>
    <w:rsid w:val="00A6363C"/>
    <w:rsid w:val="00A65171"/>
    <w:rsid w:val="00A6722A"/>
    <w:rsid w:val="00A67A30"/>
    <w:rsid w:val="00A71B88"/>
    <w:rsid w:val="00A765B1"/>
    <w:rsid w:val="00A77775"/>
    <w:rsid w:val="00A77E61"/>
    <w:rsid w:val="00A80305"/>
    <w:rsid w:val="00A8138F"/>
    <w:rsid w:val="00A81D04"/>
    <w:rsid w:val="00A8373B"/>
    <w:rsid w:val="00A85D5D"/>
    <w:rsid w:val="00A86566"/>
    <w:rsid w:val="00A875A0"/>
    <w:rsid w:val="00A908D3"/>
    <w:rsid w:val="00A90E27"/>
    <w:rsid w:val="00A91773"/>
    <w:rsid w:val="00A91ECC"/>
    <w:rsid w:val="00A91FFC"/>
    <w:rsid w:val="00A924D6"/>
    <w:rsid w:val="00A94381"/>
    <w:rsid w:val="00A94EDD"/>
    <w:rsid w:val="00A96316"/>
    <w:rsid w:val="00A96A84"/>
    <w:rsid w:val="00AA344F"/>
    <w:rsid w:val="00AA3B58"/>
    <w:rsid w:val="00AA3E91"/>
    <w:rsid w:val="00AA639A"/>
    <w:rsid w:val="00AA7E06"/>
    <w:rsid w:val="00AB361A"/>
    <w:rsid w:val="00AB3A91"/>
    <w:rsid w:val="00AB62A5"/>
    <w:rsid w:val="00AB6B4B"/>
    <w:rsid w:val="00AB6C4A"/>
    <w:rsid w:val="00AB7817"/>
    <w:rsid w:val="00AC1DE3"/>
    <w:rsid w:val="00AC2910"/>
    <w:rsid w:val="00AC3AE3"/>
    <w:rsid w:val="00AC526A"/>
    <w:rsid w:val="00AC5890"/>
    <w:rsid w:val="00AC59AA"/>
    <w:rsid w:val="00AC695E"/>
    <w:rsid w:val="00AC7882"/>
    <w:rsid w:val="00AD2CC9"/>
    <w:rsid w:val="00AD38E4"/>
    <w:rsid w:val="00AD399A"/>
    <w:rsid w:val="00AD4A37"/>
    <w:rsid w:val="00AD50FB"/>
    <w:rsid w:val="00AD5129"/>
    <w:rsid w:val="00AD6C24"/>
    <w:rsid w:val="00AD77F7"/>
    <w:rsid w:val="00AE0AAB"/>
    <w:rsid w:val="00AE0E10"/>
    <w:rsid w:val="00AE20D9"/>
    <w:rsid w:val="00AE33C9"/>
    <w:rsid w:val="00AE3982"/>
    <w:rsid w:val="00AE3B0A"/>
    <w:rsid w:val="00AE3DFC"/>
    <w:rsid w:val="00AE5951"/>
    <w:rsid w:val="00AE626F"/>
    <w:rsid w:val="00AF0069"/>
    <w:rsid w:val="00AF0D0E"/>
    <w:rsid w:val="00AF2986"/>
    <w:rsid w:val="00AF3F29"/>
    <w:rsid w:val="00AF4CA8"/>
    <w:rsid w:val="00AF5095"/>
    <w:rsid w:val="00B02276"/>
    <w:rsid w:val="00B0235B"/>
    <w:rsid w:val="00B04C60"/>
    <w:rsid w:val="00B050E6"/>
    <w:rsid w:val="00B05512"/>
    <w:rsid w:val="00B05D9A"/>
    <w:rsid w:val="00B06116"/>
    <w:rsid w:val="00B062B5"/>
    <w:rsid w:val="00B066D5"/>
    <w:rsid w:val="00B06774"/>
    <w:rsid w:val="00B06ED9"/>
    <w:rsid w:val="00B11D3F"/>
    <w:rsid w:val="00B127A6"/>
    <w:rsid w:val="00B130D0"/>
    <w:rsid w:val="00B14C0F"/>
    <w:rsid w:val="00B14EC5"/>
    <w:rsid w:val="00B15702"/>
    <w:rsid w:val="00B17D58"/>
    <w:rsid w:val="00B20A19"/>
    <w:rsid w:val="00B211B6"/>
    <w:rsid w:val="00B25E09"/>
    <w:rsid w:val="00B26EAF"/>
    <w:rsid w:val="00B30E6F"/>
    <w:rsid w:val="00B32927"/>
    <w:rsid w:val="00B333C2"/>
    <w:rsid w:val="00B34CA0"/>
    <w:rsid w:val="00B35F12"/>
    <w:rsid w:val="00B41944"/>
    <w:rsid w:val="00B41F93"/>
    <w:rsid w:val="00B43203"/>
    <w:rsid w:val="00B4347A"/>
    <w:rsid w:val="00B44A46"/>
    <w:rsid w:val="00B5013F"/>
    <w:rsid w:val="00B51678"/>
    <w:rsid w:val="00B527C9"/>
    <w:rsid w:val="00B53DEA"/>
    <w:rsid w:val="00B550C6"/>
    <w:rsid w:val="00B55A46"/>
    <w:rsid w:val="00B56475"/>
    <w:rsid w:val="00B56A14"/>
    <w:rsid w:val="00B56BF7"/>
    <w:rsid w:val="00B60CDF"/>
    <w:rsid w:val="00B623FC"/>
    <w:rsid w:val="00B62D43"/>
    <w:rsid w:val="00B633C2"/>
    <w:rsid w:val="00B641B4"/>
    <w:rsid w:val="00B65109"/>
    <w:rsid w:val="00B65242"/>
    <w:rsid w:val="00B65508"/>
    <w:rsid w:val="00B6581F"/>
    <w:rsid w:val="00B65C2A"/>
    <w:rsid w:val="00B664A7"/>
    <w:rsid w:val="00B6770F"/>
    <w:rsid w:val="00B67A91"/>
    <w:rsid w:val="00B70699"/>
    <w:rsid w:val="00B72C1D"/>
    <w:rsid w:val="00B72C69"/>
    <w:rsid w:val="00B75402"/>
    <w:rsid w:val="00B75567"/>
    <w:rsid w:val="00B763A2"/>
    <w:rsid w:val="00B7676E"/>
    <w:rsid w:val="00B81A5C"/>
    <w:rsid w:val="00B81D26"/>
    <w:rsid w:val="00B82012"/>
    <w:rsid w:val="00B927CF"/>
    <w:rsid w:val="00B944EE"/>
    <w:rsid w:val="00B949B2"/>
    <w:rsid w:val="00B94B81"/>
    <w:rsid w:val="00B96493"/>
    <w:rsid w:val="00B976E4"/>
    <w:rsid w:val="00BA00DE"/>
    <w:rsid w:val="00BA0206"/>
    <w:rsid w:val="00BA0709"/>
    <w:rsid w:val="00BA07F3"/>
    <w:rsid w:val="00BA352E"/>
    <w:rsid w:val="00BA6BF4"/>
    <w:rsid w:val="00BA71FA"/>
    <w:rsid w:val="00BA77B8"/>
    <w:rsid w:val="00BB08AB"/>
    <w:rsid w:val="00BB16F1"/>
    <w:rsid w:val="00BB27EB"/>
    <w:rsid w:val="00BB5D1F"/>
    <w:rsid w:val="00BB6377"/>
    <w:rsid w:val="00BB6EEC"/>
    <w:rsid w:val="00BB74B8"/>
    <w:rsid w:val="00BC04B7"/>
    <w:rsid w:val="00BC2AB2"/>
    <w:rsid w:val="00BC45C6"/>
    <w:rsid w:val="00BC546C"/>
    <w:rsid w:val="00BC6479"/>
    <w:rsid w:val="00BC73DA"/>
    <w:rsid w:val="00BD09F0"/>
    <w:rsid w:val="00BD20ED"/>
    <w:rsid w:val="00BD341A"/>
    <w:rsid w:val="00BD3E8D"/>
    <w:rsid w:val="00BD5B2B"/>
    <w:rsid w:val="00BD642F"/>
    <w:rsid w:val="00BD7E4F"/>
    <w:rsid w:val="00BE0AE1"/>
    <w:rsid w:val="00BE2E8D"/>
    <w:rsid w:val="00BE4001"/>
    <w:rsid w:val="00BF178F"/>
    <w:rsid w:val="00BF5223"/>
    <w:rsid w:val="00BF52CE"/>
    <w:rsid w:val="00BF5E83"/>
    <w:rsid w:val="00BF7C1E"/>
    <w:rsid w:val="00BF7DD4"/>
    <w:rsid w:val="00C00269"/>
    <w:rsid w:val="00C00714"/>
    <w:rsid w:val="00C00934"/>
    <w:rsid w:val="00C01D76"/>
    <w:rsid w:val="00C02B24"/>
    <w:rsid w:val="00C04C9F"/>
    <w:rsid w:val="00C04F74"/>
    <w:rsid w:val="00C05754"/>
    <w:rsid w:val="00C059A5"/>
    <w:rsid w:val="00C05EA5"/>
    <w:rsid w:val="00C062D7"/>
    <w:rsid w:val="00C063BC"/>
    <w:rsid w:val="00C06859"/>
    <w:rsid w:val="00C07FA6"/>
    <w:rsid w:val="00C10500"/>
    <w:rsid w:val="00C109AA"/>
    <w:rsid w:val="00C1267D"/>
    <w:rsid w:val="00C12C2B"/>
    <w:rsid w:val="00C14072"/>
    <w:rsid w:val="00C140A3"/>
    <w:rsid w:val="00C14D83"/>
    <w:rsid w:val="00C154FA"/>
    <w:rsid w:val="00C158B3"/>
    <w:rsid w:val="00C15ECA"/>
    <w:rsid w:val="00C172C3"/>
    <w:rsid w:val="00C21D9C"/>
    <w:rsid w:val="00C21DAF"/>
    <w:rsid w:val="00C22528"/>
    <w:rsid w:val="00C22843"/>
    <w:rsid w:val="00C22F2B"/>
    <w:rsid w:val="00C27AEF"/>
    <w:rsid w:val="00C30C39"/>
    <w:rsid w:val="00C34378"/>
    <w:rsid w:val="00C41EEE"/>
    <w:rsid w:val="00C4529B"/>
    <w:rsid w:val="00C45BD3"/>
    <w:rsid w:val="00C47242"/>
    <w:rsid w:val="00C478A6"/>
    <w:rsid w:val="00C478DC"/>
    <w:rsid w:val="00C50C6C"/>
    <w:rsid w:val="00C516E8"/>
    <w:rsid w:val="00C54705"/>
    <w:rsid w:val="00C563FF"/>
    <w:rsid w:val="00C56BED"/>
    <w:rsid w:val="00C570B5"/>
    <w:rsid w:val="00C60969"/>
    <w:rsid w:val="00C62427"/>
    <w:rsid w:val="00C631D6"/>
    <w:rsid w:val="00C638D5"/>
    <w:rsid w:val="00C64231"/>
    <w:rsid w:val="00C64B6F"/>
    <w:rsid w:val="00C64BE6"/>
    <w:rsid w:val="00C64E1A"/>
    <w:rsid w:val="00C656F8"/>
    <w:rsid w:val="00C7056F"/>
    <w:rsid w:val="00C70E16"/>
    <w:rsid w:val="00C71E23"/>
    <w:rsid w:val="00C7238D"/>
    <w:rsid w:val="00C73795"/>
    <w:rsid w:val="00C7396B"/>
    <w:rsid w:val="00C80248"/>
    <w:rsid w:val="00C81BD1"/>
    <w:rsid w:val="00C81BDE"/>
    <w:rsid w:val="00C821A8"/>
    <w:rsid w:val="00C82242"/>
    <w:rsid w:val="00C825E9"/>
    <w:rsid w:val="00C82CCB"/>
    <w:rsid w:val="00C84036"/>
    <w:rsid w:val="00C86C0F"/>
    <w:rsid w:val="00C86FCF"/>
    <w:rsid w:val="00C90A6E"/>
    <w:rsid w:val="00C90DEB"/>
    <w:rsid w:val="00C93A2C"/>
    <w:rsid w:val="00C95A74"/>
    <w:rsid w:val="00C97463"/>
    <w:rsid w:val="00C976E6"/>
    <w:rsid w:val="00C9780E"/>
    <w:rsid w:val="00C979FB"/>
    <w:rsid w:val="00C97B5F"/>
    <w:rsid w:val="00CA25B2"/>
    <w:rsid w:val="00CA3037"/>
    <w:rsid w:val="00CA489F"/>
    <w:rsid w:val="00CA493D"/>
    <w:rsid w:val="00CA5AAE"/>
    <w:rsid w:val="00CB1471"/>
    <w:rsid w:val="00CB1735"/>
    <w:rsid w:val="00CB2AD3"/>
    <w:rsid w:val="00CB372C"/>
    <w:rsid w:val="00CB37D5"/>
    <w:rsid w:val="00CB4728"/>
    <w:rsid w:val="00CB4918"/>
    <w:rsid w:val="00CB603E"/>
    <w:rsid w:val="00CB67EE"/>
    <w:rsid w:val="00CC051F"/>
    <w:rsid w:val="00CC0E59"/>
    <w:rsid w:val="00CC19AF"/>
    <w:rsid w:val="00CC1B8C"/>
    <w:rsid w:val="00CC32C1"/>
    <w:rsid w:val="00CC577C"/>
    <w:rsid w:val="00CC762D"/>
    <w:rsid w:val="00CC7F75"/>
    <w:rsid w:val="00CD3FC0"/>
    <w:rsid w:val="00CD5969"/>
    <w:rsid w:val="00CD5C29"/>
    <w:rsid w:val="00CD5FC1"/>
    <w:rsid w:val="00CE0ECA"/>
    <w:rsid w:val="00CE1E95"/>
    <w:rsid w:val="00CE3840"/>
    <w:rsid w:val="00CE3AF3"/>
    <w:rsid w:val="00CE3B8A"/>
    <w:rsid w:val="00CE43FB"/>
    <w:rsid w:val="00CE4645"/>
    <w:rsid w:val="00CE495C"/>
    <w:rsid w:val="00CE6896"/>
    <w:rsid w:val="00CE7F0E"/>
    <w:rsid w:val="00CF0398"/>
    <w:rsid w:val="00CF1D87"/>
    <w:rsid w:val="00CF258F"/>
    <w:rsid w:val="00CF4A77"/>
    <w:rsid w:val="00CF5C05"/>
    <w:rsid w:val="00CF7EFE"/>
    <w:rsid w:val="00D01DBC"/>
    <w:rsid w:val="00D0232C"/>
    <w:rsid w:val="00D0412C"/>
    <w:rsid w:val="00D05097"/>
    <w:rsid w:val="00D06B0C"/>
    <w:rsid w:val="00D07D46"/>
    <w:rsid w:val="00D103D0"/>
    <w:rsid w:val="00D10FE1"/>
    <w:rsid w:val="00D13F3B"/>
    <w:rsid w:val="00D15FCC"/>
    <w:rsid w:val="00D16AD1"/>
    <w:rsid w:val="00D16F30"/>
    <w:rsid w:val="00D17342"/>
    <w:rsid w:val="00D200FE"/>
    <w:rsid w:val="00D22D7E"/>
    <w:rsid w:val="00D2457B"/>
    <w:rsid w:val="00D26232"/>
    <w:rsid w:val="00D3038D"/>
    <w:rsid w:val="00D310C7"/>
    <w:rsid w:val="00D32742"/>
    <w:rsid w:val="00D339DC"/>
    <w:rsid w:val="00D33B7E"/>
    <w:rsid w:val="00D33C73"/>
    <w:rsid w:val="00D34029"/>
    <w:rsid w:val="00D34B9A"/>
    <w:rsid w:val="00D357A7"/>
    <w:rsid w:val="00D35BBA"/>
    <w:rsid w:val="00D3610B"/>
    <w:rsid w:val="00D40BD3"/>
    <w:rsid w:val="00D4169B"/>
    <w:rsid w:val="00D41822"/>
    <w:rsid w:val="00D41D3B"/>
    <w:rsid w:val="00D43891"/>
    <w:rsid w:val="00D43C78"/>
    <w:rsid w:val="00D450F6"/>
    <w:rsid w:val="00D45FF3"/>
    <w:rsid w:val="00D4710B"/>
    <w:rsid w:val="00D501E8"/>
    <w:rsid w:val="00D505CC"/>
    <w:rsid w:val="00D506EC"/>
    <w:rsid w:val="00D53937"/>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095"/>
    <w:rsid w:val="00D73CF7"/>
    <w:rsid w:val="00D77F36"/>
    <w:rsid w:val="00D80CB9"/>
    <w:rsid w:val="00D817C7"/>
    <w:rsid w:val="00D82FB7"/>
    <w:rsid w:val="00D836EC"/>
    <w:rsid w:val="00D87EC2"/>
    <w:rsid w:val="00D92042"/>
    <w:rsid w:val="00D93104"/>
    <w:rsid w:val="00D93620"/>
    <w:rsid w:val="00D9456C"/>
    <w:rsid w:val="00D945AD"/>
    <w:rsid w:val="00D94F0E"/>
    <w:rsid w:val="00DA0174"/>
    <w:rsid w:val="00DA2704"/>
    <w:rsid w:val="00DA2EEB"/>
    <w:rsid w:val="00DA701A"/>
    <w:rsid w:val="00DB0A16"/>
    <w:rsid w:val="00DB1D27"/>
    <w:rsid w:val="00DB2251"/>
    <w:rsid w:val="00DB3040"/>
    <w:rsid w:val="00DB3740"/>
    <w:rsid w:val="00DB5C9B"/>
    <w:rsid w:val="00DB5EBA"/>
    <w:rsid w:val="00DB7CC5"/>
    <w:rsid w:val="00DC0BC9"/>
    <w:rsid w:val="00DC1FAE"/>
    <w:rsid w:val="00DC229B"/>
    <w:rsid w:val="00DC23B3"/>
    <w:rsid w:val="00DC267C"/>
    <w:rsid w:val="00DC6719"/>
    <w:rsid w:val="00DC7863"/>
    <w:rsid w:val="00DD1161"/>
    <w:rsid w:val="00DD1780"/>
    <w:rsid w:val="00DD1A72"/>
    <w:rsid w:val="00DD22D3"/>
    <w:rsid w:val="00DD3181"/>
    <w:rsid w:val="00DD4C18"/>
    <w:rsid w:val="00DD4CD7"/>
    <w:rsid w:val="00DD6891"/>
    <w:rsid w:val="00DD6EE1"/>
    <w:rsid w:val="00DE022A"/>
    <w:rsid w:val="00DE02F6"/>
    <w:rsid w:val="00DE0FDD"/>
    <w:rsid w:val="00DE0FE4"/>
    <w:rsid w:val="00DE1410"/>
    <w:rsid w:val="00DE40CF"/>
    <w:rsid w:val="00DE4643"/>
    <w:rsid w:val="00DE5806"/>
    <w:rsid w:val="00DE7551"/>
    <w:rsid w:val="00DF2791"/>
    <w:rsid w:val="00DF2C4B"/>
    <w:rsid w:val="00DF7420"/>
    <w:rsid w:val="00E02C68"/>
    <w:rsid w:val="00E047E0"/>
    <w:rsid w:val="00E04E4E"/>
    <w:rsid w:val="00E04F72"/>
    <w:rsid w:val="00E0540A"/>
    <w:rsid w:val="00E105DA"/>
    <w:rsid w:val="00E133F9"/>
    <w:rsid w:val="00E15443"/>
    <w:rsid w:val="00E16E76"/>
    <w:rsid w:val="00E217C3"/>
    <w:rsid w:val="00E24250"/>
    <w:rsid w:val="00E24E95"/>
    <w:rsid w:val="00E25D4F"/>
    <w:rsid w:val="00E31072"/>
    <w:rsid w:val="00E3264F"/>
    <w:rsid w:val="00E33CE1"/>
    <w:rsid w:val="00E33D00"/>
    <w:rsid w:val="00E341C2"/>
    <w:rsid w:val="00E342A8"/>
    <w:rsid w:val="00E40BC8"/>
    <w:rsid w:val="00E4186C"/>
    <w:rsid w:val="00E42CA2"/>
    <w:rsid w:val="00E45CF6"/>
    <w:rsid w:val="00E47CB6"/>
    <w:rsid w:val="00E60873"/>
    <w:rsid w:val="00E627A0"/>
    <w:rsid w:val="00E649C1"/>
    <w:rsid w:val="00E64A9F"/>
    <w:rsid w:val="00E650A5"/>
    <w:rsid w:val="00E65533"/>
    <w:rsid w:val="00E673D8"/>
    <w:rsid w:val="00E67EAA"/>
    <w:rsid w:val="00E70963"/>
    <w:rsid w:val="00E709BE"/>
    <w:rsid w:val="00E712DA"/>
    <w:rsid w:val="00E724DF"/>
    <w:rsid w:val="00E730B7"/>
    <w:rsid w:val="00E7396D"/>
    <w:rsid w:val="00E73AE1"/>
    <w:rsid w:val="00E748EB"/>
    <w:rsid w:val="00E74E0D"/>
    <w:rsid w:val="00E7509A"/>
    <w:rsid w:val="00E757C3"/>
    <w:rsid w:val="00E75D2E"/>
    <w:rsid w:val="00E81C11"/>
    <w:rsid w:val="00E82694"/>
    <w:rsid w:val="00E83192"/>
    <w:rsid w:val="00E838D8"/>
    <w:rsid w:val="00E84BA3"/>
    <w:rsid w:val="00E852E7"/>
    <w:rsid w:val="00E85458"/>
    <w:rsid w:val="00E85BB7"/>
    <w:rsid w:val="00E85E34"/>
    <w:rsid w:val="00E90ADC"/>
    <w:rsid w:val="00E92DF5"/>
    <w:rsid w:val="00E92FF5"/>
    <w:rsid w:val="00E95B41"/>
    <w:rsid w:val="00E9681D"/>
    <w:rsid w:val="00E972CA"/>
    <w:rsid w:val="00E97AC4"/>
    <w:rsid w:val="00EA006D"/>
    <w:rsid w:val="00EA5BC8"/>
    <w:rsid w:val="00EA74D3"/>
    <w:rsid w:val="00EB22B1"/>
    <w:rsid w:val="00EB3BE0"/>
    <w:rsid w:val="00EB6BF4"/>
    <w:rsid w:val="00EB7571"/>
    <w:rsid w:val="00EC0B78"/>
    <w:rsid w:val="00EC47F6"/>
    <w:rsid w:val="00EC5960"/>
    <w:rsid w:val="00EC6CB3"/>
    <w:rsid w:val="00EC6E6F"/>
    <w:rsid w:val="00ED00AF"/>
    <w:rsid w:val="00ED059D"/>
    <w:rsid w:val="00ED0779"/>
    <w:rsid w:val="00ED3015"/>
    <w:rsid w:val="00ED428B"/>
    <w:rsid w:val="00ED6B02"/>
    <w:rsid w:val="00ED6BFC"/>
    <w:rsid w:val="00EE2C82"/>
    <w:rsid w:val="00EE474F"/>
    <w:rsid w:val="00EE51FE"/>
    <w:rsid w:val="00EF072C"/>
    <w:rsid w:val="00EF13F6"/>
    <w:rsid w:val="00EF75DD"/>
    <w:rsid w:val="00F00952"/>
    <w:rsid w:val="00F05DB8"/>
    <w:rsid w:val="00F05E35"/>
    <w:rsid w:val="00F07AB0"/>
    <w:rsid w:val="00F07B02"/>
    <w:rsid w:val="00F110DC"/>
    <w:rsid w:val="00F124FE"/>
    <w:rsid w:val="00F12BC9"/>
    <w:rsid w:val="00F13402"/>
    <w:rsid w:val="00F14B17"/>
    <w:rsid w:val="00F14B3C"/>
    <w:rsid w:val="00F16DC8"/>
    <w:rsid w:val="00F231C3"/>
    <w:rsid w:val="00F2457B"/>
    <w:rsid w:val="00F2549E"/>
    <w:rsid w:val="00F257D1"/>
    <w:rsid w:val="00F257F1"/>
    <w:rsid w:val="00F266D0"/>
    <w:rsid w:val="00F27445"/>
    <w:rsid w:val="00F301F7"/>
    <w:rsid w:val="00F3055B"/>
    <w:rsid w:val="00F31C20"/>
    <w:rsid w:val="00F31C8A"/>
    <w:rsid w:val="00F32697"/>
    <w:rsid w:val="00F32CD3"/>
    <w:rsid w:val="00F3458E"/>
    <w:rsid w:val="00F350F0"/>
    <w:rsid w:val="00F3526D"/>
    <w:rsid w:val="00F352A5"/>
    <w:rsid w:val="00F370BD"/>
    <w:rsid w:val="00F40F44"/>
    <w:rsid w:val="00F431D9"/>
    <w:rsid w:val="00F44349"/>
    <w:rsid w:val="00F44659"/>
    <w:rsid w:val="00F45A67"/>
    <w:rsid w:val="00F47952"/>
    <w:rsid w:val="00F51CDA"/>
    <w:rsid w:val="00F52458"/>
    <w:rsid w:val="00F55956"/>
    <w:rsid w:val="00F55D70"/>
    <w:rsid w:val="00F56641"/>
    <w:rsid w:val="00F571CE"/>
    <w:rsid w:val="00F576DC"/>
    <w:rsid w:val="00F628AA"/>
    <w:rsid w:val="00F66D09"/>
    <w:rsid w:val="00F71623"/>
    <w:rsid w:val="00F71ABC"/>
    <w:rsid w:val="00F723D7"/>
    <w:rsid w:val="00F72F3E"/>
    <w:rsid w:val="00F73648"/>
    <w:rsid w:val="00F746B1"/>
    <w:rsid w:val="00F74C2B"/>
    <w:rsid w:val="00F7503B"/>
    <w:rsid w:val="00F7587A"/>
    <w:rsid w:val="00F75C1D"/>
    <w:rsid w:val="00F767FA"/>
    <w:rsid w:val="00F7702F"/>
    <w:rsid w:val="00F8056E"/>
    <w:rsid w:val="00F80742"/>
    <w:rsid w:val="00F80D89"/>
    <w:rsid w:val="00F84538"/>
    <w:rsid w:val="00F85B09"/>
    <w:rsid w:val="00F85C07"/>
    <w:rsid w:val="00F91520"/>
    <w:rsid w:val="00F91E72"/>
    <w:rsid w:val="00F9384F"/>
    <w:rsid w:val="00F93C4B"/>
    <w:rsid w:val="00F93FDC"/>
    <w:rsid w:val="00F94CA3"/>
    <w:rsid w:val="00F96DAA"/>
    <w:rsid w:val="00F97211"/>
    <w:rsid w:val="00F97C39"/>
    <w:rsid w:val="00FA06D7"/>
    <w:rsid w:val="00FA12D8"/>
    <w:rsid w:val="00FA19FA"/>
    <w:rsid w:val="00FA1EF6"/>
    <w:rsid w:val="00FA37FC"/>
    <w:rsid w:val="00FA57F1"/>
    <w:rsid w:val="00FA5B7A"/>
    <w:rsid w:val="00FA6FB2"/>
    <w:rsid w:val="00FA77B4"/>
    <w:rsid w:val="00FB0333"/>
    <w:rsid w:val="00FB08A8"/>
    <w:rsid w:val="00FB0EA3"/>
    <w:rsid w:val="00FB1846"/>
    <w:rsid w:val="00FB363C"/>
    <w:rsid w:val="00FB37DA"/>
    <w:rsid w:val="00FB5745"/>
    <w:rsid w:val="00FB584B"/>
    <w:rsid w:val="00FB6017"/>
    <w:rsid w:val="00FB6CA3"/>
    <w:rsid w:val="00FC16A3"/>
    <w:rsid w:val="00FC3B2B"/>
    <w:rsid w:val="00FC4734"/>
    <w:rsid w:val="00FC5490"/>
    <w:rsid w:val="00FC5AB7"/>
    <w:rsid w:val="00FC637E"/>
    <w:rsid w:val="00FD1BEB"/>
    <w:rsid w:val="00FD2337"/>
    <w:rsid w:val="00FD4093"/>
    <w:rsid w:val="00FD44D5"/>
    <w:rsid w:val="00FD54C1"/>
    <w:rsid w:val="00FE1EB3"/>
    <w:rsid w:val="00FE3D62"/>
    <w:rsid w:val="00FE47A8"/>
    <w:rsid w:val="00FE4F85"/>
    <w:rsid w:val="00FE57D6"/>
    <w:rsid w:val="00FE6ACA"/>
    <w:rsid w:val="00FE6B42"/>
    <w:rsid w:val="00FE70FA"/>
    <w:rsid w:val="00FF0E18"/>
    <w:rsid w:val="00FF3F4F"/>
    <w:rsid w:val="00FF5D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7506EB44"/>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25"/>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7"/>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1"/>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13"/>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14"/>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8"/>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paragraph" w:customStyle="1" w:styleId="AGbodytext">
    <w:name w:val="AG body text"/>
    <w:basedOn w:val="Normal"/>
    <w:rsid w:val="00AE33C9"/>
    <w:pPr>
      <w:spacing w:line="240" w:lineRule="auto"/>
    </w:pPr>
    <w:rPr>
      <w:rFonts w:eastAsia="Times New Roman" w:cs="Times New Roman"/>
      <w:szCs w:val="24"/>
    </w:rPr>
  </w:style>
  <w:style w:type="paragraph" w:customStyle="1" w:styleId="111bull">
    <w:name w:val="111 bull"/>
    <w:basedOn w:val="ListParagraph"/>
    <w:uiPriority w:val="99"/>
    <w:qFormat/>
    <w:rsid w:val="00AE33C9"/>
    <w:pPr>
      <w:numPr>
        <w:numId w:val="0"/>
      </w:numPr>
      <w:autoSpaceDE/>
      <w:autoSpaceDN/>
      <w:adjustRightInd/>
      <w:spacing w:before="120" w:after="0"/>
      <w:contextualSpacing/>
    </w:pPr>
    <w:rPr>
      <w:rFonts w:ascii="Arial" w:eastAsiaTheme="minorHAnsi" w:hAnsi="Arial" w:cs="Arial"/>
    </w:rPr>
  </w:style>
  <w:style w:type="paragraph" w:customStyle="1" w:styleId="12ndBullet">
    <w:name w:val="1 2nd Bullet"/>
    <w:basedOn w:val="Normal"/>
    <w:rsid w:val="00B60CDF"/>
    <w:pPr>
      <w:numPr>
        <w:numId w:val="30"/>
      </w:numPr>
      <w:spacing w:line="240" w:lineRule="auto"/>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8.emf"/><Relationship Id="rId39" Type="http://schemas.openxmlformats.org/officeDocument/2006/relationships/header" Target="header12.xml"/><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eader" Target="header15.xml"/><Relationship Id="rId47" Type="http://schemas.openxmlformats.org/officeDocument/2006/relationships/image" Target="media/image17.png"/><Relationship Id="rId50" Type="http://schemas.openxmlformats.org/officeDocument/2006/relationships/header" Target="header20.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image" Target="media/image13.png"/><Relationship Id="rId38" Type="http://schemas.openxmlformats.org/officeDocument/2006/relationships/header" Target="header11.xml"/><Relationship Id="rId46"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8.xml"/><Relationship Id="rId41" Type="http://schemas.openxmlformats.org/officeDocument/2006/relationships/header" Target="header1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12.pn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header" Target="header18.xml"/><Relationship Id="rId53" Type="http://schemas.openxmlformats.org/officeDocument/2006/relationships/header" Target="header22.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image" Target="media/image16.png"/><Relationship Id="rId49"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1.png"/><Relationship Id="rId44" Type="http://schemas.openxmlformats.org/officeDocument/2006/relationships/header" Target="header17.xm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package" Target="embeddings/Microsoft_PowerPoint_Presentation.pptx"/><Relationship Id="rId30" Type="http://schemas.openxmlformats.org/officeDocument/2006/relationships/header" Target="header9.xml"/><Relationship Id="rId35" Type="http://schemas.openxmlformats.org/officeDocument/2006/relationships/image" Target="media/image15.png"/><Relationship Id="rId43" Type="http://schemas.openxmlformats.org/officeDocument/2006/relationships/header" Target="header16.xml"/><Relationship Id="rId48" Type="http://schemas.openxmlformats.org/officeDocument/2006/relationships/image" Target="media/image18.png"/><Relationship Id="rId8" Type="http://schemas.openxmlformats.org/officeDocument/2006/relationships/settings" Target="settings.xml"/><Relationship Id="rId51" Type="http://schemas.openxmlformats.org/officeDocument/2006/relationships/header" Target="header21.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2.xml><?xml version="1.0" encoding="utf-8"?>
<ds:datastoreItem xmlns:ds="http://schemas.openxmlformats.org/officeDocument/2006/customXml" ds:itemID="{E69A48B3-C5E3-4AEE-A6B5-752F81DC4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5.xml><?xml version="1.0" encoding="utf-8"?>
<ds:datastoreItem xmlns:ds="http://schemas.openxmlformats.org/officeDocument/2006/customXml" ds:itemID="{6436DEA0-381A-432B-8C3A-48129B86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50</Pages>
  <Words>13557</Words>
  <Characters>77281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90657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Motala,Zaid</cp:lastModifiedBy>
  <cp:revision>5</cp:revision>
  <cp:lastPrinted>2020-05-28T11:32:00Z</cp:lastPrinted>
  <dcterms:created xsi:type="dcterms:W3CDTF">2020-09-16T11:00:00Z</dcterms:created>
  <dcterms:modified xsi:type="dcterms:W3CDTF">2020-09-16T11:09:00Z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