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Pr="0077659B" w:rsidRDefault="00C22F2B" w:rsidP="0039423B">
      <w:pPr>
        <w:shd w:val="clear" w:color="auto" w:fill="FFFFFF"/>
        <w:spacing w:after="240" w:line="240" w:lineRule="auto"/>
        <w:rPr>
          <w:rStyle w:val="BookTitle"/>
          <w:rFonts w:eastAsiaTheme="minorHAnsi"/>
        </w:rPr>
      </w:pPr>
      <w:r w:rsidRPr="0077659B">
        <w:rPr>
          <w:rStyle w:val="BookTitle"/>
          <w:rFonts w:eastAsiaTheme="minorHAnsi"/>
        </w:rPr>
        <w:t>FINAL MANAGEMENT REPORT</w:t>
      </w:r>
    </w:p>
    <w:p w:rsidR="0031365D" w:rsidRPr="0031365D" w:rsidRDefault="00207BB1" w:rsidP="0031365D">
      <w:pPr>
        <w:shd w:val="clear" w:color="auto" w:fill="FFFFFF"/>
        <w:spacing w:after="240" w:line="240" w:lineRule="auto"/>
        <w:rPr>
          <w:rStyle w:val="BookTitle"/>
          <w:rFonts w:eastAsiaTheme="minorHAnsi"/>
          <w:sz w:val="36"/>
          <w:szCs w:val="36"/>
        </w:rPr>
      </w:pPr>
      <w:r w:rsidRPr="0031365D">
        <w:rPr>
          <w:rStyle w:val="BookTitle"/>
          <w:rFonts w:eastAsiaTheme="minorHAnsi"/>
          <w:sz w:val="36"/>
          <w:szCs w:val="36"/>
        </w:rPr>
        <w:t>Department of Public Works and Infrastructure</w:t>
      </w:r>
      <w:r w:rsidRPr="0031365D" w:rsidDel="00207BB1">
        <w:rPr>
          <w:rStyle w:val="BookTitle"/>
          <w:rFonts w:eastAsiaTheme="minorHAnsi"/>
          <w:sz w:val="36"/>
          <w:szCs w:val="36"/>
        </w:rPr>
        <w:t xml:space="preserve"> </w:t>
      </w:r>
    </w:p>
    <w:p w:rsidR="00C22F2B" w:rsidRPr="00BB6EEC" w:rsidRDefault="00207BB1" w:rsidP="00C22F2B">
      <w:pPr>
        <w:spacing w:line="240" w:lineRule="auto"/>
        <w:rPr>
          <w:rStyle w:val="Strong"/>
          <w:rFonts w:eastAsiaTheme="minorHAnsi"/>
        </w:rPr>
      </w:pPr>
      <w:r>
        <w:rPr>
          <w:rStyle w:val="Strong"/>
          <w:rFonts w:eastAsiaTheme="minorHAnsi"/>
        </w:rPr>
        <w:t>31 March 2021</w:t>
      </w:r>
    </w:p>
    <w:p w:rsidR="003A047F" w:rsidRPr="0077659B" w:rsidRDefault="003A047F" w:rsidP="003A047F">
      <w:pPr>
        <w:spacing w:line="240" w:lineRule="auto"/>
        <w:rPr>
          <w:rStyle w:val="Strong"/>
          <w:rFonts w:eastAsiaTheme="minorHAnsi"/>
        </w:rPr>
      </w:pPr>
      <w:r w:rsidRPr="0077659B">
        <w:rPr>
          <w:rStyle w:val="Strong"/>
          <w:rFonts w:eastAsiaTheme="minorHAnsi"/>
        </w:rPr>
        <w:t xml:space="preserve">Communicated to the accounting authority: </w:t>
      </w:r>
      <w:r w:rsidR="00207BB1">
        <w:rPr>
          <w:rStyle w:val="Strong"/>
          <w:rFonts w:eastAsiaTheme="minorHAnsi"/>
        </w:rPr>
        <w:t>XX July 2021</w:t>
      </w:r>
    </w:p>
    <w:p w:rsidR="00C22F2B" w:rsidRPr="0077659B" w:rsidRDefault="00C22F2B" w:rsidP="00C22F2B">
      <w:pPr>
        <w:spacing w:after="0" w:line="240" w:lineRule="auto"/>
        <w:rPr>
          <w:rFonts w:eastAsia="Times New Roman" w:cs="Arial"/>
          <w:b/>
        </w:rPr>
      </w:pPr>
    </w:p>
    <w:p w:rsidR="00C22F2B" w:rsidRPr="0077659B" w:rsidRDefault="00C22F2B" w:rsidP="00C22F2B">
      <w:pPr>
        <w:spacing w:after="0" w:line="240" w:lineRule="auto"/>
        <w:rPr>
          <w:rFonts w:eastAsia="Times New Roman" w:cs="Arial"/>
          <w:b/>
          <w:bCs/>
          <w:spacing w:val="-4"/>
        </w:rPr>
      </w:pPr>
    </w:p>
    <w:p w:rsidR="00E14DA8" w:rsidRDefault="00E14DA8" w:rsidP="00C22F2B">
      <w:pPr>
        <w:spacing w:after="0" w:line="240" w:lineRule="auto"/>
        <w:rPr>
          <w:rFonts w:eastAsia="Times New Roman" w:cs="Arial"/>
          <w:b/>
          <w:bCs/>
          <w:spacing w:val="-4"/>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Default="00E14DA8" w:rsidP="00E14DA8">
      <w:pPr>
        <w:rPr>
          <w:rFonts w:eastAsia="Times New Roman" w:cs="Arial"/>
        </w:rPr>
      </w:pPr>
    </w:p>
    <w:p w:rsidR="00E14DA8" w:rsidRDefault="00E14DA8" w:rsidP="00871C3E">
      <w:pPr>
        <w:tabs>
          <w:tab w:val="left" w:pos="1932"/>
        </w:tabs>
        <w:rPr>
          <w:rFonts w:eastAsia="Times New Roman" w:cs="Arial"/>
        </w:rPr>
      </w:pPr>
      <w:r>
        <w:rPr>
          <w:rFonts w:eastAsia="Times New Roman" w:cs="Arial"/>
        </w:rPr>
        <w:tab/>
      </w:r>
    </w:p>
    <w:p w:rsidR="001E213E" w:rsidRPr="00871C3E" w:rsidRDefault="00E14DA8" w:rsidP="00871C3E">
      <w:pPr>
        <w:tabs>
          <w:tab w:val="left" w:pos="1932"/>
        </w:tabs>
        <w:rPr>
          <w:rFonts w:eastAsia="Times New Roman" w:cs="Arial"/>
        </w:rPr>
        <w:sectPr w:rsidR="001E213E" w:rsidRPr="00871C3E" w:rsidSect="00C12C2B">
          <w:headerReference w:type="even" r:id="rId12"/>
          <w:headerReference w:type="default" r:id="rId13"/>
          <w:footerReference w:type="even" r:id="rId14"/>
          <w:footerReference w:type="default" r:id="rId15"/>
          <w:headerReference w:type="first" r:id="rId16"/>
          <w:footerReference w:type="first" r:id="rId17"/>
          <w:endnotePr>
            <w:numFmt w:val="decimal"/>
          </w:endnotePr>
          <w:pgSz w:w="11906" w:h="16838" w:code="9"/>
          <w:pgMar w:top="1134" w:right="1134" w:bottom="1134" w:left="1134" w:header="1814" w:footer="680" w:gutter="0"/>
          <w:pgNumType w:start="1"/>
          <w:cols w:space="720"/>
        </w:sectPr>
      </w:pPr>
      <w:r>
        <w:rPr>
          <w:rFonts w:eastAsia="Times New Roman" w:cs="Arial"/>
        </w:rPr>
        <w:tab/>
      </w:r>
    </w:p>
    <w:p w:rsidR="00C22F2B" w:rsidRPr="0077659B" w:rsidRDefault="00C22F2B" w:rsidP="00253FDE">
      <w:pPr>
        <w:pStyle w:val="Title"/>
      </w:pPr>
      <w:r w:rsidRPr="0077659B">
        <w:lastRenderedPageBreak/>
        <w:t>MANAGEMENT REPORT</w:t>
      </w:r>
    </w:p>
    <w:p w:rsidR="001F4292" w:rsidRPr="0031365D" w:rsidRDefault="0021520F" w:rsidP="0031365D">
      <w:pPr>
        <w:pStyle w:val="Title"/>
        <w:rPr>
          <w:sz w:val="22"/>
          <w:szCs w:val="22"/>
        </w:rPr>
      </w:pPr>
      <w:r w:rsidRPr="0031365D">
        <w:rPr>
          <w:sz w:val="22"/>
          <w:szCs w:val="22"/>
        </w:rPr>
        <w:t>Department of Public Works and Infrastructure</w:t>
      </w:r>
      <w:r w:rsidRPr="0031365D" w:rsidDel="00207BB1">
        <w:rPr>
          <w:sz w:val="22"/>
          <w:szCs w:val="22"/>
        </w:rPr>
        <w:t xml:space="preserve"> </w:t>
      </w:r>
    </w:p>
    <w:p w:rsidR="001F4292" w:rsidRDefault="0021520F" w:rsidP="00C22F2B">
      <w:pPr>
        <w:spacing w:after="0" w:line="240" w:lineRule="auto"/>
        <w:jc w:val="both"/>
        <w:rPr>
          <w:rStyle w:val="Strong"/>
          <w:rFonts w:eastAsiaTheme="minorHAnsi"/>
        </w:rPr>
      </w:pPr>
      <w:r>
        <w:rPr>
          <w:rStyle w:val="Strong"/>
          <w:rFonts w:eastAsiaTheme="minorHAnsi"/>
        </w:rPr>
        <w:t>31 March 2021</w:t>
      </w:r>
    </w:p>
    <w:p w:rsidR="00C22F2B" w:rsidRDefault="00C22F2B" w:rsidP="00C22F2B">
      <w:pPr>
        <w:spacing w:after="0" w:line="240" w:lineRule="auto"/>
        <w:jc w:val="both"/>
        <w:rPr>
          <w:rStyle w:val="Strong"/>
          <w:rFonts w:eastAsiaTheme="minorHAnsi"/>
        </w:rPr>
      </w:pPr>
      <w:r w:rsidRPr="0077659B">
        <w:rPr>
          <w:rStyle w:val="Strong"/>
          <w:rFonts w:eastAsiaTheme="minorHAnsi"/>
        </w:rPr>
        <w:t>Discussed with</w:t>
      </w:r>
      <w:r w:rsidR="003A047F" w:rsidRPr="0077659B">
        <w:rPr>
          <w:rStyle w:val="Strong"/>
          <w:rFonts w:eastAsiaTheme="minorHAnsi"/>
        </w:rPr>
        <w:t xml:space="preserve"> the accounting officer</w:t>
      </w:r>
      <w:r w:rsidRPr="0077659B">
        <w:rPr>
          <w:rStyle w:val="Strong"/>
          <w:rFonts w:eastAsiaTheme="minorHAnsi"/>
        </w:rPr>
        <w:t xml:space="preserve"> on: </w:t>
      </w:r>
      <w:r w:rsidR="0021520F">
        <w:rPr>
          <w:rStyle w:val="Strong"/>
          <w:rFonts w:eastAsiaTheme="minorHAnsi"/>
        </w:rPr>
        <w:t>XX July 2021</w:t>
      </w:r>
    </w:p>
    <w:p w:rsidR="00C00269" w:rsidRPr="0077659B" w:rsidRDefault="00C00269" w:rsidP="00C22F2B">
      <w:pPr>
        <w:spacing w:after="0" w:line="240" w:lineRule="auto"/>
        <w:jc w:val="both"/>
        <w:rPr>
          <w:rStyle w:val="Strong"/>
          <w:rFonts w:eastAsiaTheme="minorHAnsi"/>
        </w:rPr>
      </w:pPr>
    </w:p>
    <w:sdt>
      <w:sdtPr>
        <w:rPr>
          <w:rFonts w:asciiTheme="minorHAnsi" w:eastAsiaTheme="minorHAnsi" w:hAnsiTheme="minorHAnsi" w:cstheme="minorBidi"/>
          <w:bCs/>
          <w:iCs/>
          <w:color w:val="auto"/>
          <w:sz w:val="24"/>
          <w:szCs w:val="24"/>
        </w:rPr>
        <w:id w:val="-349726486"/>
        <w:docPartObj>
          <w:docPartGallery w:val="Table of Contents"/>
          <w:docPartUnique/>
        </w:docPartObj>
      </w:sdtPr>
      <w:sdtEndPr>
        <w:rPr>
          <w:rFonts w:ascii="Arial" w:hAnsi="Arial"/>
          <w:b w:val="0"/>
          <w:bCs w:val="0"/>
          <w:noProof/>
          <w:sz w:val="22"/>
          <w:szCs w:val="22"/>
        </w:rPr>
      </w:sdtEndPr>
      <w:sdtContent>
        <w:p w:rsidR="001F4292" w:rsidRDefault="001F1CF5">
          <w:pPr>
            <w:pStyle w:val="TOC2"/>
            <w:rPr>
              <w:noProof/>
            </w:rPr>
          </w:pPr>
          <w:r w:rsidRPr="00C00269">
            <w:t>CONTENT</w:t>
          </w:r>
          <w:r w:rsidR="006A7CD8" w:rsidRPr="0077659B">
            <w:fldChar w:fldCharType="begin"/>
          </w:r>
          <w:r w:rsidR="006A7CD8" w:rsidRPr="0077659B">
            <w:instrText xml:space="preserve"> TOC \o "2-2" \h \z \t "Heading 3,3" </w:instrText>
          </w:r>
          <w:r w:rsidR="006A7CD8" w:rsidRPr="0077659B">
            <w:fldChar w:fldCharType="separate"/>
          </w:r>
        </w:p>
        <w:p w:rsidR="001F4292" w:rsidRDefault="009C0B03">
          <w:pPr>
            <w:pStyle w:val="TOC2"/>
            <w:rPr>
              <w:rFonts w:asciiTheme="minorHAnsi" w:eastAsiaTheme="minorEastAsia" w:hAnsiTheme="minorHAnsi" w:cstheme="minorBidi"/>
              <w:b w:val="0"/>
              <w:noProof/>
              <w:color w:val="auto"/>
              <w:szCs w:val="22"/>
              <w:lang w:eastAsia="en-ZA"/>
            </w:rPr>
          </w:pPr>
          <w:hyperlink w:anchor="_Toc77816769" w:history="1">
            <w:r w:rsidR="001F4292" w:rsidRPr="00223BDE">
              <w:rPr>
                <w:rStyle w:val="Hyperlink"/>
                <w:noProof/>
              </w:rPr>
              <w:t>MANAGEMENT REPORT TO THE ACCOUNTING OFFICER ON THE AUDIT OF THE DEPARTMENT OF PUBLIC WORKS AND INFRASTRUCTURE FOR THE YEAR ENDED 31 MARCH 2021</w:t>
            </w:r>
            <w:r w:rsidR="001F4292">
              <w:rPr>
                <w:noProof/>
                <w:webHidden/>
              </w:rPr>
              <w:tab/>
            </w:r>
            <w:r w:rsidR="001F4292">
              <w:rPr>
                <w:noProof/>
                <w:webHidden/>
              </w:rPr>
              <w:fldChar w:fldCharType="begin"/>
            </w:r>
            <w:r w:rsidR="001F4292">
              <w:rPr>
                <w:noProof/>
                <w:webHidden/>
              </w:rPr>
              <w:instrText xml:space="preserve"> PAGEREF _Toc77816769 \h </w:instrText>
            </w:r>
            <w:r w:rsidR="001F4292">
              <w:rPr>
                <w:noProof/>
                <w:webHidden/>
              </w:rPr>
            </w:r>
            <w:r w:rsidR="001F4292">
              <w:rPr>
                <w:noProof/>
                <w:webHidden/>
              </w:rPr>
              <w:fldChar w:fldCharType="separate"/>
            </w:r>
            <w:r w:rsidR="001F4292">
              <w:rPr>
                <w:noProof/>
                <w:webHidden/>
              </w:rPr>
              <w:t>5</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70" w:history="1">
            <w:r w:rsidR="001F4292" w:rsidRPr="00223BDE">
              <w:rPr>
                <w:rStyle w:val="Hyperlink"/>
                <w:noProof/>
              </w:rPr>
              <w:t>INTRODUCTION</w:t>
            </w:r>
            <w:r w:rsidR="001F4292">
              <w:rPr>
                <w:noProof/>
                <w:webHidden/>
              </w:rPr>
              <w:tab/>
            </w:r>
            <w:r w:rsidR="001F4292">
              <w:rPr>
                <w:noProof/>
                <w:webHidden/>
              </w:rPr>
              <w:fldChar w:fldCharType="begin"/>
            </w:r>
            <w:r w:rsidR="001F4292">
              <w:rPr>
                <w:noProof/>
                <w:webHidden/>
              </w:rPr>
              <w:instrText xml:space="preserve"> PAGEREF _Toc77816770 \h </w:instrText>
            </w:r>
            <w:r w:rsidR="001F4292">
              <w:rPr>
                <w:noProof/>
                <w:webHidden/>
              </w:rPr>
            </w:r>
            <w:r w:rsidR="001F4292">
              <w:rPr>
                <w:noProof/>
                <w:webHidden/>
              </w:rPr>
              <w:fldChar w:fldCharType="separate"/>
            </w:r>
            <w:r w:rsidR="001F4292">
              <w:rPr>
                <w:noProof/>
                <w:webHidden/>
              </w:rPr>
              <w:t>5</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71" w:history="1">
            <w:r w:rsidR="001F4292" w:rsidRPr="00223BDE">
              <w:rPr>
                <w:rStyle w:val="Hyperlink"/>
                <w:noProof/>
              </w:rPr>
              <w:t>OVERALL MESSAGE</w:t>
            </w:r>
            <w:r w:rsidR="001F4292">
              <w:rPr>
                <w:noProof/>
                <w:webHidden/>
              </w:rPr>
              <w:tab/>
            </w:r>
            <w:r w:rsidR="001F4292">
              <w:rPr>
                <w:noProof/>
                <w:webHidden/>
              </w:rPr>
              <w:fldChar w:fldCharType="begin"/>
            </w:r>
            <w:r w:rsidR="001F4292">
              <w:rPr>
                <w:noProof/>
                <w:webHidden/>
              </w:rPr>
              <w:instrText xml:space="preserve"> PAGEREF _Toc77816771 \h </w:instrText>
            </w:r>
            <w:r w:rsidR="001F4292">
              <w:rPr>
                <w:noProof/>
                <w:webHidden/>
              </w:rPr>
            </w:r>
            <w:r w:rsidR="001F4292">
              <w:rPr>
                <w:noProof/>
                <w:webHidden/>
              </w:rPr>
              <w:fldChar w:fldCharType="separate"/>
            </w:r>
            <w:r w:rsidR="001F4292">
              <w:rPr>
                <w:noProof/>
                <w:webHidden/>
              </w:rPr>
              <w:t>8</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72" w:history="1">
            <w:r w:rsidR="001F4292" w:rsidRPr="00223BDE">
              <w:rPr>
                <w:rStyle w:val="Hyperlink"/>
                <w:noProof/>
              </w:rPr>
              <w:t>SECTION 1: Interactions with stakeholders responsible for oversight and governance</w:t>
            </w:r>
            <w:r w:rsidR="001F4292">
              <w:rPr>
                <w:noProof/>
                <w:webHidden/>
              </w:rPr>
              <w:tab/>
            </w:r>
            <w:r w:rsidR="001F4292">
              <w:rPr>
                <w:noProof/>
                <w:webHidden/>
              </w:rPr>
              <w:fldChar w:fldCharType="begin"/>
            </w:r>
            <w:r w:rsidR="001F4292">
              <w:rPr>
                <w:noProof/>
                <w:webHidden/>
              </w:rPr>
              <w:instrText xml:space="preserve"> PAGEREF _Toc77816772 \h </w:instrText>
            </w:r>
            <w:r w:rsidR="001F4292">
              <w:rPr>
                <w:noProof/>
                <w:webHidden/>
              </w:rPr>
            </w:r>
            <w:r w:rsidR="001F4292">
              <w:rPr>
                <w:noProof/>
                <w:webHidden/>
              </w:rPr>
              <w:fldChar w:fldCharType="separate"/>
            </w:r>
            <w:r w:rsidR="001F4292">
              <w:rPr>
                <w:noProof/>
                <w:webHidden/>
              </w:rPr>
              <w:t>8</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73" w:history="1">
            <w:r w:rsidR="001F4292" w:rsidRPr="00223BDE">
              <w:rPr>
                <w:rStyle w:val="Hyperlink"/>
                <w:noProof/>
              </w:rPr>
              <w:t>SECTION 2: Matters relating to the auditor’s report</w:t>
            </w:r>
            <w:r w:rsidR="001F4292">
              <w:rPr>
                <w:noProof/>
                <w:webHidden/>
              </w:rPr>
              <w:tab/>
            </w:r>
            <w:r w:rsidR="001F4292">
              <w:rPr>
                <w:noProof/>
                <w:webHidden/>
              </w:rPr>
              <w:fldChar w:fldCharType="begin"/>
            </w:r>
            <w:r w:rsidR="001F4292">
              <w:rPr>
                <w:noProof/>
                <w:webHidden/>
              </w:rPr>
              <w:instrText xml:space="preserve"> PAGEREF _Toc77816773 \h </w:instrText>
            </w:r>
            <w:r w:rsidR="001F4292">
              <w:rPr>
                <w:noProof/>
                <w:webHidden/>
              </w:rPr>
            </w:r>
            <w:r w:rsidR="001F4292">
              <w:rPr>
                <w:noProof/>
                <w:webHidden/>
              </w:rPr>
              <w:fldChar w:fldCharType="separate"/>
            </w:r>
            <w:r w:rsidR="001F4292">
              <w:rPr>
                <w:noProof/>
                <w:webHidden/>
              </w:rPr>
              <w:t>10</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74" w:history="1">
            <w:r w:rsidR="001F4292" w:rsidRPr="00223BDE">
              <w:rPr>
                <w:rStyle w:val="Hyperlink"/>
                <w:noProof/>
              </w:rPr>
              <w:t>AUDIT OF THE  FINANCIAL STATEMENTS</w:t>
            </w:r>
            <w:r w:rsidR="001F4292">
              <w:rPr>
                <w:noProof/>
                <w:webHidden/>
              </w:rPr>
              <w:tab/>
            </w:r>
            <w:r w:rsidR="001F4292">
              <w:rPr>
                <w:noProof/>
                <w:webHidden/>
              </w:rPr>
              <w:fldChar w:fldCharType="begin"/>
            </w:r>
            <w:r w:rsidR="001F4292">
              <w:rPr>
                <w:noProof/>
                <w:webHidden/>
              </w:rPr>
              <w:instrText xml:space="preserve"> PAGEREF _Toc77816774 \h </w:instrText>
            </w:r>
            <w:r w:rsidR="001F4292">
              <w:rPr>
                <w:noProof/>
                <w:webHidden/>
              </w:rPr>
            </w:r>
            <w:r w:rsidR="001F4292">
              <w:rPr>
                <w:noProof/>
                <w:webHidden/>
              </w:rPr>
              <w:fldChar w:fldCharType="separate"/>
            </w:r>
            <w:r w:rsidR="001F4292">
              <w:rPr>
                <w:noProof/>
                <w:webHidden/>
              </w:rPr>
              <w:t>10</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75" w:history="1">
            <w:r w:rsidR="001F4292" w:rsidRPr="00223BDE">
              <w:rPr>
                <w:rStyle w:val="Hyperlink"/>
                <w:noProof/>
              </w:rPr>
              <w:t>MATTERS TO BE BROUGHT TO THE ATTENTION OF USERS</w:t>
            </w:r>
            <w:r w:rsidR="001F4292">
              <w:rPr>
                <w:noProof/>
                <w:webHidden/>
              </w:rPr>
              <w:tab/>
            </w:r>
            <w:r w:rsidR="001F4292">
              <w:rPr>
                <w:noProof/>
                <w:webHidden/>
              </w:rPr>
              <w:fldChar w:fldCharType="begin"/>
            </w:r>
            <w:r w:rsidR="001F4292">
              <w:rPr>
                <w:noProof/>
                <w:webHidden/>
              </w:rPr>
              <w:instrText xml:space="preserve"> PAGEREF _Toc77816775 \h </w:instrText>
            </w:r>
            <w:r w:rsidR="001F4292">
              <w:rPr>
                <w:noProof/>
                <w:webHidden/>
              </w:rPr>
            </w:r>
            <w:r w:rsidR="001F4292">
              <w:rPr>
                <w:noProof/>
                <w:webHidden/>
              </w:rPr>
              <w:fldChar w:fldCharType="separate"/>
            </w:r>
            <w:r w:rsidR="001F4292">
              <w:rPr>
                <w:noProof/>
                <w:webHidden/>
              </w:rPr>
              <w:t>12</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76" w:history="1">
            <w:r w:rsidR="001F4292" w:rsidRPr="00223BDE">
              <w:rPr>
                <w:rStyle w:val="Hyperlink"/>
                <w:noProof/>
              </w:rPr>
              <w:t>AUDIT OF THE ANNUAL PERFORMANCE REPORT</w:t>
            </w:r>
            <w:r w:rsidR="001F4292">
              <w:rPr>
                <w:noProof/>
                <w:webHidden/>
              </w:rPr>
              <w:tab/>
            </w:r>
            <w:r w:rsidR="001F4292">
              <w:rPr>
                <w:noProof/>
                <w:webHidden/>
              </w:rPr>
              <w:fldChar w:fldCharType="begin"/>
            </w:r>
            <w:r w:rsidR="001F4292">
              <w:rPr>
                <w:noProof/>
                <w:webHidden/>
              </w:rPr>
              <w:instrText xml:space="preserve"> PAGEREF _Toc77816776 \h </w:instrText>
            </w:r>
            <w:r w:rsidR="001F4292">
              <w:rPr>
                <w:noProof/>
                <w:webHidden/>
              </w:rPr>
            </w:r>
            <w:r w:rsidR="001F4292">
              <w:rPr>
                <w:noProof/>
                <w:webHidden/>
              </w:rPr>
              <w:fldChar w:fldCharType="separate"/>
            </w:r>
            <w:r w:rsidR="001F4292">
              <w:rPr>
                <w:noProof/>
                <w:webHidden/>
              </w:rPr>
              <w:t>12</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77" w:history="1">
            <w:r w:rsidR="001F4292" w:rsidRPr="00223BDE">
              <w:rPr>
                <w:rStyle w:val="Hyperlink"/>
                <w:noProof/>
              </w:rPr>
              <w:t>AUDIT OF COMPLIANCE WITH LEGISLATION</w:t>
            </w:r>
            <w:r w:rsidR="001F4292">
              <w:rPr>
                <w:noProof/>
                <w:webHidden/>
              </w:rPr>
              <w:tab/>
            </w:r>
            <w:r w:rsidR="001F4292">
              <w:rPr>
                <w:noProof/>
                <w:webHidden/>
              </w:rPr>
              <w:fldChar w:fldCharType="begin"/>
            </w:r>
            <w:r w:rsidR="001F4292">
              <w:rPr>
                <w:noProof/>
                <w:webHidden/>
              </w:rPr>
              <w:instrText xml:space="preserve"> PAGEREF _Toc77816777 \h </w:instrText>
            </w:r>
            <w:r w:rsidR="001F4292">
              <w:rPr>
                <w:noProof/>
                <w:webHidden/>
              </w:rPr>
            </w:r>
            <w:r w:rsidR="001F4292">
              <w:rPr>
                <w:noProof/>
                <w:webHidden/>
              </w:rPr>
              <w:fldChar w:fldCharType="separate"/>
            </w:r>
            <w:r w:rsidR="001F4292">
              <w:rPr>
                <w:noProof/>
                <w:webHidden/>
              </w:rPr>
              <w:t>14</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78" w:history="1">
            <w:r w:rsidR="001F4292" w:rsidRPr="00223BDE">
              <w:rPr>
                <w:rStyle w:val="Hyperlink"/>
                <w:noProof/>
              </w:rPr>
              <w:t>OTHER INFORMATION</w:t>
            </w:r>
            <w:r w:rsidR="001F4292">
              <w:rPr>
                <w:noProof/>
                <w:webHidden/>
              </w:rPr>
              <w:tab/>
            </w:r>
            <w:r w:rsidR="001F4292">
              <w:rPr>
                <w:noProof/>
                <w:webHidden/>
              </w:rPr>
              <w:fldChar w:fldCharType="begin"/>
            </w:r>
            <w:r w:rsidR="001F4292">
              <w:rPr>
                <w:noProof/>
                <w:webHidden/>
              </w:rPr>
              <w:instrText xml:space="preserve"> PAGEREF _Toc77816778 \h </w:instrText>
            </w:r>
            <w:r w:rsidR="001F4292">
              <w:rPr>
                <w:noProof/>
                <w:webHidden/>
              </w:rPr>
            </w:r>
            <w:r w:rsidR="001F4292">
              <w:rPr>
                <w:noProof/>
                <w:webHidden/>
              </w:rPr>
              <w:fldChar w:fldCharType="separate"/>
            </w:r>
            <w:r w:rsidR="001F4292">
              <w:rPr>
                <w:noProof/>
                <w:webHidden/>
              </w:rPr>
              <w:t>14</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79" w:history="1">
            <w:r w:rsidR="001F4292" w:rsidRPr="00223BDE">
              <w:rPr>
                <w:rStyle w:val="Hyperlink"/>
                <w:noProof/>
              </w:rPr>
              <w:t>INTERNAL CONTROLS</w:t>
            </w:r>
            <w:r w:rsidR="001F4292">
              <w:rPr>
                <w:noProof/>
                <w:webHidden/>
              </w:rPr>
              <w:tab/>
            </w:r>
            <w:r w:rsidR="001F4292">
              <w:rPr>
                <w:noProof/>
                <w:webHidden/>
              </w:rPr>
              <w:fldChar w:fldCharType="begin"/>
            </w:r>
            <w:r w:rsidR="001F4292">
              <w:rPr>
                <w:noProof/>
                <w:webHidden/>
              </w:rPr>
              <w:instrText xml:space="preserve"> PAGEREF _Toc77816779 \h </w:instrText>
            </w:r>
            <w:r w:rsidR="001F4292">
              <w:rPr>
                <w:noProof/>
                <w:webHidden/>
              </w:rPr>
            </w:r>
            <w:r w:rsidR="001F4292">
              <w:rPr>
                <w:noProof/>
                <w:webHidden/>
              </w:rPr>
              <w:fldChar w:fldCharType="separate"/>
            </w:r>
            <w:r w:rsidR="001F4292">
              <w:rPr>
                <w:noProof/>
                <w:webHidden/>
              </w:rPr>
              <w:t>15</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80" w:history="1">
            <w:r w:rsidR="001F4292" w:rsidRPr="00223BDE">
              <w:rPr>
                <w:rStyle w:val="Hyperlink"/>
                <w:noProof/>
              </w:rPr>
              <w:t>MATERIAL IRREGULARITIES</w:t>
            </w:r>
            <w:r w:rsidR="001F4292">
              <w:rPr>
                <w:noProof/>
                <w:webHidden/>
              </w:rPr>
              <w:tab/>
            </w:r>
            <w:r w:rsidR="001F4292">
              <w:rPr>
                <w:noProof/>
                <w:webHidden/>
              </w:rPr>
              <w:fldChar w:fldCharType="begin"/>
            </w:r>
            <w:r w:rsidR="001F4292">
              <w:rPr>
                <w:noProof/>
                <w:webHidden/>
              </w:rPr>
              <w:instrText xml:space="preserve"> PAGEREF _Toc77816780 \h </w:instrText>
            </w:r>
            <w:r w:rsidR="001F4292">
              <w:rPr>
                <w:noProof/>
                <w:webHidden/>
              </w:rPr>
            </w:r>
            <w:r w:rsidR="001F4292">
              <w:rPr>
                <w:noProof/>
                <w:webHidden/>
              </w:rPr>
              <w:fldChar w:fldCharType="separate"/>
            </w:r>
            <w:r w:rsidR="001F4292">
              <w:rPr>
                <w:noProof/>
                <w:webHidden/>
              </w:rPr>
              <w:t>17</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81" w:history="1">
            <w:r w:rsidR="001F4292" w:rsidRPr="00223BDE">
              <w:rPr>
                <w:rStyle w:val="Hyperlink"/>
                <w:noProof/>
              </w:rPr>
              <w:t>OTHER REPORTS</w:t>
            </w:r>
            <w:r w:rsidR="001F4292">
              <w:rPr>
                <w:noProof/>
                <w:webHidden/>
              </w:rPr>
              <w:tab/>
            </w:r>
            <w:r w:rsidR="001F4292">
              <w:rPr>
                <w:noProof/>
                <w:webHidden/>
              </w:rPr>
              <w:fldChar w:fldCharType="begin"/>
            </w:r>
            <w:r w:rsidR="001F4292">
              <w:rPr>
                <w:noProof/>
                <w:webHidden/>
              </w:rPr>
              <w:instrText xml:space="preserve"> PAGEREF _Toc77816781 \h </w:instrText>
            </w:r>
            <w:r w:rsidR="001F4292">
              <w:rPr>
                <w:noProof/>
                <w:webHidden/>
              </w:rPr>
            </w:r>
            <w:r w:rsidR="001F4292">
              <w:rPr>
                <w:noProof/>
                <w:webHidden/>
              </w:rPr>
              <w:fldChar w:fldCharType="separate"/>
            </w:r>
            <w:r w:rsidR="001F4292">
              <w:rPr>
                <w:noProof/>
                <w:webHidden/>
              </w:rPr>
              <w:t>17</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82" w:history="1">
            <w:r w:rsidR="001F4292" w:rsidRPr="00223BDE">
              <w:rPr>
                <w:rStyle w:val="Hyperlink"/>
                <w:noProof/>
              </w:rPr>
              <w:t>SECTION 3: Assurance providers and status of implementation of commitments and recommendations</w:t>
            </w:r>
            <w:r w:rsidR="001F4292">
              <w:rPr>
                <w:noProof/>
                <w:webHidden/>
              </w:rPr>
              <w:tab/>
            </w:r>
            <w:r w:rsidR="001F4292">
              <w:rPr>
                <w:noProof/>
                <w:webHidden/>
              </w:rPr>
              <w:fldChar w:fldCharType="begin"/>
            </w:r>
            <w:r w:rsidR="001F4292">
              <w:rPr>
                <w:noProof/>
                <w:webHidden/>
              </w:rPr>
              <w:instrText xml:space="preserve"> PAGEREF _Toc77816782 \h </w:instrText>
            </w:r>
            <w:r w:rsidR="001F4292">
              <w:rPr>
                <w:noProof/>
                <w:webHidden/>
              </w:rPr>
            </w:r>
            <w:r w:rsidR="001F4292">
              <w:rPr>
                <w:noProof/>
                <w:webHidden/>
              </w:rPr>
              <w:fldChar w:fldCharType="separate"/>
            </w:r>
            <w:r w:rsidR="001F4292">
              <w:rPr>
                <w:noProof/>
                <w:webHidden/>
              </w:rPr>
              <w:t>18</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83" w:history="1">
            <w:r w:rsidR="001F4292" w:rsidRPr="00223BDE">
              <w:rPr>
                <w:rStyle w:val="Hyperlink"/>
                <w:noProof/>
              </w:rPr>
              <w:t>ASSESSMENT OF ASSURANCE PROVIDERS</w:t>
            </w:r>
            <w:r w:rsidR="001F4292">
              <w:rPr>
                <w:noProof/>
                <w:webHidden/>
              </w:rPr>
              <w:tab/>
            </w:r>
            <w:r w:rsidR="001F4292">
              <w:rPr>
                <w:noProof/>
                <w:webHidden/>
              </w:rPr>
              <w:fldChar w:fldCharType="begin"/>
            </w:r>
            <w:r w:rsidR="001F4292">
              <w:rPr>
                <w:noProof/>
                <w:webHidden/>
              </w:rPr>
              <w:instrText xml:space="preserve"> PAGEREF _Toc77816783 \h </w:instrText>
            </w:r>
            <w:r w:rsidR="001F4292">
              <w:rPr>
                <w:noProof/>
                <w:webHidden/>
              </w:rPr>
            </w:r>
            <w:r w:rsidR="001F4292">
              <w:rPr>
                <w:noProof/>
                <w:webHidden/>
              </w:rPr>
              <w:fldChar w:fldCharType="separate"/>
            </w:r>
            <w:r w:rsidR="001F4292">
              <w:rPr>
                <w:noProof/>
                <w:webHidden/>
              </w:rPr>
              <w:t>18</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84" w:history="1">
            <w:r w:rsidR="001F4292" w:rsidRPr="00223BDE">
              <w:rPr>
                <w:rStyle w:val="Hyperlink"/>
                <w:noProof/>
              </w:rPr>
              <w:t>STATUS OF IMPLEMENTING COMMITMENTS AND RECOMMENDATIONS</w:t>
            </w:r>
            <w:r w:rsidR="001F4292">
              <w:rPr>
                <w:noProof/>
                <w:webHidden/>
              </w:rPr>
              <w:tab/>
            </w:r>
            <w:r w:rsidR="001F4292">
              <w:rPr>
                <w:noProof/>
                <w:webHidden/>
              </w:rPr>
              <w:fldChar w:fldCharType="begin"/>
            </w:r>
            <w:r w:rsidR="001F4292">
              <w:rPr>
                <w:noProof/>
                <w:webHidden/>
              </w:rPr>
              <w:instrText xml:space="preserve"> PAGEREF _Toc77816784 \h </w:instrText>
            </w:r>
            <w:r w:rsidR="001F4292">
              <w:rPr>
                <w:noProof/>
                <w:webHidden/>
              </w:rPr>
            </w:r>
            <w:r w:rsidR="001F4292">
              <w:rPr>
                <w:noProof/>
                <w:webHidden/>
              </w:rPr>
              <w:fldChar w:fldCharType="separate"/>
            </w:r>
            <w:r w:rsidR="001F4292">
              <w:rPr>
                <w:noProof/>
                <w:webHidden/>
              </w:rPr>
              <w:t>19</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85" w:history="1">
            <w:r w:rsidR="001F4292" w:rsidRPr="00223BDE">
              <w:rPr>
                <w:rStyle w:val="Hyperlink"/>
                <w:noProof/>
              </w:rPr>
              <w:t>SECTION 4: Specific focus areas</w:t>
            </w:r>
            <w:r w:rsidR="001F4292">
              <w:rPr>
                <w:noProof/>
                <w:webHidden/>
              </w:rPr>
              <w:tab/>
            </w:r>
            <w:r w:rsidR="001F4292">
              <w:rPr>
                <w:noProof/>
                <w:webHidden/>
              </w:rPr>
              <w:fldChar w:fldCharType="begin"/>
            </w:r>
            <w:r w:rsidR="001F4292">
              <w:rPr>
                <w:noProof/>
                <w:webHidden/>
              </w:rPr>
              <w:instrText xml:space="preserve"> PAGEREF _Toc77816785 \h </w:instrText>
            </w:r>
            <w:r w:rsidR="001F4292">
              <w:rPr>
                <w:noProof/>
                <w:webHidden/>
              </w:rPr>
            </w:r>
            <w:r w:rsidR="001F4292">
              <w:rPr>
                <w:noProof/>
                <w:webHidden/>
              </w:rPr>
              <w:fldChar w:fldCharType="separate"/>
            </w:r>
            <w:r w:rsidR="001F4292">
              <w:rPr>
                <w:noProof/>
                <w:webHidden/>
              </w:rPr>
              <w:t>20</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86" w:history="1">
            <w:r w:rsidR="001F4292" w:rsidRPr="00223BDE">
              <w:rPr>
                <w:rStyle w:val="Hyperlink"/>
                <w:noProof/>
              </w:rPr>
              <w:t>FINANCIAL VIABILITY</w:t>
            </w:r>
            <w:r w:rsidR="001F4292">
              <w:rPr>
                <w:noProof/>
                <w:webHidden/>
              </w:rPr>
              <w:tab/>
            </w:r>
            <w:r w:rsidR="001F4292">
              <w:rPr>
                <w:noProof/>
                <w:webHidden/>
              </w:rPr>
              <w:fldChar w:fldCharType="begin"/>
            </w:r>
            <w:r w:rsidR="001F4292">
              <w:rPr>
                <w:noProof/>
                <w:webHidden/>
              </w:rPr>
              <w:instrText xml:space="preserve"> PAGEREF _Toc77816786 \h </w:instrText>
            </w:r>
            <w:r w:rsidR="001F4292">
              <w:rPr>
                <w:noProof/>
                <w:webHidden/>
              </w:rPr>
            </w:r>
            <w:r w:rsidR="001F4292">
              <w:rPr>
                <w:noProof/>
                <w:webHidden/>
              </w:rPr>
              <w:fldChar w:fldCharType="separate"/>
            </w:r>
            <w:r w:rsidR="001F4292">
              <w:rPr>
                <w:noProof/>
                <w:webHidden/>
              </w:rPr>
              <w:t>20</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87" w:history="1">
            <w:r w:rsidR="001F4292" w:rsidRPr="00223BDE">
              <w:rPr>
                <w:rStyle w:val="Hyperlink"/>
                <w:noProof/>
              </w:rPr>
              <w:t>PROCUREMENT AND CONTRACT MANAGEMENT</w:t>
            </w:r>
            <w:r w:rsidR="001F4292">
              <w:rPr>
                <w:noProof/>
                <w:webHidden/>
              </w:rPr>
              <w:tab/>
            </w:r>
            <w:r w:rsidR="001F4292">
              <w:rPr>
                <w:noProof/>
                <w:webHidden/>
              </w:rPr>
              <w:fldChar w:fldCharType="begin"/>
            </w:r>
            <w:r w:rsidR="001F4292">
              <w:rPr>
                <w:noProof/>
                <w:webHidden/>
              </w:rPr>
              <w:instrText xml:space="preserve"> PAGEREF _Toc77816787 \h </w:instrText>
            </w:r>
            <w:r w:rsidR="001F4292">
              <w:rPr>
                <w:noProof/>
                <w:webHidden/>
              </w:rPr>
            </w:r>
            <w:r w:rsidR="001F4292">
              <w:rPr>
                <w:noProof/>
                <w:webHidden/>
              </w:rPr>
              <w:fldChar w:fldCharType="separate"/>
            </w:r>
            <w:r w:rsidR="001F4292">
              <w:rPr>
                <w:noProof/>
                <w:webHidden/>
              </w:rPr>
              <w:t>22</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88" w:history="1">
            <w:r w:rsidR="001F4292" w:rsidRPr="00223BDE">
              <w:rPr>
                <w:rStyle w:val="Hyperlink"/>
                <w:noProof/>
              </w:rPr>
              <w:t>FRAUD AND CONSEQUENCE MANAGEMENT</w:t>
            </w:r>
            <w:r w:rsidR="001F4292">
              <w:rPr>
                <w:noProof/>
                <w:webHidden/>
              </w:rPr>
              <w:tab/>
            </w:r>
            <w:r w:rsidR="001F4292">
              <w:rPr>
                <w:noProof/>
                <w:webHidden/>
              </w:rPr>
              <w:fldChar w:fldCharType="begin"/>
            </w:r>
            <w:r w:rsidR="001F4292">
              <w:rPr>
                <w:noProof/>
                <w:webHidden/>
              </w:rPr>
              <w:instrText xml:space="preserve"> PAGEREF _Toc77816788 \h </w:instrText>
            </w:r>
            <w:r w:rsidR="001F4292">
              <w:rPr>
                <w:noProof/>
                <w:webHidden/>
              </w:rPr>
            </w:r>
            <w:r w:rsidR="001F4292">
              <w:rPr>
                <w:noProof/>
                <w:webHidden/>
              </w:rPr>
              <w:fldChar w:fldCharType="separate"/>
            </w:r>
            <w:r w:rsidR="001F4292">
              <w:rPr>
                <w:noProof/>
                <w:webHidden/>
              </w:rPr>
              <w:t>23</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89" w:history="1">
            <w:r w:rsidR="001F4292" w:rsidRPr="00223BDE">
              <w:rPr>
                <w:rStyle w:val="Hyperlink"/>
                <w:noProof/>
              </w:rPr>
              <w:t>BROAD</w:t>
            </w:r>
            <w:r w:rsidR="001F4292" w:rsidRPr="00223BDE">
              <w:rPr>
                <w:rStyle w:val="Hyperlink"/>
                <w:bCs/>
                <w:noProof/>
              </w:rPr>
              <w:t>-BASED BLACK ECONOMIC EMPOWERMENT (B-BBEE) ACT AND REGULATIONS REQUIREMENTS</w:t>
            </w:r>
            <w:r w:rsidR="001F4292">
              <w:rPr>
                <w:noProof/>
                <w:webHidden/>
              </w:rPr>
              <w:tab/>
            </w:r>
            <w:r w:rsidR="001F4292">
              <w:rPr>
                <w:noProof/>
                <w:webHidden/>
              </w:rPr>
              <w:fldChar w:fldCharType="begin"/>
            </w:r>
            <w:r w:rsidR="001F4292">
              <w:rPr>
                <w:noProof/>
                <w:webHidden/>
              </w:rPr>
              <w:instrText xml:space="preserve"> PAGEREF _Toc77816789 \h </w:instrText>
            </w:r>
            <w:r w:rsidR="001F4292">
              <w:rPr>
                <w:noProof/>
                <w:webHidden/>
              </w:rPr>
            </w:r>
            <w:r w:rsidR="001F4292">
              <w:rPr>
                <w:noProof/>
                <w:webHidden/>
              </w:rPr>
              <w:fldChar w:fldCharType="separate"/>
            </w:r>
            <w:r w:rsidR="001F4292">
              <w:rPr>
                <w:noProof/>
                <w:webHidden/>
              </w:rPr>
              <w:t>24</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90" w:history="1">
            <w:r w:rsidR="001F4292" w:rsidRPr="00223BDE">
              <w:rPr>
                <w:rStyle w:val="Hyperlink"/>
                <w:noProof/>
              </w:rPr>
              <w:t>SECTION 5. Using the work of internal audit</w:t>
            </w:r>
            <w:r w:rsidR="001F4292">
              <w:rPr>
                <w:noProof/>
                <w:webHidden/>
              </w:rPr>
              <w:tab/>
            </w:r>
            <w:r w:rsidR="001F4292">
              <w:rPr>
                <w:noProof/>
                <w:webHidden/>
              </w:rPr>
              <w:fldChar w:fldCharType="begin"/>
            </w:r>
            <w:r w:rsidR="001F4292">
              <w:rPr>
                <w:noProof/>
                <w:webHidden/>
              </w:rPr>
              <w:instrText xml:space="preserve"> PAGEREF _Toc77816790 \h </w:instrText>
            </w:r>
            <w:r w:rsidR="001F4292">
              <w:rPr>
                <w:noProof/>
                <w:webHidden/>
              </w:rPr>
            </w:r>
            <w:r w:rsidR="001F4292">
              <w:rPr>
                <w:noProof/>
                <w:webHidden/>
              </w:rPr>
              <w:fldChar w:fldCharType="separate"/>
            </w:r>
            <w:r w:rsidR="001F4292">
              <w:rPr>
                <w:noProof/>
                <w:webHidden/>
              </w:rPr>
              <w:t>24</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91" w:history="1">
            <w:r w:rsidR="001F4292" w:rsidRPr="00223BDE">
              <w:rPr>
                <w:rStyle w:val="Hyperlink"/>
                <w:noProof/>
              </w:rPr>
              <w:t>SECTION 6: Emerging risks</w:t>
            </w:r>
            <w:r w:rsidR="001F4292">
              <w:rPr>
                <w:noProof/>
                <w:webHidden/>
              </w:rPr>
              <w:tab/>
            </w:r>
            <w:r w:rsidR="001F4292">
              <w:rPr>
                <w:noProof/>
                <w:webHidden/>
              </w:rPr>
              <w:fldChar w:fldCharType="begin"/>
            </w:r>
            <w:r w:rsidR="001F4292">
              <w:rPr>
                <w:noProof/>
                <w:webHidden/>
              </w:rPr>
              <w:instrText xml:space="preserve"> PAGEREF _Toc77816791 \h </w:instrText>
            </w:r>
            <w:r w:rsidR="001F4292">
              <w:rPr>
                <w:noProof/>
                <w:webHidden/>
              </w:rPr>
            </w:r>
            <w:r w:rsidR="001F4292">
              <w:rPr>
                <w:noProof/>
                <w:webHidden/>
              </w:rPr>
              <w:fldChar w:fldCharType="separate"/>
            </w:r>
            <w:r w:rsidR="001F4292">
              <w:rPr>
                <w:noProof/>
                <w:webHidden/>
              </w:rPr>
              <w:t>24</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92" w:history="1">
            <w:r w:rsidR="001F4292" w:rsidRPr="00223BDE">
              <w:rPr>
                <w:rStyle w:val="Hyperlink"/>
                <w:noProof/>
              </w:rPr>
              <w:t>SECTION 9: Conclusion</w:t>
            </w:r>
            <w:r w:rsidR="001F4292">
              <w:rPr>
                <w:noProof/>
                <w:webHidden/>
              </w:rPr>
              <w:tab/>
            </w:r>
            <w:r w:rsidR="001F4292">
              <w:rPr>
                <w:noProof/>
                <w:webHidden/>
              </w:rPr>
              <w:fldChar w:fldCharType="begin"/>
            </w:r>
            <w:r w:rsidR="001F4292">
              <w:rPr>
                <w:noProof/>
                <w:webHidden/>
              </w:rPr>
              <w:instrText xml:space="preserve"> PAGEREF _Toc77816792 \h </w:instrText>
            </w:r>
            <w:r w:rsidR="001F4292">
              <w:rPr>
                <w:noProof/>
                <w:webHidden/>
              </w:rPr>
            </w:r>
            <w:r w:rsidR="001F4292">
              <w:rPr>
                <w:noProof/>
                <w:webHidden/>
              </w:rPr>
              <w:fldChar w:fldCharType="separate"/>
            </w:r>
            <w:r w:rsidR="001F4292">
              <w:rPr>
                <w:noProof/>
                <w:webHidden/>
              </w:rPr>
              <w:t>26</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93" w:history="1">
            <w:r w:rsidR="001F4292" w:rsidRPr="00223BDE">
              <w:rPr>
                <w:rStyle w:val="Hyperlink"/>
                <w:noProof/>
              </w:rPr>
              <w:t>SECTION 10: Summary of detailed audit findings</w:t>
            </w:r>
            <w:r w:rsidR="001F4292">
              <w:rPr>
                <w:noProof/>
                <w:webHidden/>
              </w:rPr>
              <w:tab/>
            </w:r>
            <w:r w:rsidR="001F4292">
              <w:rPr>
                <w:noProof/>
                <w:webHidden/>
              </w:rPr>
              <w:fldChar w:fldCharType="begin"/>
            </w:r>
            <w:r w:rsidR="001F4292">
              <w:rPr>
                <w:noProof/>
                <w:webHidden/>
              </w:rPr>
              <w:instrText xml:space="preserve"> PAGEREF _Toc77816793 \h </w:instrText>
            </w:r>
            <w:r w:rsidR="001F4292">
              <w:rPr>
                <w:noProof/>
                <w:webHidden/>
              </w:rPr>
            </w:r>
            <w:r w:rsidR="001F4292">
              <w:rPr>
                <w:noProof/>
                <w:webHidden/>
              </w:rPr>
              <w:fldChar w:fldCharType="separate"/>
            </w:r>
            <w:r w:rsidR="001F4292">
              <w:rPr>
                <w:noProof/>
                <w:webHidden/>
              </w:rPr>
              <w:t>27</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94" w:history="1">
            <w:r w:rsidR="001F4292" w:rsidRPr="00223BDE">
              <w:rPr>
                <w:rStyle w:val="Hyperlink"/>
                <w:noProof/>
              </w:rPr>
              <w:t>ANNEXURE E: AUDITOR GENERAL’S RESPONSIBILITY FOR THE AUDIT OF THE REPORTED PERFORMANCE INFORMATION</w:t>
            </w:r>
            <w:r w:rsidR="001F4292">
              <w:rPr>
                <w:noProof/>
                <w:webHidden/>
              </w:rPr>
              <w:tab/>
            </w:r>
            <w:r w:rsidR="001F4292">
              <w:rPr>
                <w:noProof/>
                <w:webHidden/>
              </w:rPr>
              <w:fldChar w:fldCharType="begin"/>
            </w:r>
            <w:r w:rsidR="001F4292">
              <w:rPr>
                <w:noProof/>
                <w:webHidden/>
              </w:rPr>
              <w:instrText xml:space="preserve"> PAGEREF _Toc77816794 \h </w:instrText>
            </w:r>
            <w:r w:rsidR="001F4292">
              <w:rPr>
                <w:noProof/>
                <w:webHidden/>
              </w:rPr>
            </w:r>
            <w:r w:rsidR="001F4292">
              <w:rPr>
                <w:noProof/>
                <w:webHidden/>
              </w:rPr>
              <w:fldChar w:fldCharType="separate"/>
            </w:r>
            <w:r w:rsidR="001F4292">
              <w:rPr>
                <w:noProof/>
                <w:webHidden/>
              </w:rPr>
              <w:t>28</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95" w:history="1">
            <w:r w:rsidR="001F4292" w:rsidRPr="00223BDE">
              <w:rPr>
                <w:rStyle w:val="Hyperlink"/>
                <w:rFonts w:eastAsia="MS Mincho" w:cs="Arial"/>
                <w:bCs/>
                <w:noProof/>
              </w:rPr>
              <w:t>Quality control relating to assurance engagements</w:t>
            </w:r>
            <w:r w:rsidR="001F4292">
              <w:rPr>
                <w:noProof/>
                <w:webHidden/>
              </w:rPr>
              <w:tab/>
            </w:r>
            <w:r w:rsidR="001F4292">
              <w:rPr>
                <w:noProof/>
                <w:webHidden/>
              </w:rPr>
              <w:fldChar w:fldCharType="begin"/>
            </w:r>
            <w:r w:rsidR="001F4292">
              <w:rPr>
                <w:noProof/>
                <w:webHidden/>
              </w:rPr>
              <w:instrText xml:space="preserve"> PAGEREF _Toc77816795 \h </w:instrText>
            </w:r>
            <w:r w:rsidR="001F4292">
              <w:rPr>
                <w:noProof/>
                <w:webHidden/>
              </w:rPr>
            </w:r>
            <w:r w:rsidR="001F4292">
              <w:rPr>
                <w:noProof/>
                <w:webHidden/>
              </w:rPr>
              <w:fldChar w:fldCharType="separate"/>
            </w:r>
            <w:r w:rsidR="001F4292">
              <w:rPr>
                <w:noProof/>
                <w:webHidden/>
              </w:rPr>
              <w:t>28</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96" w:history="1">
            <w:r w:rsidR="001F4292" w:rsidRPr="00223BDE">
              <w:rPr>
                <w:rStyle w:val="Hyperlink"/>
                <w:rFonts w:eastAsia="MS Mincho" w:cs="Arial"/>
                <w:bCs/>
                <w:noProof/>
              </w:rPr>
              <w:t>Reported performance information</w:t>
            </w:r>
            <w:r w:rsidR="001F4292">
              <w:rPr>
                <w:noProof/>
                <w:webHidden/>
              </w:rPr>
              <w:tab/>
            </w:r>
            <w:r w:rsidR="001F4292">
              <w:rPr>
                <w:noProof/>
                <w:webHidden/>
              </w:rPr>
              <w:fldChar w:fldCharType="begin"/>
            </w:r>
            <w:r w:rsidR="001F4292">
              <w:rPr>
                <w:noProof/>
                <w:webHidden/>
              </w:rPr>
              <w:instrText xml:space="preserve"> PAGEREF _Toc77816796 \h </w:instrText>
            </w:r>
            <w:r w:rsidR="001F4292">
              <w:rPr>
                <w:noProof/>
                <w:webHidden/>
              </w:rPr>
            </w:r>
            <w:r w:rsidR="001F4292">
              <w:rPr>
                <w:noProof/>
                <w:webHidden/>
              </w:rPr>
              <w:fldChar w:fldCharType="separate"/>
            </w:r>
            <w:r w:rsidR="001F4292">
              <w:rPr>
                <w:noProof/>
                <w:webHidden/>
              </w:rPr>
              <w:t>28</w:t>
            </w:r>
            <w:r w:rsidR="001F4292">
              <w:rPr>
                <w:noProof/>
                <w:webHidden/>
              </w:rPr>
              <w:fldChar w:fldCharType="end"/>
            </w:r>
          </w:hyperlink>
        </w:p>
        <w:p w:rsidR="001F4292" w:rsidRDefault="009C0B03">
          <w:pPr>
            <w:pStyle w:val="TOC3"/>
            <w:rPr>
              <w:rFonts w:asciiTheme="minorHAnsi" w:eastAsiaTheme="minorEastAsia" w:hAnsiTheme="minorHAnsi" w:cstheme="minorBidi"/>
              <w:noProof/>
              <w:color w:val="auto"/>
              <w:szCs w:val="22"/>
              <w:lang w:eastAsia="en-ZA"/>
            </w:rPr>
          </w:pPr>
          <w:hyperlink w:anchor="_Toc77816797" w:history="1">
            <w:r w:rsidR="001F4292" w:rsidRPr="00223BDE">
              <w:rPr>
                <w:rStyle w:val="Hyperlink"/>
                <w:rFonts w:eastAsia="MS Mincho" w:cs="Arial"/>
                <w:bCs/>
                <w:noProof/>
              </w:rPr>
              <w:t>Communication with those charged with governance</w:t>
            </w:r>
            <w:r w:rsidR="001F4292">
              <w:rPr>
                <w:noProof/>
                <w:webHidden/>
              </w:rPr>
              <w:tab/>
            </w:r>
            <w:r w:rsidR="001F4292">
              <w:rPr>
                <w:noProof/>
                <w:webHidden/>
              </w:rPr>
              <w:fldChar w:fldCharType="begin"/>
            </w:r>
            <w:r w:rsidR="001F4292">
              <w:rPr>
                <w:noProof/>
                <w:webHidden/>
              </w:rPr>
              <w:instrText xml:space="preserve"> PAGEREF _Toc77816797 \h </w:instrText>
            </w:r>
            <w:r w:rsidR="001F4292">
              <w:rPr>
                <w:noProof/>
                <w:webHidden/>
              </w:rPr>
            </w:r>
            <w:r w:rsidR="001F4292">
              <w:rPr>
                <w:noProof/>
                <w:webHidden/>
              </w:rPr>
              <w:fldChar w:fldCharType="separate"/>
            </w:r>
            <w:r w:rsidR="001F4292">
              <w:rPr>
                <w:noProof/>
                <w:webHidden/>
              </w:rPr>
              <w:t>29</w:t>
            </w:r>
            <w:r w:rsidR="001F4292">
              <w:rPr>
                <w:noProof/>
                <w:webHidden/>
              </w:rPr>
              <w:fldChar w:fldCharType="end"/>
            </w:r>
          </w:hyperlink>
        </w:p>
        <w:p w:rsidR="001F4292" w:rsidRDefault="009C0B03">
          <w:pPr>
            <w:pStyle w:val="TOC2"/>
            <w:rPr>
              <w:rFonts w:asciiTheme="minorHAnsi" w:eastAsiaTheme="minorEastAsia" w:hAnsiTheme="minorHAnsi" w:cstheme="minorBidi"/>
              <w:b w:val="0"/>
              <w:noProof/>
              <w:color w:val="auto"/>
              <w:szCs w:val="22"/>
              <w:lang w:eastAsia="en-ZA"/>
            </w:rPr>
          </w:pPr>
          <w:hyperlink w:anchor="_Toc77816798" w:history="1">
            <w:r w:rsidR="001F4292" w:rsidRPr="00223BDE">
              <w:rPr>
                <w:rStyle w:val="Hyperlink"/>
                <w:noProof/>
              </w:rPr>
              <w:t>ANNEXURE F:</w:t>
            </w:r>
            <w:r w:rsidR="001F4292">
              <w:rPr>
                <w:noProof/>
                <w:webHidden/>
              </w:rPr>
              <w:tab/>
            </w:r>
            <w:r w:rsidR="001F4292">
              <w:rPr>
                <w:noProof/>
                <w:webHidden/>
              </w:rPr>
              <w:fldChar w:fldCharType="begin"/>
            </w:r>
            <w:r w:rsidR="001F4292">
              <w:rPr>
                <w:noProof/>
                <w:webHidden/>
              </w:rPr>
              <w:instrText xml:space="preserve"> PAGEREF _Toc77816798 \h </w:instrText>
            </w:r>
            <w:r w:rsidR="001F4292">
              <w:rPr>
                <w:noProof/>
                <w:webHidden/>
              </w:rPr>
            </w:r>
            <w:r w:rsidR="001F4292">
              <w:rPr>
                <w:noProof/>
                <w:webHidden/>
              </w:rPr>
              <w:fldChar w:fldCharType="separate"/>
            </w:r>
            <w:r w:rsidR="001F4292">
              <w:rPr>
                <w:noProof/>
                <w:webHidden/>
              </w:rPr>
              <w:t>30</w:t>
            </w:r>
            <w:r w:rsidR="001F4292">
              <w:rPr>
                <w:noProof/>
                <w:webHidden/>
              </w:rPr>
              <w:fldChar w:fldCharType="end"/>
            </w:r>
          </w:hyperlink>
        </w:p>
        <w:p w:rsidR="001F1CF5" w:rsidRPr="0077659B" w:rsidRDefault="006A7CD8">
          <w:r w:rsidRPr="0077659B">
            <w:rPr>
              <w:rFonts w:eastAsia="Times New Roman" w:cs="Arial"/>
              <w:b/>
              <w:color w:val="365F91"/>
            </w:rPr>
            <w:fldChar w:fldCharType="end"/>
          </w:r>
        </w:p>
      </w:sdtContent>
    </w:sdt>
    <w:p w:rsidR="00C22F2B" w:rsidRPr="0077659B" w:rsidRDefault="00C22F2B" w:rsidP="00C22F2B">
      <w:pPr>
        <w:tabs>
          <w:tab w:val="num" w:pos="0"/>
        </w:tabs>
        <w:spacing w:before="60" w:after="0" w:line="240" w:lineRule="auto"/>
        <w:ind w:left="851" w:hanging="851"/>
        <w:jc w:val="both"/>
        <w:rPr>
          <w:rFonts w:eastAsia="Times New Roman" w:cs="Arial"/>
          <w:b/>
          <w:bCs/>
          <w:iCs/>
          <w:color w:val="003B79"/>
          <w:sz w:val="24"/>
          <w:szCs w:val="24"/>
        </w:rPr>
      </w:pPr>
    </w:p>
    <w:p w:rsidR="00C22F2B" w:rsidRPr="0077659B" w:rsidRDefault="00C22F2B" w:rsidP="00C22F2B">
      <w:pPr>
        <w:spacing w:after="0" w:line="240" w:lineRule="auto"/>
        <w:jc w:val="both"/>
        <w:rPr>
          <w:rFonts w:eastAsia="Times New Roman" w:cs="Arial"/>
          <w:b/>
          <w:bCs/>
          <w:iCs/>
          <w:color w:val="003B79"/>
          <w:sz w:val="10"/>
          <w:szCs w:val="10"/>
        </w:rPr>
      </w:pPr>
    </w:p>
    <w:p w:rsidR="00C22F2B" w:rsidRPr="0077659B" w:rsidRDefault="00C22F2B" w:rsidP="00C22F2B">
      <w:pPr>
        <w:spacing w:after="0" w:line="240" w:lineRule="auto"/>
        <w:rPr>
          <w:rFonts w:eastAsia="Times New Roman" w:cs="Arial"/>
          <w:b/>
          <w:bCs/>
          <w:spacing w:val="-4"/>
          <w:sz w:val="10"/>
          <w:szCs w:val="10"/>
        </w:rPr>
      </w:pPr>
    </w:p>
    <w:p w:rsidR="00C22F2B" w:rsidRPr="0077659B" w:rsidRDefault="00C22F2B" w:rsidP="00C22F2B">
      <w:pPr>
        <w:spacing w:after="0" w:line="240" w:lineRule="auto"/>
        <w:rPr>
          <w:rFonts w:eastAsia="Times New Roman" w:cs="Arial"/>
          <w:b/>
          <w:bCs/>
          <w:spacing w:val="-4"/>
          <w:sz w:val="10"/>
          <w:szCs w:val="10"/>
        </w:rPr>
        <w:sectPr w:rsidR="00C22F2B" w:rsidRPr="0077659B" w:rsidSect="00C12C2B">
          <w:endnotePr>
            <w:numFmt w:val="decimal"/>
          </w:endnotePr>
          <w:pgSz w:w="11906" w:h="16838" w:code="9"/>
          <w:pgMar w:top="1134" w:right="1134" w:bottom="1134" w:left="1134" w:header="1814" w:footer="680" w:gutter="0"/>
          <w:cols w:space="720"/>
        </w:sectPr>
      </w:pPr>
    </w:p>
    <w:p w:rsidR="00C22F2B" w:rsidRPr="0077659B" w:rsidRDefault="00C22F2B" w:rsidP="00FA5B7A">
      <w:pPr>
        <w:pStyle w:val="Heading2"/>
      </w:pPr>
      <w:bookmarkStart w:id="0" w:name="_Toc447106579"/>
      <w:bookmarkStart w:id="1" w:name="_Toc31548090"/>
      <w:bookmarkStart w:id="2" w:name="_Toc40695666"/>
      <w:bookmarkStart w:id="3" w:name="_Toc41685565"/>
      <w:bookmarkStart w:id="4" w:name="_Toc41826025"/>
      <w:bookmarkStart w:id="5" w:name="_Toc42616102"/>
      <w:bookmarkStart w:id="6" w:name="_Toc77816769"/>
      <w:r w:rsidRPr="0077659B">
        <w:lastRenderedPageBreak/>
        <w:t>MANAGEMENT R</w:t>
      </w:r>
      <w:r w:rsidR="001F4292">
        <w:t>EPORT TO THE ACCOUNTING OFFICER</w:t>
      </w:r>
      <w:r w:rsidRPr="0077659B">
        <w:t xml:space="preserve"> ON THE AUDIT OF THE </w:t>
      </w:r>
      <w:r w:rsidR="001F4292">
        <w:t>DEPARTMENT OF PUBLIC WORKS AND INFRASTRUCTURE</w:t>
      </w:r>
      <w:r w:rsidRPr="0077659B">
        <w:t xml:space="preserve"> FOR THE YEAR ENDED </w:t>
      </w:r>
      <w:bookmarkEnd w:id="0"/>
      <w:bookmarkEnd w:id="1"/>
      <w:bookmarkEnd w:id="2"/>
      <w:bookmarkEnd w:id="3"/>
      <w:bookmarkEnd w:id="4"/>
      <w:bookmarkEnd w:id="5"/>
      <w:r w:rsidR="001F4292">
        <w:t>31 MARCH 2021</w:t>
      </w:r>
      <w:bookmarkEnd w:id="6"/>
    </w:p>
    <w:p w:rsidR="003A047F" w:rsidRPr="00871C3E" w:rsidRDefault="003A047F" w:rsidP="00153824">
      <w:pPr>
        <w:shd w:val="clear" w:color="auto" w:fill="FFFFFF"/>
        <w:spacing w:line="240" w:lineRule="auto"/>
        <w:ind w:left="425"/>
        <w:rPr>
          <w:rFonts w:eastAsia="Times New Roman" w:cs="Arial"/>
          <w:sz w:val="6"/>
          <w:szCs w:val="16"/>
        </w:rPr>
      </w:pPr>
    </w:p>
    <w:p w:rsidR="00FA5B7A" w:rsidRPr="0077659B" w:rsidRDefault="00FA5B7A" w:rsidP="00FA5B7A">
      <w:pPr>
        <w:pStyle w:val="Heading2"/>
        <w:rPr>
          <w:rFonts w:ascii="Arial" w:eastAsia="Times New Roman" w:hAnsi="Arial"/>
        </w:rPr>
      </w:pPr>
      <w:bookmarkStart w:id="7" w:name="_Toc77816770"/>
      <w:r w:rsidRPr="0077659B">
        <w:t>INTRODUCTION</w:t>
      </w:r>
      <w:bookmarkEnd w:id="7"/>
    </w:p>
    <w:p w:rsidR="00AD6C24" w:rsidRPr="0077659B" w:rsidRDefault="00AD6C24" w:rsidP="00894AE4">
      <w:pPr>
        <w:pStyle w:val="Numbernormal"/>
        <w:numPr>
          <w:ilvl w:val="0"/>
          <w:numId w:val="17"/>
        </w:numPr>
        <w:ind w:left="567" w:hanging="567"/>
        <w:jc w:val="both"/>
      </w:pPr>
      <w:bookmarkStart w:id="8" w:name="_GoBack"/>
      <w:r w:rsidRPr="0077659B">
        <w:t xml:space="preserve">The purpose of the management report is to communicate audit findings and other key audit observations to the accounting officer and to provide a summary of the material irregularities and suspected material irregularities of which the accounting officer </w:t>
      </w:r>
      <w:proofErr w:type="gramStart"/>
      <w:r w:rsidRPr="0077659B">
        <w:t>was notified</w:t>
      </w:r>
      <w:proofErr w:type="gramEnd"/>
      <w:r w:rsidRPr="0077659B">
        <w:t>. The report does not</w:t>
      </w:r>
      <w:r w:rsidR="00D501E8">
        <w:t xml:space="preserve"> constitute public information.</w:t>
      </w:r>
    </w:p>
    <w:p w:rsidR="00AD6C24" w:rsidRPr="0077659B" w:rsidRDefault="00AD6C24" w:rsidP="00894AE4">
      <w:pPr>
        <w:pStyle w:val="Numbernormal"/>
        <w:ind w:left="567" w:hanging="11"/>
        <w:jc w:val="both"/>
      </w:pPr>
      <w:r w:rsidRPr="0077659B">
        <w:t xml:space="preserve">The management report includes audit findings arising from the audit of the financial statements, performance information and compliance with legislation for the year ended </w:t>
      </w:r>
      <w:r w:rsidR="001B6420">
        <w:t>31 March 2021</w:t>
      </w:r>
      <w:r w:rsidRPr="0077659B">
        <w:t xml:space="preserve">. These findings </w:t>
      </w:r>
      <w:proofErr w:type="gramStart"/>
      <w:r w:rsidRPr="0077659B">
        <w:t>were communicated</w:t>
      </w:r>
      <w:proofErr w:type="gramEnd"/>
      <w:r w:rsidRPr="0077659B">
        <w:t xml:space="preserve"> to management and this report details management’s response to these findings. The report includes information on the internal control deficiencies that we identified as the root causes of the matters reported. Addressing these deficiencies will help to improve the audit outcome.</w:t>
      </w:r>
    </w:p>
    <w:p w:rsidR="00C22F2B" w:rsidRPr="0077659B" w:rsidRDefault="003A047F" w:rsidP="00894AE4">
      <w:pPr>
        <w:pStyle w:val="Numbernormal"/>
        <w:numPr>
          <w:ilvl w:val="0"/>
          <w:numId w:val="17"/>
        </w:numPr>
        <w:ind w:left="567" w:hanging="567"/>
        <w:jc w:val="both"/>
      </w:pPr>
      <w:r w:rsidRPr="0077659B">
        <w:t>In accordance with the terms of engagement, our responsibility in this regard is to</w:t>
      </w:r>
      <w:r w:rsidR="00C22F2B" w:rsidRPr="0077659B">
        <w:t xml:space="preserve">: </w:t>
      </w:r>
    </w:p>
    <w:p w:rsidR="00C22F2B" w:rsidRPr="0077659B" w:rsidRDefault="00C22F2B" w:rsidP="00894AE4">
      <w:pPr>
        <w:pStyle w:val="Bulletedlist"/>
        <w:ind w:left="851" w:hanging="284"/>
        <w:jc w:val="both"/>
      </w:pPr>
      <w:r w:rsidRPr="0077659B">
        <w:t>express an opinion on the  financial statements</w:t>
      </w:r>
    </w:p>
    <w:p w:rsidR="00C22F2B" w:rsidRPr="0077659B" w:rsidRDefault="00C22F2B" w:rsidP="00894AE4">
      <w:pPr>
        <w:pStyle w:val="Bulletedlist"/>
        <w:ind w:left="851" w:hanging="284"/>
        <w:jc w:val="both"/>
      </w:pPr>
      <w:r w:rsidRPr="0077659B">
        <w:t>express a</w:t>
      </w:r>
      <w:r w:rsidR="0058770D" w:rsidRPr="0077659B">
        <w:t>n opinion</w:t>
      </w:r>
      <w:r w:rsidRPr="0077659B">
        <w:t xml:space="preserve"> in the management report on the usefulness and reliability of the reported performance information for selected programmes, and report the material findings in the auditor’s report</w:t>
      </w:r>
    </w:p>
    <w:p w:rsidR="00C22F2B" w:rsidRPr="0077659B" w:rsidRDefault="00C22F2B" w:rsidP="00894AE4">
      <w:pPr>
        <w:pStyle w:val="Bulletedlist"/>
        <w:ind w:left="851" w:hanging="284"/>
        <w:jc w:val="both"/>
      </w:pPr>
      <w:r w:rsidRPr="0077659B">
        <w:t xml:space="preserve">report on material findings relating to compliance with specific requirements in key applicable legislation, as set out in the general notice issued in terms of the Public Audit Act, 2004 (Act No. 25 of 2004) (PAA) </w:t>
      </w:r>
    </w:p>
    <w:p w:rsidR="00AD6C24" w:rsidRPr="0077659B" w:rsidRDefault="00AD6C24" w:rsidP="00894AE4">
      <w:pPr>
        <w:numPr>
          <w:ilvl w:val="0"/>
          <w:numId w:val="7"/>
        </w:numPr>
        <w:spacing w:line="240" w:lineRule="auto"/>
        <w:ind w:left="851" w:hanging="284"/>
        <w:jc w:val="both"/>
        <w:rPr>
          <w:rFonts w:eastAsia="Calibri"/>
        </w:rPr>
      </w:pPr>
      <w:proofErr w:type="gramStart"/>
      <w:r w:rsidRPr="0077659B">
        <w:rPr>
          <w:rFonts w:eastAsia="Calibri"/>
        </w:rPr>
        <w:t>notify</w:t>
      </w:r>
      <w:proofErr w:type="gramEnd"/>
      <w:r w:rsidRPr="0077659B">
        <w:rPr>
          <w:rFonts w:eastAsia="Calibri"/>
        </w:rPr>
        <w:t xml:space="preserve"> the accounting officer of any material irregularity or suspected material irregularities identified during the audit, and report on </w:t>
      </w:r>
      <w:r w:rsidR="00AE3982" w:rsidRPr="0077659B">
        <w:rPr>
          <w:rFonts w:eastAsia="Calibri"/>
        </w:rPr>
        <w:t xml:space="preserve">it </w:t>
      </w:r>
      <w:r w:rsidRPr="0077659B">
        <w:rPr>
          <w:rFonts w:eastAsia="Calibri"/>
        </w:rPr>
        <w:t>in the auditor’s report.</w:t>
      </w:r>
    </w:p>
    <w:p w:rsidR="00C22F2B" w:rsidRPr="00440928" w:rsidRDefault="00C22F2B" w:rsidP="00894AE4">
      <w:pPr>
        <w:pStyle w:val="Numbernormal"/>
        <w:numPr>
          <w:ilvl w:val="0"/>
          <w:numId w:val="17"/>
        </w:numPr>
        <w:ind w:left="567" w:hanging="567"/>
        <w:jc w:val="both"/>
      </w:pPr>
      <w:r w:rsidRPr="00440928">
        <w:t xml:space="preserve">Our engagement letter sets out our responsibilities and those of the </w:t>
      </w:r>
      <w:r w:rsidR="00FA5B7A" w:rsidRPr="00440928">
        <w:t xml:space="preserve">accounting </w:t>
      </w:r>
      <w:r w:rsidRPr="00440928">
        <w:t xml:space="preserve">officer in detail. </w:t>
      </w:r>
    </w:p>
    <w:p w:rsidR="00C22F2B" w:rsidRPr="0077659B" w:rsidRDefault="00C22F2B" w:rsidP="00894AE4">
      <w:pPr>
        <w:pStyle w:val="Numbernormal"/>
        <w:numPr>
          <w:ilvl w:val="0"/>
          <w:numId w:val="17"/>
        </w:numPr>
        <w:ind w:left="567" w:hanging="567"/>
        <w:jc w:val="both"/>
      </w:pPr>
      <w:r w:rsidRPr="0077659B">
        <w:t xml:space="preserve">This management report consists of </w:t>
      </w:r>
      <w:r w:rsidR="00A65171" w:rsidRPr="0077659B">
        <w:t>the overall message arising from the audit, summary of key findings and observations, a</w:t>
      </w:r>
      <w:r w:rsidRPr="0077659B">
        <w:t>nnexures containing the detailed audit findings</w:t>
      </w:r>
      <w:r w:rsidR="00076FB3" w:rsidRPr="0077659B">
        <w:t>, annexures to the report on the audit of performance information as well as the annexure to internal control deficiencies reported</w:t>
      </w:r>
      <w:r w:rsidRPr="0077659B">
        <w:t>.</w:t>
      </w:r>
    </w:p>
    <w:p w:rsidR="00C22F2B" w:rsidRPr="0077659B" w:rsidRDefault="00C22F2B" w:rsidP="00894AE4">
      <w:pPr>
        <w:pStyle w:val="Numbernormal"/>
        <w:numPr>
          <w:ilvl w:val="0"/>
          <w:numId w:val="17"/>
        </w:numPr>
        <w:ind w:left="567" w:hanging="567"/>
        <w:jc w:val="both"/>
      </w:pPr>
      <w:r w:rsidRPr="0077659B">
        <w:t xml:space="preserve">The auditor’s report is finalised only after the management report </w:t>
      </w:r>
      <w:proofErr w:type="gramStart"/>
      <w:r w:rsidRPr="0077659B">
        <w:t>has been communicated</w:t>
      </w:r>
      <w:proofErr w:type="gramEnd"/>
      <w:r w:rsidRPr="0077659B">
        <w:t xml:space="preserve">. All matters included in this report that relate to the auditor’s report </w:t>
      </w:r>
      <w:r w:rsidR="00C516E8" w:rsidRPr="0077659B">
        <w:t xml:space="preserve">remain </w:t>
      </w:r>
      <w:r w:rsidRPr="0077659B">
        <w:t xml:space="preserve">in draft form until the final auditor’s report </w:t>
      </w:r>
      <w:proofErr w:type="gramStart"/>
      <w:r w:rsidRPr="0077659B">
        <w:t>is signed</w:t>
      </w:r>
      <w:proofErr w:type="gramEnd"/>
      <w:r w:rsidRPr="0077659B">
        <w:t xml:space="preserve">. In adherence to section 50 of the PAA, we do not disclose any information obtained during the audit and contained in this management report. </w:t>
      </w:r>
    </w:p>
    <w:p w:rsidR="00F110DC" w:rsidRPr="0077659B" w:rsidRDefault="00F110DC" w:rsidP="00894AE4">
      <w:pPr>
        <w:pStyle w:val="Numbernormal"/>
        <w:numPr>
          <w:ilvl w:val="0"/>
          <w:numId w:val="17"/>
        </w:numPr>
        <w:ind w:left="567" w:hanging="501"/>
        <w:jc w:val="both"/>
      </w:pPr>
      <w:bookmarkStart w:id="9" w:name="OM1"/>
      <w:bookmarkEnd w:id="9"/>
      <w:r w:rsidRPr="0077659B">
        <w:t>The</w:t>
      </w:r>
      <w:r w:rsidR="002E76E3" w:rsidRPr="0077659B">
        <w:t xml:space="preserve"> </w:t>
      </w:r>
      <w:r w:rsidR="00607585" w:rsidRPr="0077659B">
        <w:rPr>
          <w:b/>
        </w:rPr>
        <w:t>figure</w:t>
      </w:r>
      <w:r w:rsidR="00607585" w:rsidRPr="0077659B">
        <w:t xml:space="preserve"> </w:t>
      </w:r>
      <w:r w:rsidRPr="0077659B">
        <w:t xml:space="preserve">that follows provides a pictorial summary of the </w:t>
      </w:r>
      <w:r w:rsidR="0007051A" w:rsidRPr="0077659B">
        <w:t>audit results</w:t>
      </w:r>
      <w:r w:rsidRPr="0077659B">
        <w:t xml:space="preserve"> </w:t>
      </w:r>
      <w:r w:rsidR="0007051A" w:rsidRPr="0077659B">
        <w:t xml:space="preserve">and our key messages on how to improve the audit outcomes </w:t>
      </w:r>
      <w:r w:rsidRPr="0077659B">
        <w:t>with the focus on the following:</w:t>
      </w:r>
      <w:r w:rsidR="002E76E3" w:rsidRPr="0077659B">
        <w:t xml:space="preserve"> </w:t>
      </w:r>
      <w:r w:rsidRPr="0077659B">
        <w:t xml:space="preserve"> </w:t>
      </w:r>
    </w:p>
    <w:p w:rsidR="00F110DC" w:rsidRPr="0077659B" w:rsidRDefault="00F110DC" w:rsidP="00894AE4">
      <w:pPr>
        <w:pStyle w:val="Bulletedlist"/>
        <w:ind w:left="851" w:hanging="284"/>
        <w:jc w:val="both"/>
      </w:pPr>
      <w:r w:rsidRPr="0077659B">
        <w:t>Status of the audit outcomes</w:t>
      </w:r>
    </w:p>
    <w:p w:rsidR="00F110DC" w:rsidRPr="0077659B" w:rsidRDefault="00F110DC" w:rsidP="00894AE4">
      <w:pPr>
        <w:pStyle w:val="Bulletedlist"/>
        <w:ind w:left="851" w:hanging="284"/>
        <w:jc w:val="both"/>
      </w:pPr>
      <w:r w:rsidRPr="0077659B">
        <w:lastRenderedPageBreak/>
        <w:t>Status of the level of assurance provided by key role players</w:t>
      </w:r>
    </w:p>
    <w:p w:rsidR="00F110DC" w:rsidRPr="0077659B" w:rsidRDefault="00F110DC" w:rsidP="00894AE4">
      <w:pPr>
        <w:pStyle w:val="Bulletedlist"/>
        <w:ind w:left="851" w:hanging="284"/>
        <w:jc w:val="both"/>
      </w:pPr>
      <w:r w:rsidRPr="0077659B">
        <w:t>Status of the drivers of internal controls</w:t>
      </w:r>
    </w:p>
    <w:p w:rsidR="00F110DC" w:rsidRPr="0077659B" w:rsidRDefault="00F110DC" w:rsidP="00894AE4">
      <w:pPr>
        <w:pStyle w:val="Bulletedlist"/>
        <w:ind w:left="851" w:hanging="284"/>
        <w:jc w:val="both"/>
      </w:pPr>
      <w:r w:rsidRPr="0077659B">
        <w:t xml:space="preserve">Status of risk areas </w:t>
      </w:r>
    </w:p>
    <w:p w:rsidR="00F73648" w:rsidRPr="0077659B" w:rsidRDefault="00F110DC" w:rsidP="00894AE4">
      <w:pPr>
        <w:pStyle w:val="Bulletedlist"/>
        <w:numPr>
          <w:ilvl w:val="0"/>
          <w:numId w:val="17"/>
        </w:numPr>
        <w:ind w:left="567" w:hanging="567"/>
        <w:jc w:val="both"/>
      </w:pPr>
      <w:r w:rsidRPr="0077659B">
        <w:t xml:space="preserve">Root causes to be </w:t>
      </w:r>
      <w:proofErr w:type="spellStart"/>
      <w:r w:rsidRPr="0077659B">
        <w:t>addressed</w:t>
      </w:r>
      <w:r w:rsidR="00253FDE" w:rsidRPr="0077659B">
        <w:rPr>
          <w:noProof/>
          <w:lang w:val="en-GB" w:eastAsia="en-GB"/>
        </w:rPr>
        <mc:AlternateContent>
          <mc:Choice Requires="wpg">
            <w:drawing>
              <wp:anchor distT="0" distB="0" distL="114300" distR="114300" simplePos="0" relativeHeight="251652608" behindDoc="0" locked="0" layoutInCell="1" allowOverlap="1" wp14:anchorId="590B6E76" wp14:editId="26998574">
                <wp:simplePos x="0" y="0"/>
                <wp:positionH relativeFrom="column">
                  <wp:posOffset>380365</wp:posOffset>
                </wp:positionH>
                <wp:positionV relativeFrom="paragraph">
                  <wp:posOffset>240665</wp:posOffset>
                </wp:positionV>
                <wp:extent cx="618490" cy="713105"/>
                <wp:effectExtent l="0" t="0" r="0" b="0"/>
                <wp:wrapNone/>
                <wp:docPr id="1" name="Group 1"/>
                <wp:cNvGraphicFramePr/>
                <a:graphic xmlns:a="http://schemas.openxmlformats.org/drawingml/2006/main">
                  <a:graphicData uri="http://schemas.microsoft.com/office/word/2010/wordprocessingGroup">
                    <wpg:wgp>
                      <wpg:cNvGrpSpPr/>
                      <wpg:grpSpPr>
                        <a:xfrm>
                          <a:off x="0" y="0"/>
                          <a:ext cx="618490" cy="713105"/>
                          <a:chOff x="0" y="0"/>
                          <a:chExt cx="618617" cy="713714"/>
                        </a:xfrm>
                      </wpg:grpSpPr>
                      <pic:pic xmlns:pic="http://schemas.openxmlformats.org/drawingml/2006/picture">
                        <pic:nvPicPr>
                          <pic:cNvPr id="120" name="Picture 119"/>
                          <pic:cNvPicPr/>
                        </pic:nvPicPr>
                        <pic:blipFill>
                          <a:blip r:embed="rId18" cstate="print">
                            <a:extLst>
                              <a:ext uri="{28A0092B-C50C-407E-A947-70E740481C1C}">
                                <a14:useLocalDpi xmlns:a14="http://schemas.microsoft.com/office/drawing/2010/main" val="0"/>
                              </a:ext>
                            </a:extLst>
                          </a:blip>
                          <a:stretch>
                            <a:fillRect/>
                          </a:stretch>
                        </pic:blipFill>
                        <pic:spPr>
                          <a:xfrm>
                            <a:off x="219456" y="0"/>
                            <a:ext cx="179705" cy="179705"/>
                          </a:xfrm>
                          <a:prstGeom prst="rect">
                            <a:avLst/>
                          </a:prstGeom>
                        </pic:spPr>
                      </pic:pic>
                      <pic:pic xmlns:pic="http://schemas.openxmlformats.org/drawingml/2006/picture">
                        <pic:nvPicPr>
                          <pic:cNvPr id="16" name="Picture 116"/>
                          <pic:cNvPicPr/>
                        </pic:nvPicPr>
                        <pic:blipFill>
                          <a:blip r:embed="rId19" cstate="print">
                            <a:extLst>
                              <a:ext uri="{28A0092B-C50C-407E-A947-70E740481C1C}">
                                <a14:useLocalDpi xmlns:a14="http://schemas.microsoft.com/office/drawing/2010/main" val="0"/>
                              </a:ext>
                            </a:extLst>
                          </a:blip>
                          <a:stretch>
                            <a:fillRect/>
                          </a:stretch>
                        </pic:blipFill>
                        <pic:spPr>
                          <a:xfrm>
                            <a:off x="219456" y="256032"/>
                            <a:ext cx="179705" cy="179705"/>
                          </a:xfrm>
                          <a:prstGeom prst="rect">
                            <a:avLst/>
                          </a:prstGeom>
                        </pic:spPr>
                      </pic:pic>
                      <pic:pic xmlns:pic="http://schemas.openxmlformats.org/drawingml/2006/picture">
                        <pic:nvPicPr>
                          <pic:cNvPr id="17" name="Picture 117"/>
                          <pic:cNvPicPr/>
                        </pic:nvPicPr>
                        <pic:blipFill>
                          <a:blip r:embed="rId19" cstate="print">
                            <a:extLst>
                              <a:ext uri="{28A0092B-C50C-407E-A947-70E740481C1C}">
                                <a14:useLocalDpi xmlns:a14="http://schemas.microsoft.com/office/drawing/2010/main" val="0"/>
                              </a:ext>
                            </a:extLst>
                          </a:blip>
                          <a:stretch>
                            <a:fillRect/>
                          </a:stretch>
                        </pic:blipFill>
                        <pic:spPr>
                          <a:xfrm flipV="1">
                            <a:off x="438912" y="256032"/>
                            <a:ext cx="179705" cy="179705"/>
                          </a:xfrm>
                          <a:prstGeom prst="rect">
                            <a:avLst/>
                          </a:prstGeom>
                        </pic:spPr>
                      </pic:pic>
                      <pic:pic xmlns:pic="http://schemas.openxmlformats.org/drawingml/2006/picture">
                        <pic:nvPicPr>
                          <pic:cNvPr id="18" name="Picture 118"/>
                          <pic:cNvPicPr/>
                        </pic:nvPicPr>
                        <pic:blipFill>
                          <a:blip r:embed="rId19" cstate="print">
                            <a:extLst>
                              <a:ext uri="{28A0092B-C50C-407E-A947-70E740481C1C}">
                                <a14:useLocalDpi xmlns:a14="http://schemas.microsoft.com/office/drawing/2010/main" val="0"/>
                              </a:ext>
                            </a:extLst>
                          </a:blip>
                          <a:stretch>
                            <a:fillRect/>
                          </a:stretch>
                        </pic:blipFill>
                        <pic:spPr>
                          <a:xfrm rot="5400000" flipH="1">
                            <a:off x="0" y="256032"/>
                            <a:ext cx="179705" cy="179705"/>
                          </a:xfrm>
                          <a:prstGeom prst="rect">
                            <a:avLst/>
                          </a:prstGeom>
                        </pic:spPr>
                      </pic:pic>
                      <pic:pic xmlns:pic="http://schemas.openxmlformats.org/drawingml/2006/picture">
                        <pic:nvPicPr>
                          <pic:cNvPr id="116" name="Picture 115"/>
                          <pic:cNvPicPr/>
                        </pic:nvPicPr>
                        <pic:blipFill>
                          <a:blip r:embed="rId20" cstate="print">
                            <a:extLst>
                              <a:ext uri="{28A0092B-C50C-407E-A947-70E740481C1C}">
                                <a14:useLocalDpi xmlns:a14="http://schemas.microsoft.com/office/drawing/2010/main" val="0"/>
                              </a:ext>
                            </a:extLst>
                          </a:blip>
                          <a:stretch>
                            <a:fillRect/>
                          </a:stretch>
                        </pic:blipFill>
                        <pic:spPr>
                          <a:xfrm>
                            <a:off x="219456" y="534009"/>
                            <a:ext cx="179705" cy="179705"/>
                          </a:xfrm>
                          <a:prstGeom prst="rect">
                            <a:avLst/>
                          </a:prstGeom>
                        </pic:spPr>
                      </pic:pic>
                    </wpg:wgp>
                  </a:graphicData>
                </a:graphic>
              </wp:anchor>
            </w:drawing>
          </mc:Choice>
          <mc:Fallback>
            <w:pict>
              <v:group w14:anchorId="4239D647" id="Group 1" o:spid="_x0000_s1026" style="position:absolute;margin-left:29.95pt;margin-top:18.95pt;width:48.7pt;height:56.15pt;z-index:251652608" coordsize="6186,7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">
                <v:shape id="Picture 119" o:spid="_x0000_s1027" type="#_x0000_t75" style="position:absolute;left:2194;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">
                  <v:imagedata r:id="rId21" o:title=""/>
                </v:shape>
                <v:shape id="Picture 116" o:spid="_x0000_s1028" type="#_x0000_t75" style="position:absolute;left:2194;top:256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">
                  <v:imagedata r:id="rId22" o:title=""/>
                </v:shape>
                <v:shape id="Picture 117" o:spid="_x0000_s1029" type="#_x0000_t75" style="position:absolute;left:4389;top:2560;width:1797;height:17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">
                  <v:imagedata r:id="rId22" o:title=""/>
                </v:shape>
                <v:shape id="Picture 118" o:spid="_x0000_s1030" type="#_x0000_t75" style="position:absolute;top:2560;width:1797;height:1797;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">
                  <v:imagedata r:id="rId22" o:title=""/>
                </v:shape>
                <v:shape id="Picture 115" o:spid="_x0000_s1031" type="#_x0000_t75" style="position:absolute;left:2194;top:534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">
                  <v:imagedata r:id="rId23" o:title=""/>
                </v:shape>
              </v:group>
            </w:pict>
          </mc:Fallback>
        </mc:AlternateContent>
      </w:r>
      <w:r w:rsidR="00581DB9" w:rsidRPr="0077659B">
        <w:t>Movement</w:t>
      </w:r>
      <w:proofErr w:type="spellEnd"/>
      <w:r w:rsidR="00581DB9" w:rsidRPr="0077659B">
        <w:t xml:space="preserve"> from the previous year is depicted as follows</w:t>
      </w:r>
      <w:r w:rsidR="00E852E7" w:rsidRPr="0077659B">
        <w:t>:</w:t>
      </w:r>
    </w:p>
    <w:p w:rsidR="00F73648" w:rsidRPr="0077659B" w:rsidRDefault="001B6809" w:rsidP="00894AE4">
      <w:pPr>
        <w:spacing w:before="60" w:after="60"/>
        <w:ind w:left="426"/>
        <w:jc w:val="both"/>
        <w:rPr>
          <w:rFonts w:cs="Arial"/>
        </w:rPr>
      </w:pPr>
      <w:r w:rsidRPr="0077659B">
        <w:rPr>
          <w:rFonts w:cs="Arial"/>
        </w:rPr>
        <w:t xml:space="preserve">       </w:t>
      </w:r>
      <w:r w:rsidR="00F73648" w:rsidRPr="0077659B">
        <w:rPr>
          <w:rFonts w:cs="Arial"/>
        </w:rPr>
        <w:t xml:space="preserve">  </w:t>
      </w:r>
      <w:r w:rsidR="00D4011C">
        <w:rPr>
          <w:rFonts w:cs="Arial"/>
        </w:rPr>
        <w:t xml:space="preserve">            </w:t>
      </w:r>
      <w:r w:rsidR="00F73648" w:rsidRPr="0077659B">
        <w:rPr>
          <w:rFonts w:cs="Arial"/>
        </w:rPr>
        <w:t xml:space="preserve">Improved </w:t>
      </w:r>
    </w:p>
    <w:p w:rsidR="00F73648" w:rsidRPr="0077659B" w:rsidRDefault="001B6809" w:rsidP="00894AE4">
      <w:pPr>
        <w:spacing w:before="120"/>
        <w:ind w:left="425"/>
        <w:jc w:val="both"/>
        <w:rPr>
          <w:rFonts w:cs="Arial"/>
        </w:rPr>
      </w:pPr>
      <w:r w:rsidRPr="0077659B">
        <w:t xml:space="preserve">          </w:t>
      </w:r>
      <w:r w:rsidR="00F73648" w:rsidRPr="0077659B">
        <w:t xml:space="preserve"> </w:t>
      </w:r>
      <w:r w:rsidR="00D4011C">
        <w:t xml:space="preserve">          </w:t>
      </w:r>
      <w:r w:rsidR="00F73648" w:rsidRPr="0077659B">
        <w:rPr>
          <w:rFonts w:cs="Arial"/>
        </w:rPr>
        <w:t xml:space="preserve">Unchanged / slight improvement / slight regression     </w:t>
      </w:r>
    </w:p>
    <w:p w:rsidR="00F73648" w:rsidRPr="0077659B" w:rsidRDefault="001B6809" w:rsidP="00894AE4">
      <w:pPr>
        <w:spacing w:before="120" w:after="60"/>
        <w:ind w:left="425"/>
        <w:jc w:val="both"/>
        <w:rPr>
          <w:rFonts w:cs="Arial"/>
        </w:rPr>
      </w:pPr>
      <w:r w:rsidRPr="0077659B">
        <w:rPr>
          <w:rFonts w:cs="Arial"/>
        </w:rPr>
        <w:t xml:space="preserve">      </w:t>
      </w:r>
      <w:r w:rsidR="00F73648" w:rsidRPr="0077659B">
        <w:rPr>
          <w:rFonts w:cs="Arial"/>
        </w:rPr>
        <w:t xml:space="preserve">  </w:t>
      </w:r>
      <w:r w:rsidR="00D4011C">
        <w:rPr>
          <w:rFonts w:cs="Arial"/>
        </w:rPr>
        <w:t xml:space="preserve">         </w:t>
      </w:r>
      <w:r w:rsidR="00F73648" w:rsidRPr="0077659B">
        <w:rPr>
          <w:rFonts w:cs="Arial"/>
        </w:rPr>
        <w:t xml:space="preserve"> </w:t>
      </w:r>
      <w:r w:rsidR="00D4011C">
        <w:rPr>
          <w:rFonts w:cs="Arial"/>
        </w:rPr>
        <w:t xml:space="preserve">   </w:t>
      </w:r>
      <w:r w:rsidR="00F73648" w:rsidRPr="0077659B">
        <w:rPr>
          <w:rFonts w:cs="Arial"/>
        </w:rPr>
        <w:t>Reg</w:t>
      </w:r>
      <w:bookmarkEnd w:id="8"/>
      <w:r w:rsidR="00F73648" w:rsidRPr="0077659B">
        <w:rPr>
          <w:rFonts w:cs="Arial"/>
        </w:rPr>
        <w:t>ressed</w:t>
      </w:r>
    </w:p>
    <w:p w:rsidR="008677D8" w:rsidRPr="0077659B" w:rsidRDefault="008677D8" w:rsidP="00C22F2B">
      <w:pPr>
        <w:spacing w:after="240" w:line="240" w:lineRule="auto"/>
        <w:rPr>
          <w:rFonts w:eastAsia="Times New Roman" w:cs="Arial"/>
          <w:sz w:val="6"/>
          <w:szCs w:val="6"/>
        </w:rPr>
        <w:sectPr w:rsidR="008677D8" w:rsidRPr="0077659B" w:rsidSect="00C12C2B">
          <w:headerReference w:type="even" r:id="rId24"/>
          <w:headerReference w:type="default" r:id="rId25"/>
          <w:footerReference w:type="default" r:id="rId26"/>
          <w:headerReference w:type="first" r:id="rId27"/>
          <w:endnotePr>
            <w:numFmt w:val="decimal"/>
          </w:endnotePr>
          <w:pgSz w:w="11906" w:h="16838" w:code="9"/>
          <w:pgMar w:top="1245" w:right="1134" w:bottom="1134" w:left="1134" w:header="1134" w:footer="709" w:gutter="0"/>
          <w:cols w:space="708"/>
          <w:docGrid w:linePitch="360"/>
        </w:sectPr>
      </w:pPr>
    </w:p>
    <w:p w:rsidR="004D5904" w:rsidRPr="001B6284" w:rsidRDefault="00F43EF6" w:rsidP="001B6284">
      <w:pPr>
        <w:rPr>
          <w:rFonts w:eastAsia="Times New Roman" w:cs="Arial"/>
          <w:sz w:val="6"/>
          <w:szCs w:val="6"/>
        </w:rPr>
      </w:pPr>
      <w:r>
        <w:rPr>
          <w:noProof/>
          <w:lang w:val="en-GB" w:eastAsia="en-GB"/>
        </w:rPr>
        <w:lastRenderedPageBreak/>
        <w:drawing>
          <wp:inline distT="0" distB="0" distL="0" distR="0" wp14:anchorId="6D520CE3" wp14:editId="064CB0E1">
            <wp:extent cx="9677400" cy="565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77400" cy="5657850"/>
                    </a:xfrm>
                    <a:prstGeom prst="rect">
                      <a:avLst/>
                    </a:prstGeom>
                  </pic:spPr>
                </pic:pic>
              </a:graphicData>
            </a:graphic>
          </wp:inline>
        </w:drawing>
      </w:r>
    </w:p>
    <w:p w:rsidR="004D5904" w:rsidRPr="0077659B" w:rsidRDefault="004D5904" w:rsidP="004D5904">
      <w:pPr>
        <w:rPr>
          <w:rFonts w:eastAsia="Times New Roman" w:cs="Arial"/>
          <w:sz w:val="6"/>
          <w:szCs w:val="6"/>
        </w:rPr>
      </w:pPr>
    </w:p>
    <w:p w:rsidR="00153824" w:rsidRPr="0077659B" w:rsidRDefault="00153824" w:rsidP="004D5904">
      <w:pPr>
        <w:rPr>
          <w:rFonts w:eastAsia="Times New Roman" w:cs="Arial"/>
          <w:sz w:val="6"/>
          <w:szCs w:val="6"/>
        </w:rPr>
        <w:sectPr w:rsidR="00153824" w:rsidRPr="0077659B" w:rsidSect="00C12C2B">
          <w:endnotePr>
            <w:numFmt w:val="decimal"/>
          </w:endnotePr>
          <w:pgSz w:w="16838" w:h="11906" w:orient="landscape" w:code="9"/>
          <w:pgMar w:top="281" w:right="1245" w:bottom="1134" w:left="1134" w:header="278" w:footer="313" w:gutter="0"/>
          <w:cols w:space="708"/>
          <w:docGrid w:linePitch="360"/>
        </w:sectPr>
      </w:pPr>
    </w:p>
    <w:p w:rsidR="00F110DC" w:rsidRPr="0077659B" w:rsidRDefault="005674DC" w:rsidP="000C4D17">
      <w:pPr>
        <w:pStyle w:val="Heading2"/>
      </w:pPr>
      <w:bookmarkStart w:id="10" w:name="_Toc77816771"/>
      <w:r w:rsidRPr="0077659B">
        <w:lastRenderedPageBreak/>
        <w:t>OVERALL MESSAGE</w:t>
      </w:r>
      <w:bookmarkEnd w:id="10"/>
    </w:p>
    <w:p w:rsidR="00F110DC" w:rsidRPr="0077659B" w:rsidRDefault="005D4607" w:rsidP="00F110DC">
      <w:pPr>
        <w:shd w:val="clear" w:color="auto" w:fill="FFFFFF"/>
        <w:spacing w:line="240" w:lineRule="auto"/>
        <w:rPr>
          <w:rFonts w:eastAsia="Times New Roman" w:cs="Arial"/>
          <w:sz w:val="2"/>
        </w:rPr>
      </w:pPr>
      <w:r w:rsidRPr="0077659B">
        <w:rPr>
          <w:rFonts w:eastAsia="Times New Roman" w:cs="Arial"/>
          <w:sz w:val="2"/>
        </w:rPr>
        <w:t>-</w:t>
      </w:r>
    </w:p>
    <w:p w:rsidR="00D55037" w:rsidRDefault="00D55037" w:rsidP="009C0B03">
      <w:pPr>
        <w:pStyle w:val="Numbernormal"/>
        <w:numPr>
          <w:ilvl w:val="0"/>
          <w:numId w:val="17"/>
        </w:numPr>
        <w:jc w:val="both"/>
      </w:pPr>
      <w:r>
        <w:t xml:space="preserve">The financial audit outcome regressed from an unmodified audit opinion to a qualification of audit opinion in the year 2020-21, the opinion on performance against predetermined objectives remained as a qualification of audit opinion.  Instances of material non-compliance also increased when compared to the previous year. </w:t>
      </w:r>
    </w:p>
    <w:p w:rsidR="00D55037" w:rsidRDefault="00D55037" w:rsidP="009C0B03">
      <w:pPr>
        <w:pStyle w:val="Numbernormal"/>
        <w:numPr>
          <w:ilvl w:val="0"/>
          <w:numId w:val="17"/>
        </w:numPr>
        <w:jc w:val="both"/>
      </w:pPr>
      <w:r>
        <w:t>The department developed a plan to address internal and external audit findings, however, based on the regression of the financial audit outcome and the lack of improvement on the audit of predetermined objectives as well as the reported issues on the audit of compliance subject matters, the appropriate level of management did not monitor adherence to the plan on time.</w:t>
      </w:r>
    </w:p>
    <w:p w:rsidR="00F43EF6" w:rsidRDefault="00D55037" w:rsidP="009C0B03">
      <w:pPr>
        <w:pStyle w:val="Numbernormal"/>
        <w:numPr>
          <w:ilvl w:val="0"/>
          <w:numId w:val="17"/>
        </w:numPr>
        <w:jc w:val="both"/>
      </w:pPr>
      <w:proofErr w:type="gramStart"/>
      <w:r>
        <w:t xml:space="preserve">The department over the years has been working on operation clean audit opinion with the focus being on improving internal controls within the predetermined objectives reporting processes and procedures concerning the public bodies, while the audit has been creating awareness towards maintaining good practices </w:t>
      </w:r>
      <w:r w:rsidRPr="00D55037">
        <w:t xml:space="preserve">and the department's internal controls did not identify and prevent he material misstatements from </w:t>
      </w:r>
      <w:proofErr w:type="spellStart"/>
      <w:r w:rsidRPr="00D55037">
        <w:t>occurring.</w:t>
      </w:r>
      <w:r>
        <w:t>The</w:t>
      </w:r>
      <w:proofErr w:type="spellEnd"/>
      <w:r>
        <w:t xml:space="preserve"> audit of predetermined objectives has been faced with challenges for the past three to five years, while the department is responsible for reporting job </w:t>
      </w:r>
      <w:proofErr w:type="spellStart"/>
      <w:r>
        <w:t>opportunires</w:t>
      </w:r>
      <w:proofErr w:type="spellEnd"/>
      <w:r>
        <w:t xml:space="preserve"> reported in the EPWP reporting system;- the process of validating and verifying the created and reported job opportunities is a shared function between the department and the implementing public bodies.</w:t>
      </w:r>
      <w:proofErr w:type="gramEnd"/>
      <w:r>
        <w:t xml:space="preserve"> The department does not enjoy synergies from these combined efforts because the audit opinion does not </w:t>
      </w:r>
      <w:proofErr w:type="gramStart"/>
      <w:r>
        <w:t>impact</w:t>
      </w:r>
      <w:proofErr w:type="gramEnd"/>
      <w:r>
        <w:t xml:space="preserve"> t</w:t>
      </w:r>
      <w:r w:rsidR="00846AA6">
        <w:t xml:space="preserve">he implementing public bodies. </w:t>
      </w:r>
    </w:p>
    <w:p w:rsidR="00846AA6" w:rsidRDefault="001E06E1" w:rsidP="009C0B03">
      <w:pPr>
        <w:pStyle w:val="Numbernormal"/>
        <w:numPr>
          <w:ilvl w:val="0"/>
          <w:numId w:val="17"/>
        </w:numPr>
        <w:jc w:val="both"/>
      </w:pPr>
      <w:r>
        <w:t>Not</w:t>
      </w:r>
      <w:r w:rsidR="00846AA6">
        <w:t xml:space="preserve">withstanding the challenges posed by the implementing public bodies, </w:t>
      </w:r>
      <w:proofErr w:type="gramStart"/>
      <w:r w:rsidR="00F43EF6" w:rsidRPr="00F43EF6">
        <w:t>It</w:t>
      </w:r>
      <w:proofErr w:type="gramEnd"/>
      <w:r w:rsidR="00F43EF6" w:rsidRPr="00F43EF6">
        <w:t xml:space="preserve"> is concerning that in the current year, some of the findings emanate from the projects implemented by the department and it’s implementing agent, Independent Development Trust. This is an indication that preventative controls within the department ought to </w:t>
      </w:r>
      <w:proofErr w:type="gramStart"/>
      <w:r w:rsidR="00F43EF6" w:rsidRPr="00F43EF6">
        <w:t>be enhanced</w:t>
      </w:r>
      <w:proofErr w:type="gramEnd"/>
      <w:r w:rsidR="00F43EF6" w:rsidRPr="00F43EF6">
        <w:t xml:space="preserve"> by strengthening the verification, review and monitoring processes such that all work opportunities created from projects implemented under the control of the department are recorded in a manner that enables reliability of reported performance information. Failure to address and prevent poor record keeping of the number of work opportunities created from projects implemented by the department and its implementing agent may continue to be a hindrance to the department in achieving the desired audit outcomes. </w:t>
      </w:r>
    </w:p>
    <w:p w:rsidR="00F43EF6" w:rsidRDefault="00D55037" w:rsidP="009C0B03">
      <w:pPr>
        <w:pStyle w:val="Numbernormal"/>
        <w:numPr>
          <w:ilvl w:val="0"/>
          <w:numId w:val="17"/>
        </w:numPr>
        <w:jc w:val="both"/>
      </w:pPr>
      <w:r>
        <w:t xml:space="preserve">The increase in non-compliances paragraphs is a concern because in the prior year, two material irregularity notifications </w:t>
      </w:r>
      <w:proofErr w:type="gramStart"/>
      <w:r>
        <w:t>were issued</w:t>
      </w:r>
      <w:proofErr w:type="gramEnd"/>
      <w:r>
        <w:t xml:space="preserve"> to the accounting officer and the accounting officer. </w:t>
      </w:r>
    </w:p>
    <w:p w:rsidR="00D55037" w:rsidRPr="00F43EF6" w:rsidRDefault="00F43EF6" w:rsidP="009C0B03">
      <w:pPr>
        <w:spacing w:after="200"/>
        <w:jc w:val="both"/>
        <w:rPr>
          <w:rFonts w:eastAsia="Calibri" w:cs="Arial"/>
        </w:rPr>
      </w:pPr>
      <w:r>
        <w:br w:type="page"/>
      </w:r>
    </w:p>
    <w:p w:rsidR="00253FDE" w:rsidRPr="00D55037" w:rsidRDefault="00253FDE" w:rsidP="009C0B03">
      <w:pPr>
        <w:pStyle w:val="Heading2"/>
        <w:jc w:val="both"/>
        <w:rPr>
          <w:rFonts w:ascii="Arial" w:eastAsia="Calibri" w:hAnsi="Arial"/>
        </w:rPr>
      </w:pPr>
      <w:bookmarkStart w:id="11" w:name="_Toc447106582"/>
      <w:bookmarkStart w:id="12" w:name="_Toc77816772"/>
      <w:r w:rsidRPr="0077659B">
        <w:lastRenderedPageBreak/>
        <w:t>SECTION 1: Interactions with stakeholders responsible for oversight and governance</w:t>
      </w:r>
      <w:bookmarkEnd w:id="11"/>
      <w:bookmarkEnd w:id="12"/>
    </w:p>
    <w:p w:rsidR="00C22F2B" w:rsidRPr="001B6284" w:rsidRDefault="00C22F2B" w:rsidP="003D65F2">
      <w:pPr>
        <w:pStyle w:val="Numbernormal"/>
        <w:numPr>
          <w:ilvl w:val="0"/>
          <w:numId w:val="17"/>
        </w:numPr>
      </w:pPr>
      <w:bookmarkStart w:id="13" w:name="Section1"/>
      <w:bookmarkEnd w:id="13"/>
      <w:r w:rsidRPr="0077659B">
        <w:t xml:space="preserve">During the audit cycle, we met with the following key stakeholders responsible for oversight and governance to communicate matters relating to the audit outcome </w:t>
      </w:r>
      <w:r w:rsidR="0077556A" w:rsidRPr="0077659B">
        <w:t xml:space="preserve">and matters identified during our status of records review/s </w:t>
      </w:r>
      <w:r w:rsidRPr="0077659B">
        <w:t xml:space="preserve">of the </w:t>
      </w:r>
      <w:r w:rsidR="00D55037">
        <w:t>department</w:t>
      </w:r>
    </w:p>
    <w:tbl>
      <w:tblPr>
        <w:tblStyle w:val="TableGrid171"/>
        <w:tblW w:w="5000" w:type="pct"/>
        <w:tblInd w:w="-34" w:type="dxa"/>
        <w:tblLook w:val="04A0" w:firstRow="1" w:lastRow="0" w:firstColumn="1" w:lastColumn="0" w:noHBand="0" w:noVBand="1"/>
      </w:tblPr>
      <w:tblGrid>
        <w:gridCol w:w="3326"/>
        <w:gridCol w:w="4708"/>
        <w:gridCol w:w="1594"/>
      </w:tblGrid>
      <w:tr w:rsidR="00AD5129" w:rsidRPr="0077659B" w:rsidTr="000C4D17">
        <w:trPr>
          <w:tblHeader/>
        </w:trPr>
        <w:tc>
          <w:tcPr>
            <w:tcW w:w="1727" w:type="pct"/>
            <w:shd w:val="clear" w:color="auto" w:fill="A6A6A6" w:themeFill="background1" w:themeFillShade="A6"/>
            <w:hideMark/>
          </w:tcPr>
          <w:p w:rsidR="00AD5129" w:rsidRPr="0077659B" w:rsidRDefault="00AD5129" w:rsidP="000C4D17">
            <w:pPr>
              <w:pStyle w:val="NoSpacing"/>
            </w:pPr>
            <w:r w:rsidRPr="0077659B">
              <w:t>Key stakeholder</w:t>
            </w:r>
          </w:p>
        </w:tc>
        <w:tc>
          <w:tcPr>
            <w:tcW w:w="2445" w:type="pct"/>
            <w:shd w:val="clear" w:color="auto" w:fill="A6A6A6" w:themeFill="background1" w:themeFillShade="A6"/>
            <w:hideMark/>
          </w:tcPr>
          <w:p w:rsidR="00AD5129" w:rsidRPr="0077659B" w:rsidRDefault="00AD5129" w:rsidP="000C4D17">
            <w:pPr>
              <w:pStyle w:val="NoSpacing"/>
            </w:pPr>
            <w:r w:rsidRPr="0077659B">
              <w:t>Purpose of interaction</w:t>
            </w:r>
          </w:p>
        </w:tc>
        <w:tc>
          <w:tcPr>
            <w:tcW w:w="828" w:type="pct"/>
            <w:shd w:val="clear" w:color="auto" w:fill="A6A6A6" w:themeFill="background1" w:themeFillShade="A6"/>
            <w:hideMark/>
          </w:tcPr>
          <w:p w:rsidR="00AD5129" w:rsidRPr="0077659B" w:rsidRDefault="00AD5129" w:rsidP="000C4D17">
            <w:pPr>
              <w:pStyle w:val="NoSpacing"/>
            </w:pPr>
            <w:r w:rsidRPr="0077659B">
              <w:t>Number of interactions</w:t>
            </w:r>
          </w:p>
        </w:tc>
      </w:tr>
      <w:tr w:rsidR="00AD5129" w:rsidRPr="0077659B" w:rsidTr="00846AA6">
        <w:trPr>
          <w:trHeight w:val="255"/>
        </w:trPr>
        <w:tc>
          <w:tcPr>
            <w:tcW w:w="1727" w:type="pct"/>
            <w:shd w:val="clear" w:color="auto" w:fill="D9D9D9" w:themeFill="background1" w:themeFillShade="D9"/>
          </w:tcPr>
          <w:p w:rsidR="00AD5129" w:rsidRPr="00BB6EEC" w:rsidRDefault="00D55037" w:rsidP="00D55037">
            <w:pPr>
              <w:pStyle w:val="Tabletext"/>
              <w:rPr>
                <w:lang w:val="en-ZA"/>
              </w:rPr>
            </w:pPr>
            <w:r>
              <w:rPr>
                <w:lang w:val="en-ZA"/>
              </w:rPr>
              <w:t>P</w:t>
            </w:r>
            <w:r w:rsidR="00AD5129" w:rsidRPr="00BB6EEC">
              <w:rPr>
                <w:lang w:val="en-ZA"/>
              </w:rPr>
              <w:t xml:space="preserve">ortfolio committee on </w:t>
            </w:r>
            <w:r>
              <w:rPr>
                <w:lang w:val="en-ZA"/>
              </w:rPr>
              <w:t xml:space="preserve">Public Works and </w:t>
            </w:r>
            <w:proofErr w:type="spellStart"/>
            <w:r>
              <w:rPr>
                <w:lang w:val="en-ZA"/>
              </w:rPr>
              <w:t>Infrascture</w:t>
            </w:r>
            <w:proofErr w:type="spellEnd"/>
          </w:p>
        </w:tc>
        <w:tc>
          <w:tcPr>
            <w:tcW w:w="2445" w:type="pct"/>
          </w:tcPr>
          <w:p w:rsidR="00AD5129" w:rsidRPr="00846AA6" w:rsidRDefault="00846AA6" w:rsidP="000C4D17">
            <w:pPr>
              <w:pStyle w:val="Tabletext"/>
              <w:rPr>
                <w:rFonts w:eastAsia="CIDFont+F6" w:cs="Arial"/>
                <w:szCs w:val="18"/>
              </w:rPr>
            </w:pPr>
            <w:r w:rsidRPr="00846AA6">
              <w:rPr>
                <w:rFonts w:eastAsia="CIDFont+F6" w:cs="Arial"/>
                <w:szCs w:val="18"/>
              </w:rPr>
              <w:t xml:space="preserve"> </w:t>
            </w:r>
            <w:proofErr w:type="spellStart"/>
            <w:r w:rsidRPr="00846AA6">
              <w:rPr>
                <w:rFonts w:eastAsia="CIDFont+F6" w:cs="Arial"/>
                <w:szCs w:val="18"/>
              </w:rPr>
              <w:t>Meeing</w:t>
            </w:r>
            <w:proofErr w:type="spellEnd"/>
            <w:r w:rsidRPr="00846AA6">
              <w:rPr>
                <w:rFonts w:eastAsia="CIDFont+F6" w:cs="Arial"/>
                <w:szCs w:val="18"/>
              </w:rPr>
              <w:t xml:space="preserve"> to share the audit outcomes and present the BRRR</w:t>
            </w:r>
          </w:p>
          <w:p w:rsidR="00846AA6" w:rsidRDefault="00846AA6" w:rsidP="000C4D17">
            <w:pPr>
              <w:pStyle w:val="Tabletext"/>
              <w:rPr>
                <w:rFonts w:cs="Arial"/>
                <w:szCs w:val="18"/>
                <w:highlight w:val="yellow"/>
                <w:lang w:val="en-ZA"/>
              </w:rPr>
            </w:pPr>
            <w:r w:rsidRPr="00846AA6">
              <w:rPr>
                <w:rFonts w:eastAsia="CIDFont+F6" w:cs="Arial"/>
                <w:szCs w:val="18"/>
              </w:rPr>
              <w:t> Presentation of the Special audit report 1 on Covid-19 expenditure</w:t>
            </w:r>
            <w:r w:rsidRPr="00846AA6">
              <w:rPr>
                <w:rFonts w:cs="Arial"/>
                <w:szCs w:val="18"/>
                <w:highlight w:val="yellow"/>
                <w:lang w:val="en-ZA"/>
              </w:rPr>
              <w:t xml:space="preserve"> </w:t>
            </w:r>
          </w:p>
          <w:p w:rsidR="00846AA6" w:rsidRPr="00846AA6" w:rsidRDefault="00846AA6" w:rsidP="000C4D17">
            <w:pPr>
              <w:pStyle w:val="Tabletext"/>
              <w:rPr>
                <w:rFonts w:cs="Arial"/>
                <w:szCs w:val="18"/>
                <w:highlight w:val="yellow"/>
                <w:lang w:val="en-ZA"/>
              </w:rPr>
            </w:pPr>
            <w:r w:rsidRPr="00846AA6">
              <w:rPr>
                <w:rFonts w:eastAsia="CIDFont+F6" w:cs="Arial"/>
                <w:szCs w:val="18"/>
              </w:rPr>
              <w:t></w:t>
            </w:r>
            <w:r>
              <w:rPr>
                <w:rFonts w:eastAsia="CIDFont+F6" w:cs="Arial"/>
                <w:szCs w:val="18"/>
              </w:rPr>
              <w:t xml:space="preserve"> Letter to the chairperson of the </w:t>
            </w:r>
            <w:proofErr w:type="spellStart"/>
            <w:r>
              <w:rPr>
                <w:rFonts w:eastAsia="CIDFont+F6" w:cs="Arial"/>
                <w:szCs w:val="18"/>
              </w:rPr>
              <w:t>portfolion</w:t>
            </w:r>
            <w:proofErr w:type="spellEnd"/>
            <w:r>
              <w:rPr>
                <w:rFonts w:eastAsia="CIDFont+F6" w:cs="Arial"/>
                <w:szCs w:val="18"/>
              </w:rPr>
              <w:t xml:space="preserve"> committee on DPWI presenting a summary of the issues on </w:t>
            </w:r>
            <w:r w:rsidRPr="00846AA6">
              <w:rPr>
                <w:rFonts w:eastAsia="CIDFont+F6" w:cs="Arial"/>
                <w:szCs w:val="18"/>
              </w:rPr>
              <w:t>Special audit report 1 and 2 on Covid-19 expenditure</w:t>
            </w:r>
          </w:p>
        </w:tc>
        <w:tc>
          <w:tcPr>
            <w:tcW w:w="828" w:type="pct"/>
            <w:shd w:val="clear" w:color="auto" w:fill="auto"/>
          </w:tcPr>
          <w:p w:rsidR="00AD5129" w:rsidRPr="00846AA6" w:rsidRDefault="00846AA6" w:rsidP="000C4D17">
            <w:pPr>
              <w:pStyle w:val="Tabletext"/>
              <w:rPr>
                <w:lang w:val="en-ZA"/>
              </w:rPr>
            </w:pPr>
            <w:r w:rsidRPr="00846AA6">
              <w:rPr>
                <w:lang w:val="en-ZA"/>
              </w:rPr>
              <w:t>3</w:t>
            </w:r>
          </w:p>
        </w:tc>
      </w:tr>
      <w:tr w:rsidR="00AD5129" w:rsidRPr="0077659B" w:rsidTr="00846AA6">
        <w:trPr>
          <w:trHeight w:val="255"/>
        </w:trPr>
        <w:tc>
          <w:tcPr>
            <w:tcW w:w="1727" w:type="pct"/>
            <w:shd w:val="clear" w:color="auto" w:fill="D9D9D9" w:themeFill="background1" w:themeFillShade="D9"/>
          </w:tcPr>
          <w:p w:rsidR="00AD5129" w:rsidRPr="00BB6EEC" w:rsidRDefault="00AD5129" w:rsidP="00D55037">
            <w:pPr>
              <w:pStyle w:val="Tabletext"/>
              <w:rPr>
                <w:lang w:val="en-ZA"/>
              </w:rPr>
            </w:pPr>
            <w:r w:rsidRPr="00BB6EEC">
              <w:rPr>
                <w:lang w:val="en-ZA"/>
              </w:rPr>
              <w:t xml:space="preserve">Minister </w:t>
            </w:r>
          </w:p>
        </w:tc>
        <w:tc>
          <w:tcPr>
            <w:tcW w:w="2445" w:type="pct"/>
          </w:tcPr>
          <w:p w:rsidR="00AD5129" w:rsidRPr="00846AA6" w:rsidRDefault="00A15FE8" w:rsidP="00A15FE8">
            <w:pPr>
              <w:pStyle w:val="Tabletext"/>
              <w:rPr>
                <w:rFonts w:cs="Arial"/>
                <w:szCs w:val="18"/>
              </w:rPr>
            </w:pPr>
            <w:r w:rsidRPr="00846AA6">
              <w:rPr>
                <w:rFonts w:eastAsia="CIDFont+F6" w:cs="Arial"/>
                <w:szCs w:val="18"/>
              </w:rPr>
              <w:t xml:space="preserve"> </w:t>
            </w:r>
            <w:r w:rsidRPr="00846AA6">
              <w:rPr>
                <w:rFonts w:cs="Arial"/>
                <w:szCs w:val="18"/>
              </w:rPr>
              <w:t>Presentation on audit outcomes and key messages</w:t>
            </w:r>
          </w:p>
          <w:p w:rsidR="00A15FE8" w:rsidRDefault="00A15FE8" w:rsidP="00A15FE8">
            <w:pPr>
              <w:pStyle w:val="Tabletext"/>
              <w:rPr>
                <w:rFonts w:cs="Arial"/>
                <w:szCs w:val="18"/>
              </w:rPr>
            </w:pPr>
            <w:r w:rsidRPr="00846AA6">
              <w:rPr>
                <w:rFonts w:eastAsia="CIDFont+F6" w:cs="Arial"/>
                <w:szCs w:val="18"/>
              </w:rPr>
              <w:t xml:space="preserve"> </w:t>
            </w:r>
            <w:r w:rsidRPr="00846AA6">
              <w:rPr>
                <w:rFonts w:cs="Arial"/>
                <w:szCs w:val="18"/>
              </w:rPr>
              <w:t>Letter was sent following up on the progress made in the disciplinary of the minister’s special advisor</w:t>
            </w:r>
          </w:p>
          <w:p w:rsidR="00846AA6" w:rsidRDefault="00846AA6" w:rsidP="00A15FE8">
            <w:pPr>
              <w:pStyle w:val="Tabletext"/>
              <w:rPr>
                <w:rFonts w:eastAsia="CIDFont+F6" w:cs="Arial"/>
                <w:szCs w:val="18"/>
              </w:rPr>
            </w:pPr>
            <w:r w:rsidRPr="00846AA6">
              <w:rPr>
                <w:rFonts w:eastAsia="CIDFont+F6" w:cs="Arial"/>
                <w:szCs w:val="18"/>
              </w:rPr>
              <w:t> Presentation of the Special audit report 1 on Covid-19 expenditure</w:t>
            </w:r>
          </w:p>
          <w:p w:rsidR="00846AA6" w:rsidRPr="00846AA6" w:rsidRDefault="00846AA6" w:rsidP="00A15FE8">
            <w:pPr>
              <w:pStyle w:val="Tabletext"/>
              <w:rPr>
                <w:rFonts w:cs="Arial"/>
                <w:szCs w:val="18"/>
              </w:rPr>
            </w:pPr>
            <w:r w:rsidRPr="00846AA6">
              <w:rPr>
                <w:rFonts w:eastAsia="CIDFont+F6" w:cs="Arial"/>
                <w:szCs w:val="18"/>
              </w:rPr>
              <w:t> Presentation of the Special audit report</w:t>
            </w:r>
            <w:r>
              <w:rPr>
                <w:rFonts w:eastAsia="CIDFont+F6" w:cs="Arial"/>
                <w:szCs w:val="18"/>
              </w:rPr>
              <w:t xml:space="preserve"> 2</w:t>
            </w:r>
            <w:r w:rsidRPr="00846AA6">
              <w:rPr>
                <w:rFonts w:eastAsia="CIDFont+F6" w:cs="Arial"/>
                <w:szCs w:val="18"/>
              </w:rPr>
              <w:t xml:space="preserve"> on Covid-19 expenditure</w:t>
            </w:r>
          </w:p>
        </w:tc>
        <w:tc>
          <w:tcPr>
            <w:tcW w:w="828" w:type="pct"/>
            <w:shd w:val="clear" w:color="auto" w:fill="auto"/>
          </w:tcPr>
          <w:p w:rsidR="00AD5129" w:rsidRPr="00846AA6" w:rsidRDefault="00846AA6" w:rsidP="000C4D17">
            <w:pPr>
              <w:pStyle w:val="Tabletext"/>
              <w:rPr>
                <w:lang w:val="en-ZA"/>
              </w:rPr>
            </w:pPr>
            <w:r w:rsidRPr="00846AA6">
              <w:rPr>
                <w:lang w:val="en-ZA"/>
              </w:rPr>
              <w:t>5</w:t>
            </w:r>
          </w:p>
        </w:tc>
      </w:tr>
      <w:tr w:rsidR="00AD5129" w:rsidRPr="0077659B" w:rsidTr="00846AA6">
        <w:trPr>
          <w:trHeight w:val="255"/>
        </w:trPr>
        <w:tc>
          <w:tcPr>
            <w:tcW w:w="1727" w:type="pct"/>
            <w:shd w:val="clear" w:color="auto" w:fill="D9D9D9" w:themeFill="background1" w:themeFillShade="D9"/>
          </w:tcPr>
          <w:p w:rsidR="00AD5129" w:rsidRPr="00BB6EEC" w:rsidRDefault="00D55037" w:rsidP="00D55037">
            <w:pPr>
              <w:pStyle w:val="Tabletext"/>
              <w:rPr>
                <w:lang w:val="en-ZA"/>
              </w:rPr>
            </w:pPr>
            <w:r>
              <w:rPr>
                <w:lang w:val="en-ZA"/>
              </w:rPr>
              <w:t>D</w:t>
            </w:r>
            <w:r w:rsidR="00A15FE8">
              <w:rPr>
                <w:lang w:val="en-ZA"/>
              </w:rPr>
              <w:t>irector-general</w:t>
            </w:r>
          </w:p>
        </w:tc>
        <w:tc>
          <w:tcPr>
            <w:tcW w:w="2445" w:type="pct"/>
          </w:tcPr>
          <w:p w:rsidR="00A15FE8" w:rsidRPr="00846AA6" w:rsidRDefault="00A15FE8" w:rsidP="00A15FE8">
            <w:pPr>
              <w:autoSpaceDE w:val="0"/>
              <w:autoSpaceDN w:val="0"/>
              <w:adjustRightInd w:val="0"/>
              <w:spacing w:after="0"/>
              <w:rPr>
                <w:rFonts w:eastAsia="CIDFont+F6" w:cs="Arial"/>
                <w:sz w:val="18"/>
                <w:szCs w:val="18"/>
              </w:rPr>
            </w:pPr>
            <w:r w:rsidRPr="00846AA6">
              <w:rPr>
                <w:rFonts w:eastAsia="CIDFont+F6" w:cs="Arial"/>
                <w:sz w:val="18"/>
                <w:szCs w:val="18"/>
              </w:rPr>
              <w:t xml:space="preserve"> </w:t>
            </w:r>
            <w:r w:rsidR="00846AA6">
              <w:rPr>
                <w:rFonts w:eastAsia="CIDFont+F6" w:cs="Arial"/>
                <w:sz w:val="18"/>
                <w:szCs w:val="18"/>
              </w:rPr>
              <w:t xml:space="preserve">Refresher </w:t>
            </w:r>
            <w:r w:rsidRPr="00846AA6">
              <w:rPr>
                <w:rFonts w:eastAsia="CIDFont+F6" w:cs="Arial"/>
                <w:sz w:val="18"/>
                <w:szCs w:val="18"/>
              </w:rPr>
              <w:t>Presentation on amendments to Public Audit Act</w:t>
            </w:r>
          </w:p>
          <w:p w:rsidR="00A15FE8" w:rsidRPr="00846AA6" w:rsidRDefault="00A15FE8" w:rsidP="00A15FE8">
            <w:pPr>
              <w:autoSpaceDE w:val="0"/>
              <w:autoSpaceDN w:val="0"/>
              <w:adjustRightInd w:val="0"/>
              <w:spacing w:after="0"/>
              <w:rPr>
                <w:rFonts w:eastAsia="CIDFont+F6" w:cs="Arial"/>
                <w:sz w:val="18"/>
                <w:szCs w:val="18"/>
              </w:rPr>
            </w:pPr>
            <w:r w:rsidRPr="00846AA6">
              <w:rPr>
                <w:rFonts w:eastAsia="CIDFont+F6" w:cs="Arial"/>
                <w:sz w:val="18"/>
                <w:szCs w:val="18"/>
              </w:rPr>
              <w:t xml:space="preserve"> Detail discussion on </w:t>
            </w:r>
            <w:r w:rsidR="00846AA6" w:rsidRPr="00846AA6">
              <w:rPr>
                <w:rFonts w:eastAsia="CIDFont+F6" w:cs="Arial"/>
                <w:sz w:val="18"/>
                <w:szCs w:val="18"/>
              </w:rPr>
              <w:t>interim management report and</w:t>
            </w:r>
            <w:r w:rsidRPr="00846AA6">
              <w:rPr>
                <w:rFonts w:eastAsia="CIDFont+F6" w:cs="Arial"/>
                <w:sz w:val="18"/>
                <w:szCs w:val="18"/>
              </w:rPr>
              <w:t xml:space="preserve"> Status of Records </w:t>
            </w:r>
            <w:r w:rsidR="00846AA6" w:rsidRPr="00846AA6">
              <w:rPr>
                <w:rFonts w:eastAsia="CIDFont+F6" w:cs="Arial"/>
                <w:sz w:val="18"/>
                <w:szCs w:val="18"/>
              </w:rPr>
              <w:t xml:space="preserve">review. </w:t>
            </w:r>
          </w:p>
          <w:p w:rsidR="00846AA6" w:rsidRPr="00846AA6" w:rsidRDefault="00846AA6" w:rsidP="00A15FE8">
            <w:pPr>
              <w:autoSpaceDE w:val="0"/>
              <w:autoSpaceDN w:val="0"/>
              <w:adjustRightInd w:val="0"/>
              <w:spacing w:after="0"/>
              <w:rPr>
                <w:rFonts w:eastAsia="CIDFont+F6" w:cs="Arial"/>
                <w:sz w:val="18"/>
                <w:szCs w:val="18"/>
              </w:rPr>
            </w:pPr>
            <w:r w:rsidRPr="00846AA6">
              <w:rPr>
                <w:rFonts w:eastAsia="CIDFont+F6" w:cs="Arial"/>
                <w:sz w:val="18"/>
                <w:szCs w:val="18"/>
              </w:rPr>
              <w:t> Discussion of the engagement letter and audit Strategy</w:t>
            </w:r>
          </w:p>
          <w:p w:rsidR="00A15FE8" w:rsidRPr="00846AA6" w:rsidRDefault="00A15FE8" w:rsidP="00A15FE8">
            <w:pPr>
              <w:autoSpaceDE w:val="0"/>
              <w:autoSpaceDN w:val="0"/>
              <w:adjustRightInd w:val="0"/>
              <w:spacing w:after="0"/>
              <w:rPr>
                <w:rFonts w:eastAsia="CIDFont+F6" w:cs="Arial"/>
                <w:sz w:val="18"/>
                <w:szCs w:val="18"/>
              </w:rPr>
            </w:pPr>
            <w:r w:rsidRPr="00846AA6">
              <w:rPr>
                <w:rFonts w:eastAsia="CIDFont+F6" w:cs="Arial"/>
                <w:sz w:val="18"/>
                <w:szCs w:val="18"/>
              </w:rPr>
              <w:t xml:space="preserve"> </w:t>
            </w:r>
            <w:r w:rsidR="00846AA6" w:rsidRPr="00846AA6">
              <w:rPr>
                <w:rFonts w:eastAsia="CIDFont+F6" w:cs="Arial"/>
                <w:sz w:val="18"/>
                <w:szCs w:val="18"/>
              </w:rPr>
              <w:t xml:space="preserve">:Letters on </w:t>
            </w:r>
            <w:r w:rsidRPr="00846AA6">
              <w:rPr>
                <w:rFonts w:eastAsia="CIDFont+F6" w:cs="Arial"/>
                <w:sz w:val="18"/>
                <w:szCs w:val="18"/>
              </w:rPr>
              <w:t>Audit progress of the Public works portfolio</w:t>
            </w:r>
          </w:p>
          <w:p w:rsidR="00AD5129" w:rsidRDefault="00A15FE8" w:rsidP="00846AA6">
            <w:pPr>
              <w:autoSpaceDE w:val="0"/>
              <w:autoSpaceDN w:val="0"/>
              <w:adjustRightInd w:val="0"/>
              <w:spacing w:after="0"/>
              <w:rPr>
                <w:rFonts w:eastAsia="CIDFont+F6" w:cs="Arial"/>
                <w:sz w:val="18"/>
                <w:szCs w:val="18"/>
              </w:rPr>
            </w:pPr>
            <w:r w:rsidRPr="00846AA6">
              <w:rPr>
                <w:rFonts w:eastAsia="CIDFont+F6" w:cs="Arial"/>
                <w:sz w:val="18"/>
                <w:szCs w:val="18"/>
              </w:rPr>
              <w:t> Discussion on progress made in addressing material irregularities communicated in the prior year</w:t>
            </w:r>
          </w:p>
          <w:p w:rsidR="00846AA6" w:rsidRDefault="00846AA6" w:rsidP="00846AA6">
            <w:pPr>
              <w:autoSpaceDE w:val="0"/>
              <w:autoSpaceDN w:val="0"/>
              <w:adjustRightInd w:val="0"/>
              <w:spacing w:after="0"/>
              <w:rPr>
                <w:rFonts w:eastAsia="CIDFont+F6" w:cs="Arial"/>
                <w:sz w:val="18"/>
                <w:szCs w:val="18"/>
              </w:rPr>
            </w:pPr>
            <w:r w:rsidRPr="00846AA6">
              <w:rPr>
                <w:rFonts w:eastAsia="CIDFont+F6" w:cs="Arial"/>
                <w:sz w:val="18"/>
                <w:szCs w:val="18"/>
              </w:rPr>
              <w:t></w:t>
            </w:r>
            <w:r>
              <w:rPr>
                <w:rFonts w:eastAsia="CIDFont+F6" w:cs="Arial"/>
                <w:sz w:val="18"/>
                <w:szCs w:val="18"/>
              </w:rPr>
              <w:t>Meeting with DPWI, DPME &amp; AGSA to discuss the challenges on EPWP indicator reporting</w:t>
            </w:r>
          </w:p>
          <w:p w:rsidR="00846AA6" w:rsidRPr="00846AA6" w:rsidRDefault="00846AA6" w:rsidP="00846AA6">
            <w:pPr>
              <w:autoSpaceDE w:val="0"/>
              <w:autoSpaceDN w:val="0"/>
              <w:adjustRightInd w:val="0"/>
              <w:spacing w:after="0"/>
              <w:rPr>
                <w:rFonts w:eastAsia="CIDFont+F6" w:cs="Arial"/>
                <w:sz w:val="18"/>
                <w:szCs w:val="18"/>
              </w:rPr>
            </w:pPr>
            <w:r w:rsidRPr="00846AA6">
              <w:rPr>
                <w:rFonts w:eastAsia="CIDFont+F6" w:cs="Arial"/>
                <w:sz w:val="18"/>
                <w:szCs w:val="18"/>
              </w:rPr>
              <w:t xml:space="preserve"> </w:t>
            </w:r>
            <w:r>
              <w:rPr>
                <w:rFonts w:eastAsia="CIDFont+F6" w:cs="Arial"/>
                <w:sz w:val="18"/>
                <w:szCs w:val="18"/>
              </w:rPr>
              <w:t xml:space="preserve">Meeting about the audit action plans to address both internal and external audit findings on </w:t>
            </w:r>
            <w:proofErr w:type="spellStart"/>
            <w:r>
              <w:rPr>
                <w:rFonts w:eastAsia="CIDFont+F6" w:cs="Arial"/>
                <w:sz w:val="18"/>
                <w:szCs w:val="18"/>
              </w:rPr>
              <w:t>AoPO</w:t>
            </w:r>
            <w:proofErr w:type="spellEnd"/>
            <w:r>
              <w:rPr>
                <w:rFonts w:eastAsia="CIDFont+F6" w:cs="Arial"/>
                <w:sz w:val="18"/>
                <w:szCs w:val="18"/>
              </w:rPr>
              <w:t xml:space="preserve"> and compliance subject matters. </w:t>
            </w:r>
          </w:p>
        </w:tc>
        <w:tc>
          <w:tcPr>
            <w:tcW w:w="828" w:type="pct"/>
            <w:shd w:val="clear" w:color="auto" w:fill="auto"/>
          </w:tcPr>
          <w:p w:rsidR="00AD5129" w:rsidRPr="00846AA6" w:rsidRDefault="00846AA6" w:rsidP="000C4D17">
            <w:pPr>
              <w:pStyle w:val="Tabletext"/>
              <w:rPr>
                <w:lang w:val="en-ZA"/>
              </w:rPr>
            </w:pPr>
            <w:r w:rsidRPr="00846AA6">
              <w:rPr>
                <w:lang w:val="en-ZA"/>
              </w:rPr>
              <w:t>7</w:t>
            </w:r>
          </w:p>
        </w:tc>
      </w:tr>
      <w:tr w:rsidR="00AD5129" w:rsidRPr="0077659B" w:rsidTr="00846AA6">
        <w:trPr>
          <w:trHeight w:val="255"/>
        </w:trPr>
        <w:tc>
          <w:tcPr>
            <w:tcW w:w="1727" w:type="pct"/>
            <w:shd w:val="clear" w:color="auto" w:fill="D9D9D9" w:themeFill="background1" w:themeFillShade="D9"/>
          </w:tcPr>
          <w:p w:rsidR="00AD5129" w:rsidRPr="00BB6EEC" w:rsidRDefault="00AD5129" w:rsidP="000C4D17">
            <w:pPr>
              <w:pStyle w:val="Tabletext"/>
              <w:rPr>
                <w:lang w:val="en-ZA"/>
              </w:rPr>
            </w:pPr>
            <w:r w:rsidRPr="00BB6EEC">
              <w:rPr>
                <w:lang w:val="en-ZA"/>
              </w:rPr>
              <w:t>Audit committee</w:t>
            </w:r>
          </w:p>
        </w:tc>
        <w:tc>
          <w:tcPr>
            <w:tcW w:w="2445" w:type="pct"/>
          </w:tcPr>
          <w:p w:rsidR="00846AA6" w:rsidRPr="00846AA6" w:rsidRDefault="00846AA6" w:rsidP="00A15FE8">
            <w:pPr>
              <w:autoSpaceDE w:val="0"/>
              <w:autoSpaceDN w:val="0"/>
              <w:adjustRightInd w:val="0"/>
              <w:spacing w:after="0"/>
              <w:rPr>
                <w:rFonts w:eastAsia="CIDFont+F6" w:cs="Arial"/>
                <w:sz w:val="18"/>
                <w:szCs w:val="18"/>
              </w:rPr>
            </w:pPr>
            <w:r w:rsidRPr="00846AA6">
              <w:rPr>
                <w:rFonts w:eastAsia="CIDFont+F6" w:cs="Arial"/>
                <w:sz w:val="18"/>
                <w:szCs w:val="18"/>
              </w:rPr>
              <w:t> Discussion of the engagement letter and audit strategy</w:t>
            </w:r>
          </w:p>
          <w:p w:rsidR="00A15FE8" w:rsidRPr="00846AA6" w:rsidRDefault="00846AA6" w:rsidP="00A15FE8">
            <w:pPr>
              <w:autoSpaceDE w:val="0"/>
              <w:autoSpaceDN w:val="0"/>
              <w:adjustRightInd w:val="0"/>
              <w:spacing w:after="0"/>
              <w:rPr>
                <w:rFonts w:eastAsia="CIDFont+F6" w:cs="Arial"/>
                <w:sz w:val="18"/>
                <w:szCs w:val="18"/>
              </w:rPr>
            </w:pPr>
            <w:r w:rsidRPr="00846AA6">
              <w:rPr>
                <w:rFonts w:eastAsia="CIDFont+F6" w:cs="Arial"/>
                <w:sz w:val="18"/>
                <w:szCs w:val="18"/>
              </w:rPr>
              <w:t> Communication of the interim management report and Status of Records review.</w:t>
            </w:r>
          </w:p>
          <w:p w:rsidR="00AD5129" w:rsidRDefault="00A15FE8" w:rsidP="00846AA6">
            <w:pPr>
              <w:autoSpaceDE w:val="0"/>
              <w:autoSpaceDN w:val="0"/>
              <w:adjustRightInd w:val="0"/>
              <w:spacing w:after="0"/>
              <w:rPr>
                <w:rFonts w:eastAsia="CIDFont+F6" w:cs="Arial"/>
                <w:sz w:val="18"/>
                <w:szCs w:val="18"/>
              </w:rPr>
            </w:pPr>
            <w:r w:rsidRPr="00846AA6">
              <w:rPr>
                <w:rFonts w:eastAsia="CIDFont+F6" w:cs="Arial"/>
                <w:sz w:val="18"/>
                <w:szCs w:val="18"/>
              </w:rPr>
              <w:t xml:space="preserve"> Approval of the Department’s Annual Financial </w:t>
            </w:r>
            <w:r w:rsidR="00846AA6" w:rsidRPr="00846AA6">
              <w:rPr>
                <w:rFonts w:eastAsia="CIDFont+F6" w:cs="Arial"/>
                <w:sz w:val="18"/>
                <w:szCs w:val="18"/>
              </w:rPr>
              <w:t>Statements</w:t>
            </w:r>
          </w:p>
          <w:p w:rsidR="00846AA6" w:rsidRPr="00846AA6" w:rsidRDefault="00846AA6" w:rsidP="00846AA6">
            <w:pPr>
              <w:autoSpaceDE w:val="0"/>
              <w:autoSpaceDN w:val="0"/>
              <w:adjustRightInd w:val="0"/>
              <w:spacing w:after="0"/>
              <w:rPr>
                <w:rFonts w:eastAsia="CIDFont+F6" w:cs="Arial"/>
                <w:sz w:val="18"/>
                <w:szCs w:val="18"/>
              </w:rPr>
            </w:pPr>
            <w:r w:rsidRPr="00846AA6">
              <w:rPr>
                <w:rFonts w:eastAsia="CIDFont+F6" w:cs="Arial"/>
                <w:sz w:val="18"/>
                <w:szCs w:val="18"/>
              </w:rPr>
              <w:t></w:t>
            </w:r>
            <w:r>
              <w:rPr>
                <w:rFonts w:eastAsia="CIDFont+F6" w:cs="Arial"/>
                <w:sz w:val="18"/>
                <w:szCs w:val="18"/>
              </w:rPr>
              <w:t xml:space="preserve"> Management presentation on the audit action plans to address both internal and external audit findings. </w:t>
            </w:r>
          </w:p>
          <w:p w:rsidR="00846AA6" w:rsidRPr="00846AA6" w:rsidRDefault="00846AA6" w:rsidP="00846AA6">
            <w:pPr>
              <w:autoSpaceDE w:val="0"/>
              <w:autoSpaceDN w:val="0"/>
              <w:adjustRightInd w:val="0"/>
              <w:spacing w:after="0"/>
              <w:rPr>
                <w:rFonts w:ascii="CIDFont+F4" w:eastAsia="CIDFont+F6" w:hAnsi="CIDFont+F4" w:cs="CIDFont+F4"/>
                <w:sz w:val="17"/>
                <w:szCs w:val="17"/>
              </w:rPr>
            </w:pPr>
          </w:p>
        </w:tc>
        <w:tc>
          <w:tcPr>
            <w:tcW w:w="828" w:type="pct"/>
            <w:shd w:val="clear" w:color="auto" w:fill="auto"/>
          </w:tcPr>
          <w:p w:rsidR="00AD5129" w:rsidRPr="00846AA6" w:rsidRDefault="00846AA6" w:rsidP="000C4D17">
            <w:pPr>
              <w:pStyle w:val="Tabletext"/>
              <w:rPr>
                <w:lang w:val="en-ZA"/>
              </w:rPr>
            </w:pPr>
            <w:r w:rsidRPr="00846AA6">
              <w:rPr>
                <w:lang w:val="en-ZA"/>
              </w:rPr>
              <w:t>4</w:t>
            </w:r>
          </w:p>
        </w:tc>
      </w:tr>
      <w:tr w:rsidR="00846AA6" w:rsidRPr="0077659B" w:rsidTr="00846AA6">
        <w:trPr>
          <w:trHeight w:val="255"/>
        </w:trPr>
        <w:tc>
          <w:tcPr>
            <w:tcW w:w="1727" w:type="pct"/>
            <w:shd w:val="clear" w:color="auto" w:fill="D9D9D9" w:themeFill="background1" w:themeFillShade="D9"/>
          </w:tcPr>
          <w:p w:rsidR="00846AA6" w:rsidRPr="00BB6EEC" w:rsidRDefault="00846AA6" w:rsidP="000C4D17">
            <w:pPr>
              <w:pStyle w:val="Tabletext"/>
              <w:rPr>
                <w:lang w:val="en-ZA"/>
              </w:rPr>
            </w:pPr>
            <w:r>
              <w:rPr>
                <w:lang w:val="en-ZA"/>
              </w:rPr>
              <w:t xml:space="preserve">Senior Management </w:t>
            </w:r>
          </w:p>
        </w:tc>
        <w:tc>
          <w:tcPr>
            <w:tcW w:w="2445" w:type="pct"/>
          </w:tcPr>
          <w:p w:rsidR="00846AA6" w:rsidRDefault="00846AA6" w:rsidP="00A15FE8">
            <w:pPr>
              <w:autoSpaceDE w:val="0"/>
              <w:autoSpaceDN w:val="0"/>
              <w:adjustRightInd w:val="0"/>
              <w:spacing w:after="0"/>
              <w:rPr>
                <w:rFonts w:eastAsia="CIDFont+F6" w:cs="Arial"/>
                <w:sz w:val="18"/>
                <w:szCs w:val="18"/>
              </w:rPr>
            </w:pPr>
            <w:r w:rsidRPr="00846AA6">
              <w:rPr>
                <w:rFonts w:eastAsia="CIDFont+F6" w:cs="Arial"/>
                <w:sz w:val="18"/>
                <w:szCs w:val="18"/>
              </w:rPr>
              <w:t></w:t>
            </w:r>
            <w:r>
              <w:rPr>
                <w:rFonts w:eastAsia="CIDFont+F6" w:cs="Arial"/>
                <w:sz w:val="18"/>
                <w:szCs w:val="18"/>
              </w:rPr>
              <w:t xml:space="preserve"> Weekly Audit Steering Committee meeting </w:t>
            </w:r>
          </w:p>
          <w:p w:rsidR="00846AA6" w:rsidRDefault="00846AA6" w:rsidP="00A15FE8">
            <w:pPr>
              <w:autoSpaceDE w:val="0"/>
              <w:autoSpaceDN w:val="0"/>
              <w:adjustRightInd w:val="0"/>
              <w:spacing w:after="0"/>
              <w:rPr>
                <w:rFonts w:eastAsia="CIDFont+F6" w:cs="Arial"/>
                <w:sz w:val="18"/>
                <w:szCs w:val="18"/>
              </w:rPr>
            </w:pPr>
            <w:r w:rsidRPr="00846AA6">
              <w:rPr>
                <w:rFonts w:eastAsia="CIDFont+F6" w:cs="Arial"/>
                <w:sz w:val="18"/>
                <w:szCs w:val="18"/>
              </w:rPr>
              <w:t></w:t>
            </w:r>
            <w:r>
              <w:rPr>
                <w:rFonts w:eastAsia="CIDFont+F6" w:cs="Arial"/>
                <w:sz w:val="18"/>
                <w:szCs w:val="18"/>
              </w:rPr>
              <w:t xml:space="preserve"> Presentation of the engagement letter and audit strategy </w:t>
            </w:r>
          </w:p>
          <w:p w:rsidR="00846AA6" w:rsidRDefault="00846AA6" w:rsidP="00A15FE8">
            <w:pPr>
              <w:autoSpaceDE w:val="0"/>
              <w:autoSpaceDN w:val="0"/>
              <w:adjustRightInd w:val="0"/>
              <w:spacing w:after="0"/>
              <w:rPr>
                <w:rFonts w:eastAsia="CIDFont+F6" w:cs="Arial"/>
                <w:sz w:val="18"/>
                <w:szCs w:val="18"/>
              </w:rPr>
            </w:pPr>
            <w:r w:rsidRPr="00846AA6">
              <w:rPr>
                <w:rFonts w:eastAsia="CIDFont+F6" w:cs="Arial"/>
                <w:sz w:val="18"/>
                <w:szCs w:val="18"/>
              </w:rPr>
              <w:t></w:t>
            </w:r>
            <w:r>
              <w:rPr>
                <w:rFonts w:eastAsia="CIDFont+F6" w:cs="Arial"/>
                <w:sz w:val="18"/>
                <w:szCs w:val="18"/>
              </w:rPr>
              <w:t xml:space="preserve"> Presentation of the interim management report </w:t>
            </w:r>
          </w:p>
          <w:p w:rsidR="00846AA6" w:rsidRDefault="00846AA6" w:rsidP="00A15FE8">
            <w:pPr>
              <w:autoSpaceDE w:val="0"/>
              <w:autoSpaceDN w:val="0"/>
              <w:adjustRightInd w:val="0"/>
              <w:spacing w:after="0"/>
              <w:rPr>
                <w:rFonts w:eastAsia="CIDFont+F6" w:cs="Arial"/>
                <w:sz w:val="18"/>
                <w:szCs w:val="18"/>
              </w:rPr>
            </w:pPr>
            <w:r w:rsidRPr="00846AA6">
              <w:rPr>
                <w:rFonts w:eastAsia="CIDFont+F6" w:cs="Arial"/>
                <w:sz w:val="18"/>
                <w:szCs w:val="18"/>
              </w:rPr>
              <w:t></w:t>
            </w:r>
            <w:r>
              <w:rPr>
                <w:rFonts w:eastAsia="CIDFont+F6" w:cs="Arial"/>
                <w:sz w:val="18"/>
                <w:szCs w:val="18"/>
              </w:rPr>
              <w:t xml:space="preserve"> </w:t>
            </w:r>
            <w:proofErr w:type="spellStart"/>
            <w:r>
              <w:rPr>
                <w:rFonts w:eastAsia="CIDFont+F6" w:cs="Arial"/>
                <w:sz w:val="18"/>
                <w:szCs w:val="18"/>
              </w:rPr>
              <w:t>Sevela</w:t>
            </w:r>
            <w:proofErr w:type="spellEnd"/>
            <w:r>
              <w:rPr>
                <w:rFonts w:eastAsia="CIDFont+F6" w:cs="Arial"/>
                <w:sz w:val="18"/>
                <w:szCs w:val="18"/>
              </w:rPr>
              <w:t xml:space="preserve"> presentations by management on the audit action plans to address both internal and external audit findings on </w:t>
            </w:r>
            <w:proofErr w:type="spellStart"/>
            <w:r>
              <w:rPr>
                <w:rFonts w:eastAsia="CIDFont+F6" w:cs="Arial"/>
                <w:sz w:val="18"/>
                <w:szCs w:val="18"/>
              </w:rPr>
              <w:t>AoPO</w:t>
            </w:r>
            <w:proofErr w:type="spellEnd"/>
            <w:r>
              <w:rPr>
                <w:rFonts w:eastAsia="CIDFont+F6" w:cs="Arial"/>
                <w:sz w:val="18"/>
                <w:szCs w:val="18"/>
              </w:rPr>
              <w:t xml:space="preserve"> and compliance subject matters.</w:t>
            </w:r>
          </w:p>
          <w:p w:rsidR="00846AA6" w:rsidRPr="00846AA6" w:rsidRDefault="00846AA6" w:rsidP="00A15FE8">
            <w:pPr>
              <w:autoSpaceDE w:val="0"/>
              <w:autoSpaceDN w:val="0"/>
              <w:adjustRightInd w:val="0"/>
              <w:spacing w:after="0"/>
              <w:rPr>
                <w:rFonts w:eastAsia="CIDFont+F6" w:cs="Arial"/>
                <w:sz w:val="18"/>
                <w:szCs w:val="18"/>
              </w:rPr>
            </w:pPr>
          </w:p>
        </w:tc>
        <w:tc>
          <w:tcPr>
            <w:tcW w:w="828" w:type="pct"/>
            <w:shd w:val="clear" w:color="auto" w:fill="auto"/>
          </w:tcPr>
          <w:p w:rsidR="00846AA6" w:rsidRDefault="00846AA6" w:rsidP="000C4D17">
            <w:pPr>
              <w:pStyle w:val="Tabletext"/>
              <w:rPr>
                <w:lang w:val="en-ZA"/>
              </w:rPr>
            </w:pPr>
            <w:r>
              <w:rPr>
                <w:lang w:val="en-ZA"/>
              </w:rPr>
              <w:t>12</w:t>
            </w:r>
          </w:p>
          <w:p w:rsidR="00846AA6" w:rsidRPr="00846AA6" w:rsidRDefault="00846AA6" w:rsidP="000C4D17">
            <w:pPr>
              <w:pStyle w:val="Tabletext"/>
              <w:rPr>
                <w:lang w:val="en-ZA"/>
              </w:rPr>
            </w:pPr>
          </w:p>
        </w:tc>
      </w:tr>
    </w:tbl>
    <w:p w:rsidR="00C22F2B" w:rsidRPr="0077659B" w:rsidRDefault="00C22F2B" w:rsidP="00846AA6">
      <w:pPr>
        <w:shd w:val="clear" w:color="auto" w:fill="FFFFFF"/>
        <w:spacing w:line="240" w:lineRule="auto"/>
        <w:rPr>
          <w:rFonts w:eastAsia="Times New Roman" w:cs="Arial"/>
        </w:rPr>
      </w:pPr>
    </w:p>
    <w:p w:rsidR="001B6284" w:rsidRDefault="001B6284" w:rsidP="003D65F2">
      <w:pPr>
        <w:pStyle w:val="Numbernormal"/>
        <w:numPr>
          <w:ilvl w:val="0"/>
          <w:numId w:val="18"/>
        </w:numPr>
        <w:ind w:left="567" w:hanging="567"/>
      </w:pPr>
      <w:r w:rsidRPr="0077659B">
        <w:lastRenderedPageBreak/>
        <w:t>At these interactions, we shared the following key matters affecting</w:t>
      </w:r>
      <w:r>
        <w:t xml:space="preserve"> audit outcomes and the auditee.</w:t>
      </w:r>
    </w:p>
    <w:p w:rsidR="001B6284" w:rsidRDefault="001B6284" w:rsidP="003D65F2">
      <w:pPr>
        <w:pStyle w:val="Numbernormal"/>
        <w:numPr>
          <w:ilvl w:val="0"/>
          <w:numId w:val="21"/>
        </w:numPr>
      </w:pPr>
      <w:r>
        <w:t>Audit engagement (with specific emphasis on the roles and responsibilities of the auditor and management as well as those charged with governance).</w:t>
      </w:r>
    </w:p>
    <w:p w:rsidR="001B6284" w:rsidRDefault="001B6284" w:rsidP="003D65F2">
      <w:pPr>
        <w:pStyle w:val="Numbernormal"/>
        <w:numPr>
          <w:ilvl w:val="0"/>
          <w:numId w:val="21"/>
        </w:numPr>
      </w:pPr>
      <w:r>
        <w:t xml:space="preserve">Overall audit strategy including the proposed nature, timing and extent of audit procedures to </w:t>
      </w:r>
      <w:proofErr w:type="gramStart"/>
      <w:r>
        <w:t>be performed</w:t>
      </w:r>
      <w:proofErr w:type="gramEnd"/>
      <w:r>
        <w:t xml:space="preserve">.  </w:t>
      </w:r>
    </w:p>
    <w:p w:rsidR="001B6284" w:rsidRDefault="001B6284" w:rsidP="003D65F2">
      <w:pPr>
        <w:pStyle w:val="Numbernormal"/>
        <w:numPr>
          <w:ilvl w:val="0"/>
          <w:numId w:val="21"/>
        </w:numPr>
      </w:pPr>
      <w:r>
        <w:t xml:space="preserve">Status of key controls, the weaknesses in the internal control environment identified through the Status of Records Review and interim audit process and actions to </w:t>
      </w:r>
      <w:proofErr w:type="gramStart"/>
      <w:r>
        <w:t>be taken</w:t>
      </w:r>
      <w:proofErr w:type="gramEnd"/>
      <w:r>
        <w:t xml:space="preserve"> to correct these.</w:t>
      </w:r>
    </w:p>
    <w:p w:rsidR="001B6284" w:rsidRDefault="00A15FE8" w:rsidP="003D65F2">
      <w:pPr>
        <w:pStyle w:val="Numbernormal"/>
        <w:numPr>
          <w:ilvl w:val="0"/>
          <w:numId w:val="21"/>
        </w:numPr>
      </w:pPr>
      <w:r>
        <w:t>PAA Amendments with the focu</w:t>
      </w:r>
      <w:r w:rsidR="001B6284">
        <w:t>s on</w:t>
      </w:r>
      <w:r>
        <w:t xml:space="preserve"> progress made in addressi</w:t>
      </w:r>
      <w:r w:rsidR="001B6284">
        <w:t>ng the material irregularities reported in the prior year.</w:t>
      </w:r>
    </w:p>
    <w:p w:rsidR="00F110DC" w:rsidRPr="0077659B" w:rsidRDefault="00F110DC" w:rsidP="003D65F2">
      <w:pPr>
        <w:pStyle w:val="Numbernormal"/>
        <w:numPr>
          <w:ilvl w:val="0"/>
          <w:numId w:val="17"/>
        </w:numPr>
        <w:ind w:left="567"/>
      </w:pPr>
      <w:r w:rsidRPr="0077659B">
        <w:t>All stakeholders made commitments to implement initiatives that can improve the audit outcome. The commitments given and the progress of previous commitments are included in section</w:t>
      </w:r>
      <w:r w:rsidR="00C64231" w:rsidRPr="0077659B">
        <w:t xml:space="preserve"> 3.2</w:t>
      </w:r>
      <w:r w:rsidRPr="0077659B">
        <w:t>, which deals with the assessment of assurance providers.</w:t>
      </w:r>
    </w:p>
    <w:p w:rsidR="00C22F2B" w:rsidRPr="0077659B" w:rsidRDefault="00C22F2B" w:rsidP="00C22F2B">
      <w:pPr>
        <w:shd w:val="clear" w:color="auto" w:fill="FFFFFF"/>
        <w:spacing w:line="240" w:lineRule="auto"/>
        <w:rPr>
          <w:rFonts w:eastAsia="Times New Roman" w:cs="Arial"/>
        </w:rPr>
      </w:pPr>
    </w:p>
    <w:p w:rsidR="00C22F2B" w:rsidRPr="0077659B" w:rsidRDefault="00C22F2B" w:rsidP="003D65F2">
      <w:pPr>
        <w:numPr>
          <w:ilvl w:val="0"/>
          <w:numId w:val="5"/>
        </w:numPr>
        <w:shd w:val="clear" w:color="auto" w:fill="FFFFFF"/>
        <w:spacing w:line="240" w:lineRule="auto"/>
        <w:rPr>
          <w:rFonts w:eastAsia="Times New Roman" w:cs="Arial"/>
        </w:rPr>
        <w:sectPr w:rsidR="00C22F2B" w:rsidRPr="0077659B" w:rsidSect="00C12C2B">
          <w:endnotePr>
            <w:numFmt w:val="decimal"/>
          </w:endnotePr>
          <w:pgSz w:w="11906" w:h="16838" w:code="9"/>
          <w:pgMar w:top="1245" w:right="1134" w:bottom="1134" w:left="1134" w:header="1134" w:footer="709" w:gutter="0"/>
          <w:cols w:space="708"/>
          <w:docGrid w:linePitch="360"/>
        </w:sectPr>
      </w:pPr>
    </w:p>
    <w:p w:rsidR="00253FDE" w:rsidRPr="0077659B" w:rsidRDefault="00253FDE" w:rsidP="000C4D17">
      <w:pPr>
        <w:pStyle w:val="Heading2"/>
      </w:pPr>
      <w:bookmarkStart w:id="14" w:name="_Toc447106583"/>
      <w:bookmarkStart w:id="15" w:name="_Toc77816773"/>
      <w:bookmarkStart w:id="16" w:name="_Toc447106584"/>
      <w:r w:rsidRPr="0077659B">
        <w:lastRenderedPageBreak/>
        <w:t>SECTION 2: Matters relating to the auditor’s report</w:t>
      </w:r>
      <w:bookmarkEnd w:id="14"/>
      <w:bookmarkEnd w:id="15"/>
    </w:p>
    <w:p w:rsidR="00C22F2B" w:rsidRPr="00BB6EEC" w:rsidRDefault="00BA71FA" w:rsidP="00A3735E">
      <w:pPr>
        <w:pStyle w:val="Heading3"/>
        <w:rPr>
          <w:lang w:val="en-ZA"/>
        </w:rPr>
      </w:pPr>
      <w:bookmarkStart w:id="17" w:name="_Toc77816774"/>
      <w:r w:rsidRPr="00BB6EEC">
        <w:rPr>
          <w:lang w:val="en-ZA"/>
        </w:rPr>
        <w:t xml:space="preserve">AUDIT OF </w:t>
      </w:r>
      <w:proofErr w:type="gramStart"/>
      <w:r w:rsidR="006A4063" w:rsidRPr="00BB6EEC">
        <w:rPr>
          <w:lang w:val="en-ZA"/>
        </w:rPr>
        <w:t>THE</w:t>
      </w:r>
      <w:r w:rsidR="008E1830" w:rsidRPr="00BB6EEC">
        <w:rPr>
          <w:lang w:val="en-ZA"/>
        </w:rPr>
        <w:t xml:space="preserve"> </w:t>
      </w:r>
      <w:r w:rsidR="006A4063" w:rsidRPr="00BB6EEC">
        <w:rPr>
          <w:lang w:val="en-ZA"/>
        </w:rPr>
        <w:t xml:space="preserve"> </w:t>
      </w:r>
      <w:r w:rsidR="00C22F2B" w:rsidRPr="00BB6EEC">
        <w:rPr>
          <w:lang w:val="en-ZA"/>
        </w:rPr>
        <w:t>FINANCIAL</w:t>
      </w:r>
      <w:proofErr w:type="gramEnd"/>
      <w:r w:rsidR="00C22F2B" w:rsidRPr="00BB6EEC">
        <w:rPr>
          <w:lang w:val="en-ZA"/>
        </w:rPr>
        <w:t xml:space="preserve"> STATEMENTS</w:t>
      </w:r>
      <w:bookmarkEnd w:id="16"/>
      <w:bookmarkEnd w:id="17"/>
      <w:r w:rsidR="00C22F2B" w:rsidRPr="00BB6EEC">
        <w:rPr>
          <w:lang w:val="en-ZA"/>
        </w:rPr>
        <w:t xml:space="preserve"> </w:t>
      </w:r>
    </w:p>
    <w:p w:rsidR="00C22F2B" w:rsidRPr="0077659B" w:rsidRDefault="00C22F2B" w:rsidP="003D65F2">
      <w:pPr>
        <w:pStyle w:val="Numbernormal"/>
        <w:numPr>
          <w:ilvl w:val="0"/>
          <w:numId w:val="17"/>
        </w:numPr>
      </w:pPr>
      <w:r w:rsidRPr="0077659B">
        <w:t xml:space="preserve">We identified material misstatements in </w:t>
      </w:r>
      <w:proofErr w:type="gramStart"/>
      <w:r w:rsidRPr="0077659B">
        <w:t>the  financial</w:t>
      </w:r>
      <w:proofErr w:type="gramEnd"/>
      <w:r w:rsidRPr="0077659B">
        <w:t xml:space="preserve"> statements during the audit. These misstatements </w:t>
      </w:r>
      <w:proofErr w:type="gramStart"/>
      <w:r w:rsidRPr="0077659B">
        <w:t xml:space="preserve">were not prevented or detected by the </w:t>
      </w:r>
      <w:proofErr w:type="spellStart"/>
      <w:r w:rsidR="00D55037">
        <w:t>departmemts</w:t>
      </w:r>
      <w:r w:rsidRPr="0077659B">
        <w:t>’s</w:t>
      </w:r>
      <w:proofErr w:type="spellEnd"/>
      <w:r w:rsidRPr="0077659B">
        <w:t xml:space="preserve"> system of internal control</w:t>
      </w:r>
      <w:proofErr w:type="gramEnd"/>
      <w:r w:rsidRPr="0077659B">
        <w:t xml:space="preserve">. These material misstatements also constitute non-compliance with [section 40(1) of the Public Finance Management Act (PFMA). </w:t>
      </w:r>
    </w:p>
    <w:p w:rsidR="00C22F2B" w:rsidRPr="0077659B" w:rsidRDefault="00C22F2B" w:rsidP="003D65F2">
      <w:pPr>
        <w:pStyle w:val="Numbernormal"/>
        <w:numPr>
          <w:ilvl w:val="0"/>
          <w:numId w:val="17"/>
        </w:numPr>
      </w:pPr>
      <w:r w:rsidRPr="0077659B">
        <w:t xml:space="preserve">The misstatements that </w:t>
      </w:r>
      <w:proofErr w:type="gramStart"/>
      <w:r w:rsidRPr="0077659B">
        <w:t>were not corrected</w:t>
      </w:r>
      <w:proofErr w:type="gramEnd"/>
      <w:r w:rsidRPr="0077659B">
        <w:t xml:space="preserve"> form the basis for the</w:t>
      </w:r>
      <w:r w:rsidRPr="00137450">
        <w:rPr>
          <w:b/>
        </w:rPr>
        <w:t xml:space="preserve"> qualified</w:t>
      </w:r>
      <w:r w:rsidRPr="0077659B">
        <w:t xml:space="preserve"> on the financial statements.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5494"/>
        <w:gridCol w:w="2256"/>
        <w:gridCol w:w="2116"/>
        <w:gridCol w:w="2186"/>
      </w:tblGrid>
      <w:tr w:rsidR="00C22F2B" w:rsidRPr="0077659B" w:rsidTr="008028BA">
        <w:trPr>
          <w:trHeight w:val="186"/>
          <w:tblHeader/>
        </w:trPr>
        <w:tc>
          <w:tcPr>
            <w:tcW w:w="3526" w:type="pct"/>
            <w:gridSpan w:val="3"/>
            <w:shd w:val="clear" w:color="auto" w:fill="A6A6A6" w:themeFill="background1" w:themeFillShade="A6"/>
          </w:tcPr>
          <w:p w:rsidR="00C22F2B" w:rsidRPr="0077659B" w:rsidRDefault="00C22F2B" w:rsidP="000C4D17">
            <w:pPr>
              <w:pStyle w:val="NoSpacing"/>
              <w:rPr>
                <w:snapToGrid w:val="0"/>
              </w:rPr>
            </w:pPr>
            <w:r w:rsidRPr="0077659B">
              <w:rPr>
                <w:snapToGrid w:val="0"/>
              </w:rPr>
              <w:t>Material misstatement</w:t>
            </w:r>
          </w:p>
        </w:tc>
        <w:tc>
          <w:tcPr>
            <w:tcW w:w="725" w:type="pct"/>
            <w:vMerge w:val="restart"/>
            <w:shd w:val="clear" w:color="auto" w:fill="BFBFBF" w:themeFill="background1" w:themeFillShade="BF"/>
          </w:tcPr>
          <w:p w:rsidR="00C22F2B" w:rsidRPr="0077659B" w:rsidRDefault="00C22F2B" w:rsidP="000C4D17">
            <w:pPr>
              <w:pStyle w:val="NoSpacing"/>
              <w:rPr>
                <w:snapToGrid w:val="0"/>
              </w:rPr>
            </w:pPr>
            <w:r w:rsidRPr="0077659B">
              <w:rPr>
                <w:snapToGrid w:val="0"/>
              </w:rPr>
              <w:t>Impact</w:t>
            </w:r>
          </w:p>
          <w:p w:rsidR="00C22F2B" w:rsidRPr="0077659B" w:rsidRDefault="00C22F2B" w:rsidP="000C4D17">
            <w:pPr>
              <w:pStyle w:val="NoSpacing"/>
              <w:rPr>
                <w:snapToGrid w:val="0"/>
              </w:rPr>
            </w:pPr>
            <w:r w:rsidRPr="0077659B">
              <w:rPr>
                <w:snapToGrid w:val="0"/>
              </w:rPr>
              <w:t>R</w:t>
            </w:r>
          </w:p>
          <w:p w:rsidR="00C22F2B" w:rsidRPr="0077659B" w:rsidRDefault="00C22F2B" w:rsidP="000C4D17">
            <w:pPr>
              <w:pStyle w:val="NoSpacing"/>
              <w:rPr>
                <w:snapToGrid w:val="0"/>
              </w:rPr>
            </w:pPr>
            <w:r w:rsidRPr="0077659B">
              <w:rPr>
                <w:snapToGrid w:val="0"/>
              </w:rPr>
              <w:t>current year</w:t>
            </w:r>
          </w:p>
        </w:tc>
        <w:tc>
          <w:tcPr>
            <w:tcW w:w="749" w:type="pct"/>
            <w:vMerge w:val="restart"/>
            <w:shd w:val="clear" w:color="auto" w:fill="BFBFBF" w:themeFill="background1" w:themeFillShade="BF"/>
          </w:tcPr>
          <w:p w:rsidR="00C22F2B" w:rsidRPr="0077659B" w:rsidRDefault="00C22F2B" w:rsidP="000C4D17">
            <w:pPr>
              <w:pStyle w:val="NoSpacing"/>
              <w:rPr>
                <w:snapToGrid w:val="0"/>
              </w:rPr>
            </w:pPr>
            <w:r w:rsidRPr="0077659B">
              <w:rPr>
                <w:snapToGrid w:val="0"/>
              </w:rPr>
              <w:t>Impact</w:t>
            </w:r>
          </w:p>
          <w:p w:rsidR="00C22F2B" w:rsidRPr="0077659B" w:rsidRDefault="00C22F2B" w:rsidP="000C4D17">
            <w:pPr>
              <w:pStyle w:val="NoSpacing"/>
              <w:rPr>
                <w:snapToGrid w:val="0"/>
              </w:rPr>
            </w:pPr>
            <w:r w:rsidRPr="0077659B">
              <w:rPr>
                <w:snapToGrid w:val="0"/>
              </w:rPr>
              <w:t>R</w:t>
            </w:r>
          </w:p>
          <w:p w:rsidR="00C22F2B" w:rsidRPr="0077659B" w:rsidRDefault="00C22F2B" w:rsidP="000C4D17">
            <w:pPr>
              <w:pStyle w:val="NoSpacing"/>
              <w:rPr>
                <w:snapToGrid w:val="0"/>
              </w:rPr>
            </w:pPr>
            <w:r w:rsidRPr="0077659B">
              <w:rPr>
                <w:snapToGrid w:val="0"/>
              </w:rPr>
              <w:t>prior year</w:t>
            </w:r>
          </w:p>
        </w:tc>
      </w:tr>
      <w:tr w:rsidR="00C22F2B" w:rsidRPr="0077659B" w:rsidTr="008028BA">
        <w:trPr>
          <w:trHeight w:val="185"/>
          <w:tblHeader/>
        </w:trPr>
        <w:tc>
          <w:tcPr>
            <w:tcW w:w="870" w:type="pct"/>
            <w:shd w:val="clear" w:color="auto" w:fill="BFBFBF" w:themeFill="background1" w:themeFillShade="BF"/>
          </w:tcPr>
          <w:p w:rsidR="00C22F2B" w:rsidRPr="0077659B" w:rsidRDefault="00C22F2B" w:rsidP="000C4D17">
            <w:pPr>
              <w:pStyle w:val="NoSpacing"/>
              <w:rPr>
                <w:snapToGrid w:val="0"/>
              </w:rPr>
            </w:pPr>
            <w:r w:rsidRPr="0077659B">
              <w:rPr>
                <w:snapToGrid w:val="0"/>
              </w:rPr>
              <w:t>Financial statement item</w:t>
            </w:r>
          </w:p>
        </w:tc>
        <w:tc>
          <w:tcPr>
            <w:tcW w:w="1883" w:type="pct"/>
            <w:shd w:val="clear" w:color="auto" w:fill="BFBFBF" w:themeFill="background1" w:themeFillShade="BF"/>
          </w:tcPr>
          <w:p w:rsidR="00C22F2B" w:rsidRPr="0077659B" w:rsidRDefault="00C22F2B" w:rsidP="000C4D17">
            <w:pPr>
              <w:pStyle w:val="NoSpacing"/>
              <w:rPr>
                <w:snapToGrid w:val="0"/>
              </w:rPr>
            </w:pPr>
            <w:r w:rsidRPr="0077659B">
              <w:rPr>
                <w:snapToGrid w:val="0"/>
              </w:rPr>
              <w:t xml:space="preserve">Finding </w:t>
            </w:r>
          </w:p>
          <w:p w:rsidR="00C22F2B" w:rsidRPr="0077659B" w:rsidRDefault="000C4D17">
            <w:pPr>
              <w:pStyle w:val="NoSpacing"/>
              <w:rPr>
                <w:snapToGrid w:val="0"/>
              </w:rPr>
            </w:pPr>
            <w:r w:rsidRPr="0077659B">
              <w:rPr>
                <w:snapToGrid w:val="0"/>
              </w:rPr>
              <w:t>[</w:t>
            </w:r>
            <w:r w:rsidR="00C22F2B" w:rsidRPr="0077659B">
              <w:rPr>
                <w:snapToGrid w:val="0"/>
              </w:rPr>
              <w:t>Include a brief description of the misstatement as per the findings and the auditor’s report. Include the reasons for the auditee not correcting th</w:t>
            </w:r>
            <w:r w:rsidRPr="0077659B">
              <w:rPr>
                <w:snapToGrid w:val="0"/>
              </w:rPr>
              <w:t xml:space="preserve">e misstatement </w:t>
            </w:r>
            <w:r w:rsidR="003108DB" w:rsidRPr="0077659B">
              <w:rPr>
                <w:snapToGrid w:val="0"/>
              </w:rPr>
              <w:t xml:space="preserve">where </w:t>
            </w:r>
            <w:r w:rsidRPr="0077659B">
              <w:rPr>
                <w:snapToGrid w:val="0"/>
              </w:rPr>
              <w:t>applicable.]</w:t>
            </w:r>
          </w:p>
        </w:tc>
        <w:tc>
          <w:tcPr>
            <w:tcW w:w="773" w:type="pct"/>
            <w:shd w:val="clear" w:color="auto" w:fill="BFBFBF" w:themeFill="background1" w:themeFillShade="BF"/>
          </w:tcPr>
          <w:p w:rsidR="00C22F2B" w:rsidRPr="0077659B" w:rsidRDefault="00C22F2B" w:rsidP="000C4D17">
            <w:pPr>
              <w:pStyle w:val="NoSpacing"/>
              <w:rPr>
                <w:snapToGrid w:val="0"/>
              </w:rPr>
            </w:pPr>
            <w:r w:rsidRPr="0077659B">
              <w:rPr>
                <w:snapToGrid w:val="0"/>
              </w:rPr>
              <w:t>Occurred in prior year</w:t>
            </w:r>
          </w:p>
          <w:p w:rsidR="00C22F2B" w:rsidRPr="0077659B" w:rsidRDefault="000C4D17" w:rsidP="000C4D17">
            <w:pPr>
              <w:pStyle w:val="NoSpacing"/>
              <w:rPr>
                <w:snapToGrid w:val="0"/>
              </w:rPr>
            </w:pPr>
            <w:r w:rsidRPr="0077659B">
              <w:rPr>
                <w:snapToGrid w:val="0"/>
              </w:rPr>
              <w:t>[Insert Yes/No]</w:t>
            </w:r>
          </w:p>
        </w:tc>
        <w:tc>
          <w:tcPr>
            <w:tcW w:w="725" w:type="pct"/>
            <w:vMerge/>
            <w:shd w:val="clear" w:color="auto" w:fill="BFBFBF" w:themeFill="background1" w:themeFillShade="BF"/>
          </w:tcPr>
          <w:p w:rsidR="00C22F2B" w:rsidRPr="0077659B" w:rsidRDefault="00C22F2B" w:rsidP="00C22F2B">
            <w:pPr>
              <w:spacing w:after="0" w:line="240" w:lineRule="auto"/>
              <w:jc w:val="center"/>
              <w:rPr>
                <w:rFonts w:eastAsia="Times New Roman" w:cs="Arial"/>
                <w:b/>
                <w:snapToGrid w:val="0"/>
              </w:rPr>
            </w:pPr>
          </w:p>
        </w:tc>
        <w:tc>
          <w:tcPr>
            <w:tcW w:w="749" w:type="pct"/>
            <w:vMerge/>
            <w:shd w:val="clear" w:color="auto" w:fill="BFBFBF" w:themeFill="background1" w:themeFillShade="BF"/>
          </w:tcPr>
          <w:p w:rsidR="00C22F2B" w:rsidRPr="0077659B" w:rsidRDefault="00C22F2B" w:rsidP="00C22F2B">
            <w:pPr>
              <w:spacing w:after="0" w:line="240" w:lineRule="auto"/>
              <w:jc w:val="center"/>
              <w:rPr>
                <w:rFonts w:eastAsia="Times New Roman" w:cs="Arial"/>
                <w:b/>
                <w:snapToGrid w:val="0"/>
              </w:rPr>
            </w:pPr>
          </w:p>
        </w:tc>
      </w:tr>
      <w:tr w:rsidR="00C22F2B" w:rsidRPr="0077659B" w:rsidTr="008028BA">
        <w:tc>
          <w:tcPr>
            <w:tcW w:w="5000" w:type="pct"/>
            <w:gridSpan w:val="5"/>
            <w:shd w:val="clear" w:color="auto" w:fill="D9D9D9" w:themeFill="background1" w:themeFillShade="D9"/>
          </w:tcPr>
          <w:p w:rsidR="00C22F2B" w:rsidRPr="0077659B" w:rsidRDefault="00C22F2B" w:rsidP="00AE524A">
            <w:pPr>
              <w:pStyle w:val="NoSpacing"/>
              <w:jc w:val="left"/>
              <w:rPr>
                <w:snapToGrid w:val="0"/>
              </w:rPr>
            </w:pPr>
            <w:bookmarkStart w:id="18" w:name="S2E1"/>
            <w:bookmarkEnd w:id="18"/>
            <w:r w:rsidRPr="0077659B">
              <w:rPr>
                <w:snapToGrid w:val="0"/>
              </w:rPr>
              <w:t>Material misstatements not corrected</w:t>
            </w:r>
          </w:p>
        </w:tc>
      </w:tr>
      <w:tr w:rsidR="00C22F2B" w:rsidRPr="0077659B" w:rsidTr="00DC267C">
        <w:tc>
          <w:tcPr>
            <w:tcW w:w="870" w:type="pct"/>
          </w:tcPr>
          <w:p w:rsidR="00C22F2B" w:rsidRPr="00BB6EEC" w:rsidRDefault="00D55037" w:rsidP="000C4D17">
            <w:pPr>
              <w:pStyle w:val="Tabletext"/>
              <w:rPr>
                <w:snapToGrid w:val="0"/>
                <w:lang w:val="en-ZA"/>
              </w:rPr>
            </w:pPr>
            <w:r>
              <w:rPr>
                <w:snapToGrid w:val="0"/>
                <w:lang w:val="en-ZA"/>
              </w:rPr>
              <w:t xml:space="preserve">Principal- agent relations balances </w:t>
            </w:r>
          </w:p>
        </w:tc>
        <w:tc>
          <w:tcPr>
            <w:tcW w:w="1883" w:type="pct"/>
          </w:tcPr>
          <w:p w:rsidR="00C22F2B" w:rsidRPr="00BB6EEC" w:rsidRDefault="00D55037" w:rsidP="000C4D17">
            <w:pPr>
              <w:pStyle w:val="Tabletext"/>
              <w:rPr>
                <w:snapToGrid w:val="0"/>
                <w:lang w:val="en-ZA"/>
              </w:rPr>
            </w:pPr>
            <w:r>
              <w:rPr>
                <w:snapToGrid w:val="0"/>
                <w:lang w:val="en-ZA"/>
              </w:rPr>
              <w:t xml:space="preserve">The department did not recognise accrued </w:t>
            </w:r>
            <w:r w:rsidR="006705D5">
              <w:rPr>
                <w:snapToGrid w:val="0"/>
                <w:lang w:val="en-ZA"/>
              </w:rPr>
              <w:t xml:space="preserve">departmental </w:t>
            </w:r>
            <w:r>
              <w:rPr>
                <w:snapToGrid w:val="0"/>
                <w:lang w:val="en-ZA"/>
              </w:rPr>
              <w:t xml:space="preserve">revenue due to the department from NSF </w:t>
            </w:r>
            <w:r w:rsidR="006705D5">
              <w:rPr>
                <w:snapToGrid w:val="0"/>
                <w:lang w:val="en-ZA"/>
              </w:rPr>
              <w:t>for project implementation and monitoring</w:t>
            </w:r>
          </w:p>
        </w:tc>
        <w:tc>
          <w:tcPr>
            <w:tcW w:w="773" w:type="pct"/>
          </w:tcPr>
          <w:p w:rsidR="00C22F2B" w:rsidRPr="00BB6EEC" w:rsidRDefault="00D55037" w:rsidP="000C4D17">
            <w:pPr>
              <w:pStyle w:val="Tabletext"/>
              <w:rPr>
                <w:snapToGrid w:val="0"/>
                <w:lang w:val="en-ZA"/>
              </w:rPr>
            </w:pPr>
            <w:r>
              <w:rPr>
                <w:snapToGrid w:val="0"/>
                <w:lang w:val="en-ZA"/>
              </w:rPr>
              <w:t xml:space="preserve">Yes </w:t>
            </w:r>
          </w:p>
        </w:tc>
        <w:tc>
          <w:tcPr>
            <w:tcW w:w="725" w:type="pct"/>
          </w:tcPr>
          <w:p w:rsidR="00C22F2B" w:rsidRPr="00BB6EEC" w:rsidRDefault="00D55037" w:rsidP="000C4D17">
            <w:pPr>
              <w:pStyle w:val="Tabletext"/>
              <w:rPr>
                <w:snapToGrid w:val="0"/>
                <w:lang w:val="en-ZA"/>
              </w:rPr>
            </w:pPr>
            <w:r>
              <w:rPr>
                <w:snapToGrid w:val="0"/>
                <w:lang w:val="en-ZA"/>
              </w:rPr>
              <w:t>R2 902 725</w:t>
            </w:r>
          </w:p>
        </w:tc>
        <w:tc>
          <w:tcPr>
            <w:tcW w:w="749" w:type="pct"/>
          </w:tcPr>
          <w:p w:rsidR="00C22F2B" w:rsidRPr="00BB6EEC" w:rsidRDefault="00D55037" w:rsidP="000C4D17">
            <w:pPr>
              <w:pStyle w:val="Tabletext"/>
              <w:rPr>
                <w:snapToGrid w:val="0"/>
                <w:lang w:val="en-ZA"/>
              </w:rPr>
            </w:pPr>
            <w:r>
              <w:rPr>
                <w:snapToGrid w:val="0"/>
                <w:lang w:val="en-ZA"/>
              </w:rPr>
              <w:t>R5 079 768</w:t>
            </w:r>
          </w:p>
        </w:tc>
      </w:tr>
      <w:tr w:rsidR="00C22F2B" w:rsidRPr="0077659B" w:rsidTr="00DC267C">
        <w:tc>
          <w:tcPr>
            <w:tcW w:w="870" w:type="pct"/>
          </w:tcPr>
          <w:p w:rsidR="00C22F2B" w:rsidRPr="00BB6EEC" w:rsidRDefault="00D55037" w:rsidP="000C4D17">
            <w:pPr>
              <w:pStyle w:val="Tabletext"/>
              <w:rPr>
                <w:snapToGrid w:val="0"/>
                <w:lang w:val="en-ZA"/>
              </w:rPr>
            </w:pPr>
            <w:r>
              <w:rPr>
                <w:snapToGrid w:val="0"/>
                <w:lang w:val="en-ZA"/>
              </w:rPr>
              <w:t xml:space="preserve">Trade Receivables </w:t>
            </w:r>
          </w:p>
        </w:tc>
        <w:tc>
          <w:tcPr>
            <w:tcW w:w="1883" w:type="pct"/>
          </w:tcPr>
          <w:p w:rsidR="00C22F2B" w:rsidRPr="00BB6EEC" w:rsidRDefault="00D55037" w:rsidP="00D55037">
            <w:pPr>
              <w:pStyle w:val="Tabletext"/>
              <w:rPr>
                <w:snapToGrid w:val="0"/>
                <w:lang w:val="en-ZA"/>
              </w:rPr>
            </w:pPr>
            <w:proofErr w:type="spellStart"/>
            <w:r>
              <w:rPr>
                <w:snapToGrid w:val="0"/>
                <w:lang w:val="en-ZA"/>
              </w:rPr>
              <w:t>Limittation</w:t>
            </w:r>
            <w:proofErr w:type="spellEnd"/>
            <w:r>
              <w:rPr>
                <w:snapToGrid w:val="0"/>
                <w:lang w:val="en-ZA"/>
              </w:rPr>
              <w:t xml:space="preserve"> of scope – The Property Management Trading Entity failed to confirm existence of a balance due to DPWI </w:t>
            </w:r>
          </w:p>
        </w:tc>
        <w:tc>
          <w:tcPr>
            <w:tcW w:w="773" w:type="pct"/>
          </w:tcPr>
          <w:p w:rsidR="00C22F2B" w:rsidRPr="00BB6EEC" w:rsidRDefault="00D55037" w:rsidP="000C4D17">
            <w:pPr>
              <w:pStyle w:val="Tabletext"/>
              <w:rPr>
                <w:snapToGrid w:val="0"/>
                <w:lang w:val="en-ZA"/>
              </w:rPr>
            </w:pPr>
            <w:r>
              <w:rPr>
                <w:snapToGrid w:val="0"/>
                <w:lang w:val="en-ZA"/>
              </w:rPr>
              <w:t xml:space="preserve">No </w:t>
            </w:r>
          </w:p>
        </w:tc>
        <w:tc>
          <w:tcPr>
            <w:tcW w:w="725" w:type="pct"/>
          </w:tcPr>
          <w:p w:rsidR="00C22F2B" w:rsidRPr="00BB6EEC" w:rsidRDefault="00D55037" w:rsidP="000C4D17">
            <w:pPr>
              <w:pStyle w:val="Tabletext"/>
              <w:rPr>
                <w:snapToGrid w:val="0"/>
                <w:lang w:val="en-ZA"/>
              </w:rPr>
            </w:pPr>
            <w:r>
              <w:rPr>
                <w:snapToGrid w:val="0"/>
                <w:lang w:val="en-ZA"/>
              </w:rPr>
              <w:t>R15 019 875</w:t>
            </w:r>
          </w:p>
        </w:tc>
        <w:tc>
          <w:tcPr>
            <w:tcW w:w="749" w:type="pct"/>
          </w:tcPr>
          <w:p w:rsidR="00C22F2B" w:rsidRPr="00BB6EEC" w:rsidRDefault="00D55037" w:rsidP="000C4D17">
            <w:pPr>
              <w:pStyle w:val="Tabletext"/>
              <w:rPr>
                <w:snapToGrid w:val="0"/>
                <w:lang w:val="en-ZA"/>
              </w:rPr>
            </w:pPr>
            <w:r>
              <w:rPr>
                <w:snapToGrid w:val="0"/>
                <w:lang w:val="en-ZA"/>
              </w:rPr>
              <w:t>-</w:t>
            </w:r>
          </w:p>
        </w:tc>
      </w:tr>
      <w:tr w:rsidR="00C22F2B" w:rsidRPr="0077659B" w:rsidTr="001F4292">
        <w:tc>
          <w:tcPr>
            <w:tcW w:w="870" w:type="pct"/>
          </w:tcPr>
          <w:p w:rsidR="00C22F2B" w:rsidRPr="00BB6EEC" w:rsidRDefault="00D55037" w:rsidP="000C4D17">
            <w:pPr>
              <w:pStyle w:val="Tabletext"/>
              <w:rPr>
                <w:snapToGrid w:val="0"/>
                <w:lang w:val="en-ZA"/>
              </w:rPr>
            </w:pPr>
            <w:r>
              <w:rPr>
                <w:snapToGrid w:val="0"/>
                <w:lang w:val="en-ZA"/>
              </w:rPr>
              <w:t xml:space="preserve">Goods and services </w:t>
            </w:r>
          </w:p>
        </w:tc>
        <w:tc>
          <w:tcPr>
            <w:tcW w:w="1883" w:type="pct"/>
          </w:tcPr>
          <w:p w:rsidR="00C22F2B" w:rsidRPr="00BB6EEC" w:rsidRDefault="00D55037" w:rsidP="000C4D17">
            <w:pPr>
              <w:pStyle w:val="Tabletext"/>
              <w:rPr>
                <w:snapToGrid w:val="0"/>
                <w:lang w:val="en-ZA"/>
              </w:rPr>
            </w:pPr>
            <w:r>
              <w:rPr>
                <w:snapToGrid w:val="0"/>
                <w:lang w:val="en-ZA"/>
              </w:rPr>
              <w:t xml:space="preserve">Prepayments and advances incorrectly classified as goods and services </w:t>
            </w:r>
          </w:p>
        </w:tc>
        <w:tc>
          <w:tcPr>
            <w:tcW w:w="773" w:type="pct"/>
          </w:tcPr>
          <w:p w:rsidR="00C22F2B" w:rsidRPr="00BB6EEC" w:rsidRDefault="00D55037" w:rsidP="000C4D17">
            <w:pPr>
              <w:pStyle w:val="Tabletext"/>
              <w:rPr>
                <w:snapToGrid w:val="0"/>
                <w:lang w:val="en-ZA"/>
              </w:rPr>
            </w:pPr>
            <w:r>
              <w:rPr>
                <w:snapToGrid w:val="0"/>
                <w:lang w:val="en-ZA"/>
              </w:rPr>
              <w:t>No</w:t>
            </w:r>
          </w:p>
        </w:tc>
        <w:tc>
          <w:tcPr>
            <w:tcW w:w="725" w:type="pct"/>
            <w:shd w:val="clear" w:color="auto" w:fill="auto"/>
          </w:tcPr>
          <w:p w:rsidR="00C22F2B" w:rsidRPr="001F4292" w:rsidRDefault="00D55037" w:rsidP="000C4D17">
            <w:pPr>
              <w:pStyle w:val="Tabletext"/>
              <w:rPr>
                <w:snapToGrid w:val="0"/>
                <w:lang w:val="en-ZA"/>
              </w:rPr>
            </w:pPr>
            <w:r w:rsidRPr="001F4292">
              <w:rPr>
                <w:snapToGrid w:val="0"/>
                <w:lang w:val="en-ZA"/>
              </w:rPr>
              <w:t>R1 850 000</w:t>
            </w:r>
          </w:p>
        </w:tc>
        <w:tc>
          <w:tcPr>
            <w:tcW w:w="749" w:type="pct"/>
            <w:shd w:val="clear" w:color="auto" w:fill="auto"/>
          </w:tcPr>
          <w:p w:rsidR="00C22F2B" w:rsidRPr="001F4292" w:rsidRDefault="00D55037" w:rsidP="000C4D17">
            <w:pPr>
              <w:pStyle w:val="Tabletext"/>
              <w:rPr>
                <w:snapToGrid w:val="0"/>
                <w:lang w:val="en-ZA"/>
              </w:rPr>
            </w:pPr>
            <w:r w:rsidRPr="001F4292">
              <w:rPr>
                <w:snapToGrid w:val="0"/>
                <w:lang w:val="en-ZA"/>
              </w:rPr>
              <w:t>-</w:t>
            </w:r>
          </w:p>
        </w:tc>
      </w:tr>
      <w:tr w:rsidR="00C22F2B" w:rsidRPr="0077659B" w:rsidTr="001F4292">
        <w:tc>
          <w:tcPr>
            <w:tcW w:w="870" w:type="pct"/>
          </w:tcPr>
          <w:p w:rsidR="00C22F2B" w:rsidRPr="00BB6EEC" w:rsidRDefault="00D55037" w:rsidP="000C4D17">
            <w:pPr>
              <w:pStyle w:val="Tabletext"/>
              <w:rPr>
                <w:snapToGrid w:val="0"/>
                <w:lang w:val="en-ZA"/>
              </w:rPr>
            </w:pPr>
            <w:r>
              <w:rPr>
                <w:snapToGrid w:val="0"/>
                <w:lang w:val="en-ZA"/>
              </w:rPr>
              <w:t xml:space="preserve">Irregular expenditure </w:t>
            </w:r>
          </w:p>
        </w:tc>
        <w:tc>
          <w:tcPr>
            <w:tcW w:w="1883" w:type="pct"/>
          </w:tcPr>
          <w:p w:rsidR="00C22F2B" w:rsidRPr="00BB6EEC" w:rsidRDefault="00D55037" w:rsidP="00D55037">
            <w:pPr>
              <w:pStyle w:val="Tabletext"/>
              <w:rPr>
                <w:snapToGrid w:val="0"/>
                <w:lang w:val="en-ZA"/>
              </w:rPr>
            </w:pPr>
            <w:r>
              <w:rPr>
                <w:snapToGrid w:val="0"/>
                <w:lang w:val="en-ZA"/>
              </w:rPr>
              <w:t xml:space="preserve">Irregular expenditure disclosure note not complete </w:t>
            </w:r>
          </w:p>
        </w:tc>
        <w:tc>
          <w:tcPr>
            <w:tcW w:w="773" w:type="pct"/>
          </w:tcPr>
          <w:p w:rsidR="00C22F2B" w:rsidRPr="00BB6EEC" w:rsidRDefault="00D55037" w:rsidP="000C4D17">
            <w:pPr>
              <w:pStyle w:val="Tabletext"/>
              <w:rPr>
                <w:snapToGrid w:val="0"/>
                <w:lang w:val="en-ZA"/>
              </w:rPr>
            </w:pPr>
            <w:r>
              <w:rPr>
                <w:snapToGrid w:val="0"/>
                <w:lang w:val="en-ZA"/>
              </w:rPr>
              <w:t xml:space="preserve">No </w:t>
            </w:r>
          </w:p>
        </w:tc>
        <w:tc>
          <w:tcPr>
            <w:tcW w:w="725" w:type="pct"/>
            <w:shd w:val="clear" w:color="auto" w:fill="auto"/>
          </w:tcPr>
          <w:p w:rsidR="00C22F2B" w:rsidRPr="001F4292" w:rsidRDefault="00D55037" w:rsidP="000C4D17">
            <w:pPr>
              <w:pStyle w:val="Tabletext"/>
              <w:rPr>
                <w:snapToGrid w:val="0"/>
                <w:lang w:val="en-ZA"/>
              </w:rPr>
            </w:pPr>
            <w:r w:rsidRPr="001F4292">
              <w:rPr>
                <w:snapToGrid w:val="0"/>
                <w:lang w:val="en-ZA"/>
              </w:rPr>
              <w:t>R20 908 028</w:t>
            </w:r>
          </w:p>
        </w:tc>
        <w:tc>
          <w:tcPr>
            <w:tcW w:w="749" w:type="pct"/>
            <w:shd w:val="clear" w:color="auto" w:fill="auto"/>
          </w:tcPr>
          <w:p w:rsidR="00C22F2B" w:rsidRPr="001F4292" w:rsidRDefault="001B6284" w:rsidP="000C4D17">
            <w:pPr>
              <w:pStyle w:val="Tabletext"/>
              <w:rPr>
                <w:snapToGrid w:val="0"/>
                <w:lang w:val="en-ZA"/>
              </w:rPr>
            </w:pPr>
            <w:r w:rsidRPr="001F4292">
              <w:rPr>
                <w:snapToGrid w:val="0"/>
                <w:lang w:val="en-ZA"/>
              </w:rPr>
              <w:t>-</w:t>
            </w:r>
          </w:p>
        </w:tc>
      </w:tr>
      <w:tr w:rsidR="00D55037" w:rsidRPr="0077659B" w:rsidTr="00DC267C">
        <w:tc>
          <w:tcPr>
            <w:tcW w:w="870" w:type="pct"/>
          </w:tcPr>
          <w:p w:rsidR="00D55037" w:rsidRDefault="00D55037" w:rsidP="000C4D17">
            <w:pPr>
              <w:pStyle w:val="Tabletext"/>
              <w:rPr>
                <w:snapToGrid w:val="0"/>
                <w:lang w:val="en-ZA"/>
              </w:rPr>
            </w:pPr>
            <w:r>
              <w:rPr>
                <w:snapToGrid w:val="0"/>
                <w:lang w:val="en-ZA"/>
              </w:rPr>
              <w:t xml:space="preserve">Fruitless and wasteful </w:t>
            </w:r>
          </w:p>
        </w:tc>
        <w:tc>
          <w:tcPr>
            <w:tcW w:w="1883" w:type="pct"/>
          </w:tcPr>
          <w:p w:rsidR="00D55037" w:rsidRDefault="00D55037" w:rsidP="00D55037">
            <w:pPr>
              <w:pStyle w:val="Tabletext"/>
              <w:rPr>
                <w:snapToGrid w:val="0"/>
                <w:lang w:val="en-ZA"/>
              </w:rPr>
            </w:pPr>
            <w:r>
              <w:rPr>
                <w:snapToGrid w:val="0"/>
                <w:lang w:val="en-ZA"/>
              </w:rPr>
              <w:t xml:space="preserve">Fruitless and wasteful expenditure not complete </w:t>
            </w:r>
          </w:p>
        </w:tc>
        <w:tc>
          <w:tcPr>
            <w:tcW w:w="773" w:type="pct"/>
          </w:tcPr>
          <w:p w:rsidR="00D55037" w:rsidRDefault="00D55037" w:rsidP="000C4D17">
            <w:pPr>
              <w:pStyle w:val="Tabletext"/>
              <w:rPr>
                <w:snapToGrid w:val="0"/>
                <w:lang w:val="en-ZA"/>
              </w:rPr>
            </w:pPr>
            <w:r>
              <w:rPr>
                <w:snapToGrid w:val="0"/>
                <w:lang w:val="en-ZA"/>
              </w:rPr>
              <w:t>No</w:t>
            </w:r>
          </w:p>
        </w:tc>
        <w:tc>
          <w:tcPr>
            <w:tcW w:w="725" w:type="pct"/>
          </w:tcPr>
          <w:p w:rsidR="00D55037" w:rsidRDefault="00D55037" w:rsidP="000C4D17">
            <w:pPr>
              <w:pStyle w:val="Tabletext"/>
              <w:rPr>
                <w:snapToGrid w:val="0"/>
                <w:lang w:val="en-ZA"/>
              </w:rPr>
            </w:pPr>
            <w:r>
              <w:rPr>
                <w:snapToGrid w:val="0"/>
                <w:lang w:val="en-ZA"/>
              </w:rPr>
              <w:t>R433 346</w:t>
            </w:r>
          </w:p>
        </w:tc>
        <w:tc>
          <w:tcPr>
            <w:tcW w:w="749" w:type="pct"/>
          </w:tcPr>
          <w:p w:rsidR="00D55037" w:rsidRPr="00BB6EEC" w:rsidRDefault="001B6284" w:rsidP="000C4D17">
            <w:pPr>
              <w:pStyle w:val="Tabletext"/>
              <w:rPr>
                <w:snapToGrid w:val="0"/>
                <w:lang w:val="en-ZA"/>
              </w:rPr>
            </w:pPr>
            <w:r w:rsidRPr="001F4292">
              <w:rPr>
                <w:snapToGrid w:val="0"/>
                <w:lang w:val="en-ZA"/>
              </w:rPr>
              <w:t>-</w:t>
            </w:r>
          </w:p>
        </w:tc>
      </w:tr>
      <w:tr w:rsidR="00C22F2B" w:rsidRPr="0077659B" w:rsidTr="00DC267C">
        <w:tc>
          <w:tcPr>
            <w:tcW w:w="870" w:type="pct"/>
          </w:tcPr>
          <w:p w:rsidR="00C22F2B" w:rsidRPr="00BB6EEC" w:rsidRDefault="00D55037" w:rsidP="000C4D17">
            <w:pPr>
              <w:pStyle w:val="Tabletext"/>
              <w:rPr>
                <w:snapToGrid w:val="0"/>
                <w:lang w:val="en-ZA"/>
              </w:rPr>
            </w:pPr>
            <w:r>
              <w:rPr>
                <w:snapToGrid w:val="0"/>
                <w:lang w:val="en-ZA"/>
              </w:rPr>
              <w:lastRenderedPageBreak/>
              <w:t xml:space="preserve">Provision for impairment </w:t>
            </w:r>
          </w:p>
        </w:tc>
        <w:tc>
          <w:tcPr>
            <w:tcW w:w="1883" w:type="pct"/>
          </w:tcPr>
          <w:p w:rsidR="00C22F2B" w:rsidRPr="00BB6EEC" w:rsidRDefault="00D55037" w:rsidP="000C4D17">
            <w:pPr>
              <w:pStyle w:val="Tabletext"/>
              <w:rPr>
                <w:snapToGrid w:val="0"/>
                <w:lang w:val="en-ZA"/>
              </w:rPr>
            </w:pPr>
            <w:r>
              <w:rPr>
                <w:snapToGrid w:val="0"/>
                <w:lang w:val="en-ZA"/>
              </w:rPr>
              <w:t xml:space="preserve">The recoverability </w:t>
            </w:r>
            <w:r w:rsidR="00D66C45" w:rsidRPr="00D66C45">
              <w:rPr>
                <w:snapToGrid w:val="0"/>
                <w:lang w:val="en-ZA"/>
              </w:rPr>
              <w:t xml:space="preserve">of the debtor is </w:t>
            </w:r>
            <w:proofErr w:type="gramStart"/>
            <w:r w:rsidR="00D66C45" w:rsidRPr="00D66C45">
              <w:rPr>
                <w:snapToGrid w:val="0"/>
                <w:lang w:val="en-ZA"/>
              </w:rPr>
              <w:t>uncertain</w:t>
            </w:r>
            <w:proofErr w:type="gramEnd"/>
            <w:r w:rsidR="00D66C45" w:rsidRPr="00D66C45">
              <w:rPr>
                <w:snapToGrid w:val="0"/>
                <w:lang w:val="en-ZA"/>
              </w:rPr>
              <w:t xml:space="preserve"> as there are no funds to honor the debt</w:t>
            </w:r>
            <w:r w:rsidR="00D66C45">
              <w:rPr>
                <w:snapToGrid w:val="0"/>
                <w:lang w:val="en-ZA"/>
              </w:rPr>
              <w:t>.</w:t>
            </w:r>
          </w:p>
        </w:tc>
        <w:tc>
          <w:tcPr>
            <w:tcW w:w="773" w:type="pct"/>
          </w:tcPr>
          <w:p w:rsidR="00C22F2B" w:rsidRPr="00BB6EEC" w:rsidRDefault="00D55037" w:rsidP="000C4D17">
            <w:pPr>
              <w:pStyle w:val="Tabletext"/>
              <w:rPr>
                <w:snapToGrid w:val="0"/>
                <w:lang w:val="en-ZA"/>
              </w:rPr>
            </w:pPr>
            <w:r>
              <w:rPr>
                <w:snapToGrid w:val="0"/>
                <w:lang w:val="en-ZA"/>
              </w:rPr>
              <w:t xml:space="preserve">No </w:t>
            </w:r>
          </w:p>
        </w:tc>
        <w:tc>
          <w:tcPr>
            <w:tcW w:w="725" w:type="pct"/>
          </w:tcPr>
          <w:p w:rsidR="00C22F2B" w:rsidRPr="00BB6EEC" w:rsidRDefault="00D55037" w:rsidP="000C4D17">
            <w:pPr>
              <w:pStyle w:val="Tabletext"/>
              <w:rPr>
                <w:snapToGrid w:val="0"/>
                <w:lang w:val="en-ZA"/>
              </w:rPr>
            </w:pPr>
            <w:r>
              <w:rPr>
                <w:snapToGrid w:val="0"/>
                <w:lang w:val="en-ZA"/>
              </w:rPr>
              <w:t>R54 541 470</w:t>
            </w:r>
          </w:p>
        </w:tc>
        <w:tc>
          <w:tcPr>
            <w:tcW w:w="749" w:type="pct"/>
          </w:tcPr>
          <w:p w:rsidR="00C22F2B" w:rsidRPr="00BB6EEC" w:rsidRDefault="00C22F2B" w:rsidP="000C4D17">
            <w:pPr>
              <w:pStyle w:val="Tabletext"/>
              <w:rPr>
                <w:snapToGrid w:val="0"/>
                <w:lang w:val="en-ZA"/>
              </w:rPr>
            </w:pPr>
          </w:p>
        </w:tc>
      </w:tr>
      <w:tr w:rsidR="00846AA6" w:rsidRPr="0077659B" w:rsidTr="00DC267C">
        <w:tc>
          <w:tcPr>
            <w:tcW w:w="870" w:type="pct"/>
          </w:tcPr>
          <w:p w:rsidR="00846AA6" w:rsidRDefault="00846AA6" w:rsidP="000C4D17">
            <w:pPr>
              <w:pStyle w:val="Tabletext"/>
              <w:rPr>
                <w:snapToGrid w:val="0"/>
                <w:lang w:val="en-ZA"/>
              </w:rPr>
            </w:pPr>
            <w:r>
              <w:rPr>
                <w:snapToGrid w:val="0"/>
                <w:lang w:val="en-ZA"/>
              </w:rPr>
              <w:t xml:space="preserve">Contingent liabilities </w:t>
            </w:r>
          </w:p>
        </w:tc>
        <w:tc>
          <w:tcPr>
            <w:tcW w:w="1883" w:type="pct"/>
          </w:tcPr>
          <w:p w:rsidR="00877FDF" w:rsidRPr="00877FDF" w:rsidRDefault="00877FDF" w:rsidP="003D65F2">
            <w:pPr>
              <w:pStyle w:val="Tabletext"/>
              <w:numPr>
                <w:ilvl w:val="0"/>
                <w:numId w:val="26"/>
              </w:numPr>
              <w:rPr>
                <w:snapToGrid w:val="0"/>
                <w:lang w:val="en-ZA"/>
              </w:rPr>
            </w:pPr>
            <w:r w:rsidRPr="00877FDF">
              <w:rPr>
                <w:snapToGrid w:val="0"/>
                <w:lang w:val="en-ZA"/>
              </w:rPr>
              <w:t xml:space="preserve">The department disclosed the estimate of the financial effect of the contingent liabilities, the following was not disclosed: </w:t>
            </w:r>
          </w:p>
          <w:p w:rsidR="00877FDF" w:rsidRPr="00877FDF" w:rsidRDefault="00877FDF" w:rsidP="003D65F2">
            <w:pPr>
              <w:pStyle w:val="Tabletext"/>
              <w:numPr>
                <w:ilvl w:val="0"/>
                <w:numId w:val="27"/>
              </w:numPr>
              <w:rPr>
                <w:snapToGrid w:val="0"/>
                <w:lang w:val="en-ZA"/>
              </w:rPr>
            </w:pPr>
            <w:r w:rsidRPr="00877FDF">
              <w:rPr>
                <w:snapToGrid w:val="0"/>
                <w:lang w:val="en-ZA"/>
              </w:rPr>
              <w:t>a brief description of the nature of the contingent liability:</w:t>
            </w:r>
          </w:p>
          <w:p w:rsidR="00877FDF" w:rsidRPr="00877FDF" w:rsidRDefault="00877FDF" w:rsidP="003D65F2">
            <w:pPr>
              <w:pStyle w:val="Tabletext"/>
              <w:numPr>
                <w:ilvl w:val="0"/>
                <w:numId w:val="27"/>
              </w:numPr>
              <w:rPr>
                <w:snapToGrid w:val="0"/>
                <w:lang w:val="en-ZA"/>
              </w:rPr>
            </w:pPr>
            <w:r w:rsidRPr="00877FDF">
              <w:rPr>
                <w:snapToGrid w:val="0"/>
                <w:lang w:val="en-ZA"/>
              </w:rPr>
              <w:t>an indication of the uncertainties relating to the amount or timing of any outflow;</w:t>
            </w:r>
          </w:p>
          <w:p w:rsidR="00877FDF" w:rsidRPr="00877FDF" w:rsidRDefault="00877FDF" w:rsidP="003D65F2">
            <w:pPr>
              <w:pStyle w:val="Tabletext"/>
              <w:numPr>
                <w:ilvl w:val="0"/>
                <w:numId w:val="27"/>
              </w:numPr>
              <w:rPr>
                <w:snapToGrid w:val="0"/>
                <w:lang w:val="en-ZA"/>
              </w:rPr>
            </w:pPr>
            <w:r w:rsidRPr="00877FDF">
              <w:rPr>
                <w:snapToGrid w:val="0"/>
                <w:lang w:val="en-ZA"/>
              </w:rPr>
              <w:t>the possibility of any reimbursement</w:t>
            </w:r>
          </w:p>
          <w:p w:rsidR="00877FDF" w:rsidRPr="00877FDF" w:rsidRDefault="00877FDF" w:rsidP="003D65F2">
            <w:pPr>
              <w:pStyle w:val="Tabletext"/>
              <w:numPr>
                <w:ilvl w:val="0"/>
                <w:numId w:val="26"/>
              </w:numPr>
              <w:rPr>
                <w:snapToGrid w:val="0"/>
                <w:lang w:val="en-ZA"/>
              </w:rPr>
            </w:pPr>
            <w:r w:rsidRPr="00877FDF">
              <w:rPr>
                <w:snapToGrid w:val="0"/>
                <w:lang w:val="en-ZA"/>
              </w:rPr>
              <w:t>The department did not include any narrative on note 19: Contingent liabilities and contingent assets pertaining to salary increases.</w:t>
            </w:r>
          </w:p>
          <w:p w:rsidR="00846AA6" w:rsidRDefault="00846AA6" w:rsidP="000C4D17">
            <w:pPr>
              <w:pStyle w:val="Tabletext"/>
              <w:rPr>
                <w:snapToGrid w:val="0"/>
                <w:lang w:val="en-ZA"/>
              </w:rPr>
            </w:pPr>
          </w:p>
        </w:tc>
        <w:tc>
          <w:tcPr>
            <w:tcW w:w="773" w:type="pct"/>
          </w:tcPr>
          <w:p w:rsidR="00846AA6" w:rsidRDefault="00877FDF" w:rsidP="000C4D17">
            <w:pPr>
              <w:pStyle w:val="Tabletext"/>
              <w:rPr>
                <w:snapToGrid w:val="0"/>
                <w:lang w:val="en-ZA"/>
              </w:rPr>
            </w:pPr>
            <w:r>
              <w:rPr>
                <w:snapToGrid w:val="0"/>
                <w:lang w:val="en-ZA"/>
              </w:rPr>
              <w:t xml:space="preserve">No </w:t>
            </w:r>
          </w:p>
        </w:tc>
        <w:tc>
          <w:tcPr>
            <w:tcW w:w="725" w:type="pct"/>
          </w:tcPr>
          <w:p w:rsidR="00846AA6" w:rsidRDefault="00877FDF" w:rsidP="000C4D17">
            <w:pPr>
              <w:pStyle w:val="Tabletext"/>
              <w:rPr>
                <w:snapToGrid w:val="0"/>
                <w:lang w:val="en-ZA"/>
              </w:rPr>
            </w:pPr>
            <w:r>
              <w:rPr>
                <w:snapToGrid w:val="0"/>
                <w:lang w:val="en-ZA"/>
              </w:rPr>
              <w:t>Unknown</w:t>
            </w:r>
          </w:p>
        </w:tc>
        <w:tc>
          <w:tcPr>
            <w:tcW w:w="749" w:type="pct"/>
          </w:tcPr>
          <w:p w:rsidR="00846AA6" w:rsidRPr="00BB6EEC" w:rsidRDefault="00877FDF" w:rsidP="000C4D17">
            <w:pPr>
              <w:pStyle w:val="Tabletext"/>
              <w:rPr>
                <w:snapToGrid w:val="0"/>
                <w:lang w:val="en-ZA"/>
              </w:rPr>
            </w:pPr>
            <w:r>
              <w:rPr>
                <w:snapToGrid w:val="0"/>
                <w:lang w:val="en-ZA"/>
              </w:rPr>
              <w:t>-</w:t>
            </w:r>
          </w:p>
        </w:tc>
      </w:tr>
    </w:tbl>
    <w:p w:rsidR="00C22F2B" w:rsidRPr="0077659B" w:rsidRDefault="00C22F2B" w:rsidP="002004A3">
      <w:pPr>
        <w:shd w:val="clear" w:color="auto" w:fill="FFFFFF"/>
        <w:spacing w:after="0" w:line="240" w:lineRule="auto"/>
        <w:rPr>
          <w:rFonts w:ascii="Times New Roman" w:eastAsia="Times New Roman" w:hAnsi="Times New Roman" w:cs="Arial"/>
          <w:sz w:val="6"/>
          <w:szCs w:val="6"/>
        </w:rPr>
      </w:pPr>
      <w:bookmarkStart w:id="19" w:name="S2E2"/>
      <w:bookmarkEnd w:id="19"/>
    </w:p>
    <w:p w:rsidR="00153824" w:rsidRPr="0077659B" w:rsidRDefault="00153824" w:rsidP="002004A3">
      <w:pPr>
        <w:shd w:val="clear" w:color="auto" w:fill="FFFFFF"/>
        <w:spacing w:after="0" w:line="240" w:lineRule="auto"/>
        <w:rPr>
          <w:rFonts w:ascii="Times New Roman" w:eastAsia="Times New Roman" w:hAnsi="Times New Roman" w:cs="Arial"/>
          <w:sz w:val="6"/>
          <w:szCs w:val="6"/>
        </w:rPr>
        <w:sectPr w:rsidR="00153824" w:rsidRPr="0077659B" w:rsidSect="00BB6EEC">
          <w:headerReference w:type="even" r:id="rId29"/>
          <w:headerReference w:type="default" r:id="rId30"/>
          <w:headerReference w:type="first" r:id="rId31"/>
          <w:endnotePr>
            <w:numFmt w:val="decimal"/>
          </w:endnotePr>
          <w:pgSz w:w="16838" w:h="11906" w:orient="landscape" w:code="9"/>
          <w:pgMar w:top="1134" w:right="1245" w:bottom="1134" w:left="993" w:header="1134" w:footer="709" w:gutter="0"/>
          <w:cols w:space="708"/>
          <w:docGrid w:linePitch="360"/>
        </w:sectPr>
      </w:pPr>
    </w:p>
    <w:p w:rsidR="00F80D89" w:rsidRPr="00BB6EEC" w:rsidRDefault="00C22F2B" w:rsidP="00A3735E">
      <w:pPr>
        <w:pStyle w:val="Heading3"/>
        <w:rPr>
          <w:lang w:val="en-ZA"/>
        </w:rPr>
      </w:pPr>
      <w:bookmarkStart w:id="20" w:name="_Toc447106585"/>
      <w:bookmarkStart w:id="21" w:name="_Toc77816775"/>
      <w:r w:rsidRPr="00BB6EEC">
        <w:rPr>
          <w:lang w:val="en-ZA"/>
        </w:rPr>
        <w:lastRenderedPageBreak/>
        <w:t>MATTERS TO BE BROUGHT TO THE ATTENTION OF USERS</w:t>
      </w:r>
      <w:bookmarkEnd w:id="20"/>
      <w:bookmarkEnd w:id="21"/>
      <w:r w:rsidRPr="00BB6EEC">
        <w:rPr>
          <w:lang w:val="en-ZA"/>
        </w:rPr>
        <w:t xml:space="preserve"> </w:t>
      </w:r>
      <w:bookmarkStart w:id="22" w:name="EOM"/>
      <w:bookmarkStart w:id="23" w:name="KAM"/>
      <w:bookmarkStart w:id="24" w:name="_Toc447106586"/>
      <w:bookmarkEnd w:id="22"/>
      <w:bookmarkEnd w:id="23"/>
    </w:p>
    <w:p w:rsidR="00C22F2B" w:rsidRPr="0077659B" w:rsidRDefault="000C10EC" w:rsidP="000C4D17">
      <w:pPr>
        <w:pStyle w:val="Heading4"/>
      </w:pPr>
      <w:bookmarkStart w:id="25" w:name="EO1"/>
      <w:bookmarkStart w:id="26" w:name="GC1"/>
      <w:bookmarkStart w:id="27" w:name="S2E3"/>
      <w:bookmarkStart w:id="28" w:name="S2E4"/>
      <w:bookmarkStart w:id="29" w:name="S2E5"/>
      <w:bookmarkStart w:id="30" w:name="S2E6"/>
      <w:bookmarkStart w:id="31" w:name="S2E7"/>
      <w:bookmarkStart w:id="32" w:name="S2E8"/>
      <w:bookmarkStart w:id="33" w:name="S2E9"/>
      <w:bookmarkStart w:id="34" w:name="S2E10"/>
      <w:bookmarkStart w:id="35" w:name="AM"/>
      <w:bookmarkStart w:id="36" w:name="_Toc447106587"/>
      <w:bookmarkEnd w:id="24"/>
      <w:bookmarkEnd w:id="25"/>
      <w:bookmarkEnd w:id="26"/>
      <w:bookmarkEnd w:id="27"/>
      <w:bookmarkEnd w:id="28"/>
      <w:bookmarkEnd w:id="29"/>
      <w:bookmarkEnd w:id="30"/>
      <w:bookmarkEnd w:id="31"/>
      <w:bookmarkEnd w:id="32"/>
      <w:bookmarkEnd w:id="33"/>
      <w:bookmarkEnd w:id="34"/>
      <w:bookmarkEnd w:id="35"/>
      <w:r w:rsidRPr="0077659B">
        <w:t>Other</w:t>
      </w:r>
      <w:r w:rsidR="00C22F2B" w:rsidRPr="0077659B">
        <w:t xml:space="preserve"> matter paragraphs</w:t>
      </w:r>
      <w:r w:rsidR="00F00952" w:rsidRPr="0077659B">
        <w:t xml:space="preserve"> </w:t>
      </w:r>
      <w:bookmarkEnd w:id="36"/>
    </w:p>
    <w:p w:rsidR="00C22F2B" w:rsidRPr="0077659B" w:rsidRDefault="00C22F2B" w:rsidP="001E06E1">
      <w:pPr>
        <w:pStyle w:val="Numbernormal"/>
        <w:numPr>
          <w:ilvl w:val="0"/>
          <w:numId w:val="17"/>
        </w:numPr>
        <w:jc w:val="both"/>
      </w:pPr>
      <w:r w:rsidRPr="0077659B">
        <w:t xml:space="preserve">The following </w:t>
      </w:r>
      <w:r w:rsidR="000C10EC" w:rsidRPr="0077659B">
        <w:t>other</w:t>
      </w:r>
      <w:r w:rsidRPr="0077659B">
        <w:t xml:space="preserve"> matter paragraphs will be included in our auditor’s report to draw the users’ attention to matters regarding the audit, the auditor’s responsibilities and the auditor’s report:</w:t>
      </w:r>
    </w:p>
    <w:p w:rsidR="00AE524A" w:rsidRPr="00AE524A" w:rsidRDefault="00D55037" w:rsidP="001E06E1">
      <w:pPr>
        <w:pStyle w:val="Numbernormal"/>
        <w:jc w:val="both"/>
      </w:pPr>
      <w:r>
        <w:rPr>
          <w:rFonts w:ascii="CIDFont+F4" w:hAnsi="CIDFont+F4" w:cs="CIDFont+F4"/>
          <w:color w:val="4F82BE"/>
          <w:sz w:val="21"/>
          <w:szCs w:val="21"/>
        </w:rPr>
        <w:t>Unaudited supplementary schedules</w:t>
      </w:r>
    </w:p>
    <w:p w:rsidR="004B2AA4" w:rsidRPr="0077659B" w:rsidRDefault="00D55037" w:rsidP="001E06E1">
      <w:pPr>
        <w:pStyle w:val="Numbernormal"/>
        <w:numPr>
          <w:ilvl w:val="0"/>
          <w:numId w:val="17"/>
        </w:numPr>
        <w:jc w:val="both"/>
      </w:pPr>
      <w:r w:rsidRPr="0077659B" w:rsidDel="00D55037">
        <w:t xml:space="preserve"> </w:t>
      </w:r>
      <w:r w:rsidRPr="00D55037">
        <w:t xml:space="preserve">The supplementary information set out on pages XX to XX does not form part of the financial statements and </w:t>
      </w:r>
      <w:proofErr w:type="gramStart"/>
      <w:r w:rsidRPr="00D55037">
        <w:t>is presented</w:t>
      </w:r>
      <w:proofErr w:type="gramEnd"/>
      <w:r w:rsidRPr="00D55037">
        <w:t xml:space="preserve"> as additional information. I have not audited these schedule(s) and, accordingly, I do not express an opinion on them.</w:t>
      </w:r>
    </w:p>
    <w:p w:rsidR="008F6C98" w:rsidRPr="00BB6EEC" w:rsidRDefault="008516E0" w:rsidP="001E06E1">
      <w:pPr>
        <w:pStyle w:val="Heading3"/>
        <w:jc w:val="both"/>
        <w:rPr>
          <w:lang w:val="en-ZA"/>
        </w:rPr>
      </w:pPr>
      <w:bookmarkStart w:id="37" w:name="_Toc77816776"/>
      <w:bookmarkStart w:id="38" w:name="_Toc447106588"/>
      <w:r w:rsidRPr="00BB6EEC">
        <w:rPr>
          <w:lang w:val="en-ZA"/>
        </w:rPr>
        <w:t xml:space="preserve">AUDIT OF </w:t>
      </w:r>
      <w:r w:rsidR="00922655" w:rsidRPr="00BB6EEC">
        <w:rPr>
          <w:lang w:val="en-ZA"/>
        </w:rPr>
        <w:t>THE ANNUAL PERFORMANCE REPORT</w:t>
      </w:r>
      <w:bookmarkEnd w:id="37"/>
    </w:p>
    <w:p w:rsidR="009E2385" w:rsidRPr="0077659B" w:rsidRDefault="000C4D17" w:rsidP="001E06E1">
      <w:pPr>
        <w:pStyle w:val="Numbernormal"/>
        <w:numPr>
          <w:ilvl w:val="0"/>
          <w:numId w:val="17"/>
        </w:numPr>
        <w:jc w:val="both"/>
      </w:pPr>
      <w:bookmarkStart w:id="39" w:name="E6back"/>
      <w:bookmarkEnd w:id="39"/>
      <w:r w:rsidRPr="0077659B">
        <w:t>In terms of the</w:t>
      </w:r>
      <w:r w:rsidR="009D2681" w:rsidRPr="0077659B">
        <w:t xml:space="preserve"> general notice issued in terms of the PAA</w:t>
      </w:r>
      <w:r w:rsidR="00453D1F" w:rsidRPr="0077659B">
        <w:t>,</w:t>
      </w:r>
      <w:r w:rsidR="008516E0" w:rsidRPr="0077659B">
        <w:t xml:space="preserve"> the opinion on the audit of reported </w:t>
      </w:r>
      <w:r w:rsidR="00371DFB">
        <w:t xml:space="preserve">performance </w:t>
      </w:r>
      <w:r w:rsidR="008516E0" w:rsidRPr="0077659B">
        <w:t xml:space="preserve">information will be included in the management report.  The report is included below to enable management and those charged with governance to see what the report will look like once it </w:t>
      </w:r>
      <w:proofErr w:type="gramStart"/>
      <w:r w:rsidR="008516E0" w:rsidRPr="0077659B">
        <w:t>is published</w:t>
      </w:r>
      <w:proofErr w:type="gramEnd"/>
      <w:r w:rsidR="008516E0" w:rsidRPr="0077659B">
        <w:t xml:space="preserve"> in the auditor’s report</w:t>
      </w:r>
      <w:r w:rsidR="00AF2986" w:rsidRPr="0077659B">
        <w:t>.</w:t>
      </w:r>
      <w:r w:rsidR="0068422E" w:rsidRPr="0077659B">
        <w:t xml:space="preserve"> </w:t>
      </w:r>
      <w:r w:rsidR="0009390C" w:rsidRPr="0077659B">
        <w:t xml:space="preserve">We </w:t>
      </w:r>
      <w:r w:rsidR="00E85458" w:rsidRPr="0077659B">
        <w:t xml:space="preserve">will report all the audit findings included under the basis for opinion and the </w:t>
      </w:r>
      <w:r w:rsidR="008B14CD" w:rsidRPr="0077659B">
        <w:t>other</w:t>
      </w:r>
      <w:r w:rsidR="00E85458" w:rsidRPr="0077659B">
        <w:t xml:space="preserve"> matter sections of this report in the auditor’s report</w:t>
      </w:r>
      <w:r w:rsidR="003C57C8" w:rsidRPr="0077659B">
        <w:t>.</w:t>
      </w:r>
      <w:bookmarkStart w:id="40" w:name="E7back"/>
      <w:bookmarkStart w:id="41" w:name="E8back"/>
      <w:bookmarkEnd w:id="38"/>
      <w:bookmarkEnd w:id="40"/>
      <w:bookmarkEnd w:id="41"/>
    </w:p>
    <w:p w:rsidR="008341AC" w:rsidRPr="0077659B" w:rsidRDefault="00C14072" w:rsidP="001E06E1">
      <w:pPr>
        <w:pStyle w:val="Heading4"/>
        <w:jc w:val="both"/>
      </w:pPr>
      <w:bookmarkStart w:id="42" w:name="E9back"/>
      <w:bookmarkStart w:id="43" w:name="E10back"/>
      <w:bookmarkEnd w:id="42"/>
      <w:bookmarkEnd w:id="43"/>
      <w:r w:rsidRPr="0077659B">
        <w:t>I</w:t>
      </w:r>
      <w:r w:rsidR="007D37B9" w:rsidRPr="0077659B">
        <w:t>ntroduction and scope</w:t>
      </w:r>
      <w:bookmarkStart w:id="44" w:name="Back25"/>
      <w:bookmarkEnd w:id="44"/>
    </w:p>
    <w:p w:rsidR="003F31A2" w:rsidRPr="0077659B" w:rsidRDefault="0009390C" w:rsidP="001E06E1">
      <w:pPr>
        <w:pStyle w:val="Numbernormal"/>
        <w:numPr>
          <w:ilvl w:val="0"/>
          <w:numId w:val="17"/>
        </w:numPr>
        <w:jc w:val="both"/>
      </w:pPr>
      <w:r w:rsidRPr="0077659B">
        <w:t xml:space="preserve">We </w:t>
      </w:r>
      <w:r w:rsidR="007D37B9" w:rsidRPr="0077659B">
        <w:t xml:space="preserve">have undertaken a reasonable assurance engagement on the reported performance information for the following selected programmes presented in the </w:t>
      </w:r>
      <w:r w:rsidR="00D55037">
        <w:t>department</w:t>
      </w:r>
      <w:r w:rsidR="005C6483">
        <w:t>’s</w:t>
      </w:r>
      <w:r w:rsidR="005C6483" w:rsidRPr="0077659B">
        <w:t xml:space="preserve"> </w:t>
      </w:r>
      <w:r w:rsidR="007D37B9" w:rsidRPr="0077659B">
        <w:t>annual performance report f</w:t>
      </w:r>
      <w:r w:rsidR="00625CB1" w:rsidRPr="0077659B">
        <w:t xml:space="preserve">or the year ended </w:t>
      </w:r>
      <w:r w:rsidR="00D55037">
        <w:t>31 March 2021.</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4"/>
        <w:gridCol w:w="2288"/>
        <w:gridCol w:w="1180"/>
        <w:gridCol w:w="1406"/>
      </w:tblGrid>
      <w:tr w:rsidR="00C059A5" w:rsidRPr="0077659B" w:rsidTr="00C80777">
        <w:trPr>
          <w:trHeight w:val="621"/>
        </w:trPr>
        <w:tc>
          <w:tcPr>
            <w:tcW w:w="2469" w:type="pct"/>
            <w:shd w:val="clear" w:color="auto" w:fill="A6A6A6" w:themeFill="background1" w:themeFillShade="A6"/>
          </w:tcPr>
          <w:p w:rsidR="00C059A5" w:rsidRPr="0077659B" w:rsidRDefault="00C059A5" w:rsidP="001E06E1">
            <w:pPr>
              <w:pStyle w:val="NoSpacing"/>
              <w:jc w:val="both"/>
              <w:rPr>
                <w:lang w:eastAsia="en-GB"/>
              </w:rPr>
            </w:pPr>
            <w:r w:rsidRPr="0077659B">
              <w:rPr>
                <w:lang w:eastAsia="en-GB"/>
              </w:rPr>
              <w:t>[Programmes/ objectives]</w:t>
            </w:r>
          </w:p>
        </w:tc>
        <w:tc>
          <w:tcPr>
            <w:tcW w:w="1188" w:type="pct"/>
            <w:shd w:val="clear" w:color="auto" w:fill="A6A6A6" w:themeFill="background1" w:themeFillShade="A6"/>
          </w:tcPr>
          <w:p w:rsidR="00C059A5" w:rsidRPr="0077659B" w:rsidRDefault="00C059A5" w:rsidP="001E06E1">
            <w:pPr>
              <w:pStyle w:val="NoSpacing"/>
              <w:jc w:val="both"/>
              <w:rPr>
                <w:lang w:eastAsia="en-GB"/>
              </w:rPr>
            </w:pPr>
            <w:r w:rsidRPr="0077659B">
              <w:rPr>
                <w:lang w:eastAsia="en-GB"/>
              </w:rPr>
              <w:t>Pages in annual performance report</w:t>
            </w:r>
          </w:p>
        </w:tc>
        <w:tc>
          <w:tcPr>
            <w:tcW w:w="613" w:type="pct"/>
            <w:shd w:val="clear" w:color="auto" w:fill="A6A6A6" w:themeFill="background1" w:themeFillShade="A6"/>
          </w:tcPr>
          <w:p w:rsidR="00C059A5" w:rsidRPr="0077659B" w:rsidRDefault="00C059A5" w:rsidP="001E06E1">
            <w:pPr>
              <w:pStyle w:val="NoSpacing"/>
              <w:jc w:val="both"/>
              <w:rPr>
                <w:lang w:eastAsia="en-GB"/>
              </w:rPr>
            </w:pPr>
            <w:r w:rsidRPr="0077659B">
              <w:rPr>
                <w:lang w:eastAsia="en-GB"/>
              </w:rPr>
              <w:t>Opinion</w:t>
            </w:r>
          </w:p>
        </w:tc>
        <w:tc>
          <w:tcPr>
            <w:tcW w:w="730" w:type="pct"/>
            <w:shd w:val="clear" w:color="auto" w:fill="A6A6A6" w:themeFill="background1" w:themeFillShade="A6"/>
          </w:tcPr>
          <w:p w:rsidR="00C059A5" w:rsidRPr="0077659B" w:rsidRDefault="00C059A5" w:rsidP="001E06E1">
            <w:pPr>
              <w:pStyle w:val="NoSpacing"/>
              <w:jc w:val="both"/>
              <w:rPr>
                <w:lang w:eastAsia="en-GB"/>
              </w:rPr>
            </w:pPr>
            <w:r w:rsidRPr="0077659B">
              <w:rPr>
                <w:lang w:eastAsia="en-GB"/>
              </w:rPr>
              <w:t>Mov</w:t>
            </w:r>
            <w:r w:rsidR="00D40BD3" w:rsidRPr="0077659B">
              <w:rPr>
                <w:lang w:eastAsia="en-GB"/>
              </w:rPr>
              <w:t>ement</w:t>
            </w:r>
            <w:r w:rsidRPr="0077659B">
              <w:rPr>
                <w:lang w:eastAsia="en-GB"/>
              </w:rPr>
              <w:t>.</w:t>
            </w:r>
          </w:p>
        </w:tc>
      </w:tr>
      <w:tr w:rsidR="00C059A5" w:rsidRPr="0077659B" w:rsidTr="00C80777">
        <w:tc>
          <w:tcPr>
            <w:tcW w:w="2469" w:type="pct"/>
            <w:shd w:val="clear" w:color="auto" w:fill="auto"/>
          </w:tcPr>
          <w:p w:rsidR="00C059A5" w:rsidRPr="00BB6EEC" w:rsidRDefault="00C059A5" w:rsidP="001E06E1">
            <w:pPr>
              <w:pStyle w:val="Tabletext"/>
              <w:jc w:val="both"/>
              <w:rPr>
                <w:lang w:val="en-ZA" w:eastAsia="en-GB"/>
              </w:rPr>
            </w:pPr>
            <w:r w:rsidRPr="00BB6EEC">
              <w:rPr>
                <w:lang w:val="en-ZA" w:eastAsia="en-GB"/>
              </w:rPr>
              <w:t xml:space="preserve">Programme </w:t>
            </w:r>
            <w:r w:rsidR="00D55037">
              <w:rPr>
                <w:lang w:val="en-ZA" w:eastAsia="en-GB"/>
              </w:rPr>
              <w:t>3</w:t>
            </w:r>
            <w:r w:rsidRPr="00BB6EEC">
              <w:rPr>
                <w:lang w:val="en-ZA" w:eastAsia="en-GB"/>
              </w:rPr>
              <w:t xml:space="preserve"> – </w:t>
            </w:r>
            <w:r w:rsidR="00D55037">
              <w:rPr>
                <w:lang w:val="en-ZA" w:eastAsia="en-GB"/>
              </w:rPr>
              <w:t xml:space="preserve">Expanded Public Works Programme </w:t>
            </w:r>
          </w:p>
        </w:tc>
        <w:tc>
          <w:tcPr>
            <w:tcW w:w="1188" w:type="pct"/>
            <w:shd w:val="clear" w:color="auto" w:fill="auto"/>
            <w:vAlign w:val="center"/>
          </w:tcPr>
          <w:p w:rsidR="00C059A5" w:rsidRPr="00BB6EEC" w:rsidRDefault="00C059A5" w:rsidP="001E06E1">
            <w:pPr>
              <w:pStyle w:val="Tabletext"/>
              <w:jc w:val="both"/>
              <w:rPr>
                <w:lang w:val="en-ZA" w:eastAsia="en-GB"/>
              </w:rPr>
            </w:pPr>
            <w:r w:rsidRPr="00BB6EEC">
              <w:rPr>
                <w:lang w:val="en-ZA" w:eastAsia="en-GB"/>
              </w:rPr>
              <w:t>x – x</w:t>
            </w:r>
          </w:p>
        </w:tc>
        <w:tc>
          <w:tcPr>
            <w:tcW w:w="613" w:type="pct"/>
            <w:vAlign w:val="center"/>
          </w:tcPr>
          <w:p w:rsidR="00C059A5" w:rsidRPr="00BB6EEC" w:rsidRDefault="00D55037" w:rsidP="001E06E1">
            <w:pPr>
              <w:pStyle w:val="Tabletext"/>
              <w:jc w:val="both"/>
              <w:rPr>
                <w:lang w:val="en-ZA" w:eastAsia="en-GB"/>
              </w:rPr>
            </w:pPr>
            <w:r>
              <w:rPr>
                <w:lang w:val="en-ZA" w:eastAsia="en-GB"/>
              </w:rPr>
              <w:t>Qualified</w:t>
            </w:r>
          </w:p>
        </w:tc>
        <w:tc>
          <w:tcPr>
            <w:tcW w:w="730" w:type="pct"/>
            <w:vAlign w:val="center"/>
          </w:tcPr>
          <w:p w:rsidR="00C059A5" w:rsidRPr="00BB6EEC" w:rsidRDefault="00D55037" w:rsidP="001E06E1">
            <w:pPr>
              <w:pStyle w:val="Tabletext"/>
              <w:jc w:val="both"/>
              <w:rPr>
                <w:lang w:val="en-ZA" w:eastAsia="en-GB"/>
              </w:rPr>
            </w:pPr>
            <w:r>
              <w:rPr>
                <w:noProof/>
                <w:lang w:val="en-GB" w:eastAsia="en-GB"/>
              </w:rPr>
              <w:drawing>
                <wp:anchor distT="0" distB="0" distL="114300" distR="114300" simplePos="0" relativeHeight="251679232" behindDoc="0" locked="0" layoutInCell="1" allowOverlap="1" wp14:anchorId="6AA16BC9" wp14:editId="7A3437D4">
                  <wp:simplePos x="0" y="0"/>
                  <wp:positionH relativeFrom="column">
                    <wp:posOffset>-4445</wp:posOffset>
                  </wp:positionH>
                  <wp:positionV relativeFrom="paragraph">
                    <wp:posOffset>14605</wp:posOffset>
                  </wp:positionV>
                  <wp:extent cx="179070" cy="179070"/>
                  <wp:effectExtent l="0" t="0" r="0" b="0"/>
                  <wp:wrapNone/>
                  <wp:docPr id="2" name="Picture 118"/>
                  <wp:cNvGraphicFramePr/>
                  <a:graphic xmlns:a="http://schemas.openxmlformats.org/drawingml/2006/main">
                    <a:graphicData uri="http://schemas.openxmlformats.org/drawingml/2006/picture">
                      <pic:pic xmlns:pic="http://schemas.openxmlformats.org/drawingml/2006/picture">
                        <pic:nvPicPr>
                          <pic:cNvPr id="18" name="Picture 118"/>
                          <pic:cNvPicPr/>
                        </pic:nvPicPr>
                        <pic:blipFill>
                          <a:blip r:embed="rId19" cstate="print">
                            <a:extLst>
                              <a:ext uri="{28A0092B-C50C-407E-A947-70E740481C1C}">
                                <a14:useLocalDpi xmlns:a14="http://schemas.microsoft.com/office/drawing/2010/main" val="0"/>
                              </a:ext>
                            </a:extLst>
                          </a:blip>
                          <a:stretch>
                            <a:fillRect/>
                          </a:stretch>
                        </pic:blipFill>
                        <pic:spPr>
                          <a:xfrm rot="5400000" flipH="1">
                            <a:off x="0" y="0"/>
                            <a:ext cx="179070" cy="179070"/>
                          </a:xfrm>
                          <a:prstGeom prst="rect">
                            <a:avLst/>
                          </a:prstGeom>
                        </pic:spPr>
                      </pic:pic>
                    </a:graphicData>
                  </a:graphic>
                  <wp14:sizeRelH relativeFrom="margin">
                    <wp14:pctWidth>0</wp14:pctWidth>
                  </wp14:sizeRelH>
                  <wp14:sizeRelV relativeFrom="margin">
                    <wp14:pctHeight>0</wp14:pctHeight>
                  </wp14:sizeRelV>
                </wp:anchor>
              </w:drawing>
            </w:r>
          </w:p>
        </w:tc>
      </w:tr>
    </w:tbl>
    <w:p w:rsidR="00470547" w:rsidRPr="0077659B" w:rsidRDefault="00470547" w:rsidP="001E06E1">
      <w:pPr>
        <w:pStyle w:val="Default"/>
        <w:spacing w:after="120"/>
        <w:jc w:val="both"/>
        <w:rPr>
          <w:rFonts w:ascii="Arial" w:hAnsi="Arial" w:cs="Arial"/>
          <w:color w:val="auto"/>
          <w:sz w:val="22"/>
          <w:szCs w:val="22"/>
          <w:lang w:val="en-ZA"/>
        </w:rPr>
      </w:pPr>
    </w:p>
    <w:p w:rsidR="007D37B9" w:rsidRPr="0077659B" w:rsidRDefault="0009390C" w:rsidP="001E06E1">
      <w:pPr>
        <w:pStyle w:val="Numbernormal"/>
        <w:numPr>
          <w:ilvl w:val="0"/>
          <w:numId w:val="17"/>
        </w:numPr>
        <w:jc w:val="both"/>
      </w:pPr>
      <w:r w:rsidRPr="0077659B">
        <w:t>We</w:t>
      </w:r>
      <w:r w:rsidR="007D37B9" w:rsidRPr="0077659B">
        <w:t xml:space="preserve"> conducted </w:t>
      </w:r>
      <w:r w:rsidRPr="0077659B">
        <w:t>our</w:t>
      </w:r>
      <w:r w:rsidR="007D37B9" w:rsidRPr="0077659B">
        <w:t xml:space="preserve"> reasonable assurance engagement in accordance with the International Standard on Assurance Engagements, ISAE 3000</w:t>
      </w:r>
      <w:r w:rsidR="00296575">
        <w:t>(R)</w:t>
      </w:r>
      <w:r w:rsidR="007D37B9" w:rsidRPr="0077659B">
        <w:t xml:space="preserve">: </w:t>
      </w:r>
      <w:r w:rsidR="007D37B9" w:rsidRPr="0077659B">
        <w:rPr>
          <w:i/>
        </w:rPr>
        <w:t>Assurance engagements other than audits or reviews of historical financial information.</w:t>
      </w:r>
      <w:r w:rsidR="007D37B9" w:rsidRPr="0077659B">
        <w:t xml:space="preserve"> </w:t>
      </w:r>
    </w:p>
    <w:p w:rsidR="007D37B9" w:rsidRPr="0077659B" w:rsidRDefault="0009390C" w:rsidP="001E06E1">
      <w:pPr>
        <w:pStyle w:val="Numbernormal"/>
        <w:numPr>
          <w:ilvl w:val="0"/>
          <w:numId w:val="17"/>
        </w:numPr>
        <w:jc w:val="both"/>
      </w:pPr>
      <w:r w:rsidRPr="0077659B">
        <w:t xml:space="preserve">We </w:t>
      </w:r>
      <w:r w:rsidR="007D37B9" w:rsidRPr="0077659B">
        <w:t xml:space="preserve">believe that the evidence </w:t>
      </w:r>
      <w:r w:rsidRPr="0077659B">
        <w:t xml:space="preserve">we </w:t>
      </w:r>
      <w:r w:rsidR="007D37B9" w:rsidRPr="0077659B">
        <w:t xml:space="preserve">have obtained is sufficient and appropriate to provide a basis for </w:t>
      </w:r>
      <w:r w:rsidRPr="0077659B">
        <w:t>our</w:t>
      </w:r>
      <w:r w:rsidR="007D37B9" w:rsidRPr="0077659B">
        <w:t xml:space="preserve"> opinion[s].</w:t>
      </w:r>
    </w:p>
    <w:p w:rsidR="008341AC" w:rsidRPr="0077659B" w:rsidRDefault="00D55037" w:rsidP="001E06E1">
      <w:pPr>
        <w:pStyle w:val="Heading4"/>
        <w:jc w:val="both"/>
      </w:pPr>
      <w:bookmarkStart w:id="45" w:name="X2"/>
      <w:bookmarkStart w:id="46" w:name="MRInsertprogramme"/>
      <w:bookmarkStart w:id="47" w:name="E12back"/>
      <w:bookmarkEnd w:id="45"/>
      <w:bookmarkEnd w:id="46"/>
      <w:bookmarkEnd w:id="47"/>
      <w:r w:rsidRPr="00BB6EEC">
        <w:rPr>
          <w:lang w:eastAsia="en-GB"/>
        </w:rPr>
        <w:t>Programme</w:t>
      </w:r>
      <w:r>
        <w:rPr>
          <w:lang w:eastAsia="en-GB"/>
        </w:rPr>
        <w:t xml:space="preserve"> 3</w:t>
      </w:r>
      <w:r w:rsidRPr="00BB6EEC">
        <w:rPr>
          <w:lang w:eastAsia="en-GB"/>
        </w:rPr>
        <w:t xml:space="preserve"> – </w:t>
      </w:r>
      <w:r>
        <w:rPr>
          <w:lang w:eastAsia="en-GB"/>
        </w:rPr>
        <w:t>Expanded Public Works Programme</w:t>
      </w:r>
      <w:bookmarkStart w:id="48" w:name="Back26"/>
      <w:bookmarkEnd w:id="48"/>
    </w:p>
    <w:p w:rsidR="007D37B9" w:rsidRPr="0077659B" w:rsidRDefault="007D37B9" w:rsidP="001E06E1">
      <w:pPr>
        <w:pStyle w:val="Heading5"/>
        <w:jc w:val="both"/>
      </w:pPr>
      <w:r w:rsidRPr="0077659B">
        <w:t xml:space="preserve">Qualified opinion </w:t>
      </w:r>
    </w:p>
    <w:p w:rsidR="007D37B9" w:rsidRPr="001C1FF3" w:rsidRDefault="007D37B9" w:rsidP="001E06E1">
      <w:pPr>
        <w:pStyle w:val="Numbernormal"/>
        <w:numPr>
          <w:ilvl w:val="0"/>
          <w:numId w:val="17"/>
        </w:numPr>
        <w:ind w:left="567"/>
        <w:jc w:val="both"/>
        <w:rPr>
          <w:rFonts w:ascii="CIDFont+F4" w:hAnsi="CIDFont+F4" w:cs="CIDFont+F4"/>
          <w:sz w:val="21"/>
          <w:szCs w:val="21"/>
        </w:rPr>
      </w:pPr>
      <w:r w:rsidRPr="0077659B">
        <w:t xml:space="preserve">In </w:t>
      </w:r>
      <w:r w:rsidR="0009390C" w:rsidRPr="0077659B">
        <w:t>our</w:t>
      </w:r>
      <w:r w:rsidRPr="0077659B">
        <w:t xml:space="preserve"> opinion, </w:t>
      </w:r>
      <w:r w:rsidR="00D55037">
        <w:rPr>
          <w:rFonts w:ascii="CIDFont+F4" w:hAnsi="CIDFont+F4" w:cs="CIDFont+F4"/>
          <w:sz w:val="21"/>
          <w:szCs w:val="21"/>
        </w:rPr>
        <w:t xml:space="preserve">except for the effects of the matters described in the basis for qualified opinion section of my report, </w:t>
      </w:r>
      <w:r w:rsidRPr="0077659B">
        <w:t xml:space="preserve">the reported performance information for </w:t>
      </w:r>
      <w:r w:rsidR="00D55037">
        <w:t xml:space="preserve">Expanded Public Works </w:t>
      </w:r>
      <w:proofErr w:type="gramStart"/>
      <w:r w:rsidR="00D55037">
        <w:t xml:space="preserve">Programme </w:t>
      </w:r>
      <w:r w:rsidRPr="0077659B">
        <w:t xml:space="preserve"> is</w:t>
      </w:r>
      <w:proofErr w:type="gramEnd"/>
      <w:r w:rsidRPr="0077659B">
        <w:t xml:space="preserve"> useful and reliable, in accordance with the applicable criteria as developed from the performance management and reporting framework as set out in </w:t>
      </w:r>
      <w:r w:rsidR="00453D1F" w:rsidRPr="0077659B">
        <w:t>a</w:t>
      </w:r>
      <w:r w:rsidR="00DB2251" w:rsidRPr="0077659B">
        <w:t>nnexure D</w:t>
      </w:r>
      <w:r w:rsidR="00B96493" w:rsidRPr="0077659B">
        <w:t xml:space="preserve"> </w:t>
      </w:r>
      <w:r w:rsidR="00453D1F" w:rsidRPr="0077659B">
        <w:t>to</w:t>
      </w:r>
      <w:r w:rsidR="00B96493" w:rsidRPr="0077659B">
        <w:t xml:space="preserve"> this report</w:t>
      </w:r>
      <w:r w:rsidR="00D40BD3" w:rsidRPr="0077659B">
        <w:t>.</w:t>
      </w:r>
    </w:p>
    <w:p w:rsidR="007D37B9" w:rsidRPr="00BB6EEC" w:rsidRDefault="007D37B9" w:rsidP="001E06E1">
      <w:pPr>
        <w:pStyle w:val="Heading5"/>
        <w:jc w:val="both"/>
        <w:rPr>
          <w:rStyle w:val="Hyperlink"/>
          <w:b/>
          <w:bCs w:val="0"/>
          <w:sz w:val="22"/>
        </w:rPr>
      </w:pPr>
      <w:bookmarkStart w:id="49" w:name="MRBasis"/>
      <w:bookmarkStart w:id="50" w:name="E14back"/>
      <w:bookmarkEnd w:id="49"/>
      <w:bookmarkEnd w:id="50"/>
      <w:r w:rsidRPr="00BB6EEC">
        <w:t>Basis for Qualified</w:t>
      </w:r>
      <w:r w:rsidRPr="0077659B">
        <w:t xml:space="preserve"> opinion</w:t>
      </w:r>
      <w:r w:rsidRPr="0077659B">
        <w:rPr>
          <w:color w:val="auto"/>
        </w:rPr>
        <w:t xml:space="preserve"> </w:t>
      </w:r>
      <w:r w:rsidR="00D66C13" w:rsidRPr="0077659B">
        <w:rPr>
          <w:vertAlign w:val="superscript"/>
        </w:rPr>
        <w:fldChar w:fldCharType="begin"/>
      </w:r>
      <w:r w:rsidR="00D66C13" w:rsidRPr="0077659B">
        <w:rPr>
          <w:vertAlign w:val="superscript"/>
        </w:rPr>
        <w:instrText xml:space="preserve"> HYPERLINK  \l "E14" </w:instrText>
      </w:r>
      <w:r w:rsidR="00D66C13" w:rsidRPr="0077659B">
        <w:rPr>
          <w:vertAlign w:val="superscript"/>
        </w:rPr>
        <w:fldChar w:fldCharType="separate"/>
      </w:r>
    </w:p>
    <w:bookmarkStart w:id="51" w:name="X5"/>
    <w:bookmarkEnd w:id="51"/>
    <w:p w:rsidR="001F4292" w:rsidRDefault="00D66C13" w:rsidP="001E06E1">
      <w:pPr>
        <w:pStyle w:val="Heading4"/>
        <w:jc w:val="both"/>
        <w:rPr>
          <w:rFonts w:ascii="CIDFont+F4" w:hAnsi="CIDFont+F4" w:cs="CIDFont+F4"/>
          <w:color w:val="4F82BE"/>
          <w:sz w:val="23"/>
          <w:szCs w:val="23"/>
        </w:rPr>
      </w:pPr>
      <w:r w:rsidRPr="0077659B">
        <w:rPr>
          <w:rFonts w:eastAsia="Times New Roman"/>
          <w:bCs w:val="0"/>
          <w:vertAlign w:val="superscript"/>
        </w:rPr>
        <w:fldChar w:fldCharType="end"/>
      </w:r>
      <w:r w:rsidR="00D55037">
        <w:rPr>
          <w:rFonts w:ascii="CIDFont+F4" w:hAnsi="CIDFont+F4" w:cs="CIDFont+F4"/>
          <w:color w:val="4F82BE"/>
          <w:sz w:val="23"/>
          <w:szCs w:val="23"/>
        </w:rPr>
        <w:t xml:space="preserve">Various </w:t>
      </w:r>
      <w:r w:rsidR="001F4292">
        <w:rPr>
          <w:rFonts w:ascii="CIDFont+F4" w:hAnsi="CIDFont+F4" w:cs="CIDFont+F4"/>
          <w:color w:val="4F82BE"/>
          <w:sz w:val="23"/>
          <w:szCs w:val="23"/>
        </w:rPr>
        <w:t>indicators</w:t>
      </w:r>
    </w:p>
    <w:p w:rsidR="007D37B9" w:rsidRDefault="00D55037" w:rsidP="001E06E1">
      <w:pPr>
        <w:pStyle w:val="Numbernormal"/>
        <w:numPr>
          <w:ilvl w:val="0"/>
          <w:numId w:val="17"/>
        </w:numPr>
        <w:jc w:val="both"/>
      </w:pPr>
      <w:r>
        <w:t xml:space="preserve">The achievements below </w:t>
      </w:r>
      <w:proofErr w:type="gramStart"/>
      <w:r>
        <w:t>were reported</w:t>
      </w:r>
      <w:proofErr w:type="gramEnd"/>
      <w:r>
        <w:t xml:space="preserve"> in the annual performance report for the listed indicators. However, some supporting evidence provided materially differed from the reported achieved, </w:t>
      </w:r>
      <w:r>
        <w:lastRenderedPageBreak/>
        <w:t xml:space="preserve">while in other instances I was unable to obtain sufficient appropriate audit evidence. This was due to the lack of accurate and complete records. I was unable to confirm the reported achievements by alternative means. Consequently, I was unable to determine whether any further adjustments were required to these reported </w:t>
      </w:r>
      <w:proofErr w:type="spellStart"/>
      <w:r>
        <w:t>achievements.</w:t>
      </w:r>
      <w:bookmarkStart w:id="52" w:name="Back35"/>
      <w:bookmarkStart w:id="53" w:name="MROthermatter"/>
      <w:bookmarkEnd w:id="52"/>
      <w:bookmarkEnd w:id="53"/>
      <w:r w:rsidR="007D37B9" w:rsidRPr="0077659B">
        <w:t>Other</w:t>
      </w:r>
      <w:proofErr w:type="spellEnd"/>
      <w:r w:rsidR="007D37B9" w:rsidRPr="0077659B">
        <w:t xml:space="preserve"> </w:t>
      </w:r>
      <w:bookmarkStart w:id="54" w:name="Back14a"/>
      <w:bookmarkEnd w:id="54"/>
      <w:r w:rsidR="007D37B9" w:rsidRPr="0077659B">
        <w:t>matter</w:t>
      </w:r>
      <w:bookmarkStart w:id="55" w:name="Back36"/>
      <w:bookmarkEnd w:id="55"/>
    </w:p>
    <w:tbl>
      <w:tblPr>
        <w:tblW w:w="4952"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4" w:type="dxa"/>
          <w:right w:w="74" w:type="dxa"/>
        </w:tblCellMar>
        <w:tblLook w:val="04A0" w:firstRow="1" w:lastRow="0" w:firstColumn="1" w:lastColumn="0" w:noHBand="0" w:noVBand="1"/>
      </w:tblPr>
      <w:tblGrid>
        <w:gridCol w:w="6543"/>
        <w:gridCol w:w="2997"/>
      </w:tblGrid>
      <w:tr w:rsidR="001B6284" w:rsidRPr="00397722" w:rsidTr="001B6284">
        <w:trPr>
          <w:trHeight w:val="428"/>
          <w:tblHeader/>
        </w:trPr>
        <w:tc>
          <w:tcPr>
            <w:tcW w:w="3429" w:type="pct"/>
            <w:shd w:val="clear" w:color="auto" w:fill="BFBFBF" w:themeFill="background1" w:themeFillShade="BF"/>
          </w:tcPr>
          <w:p w:rsidR="001B6284" w:rsidRPr="00397722" w:rsidRDefault="001B6284" w:rsidP="001E06E1">
            <w:pPr>
              <w:spacing w:before="120"/>
              <w:jc w:val="both"/>
              <w:rPr>
                <w:rFonts w:cs="Arial"/>
                <w:b/>
                <w:sz w:val="20"/>
                <w:szCs w:val="20"/>
                <w:lang w:eastAsia="en-GB"/>
              </w:rPr>
            </w:pPr>
            <w:r w:rsidRPr="00397722">
              <w:rPr>
                <w:rFonts w:cs="Arial"/>
                <w:b/>
                <w:sz w:val="20"/>
                <w:szCs w:val="20"/>
                <w:lang w:eastAsia="en-GB"/>
              </w:rPr>
              <w:t>Indicator description</w:t>
            </w:r>
          </w:p>
        </w:tc>
        <w:tc>
          <w:tcPr>
            <w:tcW w:w="1571" w:type="pct"/>
            <w:shd w:val="clear" w:color="auto" w:fill="BFBFBF" w:themeFill="background1" w:themeFillShade="BF"/>
          </w:tcPr>
          <w:p w:rsidR="001B6284" w:rsidRPr="00397722" w:rsidRDefault="001B6284" w:rsidP="001E06E1">
            <w:pPr>
              <w:spacing w:before="120"/>
              <w:jc w:val="both"/>
              <w:rPr>
                <w:rFonts w:cs="Arial"/>
                <w:b/>
                <w:sz w:val="20"/>
                <w:szCs w:val="20"/>
                <w:lang w:eastAsia="en-GB"/>
              </w:rPr>
            </w:pPr>
            <w:r w:rsidRPr="00397722">
              <w:rPr>
                <w:rFonts w:cs="Arial"/>
                <w:b/>
                <w:sz w:val="20"/>
                <w:szCs w:val="20"/>
                <w:lang w:eastAsia="en-GB"/>
              </w:rPr>
              <w:t>Reported achievement</w:t>
            </w:r>
          </w:p>
        </w:tc>
      </w:tr>
      <w:tr w:rsidR="001B6284" w:rsidRPr="00397722" w:rsidTr="001B6284">
        <w:tc>
          <w:tcPr>
            <w:tcW w:w="3429" w:type="pct"/>
            <w:shd w:val="clear" w:color="auto" w:fill="auto"/>
          </w:tcPr>
          <w:p w:rsidR="001B6284" w:rsidRPr="001B6284" w:rsidRDefault="001B6284" w:rsidP="001E06E1">
            <w:pPr>
              <w:spacing w:before="120"/>
              <w:jc w:val="both"/>
              <w:rPr>
                <w:rFonts w:cs="Arial"/>
                <w:sz w:val="16"/>
                <w:szCs w:val="16"/>
                <w:lang w:eastAsia="en-GB"/>
              </w:rPr>
            </w:pPr>
            <w:r w:rsidRPr="001B6284">
              <w:rPr>
                <w:rFonts w:cs="Arial"/>
                <w:sz w:val="16"/>
                <w:szCs w:val="16"/>
                <w:lang w:eastAsia="en-GB"/>
              </w:rPr>
              <w:t xml:space="preserve">Number of work opportunities reported in the EPWP- RS system </w:t>
            </w:r>
          </w:p>
        </w:tc>
        <w:tc>
          <w:tcPr>
            <w:tcW w:w="1571" w:type="pct"/>
            <w:shd w:val="clear" w:color="auto" w:fill="auto"/>
          </w:tcPr>
          <w:p w:rsidR="001B6284" w:rsidRPr="00F43EF6" w:rsidRDefault="00F43EF6" w:rsidP="001E06E1">
            <w:pPr>
              <w:autoSpaceDE w:val="0"/>
              <w:autoSpaceDN w:val="0"/>
              <w:adjustRightInd w:val="0"/>
              <w:spacing w:after="0" w:line="240" w:lineRule="auto"/>
              <w:jc w:val="both"/>
              <w:rPr>
                <w:rFonts w:ascii="CIDFont+F4" w:hAnsi="CIDFont+F4" w:cs="CIDFont+F4"/>
                <w:sz w:val="16"/>
                <w:szCs w:val="16"/>
              </w:rPr>
            </w:pPr>
            <w:r w:rsidRPr="00F43EF6">
              <w:rPr>
                <w:rFonts w:ascii="CIDFont+F4" w:hAnsi="CIDFont+F4" w:cs="CIDFont+F4"/>
                <w:sz w:val="16"/>
                <w:szCs w:val="16"/>
              </w:rPr>
              <w:t>938 688</w:t>
            </w:r>
            <w:r w:rsidR="001B6284" w:rsidRPr="00F43EF6">
              <w:rPr>
                <w:rFonts w:ascii="CIDFont+F4" w:hAnsi="CIDFont+F4" w:cs="CIDFont+F4"/>
                <w:sz w:val="16"/>
                <w:szCs w:val="16"/>
              </w:rPr>
              <w:t xml:space="preserve"> work opportunities reported in</w:t>
            </w:r>
          </w:p>
          <w:p w:rsidR="001B6284" w:rsidRPr="00F43EF6" w:rsidRDefault="001B6284" w:rsidP="001E06E1">
            <w:pPr>
              <w:autoSpaceDE w:val="0"/>
              <w:autoSpaceDN w:val="0"/>
              <w:adjustRightInd w:val="0"/>
              <w:spacing w:after="0" w:line="240" w:lineRule="auto"/>
              <w:jc w:val="both"/>
              <w:rPr>
                <w:rFonts w:ascii="CIDFont+F4" w:hAnsi="CIDFont+F4" w:cs="CIDFont+F4"/>
                <w:sz w:val="16"/>
                <w:szCs w:val="16"/>
              </w:rPr>
            </w:pPr>
            <w:r w:rsidRPr="00F43EF6">
              <w:rPr>
                <w:rFonts w:ascii="CIDFont+F4" w:hAnsi="CIDFont+F4" w:cs="CIDFont+F4"/>
                <w:sz w:val="16"/>
                <w:szCs w:val="16"/>
              </w:rPr>
              <w:t>the EPWP-RS by public bodies</w:t>
            </w:r>
          </w:p>
          <w:p w:rsidR="001B6284" w:rsidRPr="00F43EF6" w:rsidRDefault="001B6284" w:rsidP="001E06E1">
            <w:pPr>
              <w:spacing w:before="120"/>
              <w:jc w:val="both"/>
              <w:rPr>
                <w:rFonts w:cs="Arial"/>
                <w:sz w:val="16"/>
                <w:szCs w:val="16"/>
                <w:lang w:eastAsia="en-GB"/>
              </w:rPr>
            </w:pPr>
            <w:r w:rsidRPr="00F43EF6">
              <w:rPr>
                <w:rFonts w:ascii="CIDFont+F4" w:hAnsi="CIDFont+F4" w:cs="CIDFont+F4"/>
                <w:sz w:val="16"/>
                <w:szCs w:val="16"/>
              </w:rPr>
              <w:t>(cumulative)</w:t>
            </w:r>
          </w:p>
        </w:tc>
      </w:tr>
      <w:tr w:rsidR="001B6284" w:rsidRPr="00397722" w:rsidTr="001B6284">
        <w:tc>
          <w:tcPr>
            <w:tcW w:w="3429" w:type="pct"/>
            <w:shd w:val="clear" w:color="auto" w:fill="auto"/>
          </w:tcPr>
          <w:p w:rsidR="001B6284" w:rsidRPr="001B6284" w:rsidRDefault="001B6284" w:rsidP="001E06E1">
            <w:pPr>
              <w:autoSpaceDE w:val="0"/>
              <w:autoSpaceDN w:val="0"/>
              <w:adjustRightInd w:val="0"/>
              <w:spacing w:after="0" w:line="240" w:lineRule="auto"/>
              <w:jc w:val="both"/>
              <w:rPr>
                <w:rFonts w:ascii="CIDFont+F4" w:hAnsi="CIDFont+F4" w:cs="CIDFont+F4"/>
                <w:sz w:val="16"/>
                <w:szCs w:val="16"/>
              </w:rPr>
            </w:pPr>
            <w:r w:rsidRPr="001B6284">
              <w:rPr>
                <w:rFonts w:ascii="CIDFont+F4" w:hAnsi="CIDFont+F4" w:cs="CIDFont+F4"/>
                <w:sz w:val="16"/>
                <w:szCs w:val="16"/>
              </w:rPr>
              <w:t>Percentage EPWP participation amongst designated groups</w:t>
            </w:r>
          </w:p>
          <w:p w:rsidR="001B6284" w:rsidRPr="001B6284" w:rsidRDefault="001B6284" w:rsidP="001E06E1">
            <w:pPr>
              <w:autoSpaceDE w:val="0"/>
              <w:autoSpaceDN w:val="0"/>
              <w:adjustRightInd w:val="0"/>
              <w:spacing w:after="0" w:line="240" w:lineRule="auto"/>
              <w:jc w:val="both"/>
              <w:rPr>
                <w:rFonts w:ascii="CIDFont+F4" w:hAnsi="CIDFont+F4" w:cs="CIDFont+F4"/>
                <w:sz w:val="16"/>
                <w:szCs w:val="16"/>
              </w:rPr>
            </w:pPr>
            <w:r w:rsidRPr="001B6284">
              <w:rPr>
                <w:rFonts w:ascii="CIDFont+F4" w:hAnsi="CIDFont+F4" w:cs="CIDFont+F4"/>
                <w:sz w:val="16"/>
                <w:szCs w:val="16"/>
              </w:rPr>
              <w:t>(women, youth and persons with disability) reported on the</w:t>
            </w:r>
          </w:p>
          <w:p w:rsidR="001B6284" w:rsidRPr="001B6284" w:rsidRDefault="001B6284" w:rsidP="001E06E1">
            <w:pPr>
              <w:spacing w:before="120"/>
              <w:jc w:val="both"/>
              <w:rPr>
                <w:rFonts w:cs="Arial"/>
                <w:sz w:val="16"/>
                <w:szCs w:val="16"/>
                <w:lang w:eastAsia="en-GB"/>
              </w:rPr>
            </w:pPr>
            <w:r w:rsidRPr="001B6284">
              <w:rPr>
                <w:rFonts w:ascii="CIDFont+F4" w:hAnsi="CIDFont+F4" w:cs="CIDFont+F4"/>
                <w:sz w:val="16"/>
                <w:szCs w:val="16"/>
              </w:rPr>
              <w:t>EPWP-RS by public bodies</w:t>
            </w:r>
          </w:p>
        </w:tc>
        <w:tc>
          <w:tcPr>
            <w:tcW w:w="1571" w:type="pct"/>
            <w:shd w:val="clear" w:color="auto" w:fill="auto"/>
          </w:tcPr>
          <w:p w:rsidR="001B6284" w:rsidRPr="00F43EF6" w:rsidRDefault="00F43EF6" w:rsidP="001E06E1">
            <w:pPr>
              <w:autoSpaceDE w:val="0"/>
              <w:autoSpaceDN w:val="0"/>
              <w:adjustRightInd w:val="0"/>
              <w:spacing w:after="0" w:line="240" w:lineRule="auto"/>
              <w:jc w:val="both"/>
              <w:rPr>
                <w:rFonts w:ascii="CIDFont+F4" w:hAnsi="CIDFont+F4" w:cs="CIDFont+F4"/>
                <w:sz w:val="16"/>
                <w:szCs w:val="16"/>
              </w:rPr>
            </w:pPr>
            <w:r w:rsidRPr="00F43EF6">
              <w:rPr>
                <w:rFonts w:ascii="CIDFont+F4" w:hAnsi="CIDFont+F4" w:cs="CIDFont+F4"/>
                <w:sz w:val="16"/>
                <w:szCs w:val="16"/>
              </w:rPr>
              <w:t>69%</w:t>
            </w:r>
            <w:r w:rsidR="001B6284" w:rsidRPr="00F43EF6">
              <w:rPr>
                <w:rFonts w:ascii="CIDFont+F4" w:hAnsi="CIDFont+F4" w:cs="CIDFont+F4"/>
                <w:sz w:val="16"/>
                <w:szCs w:val="16"/>
              </w:rPr>
              <w:t>% Youth</w:t>
            </w:r>
          </w:p>
          <w:p w:rsidR="001B6284" w:rsidRPr="00F43EF6" w:rsidRDefault="00F43EF6" w:rsidP="001E06E1">
            <w:pPr>
              <w:autoSpaceDE w:val="0"/>
              <w:autoSpaceDN w:val="0"/>
              <w:adjustRightInd w:val="0"/>
              <w:spacing w:after="0" w:line="240" w:lineRule="auto"/>
              <w:jc w:val="both"/>
              <w:rPr>
                <w:rFonts w:ascii="CIDFont+F4" w:hAnsi="CIDFont+F4" w:cs="CIDFont+F4"/>
                <w:sz w:val="16"/>
                <w:szCs w:val="16"/>
              </w:rPr>
            </w:pPr>
            <w:r w:rsidRPr="00F43EF6">
              <w:rPr>
                <w:rFonts w:ascii="CIDFont+F4" w:hAnsi="CIDFont+F4" w:cs="CIDFont+F4"/>
                <w:sz w:val="16"/>
                <w:szCs w:val="16"/>
              </w:rPr>
              <w:t>42%</w:t>
            </w:r>
            <w:r w:rsidR="001B6284" w:rsidRPr="00F43EF6">
              <w:rPr>
                <w:rFonts w:ascii="CIDFont+F4" w:hAnsi="CIDFont+F4" w:cs="CIDFont+F4"/>
                <w:sz w:val="16"/>
                <w:szCs w:val="16"/>
              </w:rPr>
              <w:t>% Women</w:t>
            </w:r>
          </w:p>
          <w:p w:rsidR="001B6284" w:rsidRPr="00F43EF6" w:rsidRDefault="00F43EF6" w:rsidP="001E06E1">
            <w:pPr>
              <w:spacing w:before="120"/>
              <w:jc w:val="both"/>
              <w:rPr>
                <w:rFonts w:cs="Arial"/>
                <w:sz w:val="16"/>
                <w:szCs w:val="16"/>
                <w:lang w:eastAsia="en-GB"/>
              </w:rPr>
            </w:pPr>
            <w:r w:rsidRPr="00F43EF6">
              <w:rPr>
                <w:rFonts w:ascii="CIDFont+F4" w:hAnsi="CIDFont+F4" w:cs="CIDFont+F4"/>
                <w:sz w:val="16"/>
                <w:szCs w:val="16"/>
              </w:rPr>
              <w:t>0,98%</w:t>
            </w:r>
            <w:r w:rsidR="001B6284" w:rsidRPr="00F43EF6">
              <w:rPr>
                <w:rFonts w:ascii="CIDFont+F4" w:hAnsi="CIDFont+F4" w:cs="CIDFont+F4"/>
                <w:sz w:val="16"/>
                <w:szCs w:val="16"/>
              </w:rPr>
              <w:t>% persons with disabilities</w:t>
            </w:r>
          </w:p>
        </w:tc>
      </w:tr>
    </w:tbl>
    <w:p w:rsidR="001B6284" w:rsidRPr="0077659B" w:rsidRDefault="001B6284" w:rsidP="001E06E1">
      <w:pPr>
        <w:pStyle w:val="Numbernormal"/>
        <w:ind w:left="207"/>
        <w:jc w:val="both"/>
      </w:pPr>
    </w:p>
    <w:p w:rsidR="007D37B9" w:rsidRPr="0077659B" w:rsidRDefault="0009390C" w:rsidP="001E06E1">
      <w:pPr>
        <w:pStyle w:val="Numbernormal"/>
        <w:numPr>
          <w:ilvl w:val="0"/>
          <w:numId w:val="17"/>
        </w:numPr>
        <w:jc w:val="both"/>
      </w:pPr>
      <w:r w:rsidRPr="0077659B">
        <w:t xml:space="preserve">We </w:t>
      </w:r>
      <w:r w:rsidR="007D37B9" w:rsidRPr="0077659B">
        <w:t xml:space="preserve">draw attention to the matter below. </w:t>
      </w:r>
      <w:r w:rsidRPr="0077659B">
        <w:t>Our</w:t>
      </w:r>
      <w:r w:rsidR="007D37B9" w:rsidRPr="0077659B">
        <w:t xml:space="preserve"> </w:t>
      </w:r>
      <w:proofErr w:type="spellStart"/>
      <w:r w:rsidR="007D37B9" w:rsidRPr="0077659B">
        <w:t>opinionis</w:t>
      </w:r>
      <w:proofErr w:type="spellEnd"/>
      <w:r w:rsidR="007D37B9" w:rsidRPr="0077659B">
        <w:t xml:space="preserve"> not modified in respect of this matter.</w:t>
      </w:r>
    </w:p>
    <w:p w:rsidR="004127C3" w:rsidRPr="0077659B" w:rsidRDefault="004127C3" w:rsidP="001E06E1">
      <w:pPr>
        <w:pStyle w:val="Heading5"/>
        <w:jc w:val="both"/>
      </w:pPr>
      <w:r w:rsidRPr="0077659B">
        <w:t>Achievement of planned targets</w:t>
      </w:r>
    </w:p>
    <w:p w:rsidR="009B436F" w:rsidRPr="0077659B" w:rsidRDefault="004127C3" w:rsidP="001E06E1">
      <w:pPr>
        <w:pStyle w:val="Numbernormal"/>
        <w:numPr>
          <w:ilvl w:val="0"/>
          <w:numId w:val="17"/>
        </w:numPr>
        <w:jc w:val="both"/>
      </w:pPr>
      <w:r w:rsidRPr="0077659B">
        <w:t>Refer to the annual performance report on page(s) x to x for information on the achievement of planned targets for the year</w:t>
      </w:r>
      <w:r w:rsidR="00B527C9" w:rsidRPr="0077659B">
        <w:t xml:space="preserve"> and </w:t>
      </w:r>
      <w:r w:rsidR="00D04D6F">
        <w:t xml:space="preserve">management </w:t>
      </w:r>
      <w:r w:rsidR="00B527C9" w:rsidRPr="0077659B">
        <w:t>explanations provided for the under/overachievement of targets</w:t>
      </w:r>
      <w:r w:rsidR="00DB4670">
        <w:t>.</w:t>
      </w:r>
      <w:r w:rsidRPr="0077659B">
        <w:t xml:space="preserve"> This information should be considered in the context of the qualified of </w:t>
      </w:r>
      <w:r w:rsidR="00651F93" w:rsidRPr="0077659B">
        <w:t>opinions</w:t>
      </w:r>
      <w:r w:rsidRPr="0077659B">
        <w:t xml:space="preserve"> expressed on the reliability of the reported performance infor</w:t>
      </w:r>
      <w:r w:rsidR="001B6284">
        <w:t>mation in paragraph(s) x; x; x</w:t>
      </w:r>
      <w:r w:rsidRPr="0077659B">
        <w:t xml:space="preserve"> of this report</w:t>
      </w:r>
      <w:r w:rsidR="00C22528" w:rsidRPr="0077659B">
        <w:t>.</w:t>
      </w:r>
    </w:p>
    <w:p w:rsidR="007D37B9" w:rsidRPr="0077659B" w:rsidRDefault="007D37B9" w:rsidP="001E06E1">
      <w:pPr>
        <w:pStyle w:val="Heading4"/>
        <w:jc w:val="both"/>
      </w:pPr>
      <w:bookmarkStart w:id="56" w:name="MRResponsibilities"/>
      <w:bookmarkEnd w:id="56"/>
      <w:r w:rsidRPr="0077659B">
        <w:t xml:space="preserve">Responsibilities of </w:t>
      </w:r>
      <w:bookmarkStart w:id="57" w:name="_Toc257816773"/>
      <w:r w:rsidRPr="0077659B">
        <w:t xml:space="preserve">the </w:t>
      </w:r>
      <w:proofErr w:type="spellStart"/>
      <w:r w:rsidRPr="0077659B">
        <w:t>party</w:t>
      </w:r>
      <w:r w:rsidR="00D55037">
        <w:t>Accounting</w:t>
      </w:r>
      <w:proofErr w:type="spellEnd"/>
      <w:r w:rsidR="00D55037">
        <w:t xml:space="preserve"> officer for</w:t>
      </w:r>
      <w:bookmarkEnd w:id="57"/>
      <w:r w:rsidRPr="0077659B">
        <w:t xml:space="preserve"> the reported performance information </w:t>
      </w:r>
    </w:p>
    <w:p w:rsidR="007D37B9" w:rsidRPr="0077659B" w:rsidRDefault="007D37B9" w:rsidP="001E06E1">
      <w:pPr>
        <w:pStyle w:val="Numbernormal"/>
        <w:numPr>
          <w:ilvl w:val="0"/>
          <w:numId w:val="17"/>
        </w:numPr>
        <w:ind w:left="567"/>
        <w:jc w:val="both"/>
      </w:pPr>
      <w:proofErr w:type="gramStart"/>
      <w:r w:rsidRPr="0077659B">
        <w:t xml:space="preserve">The accounting officer is responsible for the preparation of the annual performance report in accordance with the prescribed performance management and reporting framework, as set out in </w:t>
      </w:r>
      <w:r w:rsidR="00453D1F" w:rsidRPr="0077659B">
        <w:t>a</w:t>
      </w:r>
      <w:r w:rsidR="00DB2251" w:rsidRPr="0077659B">
        <w:t>nnexure D</w:t>
      </w:r>
      <w:r w:rsidR="003D7E72" w:rsidRPr="0077659B">
        <w:t xml:space="preserve"> </w:t>
      </w:r>
      <w:r w:rsidR="00453D1F" w:rsidRPr="0077659B">
        <w:t xml:space="preserve">to </w:t>
      </w:r>
      <w:r w:rsidR="003D7E72" w:rsidRPr="0077659B">
        <w:t>this report</w:t>
      </w:r>
      <w:r w:rsidR="00F76280">
        <w:t>,</w:t>
      </w:r>
      <w:r w:rsidR="003D7E72" w:rsidRPr="0077659B">
        <w:t xml:space="preserve"> </w:t>
      </w:r>
      <w:r w:rsidRPr="0077659B">
        <w:t>and for such internal control as the accounting officer</w:t>
      </w:r>
      <w:r w:rsidR="007F4B70" w:rsidRPr="0077659B">
        <w:rPr>
          <w:rStyle w:val="Hyperlink"/>
          <w:b/>
          <w:vertAlign w:val="superscript"/>
        </w:rPr>
        <w:t xml:space="preserve"> </w:t>
      </w:r>
      <w:r w:rsidRPr="0077659B">
        <w:t>determines is necessary to enable the preparation of performance information that is free from material misstatement in terms of its usefulness and reliability.</w:t>
      </w:r>
      <w:proofErr w:type="gramEnd"/>
    </w:p>
    <w:p w:rsidR="007D37B9" w:rsidRPr="0077659B" w:rsidRDefault="007D37B9" w:rsidP="001E06E1">
      <w:pPr>
        <w:pStyle w:val="Heading4"/>
        <w:jc w:val="both"/>
      </w:pPr>
      <w:bookmarkStart w:id="58" w:name="X6"/>
      <w:bookmarkStart w:id="59" w:name="MRAGResponsibilities"/>
      <w:bookmarkStart w:id="60" w:name="_Toc257816774"/>
      <w:bookmarkEnd w:id="58"/>
      <w:bookmarkEnd w:id="59"/>
      <w:r w:rsidRPr="0077659B">
        <w:t>Auditor-general’s responsibilities for the reasonable assurance engagement on the reported performance information</w:t>
      </w:r>
      <w:bookmarkStart w:id="61" w:name="Back29"/>
      <w:bookmarkEnd w:id="60"/>
      <w:bookmarkEnd w:id="61"/>
      <w:r w:rsidRPr="0077659B">
        <w:t xml:space="preserve"> </w:t>
      </w:r>
    </w:p>
    <w:p w:rsidR="007D37B9" w:rsidRPr="0077659B" w:rsidRDefault="0009390C" w:rsidP="001E06E1">
      <w:pPr>
        <w:pStyle w:val="Numbernormal"/>
        <w:numPr>
          <w:ilvl w:val="0"/>
          <w:numId w:val="17"/>
        </w:numPr>
        <w:ind w:left="567"/>
        <w:jc w:val="both"/>
      </w:pPr>
      <w:r w:rsidRPr="0077659B">
        <w:t>Our</w:t>
      </w:r>
      <w:r w:rsidR="007D37B9" w:rsidRPr="0077659B">
        <w:t xml:space="preserve"> objectives are to obtain reasonable assurance about whether the reported performance information for the selected programmes presented in the annual performance report is free from material misstatement</w:t>
      </w:r>
      <w:r w:rsidR="004E41F6">
        <w:t>,</w:t>
      </w:r>
      <w:r w:rsidR="007D37B9" w:rsidRPr="0077659B">
        <w:t xml:space="preserve"> and to issue a</w:t>
      </w:r>
      <w:r w:rsidR="002812BF" w:rsidRPr="0077659B">
        <w:t xml:space="preserve"> management </w:t>
      </w:r>
      <w:r w:rsidR="007D37B9" w:rsidRPr="0077659B">
        <w:t xml:space="preserve">report that includes </w:t>
      </w:r>
      <w:r w:rsidRPr="0077659B">
        <w:t xml:space="preserve">our </w:t>
      </w:r>
      <w:r w:rsidR="007D37B9" w:rsidRPr="0077659B">
        <w:t xml:space="preserve">opinion. Reasonable assurance is a high level of assurance, but is not a 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w:t>
      </w:r>
      <w:proofErr w:type="gramStart"/>
      <w:r w:rsidR="007D37B9" w:rsidRPr="0077659B">
        <w:t>on the basis of</w:t>
      </w:r>
      <w:proofErr w:type="gramEnd"/>
      <w:r w:rsidR="007D37B9" w:rsidRPr="0077659B">
        <w:t xml:space="preserve"> the reported performance information.</w:t>
      </w:r>
    </w:p>
    <w:p w:rsidR="007D37B9" w:rsidRPr="0077659B" w:rsidRDefault="0009390C" w:rsidP="001E06E1">
      <w:pPr>
        <w:pStyle w:val="Numbernormal"/>
        <w:numPr>
          <w:ilvl w:val="0"/>
          <w:numId w:val="17"/>
        </w:numPr>
        <w:ind w:left="567"/>
        <w:jc w:val="both"/>
      </w:pPr>
      <w:r w:rsidRPr="0077659B">
        <w:t>Our</w:t>
      </w:r>
      <w:r w:rsidR="007D37B9" w:rsidRPr="0077659B">
        <w:t xml:space="preserve"> procedures address the </w:t>
      </w:r>
      <w:r w:rsidR="00AB361A" w:rsidRPr="0077659B">
        <w:rPr>
          <w:rFonts w:eastAsia="MS Mincho"/>
          <w:lang w:eastAsia="ja-JP"/>
        </w:rPr>
        <w:t xml:space="preserve">usefulness and reliability of the </w:t>
      </w:r>
      <w:r w:rsidR="007D37B9" w:rsidRPr="0077659B">
        <w:t xml:space="preserve">reported performance information, which </w:t>
      </w:r>
      <w:proofErr w:type="gramStart"/>
      <w:r w:rsidR="007D37B9" w:rsidRPr="0077659B">
        <w:t>must be based</w:t>
      </w:r>
      <w:proofErr w:type="gramEnd"/>
      <w:r w:rsidR="007D37B9" w:rsidRPr="0077659B">
        <w:t xml:space="preserve"> on the approved performance planning documents of the </w:t>
      </w:r>
      <w:r w:rsidR="00D55037">
        <w:t>department</w:t>
      </w:r>
      <w:r w:rsidR="007D37B9" w:rsidRPr="0077659B">
        <w:t xml:space="preserve">. </w:t>
      </w:r>
      <w:r w:rsidRPr="0077659B">
        <w:t xml:space="preserve">We </w:t>
      </w:r>
      <w:r w:rsidR="007D37B9" w:rsidRPr="0077659B">
        <w:t xml:space="preserve">have not evaluated the appropriateness of the performance indicators established and included in the planning documents. </w:t>
      </w:r>
      <w:r w:rsidRPr="0077659B">
        <w:t>Our</w:t>
      </w:r>
      <w:r w:rsidR="007D37B9" w:rsidRPr="0077659B">
        <w:t xml:space="preserve"> procedures </w:t>
      </w:r>
      <w:r w:rsidR="00AB361A" w:rsidRPr="0077659B">
        <w:t xml:space="preserve">do not examine whether the actions taken by the </w:t>
      </w:r>
      <w:r w:rsidR="00D55037">
        <w:t>department</w:t>
      </w:r>
      <w:r w:rsidR="00AB361A" w:rsidRPr="0077659B">
        <w:t xml:space="preserve"> enabled service delivery. </w:t>
      </w:r>
      <w:r w:rsidR="00B63904">
        <w:t xml:space="preserve">Our procedures do not extend to any disclosures </w:t>
      </w:r>
      <w:r w:rsidR="00B63904">
        <w:lastRenderedPageBreak/>
        <w:t>or assertions relating to the extent of achievements in the current year or planned performance strategies and information in respect of future periods that may be included as part of the reported performance information.</w:t>
      </w:r>
      <w:r w:rsidR="007D37B9" w:rsidRPr="0077659B">
        <w:t xml:space="preserve"> Accordingly, </w:t>
      </w:r>
      <w:r w:rsidRPr="0077659B">
        <w:t>our</w:t>
      </w:r>
      <w:r w:rsidR="007D37B9" w:rsidRPr="0077659B">
        <w:t xml:space="preserve"> opinion does not extend to these matters.</w:t>
      </w:r>
      <w:r w:rsidR="007D37B9" w:rsidRPr="0077659B">
        <w:rPr>
          <w:rFonts w:eastAsia="MS Mincho"/>
          <w:lang w:eastAsia="ja-JP"/>
        </w:rPr>
        <w:t xml:space="preserve"> </w:t>
      </w:r>
    </w:p>
    <w:p w:rsidR="00DD1780" w:rsidRPr="00BB6EEC" w:rsidRDefault="007D37B9" w:rsidP="001E06E1">
      <w:pPr>
        <w:pStyle w:val="Numbernormal"/>
        <w:numPr>
          <w:ilvl w:val="0"/>
          <w:numId w:val="17"/>
        </w:numPr>
        <w:ind w:left="567"/>
        <w:jc w:val="both"/>
      </w:pPr>
      <w:bookmarkStart w:id="62" w:name="MRDelete11"/>
      <w:bookmarkStart w:id="63" w:name="E14BBack"/>
      <w:bookmarkEnd w:id="62"/>
      <w:bookmarkEnd w:id="63"/>
      <w:r w:rsidRPr="0077659B">
        <w:t xml:space="preserve">A further description of </w:t>
      </w:r>
      <w:r w:rsidR="0009390C" w:rsidRPr="0077659B">
        <w:t>our</w:t>
      </w:r>
      <w:r w:rsidRPr="0077659B">
        <w:t xml:space="preserve"> responsibilities for the reasonable assurance engagement on reported performance information is inclu</w:t>
      </w:r>
      <w:r w:rsidR="003D7E72" w:rsidRPr="0077659B">
        <w:t xml:space="preserve">ded in </w:t>
      </w:r>
      <w:bookmarkStart w:id="64" w:name="AnnexureEback"/>
      <w:bookmarkEnd w:id="64"/>
      <w:r w:rsidR="000262C0" w:rsidRPr="0077659B">
        <w:t>a</w:t>
      </w:r>
      <w:r w:rsidR="00DB2251" w:rsidRPr="0077659B">
        <w:t>nnexure E</w:t>
      </w:r>
      <w:r w:rsidR="003D7E72" w:rsidRPr="0077659B">
        <w:t xml:space="preserve"> </w:t>
      </w:r>
      <w:r w:rsidR="000262C0" w:rsidRPr="0077659B">
        <w:t>to</w:t>
      </w:r>
      <w:r w:rsidR="003D7E72" w:rsidRPr="0077659B">
        <w:t xml:space="preserve"> this report</w:t>
      </w:r>
      <w:r w:rsidRPr="00BB6EEC">
        <w:t>.</w:t>
      </w:r>
      <w:r w:rsidR="00C71E23" w:rsidRPr="00BB6EEC">
        <w:t xml:space="preserve"> </w:t>
      </w:r>
      <w:bookmarkStart w:id="65" w:name="X7"/>
      <w:bookmarkStart w:id="66" w:name="Back30"/>
      <w:bookmarkStart w:id="67" w:name="MRLInsertprogramme"/>
      <w:bookmarkStart w:id="68" w:name="back17b"/>
      <w:bookmarkStart w:id="69" w:name="Back31"/>
      <w:bookmarkStart w:id="70" w:name="X8"/>
      <w:bookmarkStart w:id="71" w:name="MRLConclusion"/>
      <w:bookmarkStart w:id="72" w:name="Back32"/>
      <w:bookmarkStart w:id="73" w:name="ZZ4"/>
      <w:bookmarkStart w:id="74" w:name="E4a"/>
      <w:bookmarkStart w:id="75" w:name="X9"/>
      <w:bookmarkStart w:id="76" w:name="MRLBasis"/>
      <w:bookmarkStart w:id="77" w:name="MRLOthermatter"/>
      <w:bookmarkStart w:id="78" w:name="MRLResponsibilities"/>
      <w:bookmarkStart w:id="79" w:name="X10"/>
      <w:bookmarkStart w:id="80" w:name="MRLAGResponsibilities"/>
      <w:bookmarkStart w:id="81" w:name="NewAOPOSummary"/>
      <w:bookmarkStart w:id="82" w:name="Summary_audit_conclusion"/>
      <w:bookmarkStart w:id="83" w:name="Basis_for_qualified_adverse_disclaimer"/>
      <w:bookmarkStart w:id="84" w:name="AoPO1"/>
      <w:bookmarkStart w:id="85" w:name="AoPO2"/>
      <w:bookmarkStart w:id="86" w:name="Usefulness_of_APR"/>
      <w:bookmarkStart w:id="87" w:name="Presentation_2"/>
      <w:bookmarkStart w:id="88" w:name="AoPO3"/>
      <w:bookmarkStart w:id="89" w:name="Ch5_1"/>
      <w:bookmarkStart w:id="90" w:name="Consistency_3"/>
      <w:bookmarkStart w:id="91" w:name="NewBasis2"/>
      <w:bookmarkStart w:id="92" w:name="Ch5_2"/>
      <w:bookmarkStart w:id="93" w:name="Measurability_1"/>
      <w:bookmarkStart w:id="94" w:name="Ch5_3"/>
      <w:bookmarkStart w:id="95" w:name="Relevance"/>
      <w:bookmarkStart w:id="96" w:name="Ch5_4"/>
      <w:bookmarkStart w:id="97" w:name="AOPO4"/>
      <w:bookmarkStart w:id="98" w:name="Ch5_5"/>
      <w:bookmarkStart w:id="99" w:name="AoPO5"/>
      <w:bookmarkStart w:id="100" w:name="AoPO6"/>
      <w:bookmarkStart w:id="101" w:name="Ch5_6"/>
      <w:bookmarkStart w:id="102" w:name="Reliability"/>
      <w:bookmarkStart w:id="103" w:name="Validity"/>
      <w:bookmarkStart w:id="104" w:name="Accuracy_1"/>
      <w:bookmarkStart w:id="105" w:name="Completeness_2"/>
      <w:bookmarkStart w:id="106" w:name="Reliability1"/>
      <w:bookmarkStart w:id="107" w:name="Ch5_7"/>
      <w:bookmarkStart w:id="108" w:name="Adverse_conclusion_1"/>
      <w:bookmarkStart w:id="109" w:name="AoPO7"/>
      <w:bookmarkStart w:id="110" w:name="Material_adjustments_1"/>
      <w:bookmarkStart w:id="111" w:name="Ch5_8"/>
      <w:bookmarkStart w:id="112" w:name="Ch5_9"/>
      <w:bookmarkStart w:id="113" w:name="back15"/>
      <w:bookmarkStart w:id="114" w:name="_Toc44710659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C22F2B" w:rsidRPr="00BB6EEC" w:rsidRDefault="00BA71FA" w:rsidP="001E06E1">
      <w:pPr>
        <w:pStyle w:val="Heading3"/>
        <w:jc w:val="both"/>
        <w:rPr>
          <w:lang w:val="en-ZA"/>
        </w:rPr>
      </w:pPr>
      <w:bookmarkStart w:id="115" w:name="_Toc77816777"/>
      <w:r w:rsidRPr="00BB6EEC">
        <w:rPr>
          <w:lang w:val="en-ZA"/>
        </w:rPr>
        <w:t xml:space="preserve">AUDIT OF </w:t>
      </w:r>
      <w:r w:rsidR="00C22F2B" w:rsidRPr="00BB6EEC">
        <w:rPr>
          <w:lang w:val="en-ZA"/>
        </w:rPr>
        <w:t>COMPLIANCE WITH LEGISLATION</w:t>
      </w:r>
      <w:bookmarkEnd w:id="115"/>
      <w:r w:rsidR="00C22F2B" w:rsidRPr="00BB6EEC">
        <w:rPr>
          <w:lang w:val="en-ZA"/>
        </w:rPr>
        <w:t xml:space="preserve"> </w:t>
      </w:r>
      <w:bookmarkEnd w:id="114"/>
    </w:p>
    <w:p w:rsidR="00C22F2B" w:rsidRPr="0077659B" w:rsidRDefault="00C22F2B" w:rsidP="001E06E1">
      <w:pPr>
        <w:pStyle w:val="Numbernormal"/>
        <w:numPr>
          <w:ilvl w:val="0"/>
          <w:numId w:val="17"/>
        </w:numPr>
        <w:ind w:left="567"/>
        <w:jc w:val="both"/>
      </w:pPr>
      <w:r w:rsidRPr="0077659B">
        <w:t xml:space="preserve">Included below </w:t>
      </w:r>
      <w:proofErr w:type="gramStart"/>
      <w:r w:rsidRPr="0077659B">
        <w:t>are material findings on compliance with selected specific requirements of applicable legislation, as set out in the general notice issued</w:t>
      </w:r>
      <w:proofErr w:type="gramEnd"/>
      <w:r w:rsidRPr="0077659B">
        <w:t xml:space="preserve"> in terms of the PAA.</w:t>
      </w:r>
    </w:p>
    <w:p w:rsidR="00C22F2B" w:rsidRPr="0077659B" w:rsidRDefault="00D55037" w:rsidP="001E06E1">
      <w:pPr>
        <w:pStyle w:val="Heading4"/>
        <w:jc w:val="both"/>
      </w:pPr>
      <w:r>
        <w:t xml:space="preserve">Expenditure </w:t>
      </w:r>
      <w:proofErr w:type="spellStart"/>
      <w:r>
        <w:t>Managagement</w:t>
      </w:r>
      <w:proofErr w:type="spellEnd"/>
    </w:p>
    <w:p w:rsidR="00D55037" w:rsidRDefault="00D55037" w:rsidP="001E06E1">
      <w:pPr>
        <w:pStyle w:val="Numbernormal"/>
        <w:numPr>
          <w:ilvl w:val="0"/>
          <w:numId w:val="17"/>
        </w:numPr>
        <w:jc w:val="both"/>
      </w:pPr>
      <w:r>
        <w:t>Effective and appropriate steps were not taken to prevent irregular expenditure, as required by section 38(1</w:t>
      </w:r>
      <w:proofErr w:type="gramStart"/>
      <w:r>
        <w:t>)(</w:t>
      </w:r>
      <w:proofErr w:type="gramEnd"/>
      <w:r>
        <w:t xml:space="preserve">c)(ii) of the PFMA and Treasury Regulation 9.1.1. As reported in the basis for qualified of opinion the value as disclosed in note xx of the financial statements does not reflect the full extent of the irregular expenditure incurred. </w:t>
      </w:r>
      <w:proofErr w:type="gramStart"/>
      <w:r>
        <w:t>The majority of the irregular expenditure disclosed in the financial statements was caused by salaries paid to employees that were appointed irregularly</w:t>
      </w:r>
      <w:proofErr w:type="gramEnd"/>
      <w:r>
        <w:t xml:space="preserve">. </w:t>
      </w:r>
    </w:p>
    <w:p w:rsidR="00D55037" w:rsidRDefault="00D55037" w:rsidP="001E06E1">
      <w:pPr>
        <w:pStyle w:val="Numbernormal"/>
        <w:numPr>
          <w:ilvl w:val="0"/>
          <w:numId w:val="17"/>
        </w:numPr>
        <w:jc w:val="both"/>
      </w:pPr>
      <w:r>
        <w:t>Effective internal controls were not in place for approval and processing of payments, as required by treasury regulation 8.1.1.</w:t>
      </w:r>
    </w:p>
    <w:p w:rsidR="00D55037" w:rsidRPr="001C1FF3" w:rsidRDefault="00D55037" w:rsidP="001E06E1">
      <w:pPr>
        <w:pStyle w:val="Numbernormal"/>
        <w:jc w:val="both"/>
        <w:rPr>
          <w:rFonts w:eastAsiaTheme="minorHAnsi"/>
          <w:b/>
          <w:bCs/>
          <w:color w:val="4F81BD"/>
          <w:sz w:val="24"/>
        </w:rPr>
      </w:pPr>
      <w:r w:rsidRPr="001C1FF3">
        <w:rPr>
          <w:rFonts w:eastAsiaTheme="minorHAnsi"/>
          <w:b/>
          <w:bCs/>
          <w:color w:val="4F81BD"/>
          <w:sz w:val="24"/>
        </w:rPr>
        <w:t xml:space="preserve">Annual financial Statement and Annual Report </w:t>
      </w:r>
    </w:p>
    <w:p w:rsidR="00D55037" w:rsidRDefault="00D55037" w:rsidP="001E06E1">
      <w:pPr>
        <w:pStyle w:val="Numbernormal"/>
        <w:numPr>
          <w:ilvl w:val="0"/>
          <w:numId w:val="17"/>
        </w:numPr>
        <w:jc w:val="both"/>
      </w:pPr>
      <w:r>
        <w:t xml:space="preserve">The financial statements submitted for auditing were not prepared in accordance with the prescribed financial reporting framework as required by section 40(1)(a) of the PFMA. </w:t>
      </w:r>
    </w:p>
    <w:p w:rsidR="00D55037" w:rsidRPr="0077659B" w:rsidRDefault="00D55037" w:rsidP="001E06E1">
      <w:pPr>
        <w:pStyle w:val="Numbernormal"/>
        <w:numPr>
          <w:ilvl w:val="0"/>
          <w:numId w:val="17"/>
        </w:numPr>
        <w:jc w:val="both"/>
      </w:pPr>
      <w:r>
        <w:t xml:space="preserve">Material misstatements identified by the auditors in the submitted financial statements </w:t>
      </w:r>
      <w:proofErr w:type="gramStart"/>
      <w:r>
        <w:t>were not adequately corrected</w:t>
      </w:r>
      <w:proofErr w:type="gramEnd"/>
      <w:r>
        <w:t>, which resulted in the financial statements receiving a qualified opinion.</w:t>
      </w:r>
    </w:p>
    <w:p w:rsidR="00A266A2" w:rsidRPr="00BB6EEC" w:rsidRDefault="0043232E" w:rsidP="001E06E1">
      <w:pPr>
        <w:pStyle w:val="Heading3"/>
        <w:jc w:val="both"/>
        <w:rPr>
          <w:lang w:val="en-ZA"/>
        </w:rPr>
      </w:pPr>
      <w:bookmarkStart w:id="116" w:name="_Toc77816778"/>
      <w:r w:rsidRPr="00BB6EEC">
        <w:rPr>
          <w:lang w:val="en-ZA"/>
        </w:rPr>
        <w:t>OTHER INFORMATION</w:t>
      </w:r>
      <w:bookmarkEnd w:id="116"/>
    </w:p>
    <w:p w:rsidR="00A266A2" w:rsidRPr="0077659B" w:rsidRDefault="00904D91" w:rsidP="001E06E1">
      <w:pPr>
        <w:pStyle w:val="Numbernormal"/>
        <w:numPr>
          <w:ilvl w:val="0"/>
          <w:numId w:val="17"/>
        </w:numPr>
        <w:ind w:left="567"/>
        <w:jc w:val="both"/>
      </w:pPr>
      <w:r w:rsidRPr="0077659B">
        <w:t xml:space="preserve">The accounting </w:t>
      </w:r>
      <w:r w:rsidR="00A266A2" w:rsidRPr="0077659B">
        <w:t>officer is responsible for the other information. The other information comprises the information included in the annual report</w:t>
      </w:r>
      <w:bookmarkStart w:id="117" w:name="Companies_Act"/>
      <w:bookmarkEnd w:id="117"/>
      <w:r w:rsidR="00A266A2" w:rsidRPr="0077659B">
        <w:t xml:space="preserve">. The other information does not include the  financial statements, the auditor’s report and those selected programmes presented in the annual performance report that have been specifically reported on in the auditor’s report. </w:t>
      </w:r>
    </w:p>
    <w:p w:rsidR="00A266A2" w:rsidRPr="0077659B" w:rsidRDefault="000809AC" w:rsidP="001E06E1">
      <w:pPr>
        <w:pStyle w:val="Numbernormal"/>
        <w:numPr>
          <w:ilvl w:val="0"/>
          <w:numId w:val="17"/>
        </w:numPr>
        <w:ind w:left="567"/>
        <w:jc w:val="both"/>
      </w:pPr>
      <w:r w:rsidRPr="0077659B">
        <w:t>Our</w:t>
      </w:r>
      <w:r w:rsidR="00A266A2" w:rsidRPr="0077659B">
        <w:t xml:space="preserve"> opinion on the financial statements and findings on the reported performance </w:t>
      </w:r>
      <w:proofErr w:type="spellStart"/>
      <w:r w:rsidR="00A266A2" w:rsidRPr="0077659B">
        <w:t>informationand</w:t>
      </w:r>
      <w:proofErr w:type="spellEnd"/>
      <w:r w:rsidR="00A266A2" w:rsidRPr="0077659B">
        <w:t xml:space="preserve"> compliance with legislation do not cover the other information and </w:t>
      </w:r>
      <w:r w:rsidR="00934A8F" w:rsidRPr="0077659B">
        <w:t>we</w:t>
      </w:r>
      <w:r w:rsidR="007045E3" w:rsidRPr="0077659B">
        <w:t xml:space="preserve"> </w:t>
      </w:r>
      <w:r w:rsidR="00A266A2" w:rsidRPr="0077659B">
        <w:t>do not express an audit opinion or any form of assurance conclusion thereon.</w:t>
      </w:r>
    </w:p>
    <w:p w:rsidR="00A266A2" w:rsidRPr="0077659B" w:rsidRDefault="00A266A2" w:rsidP="001E06E1">
      <w:pPr>
        <w:pStyle w:val="Numbernormal"/>
        <w:numPr>
          <w:ilvl w:val="0"/>
          <w:numId w:val="17"/>
        </w:numPr>
        <w:ind w:left="567"/>
        <w:jc w:val="both"/>
      </w:pPr>
      <w:r w:rsidRPr="0077659B">
        <w:t xml:space="preserve">In connection with </w:t>
      </w:r>
      <w:r w:rsidR="00934A8F" w:rsidRPr="0077659B">
        <w:t xml:space="preserve">our </w:t>
      </w:r>
      <w:r w:rsidRPr="0077659B">
        <w:t xml:space="preserve">audit, </w:t>
      </w:r>
      <w:r w:rsidR="00934A8F" w:rsidRPr="0077659B">
        <w:t xml:space="preserve">our </w:t>
      </w:r>
      <w:r w:rsidRPr="0077659B">
        <w:t>responsibility is to read the other information and, in doing so, consider whether the other information is materially inconsistent with the  financial statements and the selected programmes presented in the annual performance report</w:t>
      </w:r>
      <w:r w:rsidR="00325162" w:rsidRPr="0077659B">
        <w:t>,</w:t>
      </w:r>
      <w:r w:rsidRPr="0077659B">
        <w:t xml:space="preserve"> or </w:t>
      </w:r>
      <w:r w:rsidR="00934A8F" w:rsidRPr="0077659B">
        <w:t xml:space="preserve">our </w:t>
      </w:r>
      <w:r w:rsidRPr="0077659B">
        <w:t xml:space="preserve">knowledge obtained </w:t>
      </w:r>
      <w:r w:rsidR="00325162" w:rsidRPr="0077659B">
        <w:t xml:space="preserve">during </w:t>
      </w:r>
      <w:r w:rsidRPr="0077659B">
        <w:t xml:space="preserve">the audit or otherwise appears to be materially misstated. </w:t>
      </w:r>
      <w:bookmarkStart w:id="118" w:name="Other_information"/>
      <w:bookmarkEnd w:id="118"/>
    </w:p>
    <w:p w:rsidR="00A266A2" w:rsidRPr="001C1FF3" w:rsidRDefault="001603BD" w:rsidP="001E06E1">
      <w:pPr>
        <w:pStyle w:val="Numbernormal"/>
        <w:numPr>
          <w:ilvl w:val="0"/>
          <w:numId w:val="17"/>
        </w:numPr>
        <w:ind w:left="567"/>
        <w:jc w:val="both"/>
      </w:pPr>
      <w:bookmarkStart w:id="119" w:name="OI1"/>
      <w:bookmarkEnd w:id="119"/>
      <w:r w:rsidRPr="0077659B">
        <w:t>The following paragraphs will be included in the auditor’s report to highlight to the users whether any inconsistencies in the other information exist</w:t>
      </w:r>
      <w:r w:rsidR="00325162" w:rsidRPr="0077659B">
        <w:t>:</w:t>
      </w:r>
    </w:p>
    <w:p w:rsidR="00D55037" w:rsidRPr="0077659B" w:rsidRDefault="00D55037" w:rsidP="001E06E1">
      <w:pPr>
        <w:pStyle w:val="Numbernormal"/>
        <w:numPr>
          <w:ilvl w:val="0"/>
          <w:numId w:val="17"/>
        </w:numPr>
        <w:ind w:left="567"/>
        <w:jc w:val="both"/>
      </w:pPr>
      <w:r w:rsidRPr="00D55037">
        <w:t xml:space="preserve">I did not receive the other information prior to the date of this auditor’s report. When I do receive and read this information, if I conclude that there is a material misstatement therein, I am required to communicate the matter to those charged with governance and request that the </w:t>
      </w:r>
      <w:r w:rsidRPr="00D55037">
        <w:lastRenderedPageBreak/>
        <w:t xml:space="preserve">other information </w:t>
      </w:r>
      <w:proofErr w:type="gramStart"/>
      <w:r w:rsidRPr="00D55037">
        <w:t>be corrected</w:t>
      </w:r>
      <w:proofErr w:type="gramEnd"/>
      <w:r w:rsidRPr="00D55037">
        <w:t xml:space="preserve">. If the other information </w:t>
      </w:r>
      <w:proofErr w:type="gramStart"/>
      <w:r w:rsidRPr="00D55037">
        <w:t>is not corrected</w:t>
      </w:r>
      <w:proofErr w:type="gramEnd"/>
      <w:r w:rsidRPr="00D55037">
        <w:t>, I may have to retract this auditor’s report and re-issue an amended report as appropriate. However, if it is corrected this will not be necessary.</w:t>
      </w:r>
    </w:p>
    <w:p w:rsidR="00C22F2B" w:rsidRPr="00BB6EEC" w:rsidRDefault="00C22F2B" w:rsidP="001E06E1">
      <w:pPr>
        <w:pStyle w:val="Heading3"/>
        <w:jc w:val="both"/>
        <w:rPr>
          <w:lang w:val="en-ZA"/>
        </w:rPr>
      </w:pPr>
      <w:bookmarkStart w:id="120" w:name="_Toc77816779"/>
      <w:bookmarkStart w:id="121" w:name="_Toc447106599"/>
      <w:r w:rsidRPr="00BB6EEC">
        <w:rPr>
          <w:lang w:val="en-ZA"/>
        </w:rPr>
        <w:t>INTERNAL CONTROL</w:t>
      </w:r>
      <w:r w:rsidR="008E1830" w:rsidRPr="00BB6EEC">
        <w:rPr>
          <w:lang w:val="en-ZA"/>
        </w:rPr>
        <w:t>S</w:t>
      </w:r>
      <w:bookmarkEnd w:id="120"/>
      <w:r w:rsidRPr="00BB6EEC">
        <w:rPr>
          <w:lang w:val="en-ZA"/>
        </w:rPr>
        <w:t xml:space="preserve"> </w:t>
      </w:r>
      <w:bookmarkEnd w:id="121"/>
    </w:p>
    <w:p w:rsidR="00C22F2B" w:rsidRPr="0077659B" w:rsidRDefault="00B130D0" w:rsidP="001E06E1">
      <w:pPr>
        <w:pStyle w:val="Numbernormal"/>
        <w:numPr>
          <w:ilvl w:val="0"/>
          <w:numId w:val="17"/>
        </w:numPr>
        <w:jc w:val="both"/>
      </w:pPr>
      <w:bookmarkStart w:id="122" w:name="S2E16"/>
      <w:bookmarkStart w:id="123" w:name="S5E17"/>
      <w:bookmarkStart w:id="124" w:name="Controlfigure"/>
      <w:bookmarkEnd w:id="122"/>
      <w:bookmarkEnd w:id="123"/>
      <w:bookmarkEnd w:id="124"/>
      <w:r w:rsidRPr="0077659B">
        <w:t>T</w:t>
      </w:r>
      <w:r w:rsidR="00631ADF" w:rsidRPr="0077659B">
        <w:t xml:space="preserve">he significant deficiencies in internal control which led to </w:t>
      </w:r>
      <w:r w:rsidR="0072104B" w:rsidRPr="0077659B">
        <w:t>our</w:t>
      </w:r>
      <w:r w:rsidR="00C22F2B" w:rsidRPr="0077659B">
        <w:t xml:space="preserve"> overall</w:t>
      </w:r>
      <w:r w:rsidR="0072104B" w:rsidRPr="0077659B">
        <w:t xml:space="preserve"> assessment of the</w:t>
      </w:r>
      <w:r w:rsidR="00C22F2B" w:rsidRPr="0077659B">
        <w:t xml:space="preserve"> status of the drivers of key controls</w:t>
      </w:r>
      <w:r w:rsidR="00631ADF" w:rsidRPr="0077659B">
        <w:t xml:space="preserve">, </w:t>
      </w:r>
      <w:r w:rsidR="0072104B" w:rsidRPr="0077659B">
        <w:t xml:space="preserve">as included in </w:t>
      </w:r>
      <w:r w:rsidR="00631ADF" w:rsidRPr="0077659B">
        <w:t xml:space="preserve">the figure in </w:t>
      </w:r>
      <w:r w:rsidRPr="0077659B">
        <w:t xml:space="preserve">paragraph x, </w:t>
      </w:r>
      <w:r w:rsidR="000262C0" w:rsidRPr="0077659B">
        <w:t xml:space="preserve">are </w:t>
      </w:r>
      <w:r w:rsidRPr="0077659B">
        <w:t>described below</w:t>
      </w:r>
      <w:r w:rsidR="00C22F2B" w:rsidRPr="0077659B">
        <w:t xml:space="preserve">. </w:t>
      </w:r>
      <w:r w:rsidRPr="0077659B">
        <w:t>The d</w:t>
      </w:r>
      <w:r w:rsidR="005657E9" w:rsidRPr="0077659B">
        <w:t xml:space="preserve">etailed assessment of </w:t>
      </w:r>
      <w:r w:rsidRPr="0077659B">
        <w:t xml:space="preserve">the </w:t>
      </w:r>
      <w:r w:rsidR="005657E9" w:rsidRPr="0077659B">
        <w:t>implement</w:t>
      </w:r>
      <w:r w:rsidRPr="0077659B">
        <w:t xml:space="preserve">ation of </w:t>
      </w:r>
      <w:r w:rsidR="005657E9" w:rsidRPr="0077659B">
        <w:t xml:space="preserve">the drivers of internal control </w:t>
      </w:r>
      <w:r w:rsidRPr="0077659B">
        <w:t xml:space="preserve">in the areas of financial statements, performance reporting and compliance with legislation </w:t>
      </w:r>
      <w:r w:rsidR="006E6EE7" w:rsidRPr="0077659B">
        <w:t>is</w:t>
      </w:r>
      <w:r w:rsidRPr="0077659B">
        <w:t xml:space="preserve"> included </w:t>
      </w:r>
      <w:r w:rsidR="006E6EE7" w:rsidRPr="0077659B">
        <w:t xml:space="preserve">in </w:t>
      </w:r>
      <w:r w:rsidR="000262C0" w:rsidRPr="0077659B">
        <w:t>a</w:t>
      </w:r>
      <w:r w:rsidR="00DB2251" w:rsidRPr="0077659B">
        <w:t>nnexure F</w:t>
      </w:r>
      <w:r w:rsidR="005657E9" w:rsidRPr="0077659B">
        <w:t>.</w:t>
      </w:r>
    </w:p>
    <w:p w:rsidR="001F4789" w:rsidRPr="0077659B" w:rsidRDefault="001F4789" w:rsidP="001E06E1">
      <w:pPr>
        <w:pStyle w:val="Heading4"/>
        <w:jc w:val="both"/>
      </w:pPr>
      <w:bookmarkStart w:id="125" w:name="IC1"/>
      <w:bookmarkEnd w:id="125"/>
      <w:r w:rsidRPr="0077659B">
        <w:t>Leadership</w:t>
      </w:r>
    </w:p>
    <w:p w:rsidR="00FC16A3" w:rsidRPr="0077659B" w:rsidRDefault="00FC16A3" w:rsidP="001E06E1">
      <w:pPr>
        <w:pStyle w:val="Heading5"/>
        <w:jc w:val="both"/>
        <w:rPr>
          <w:rFonts w:eastAsia="MS Mincho"/>
        </w:rPr>
      </w:pPr>
      <w:r w:rsidRPr="0077659B">
        <w:rPr>
          <w:rFonts w:eastAsia="MS Mincho"/>
        </w:rPr>
        <w:t>Effective leadership culture</w:t>
      </w:r>
    </w:p>
    <w:p w:rsidR="00D55037" w:rsidRDefault="00D55037" w:rsidP="001E06E1">
      <w:pPr>
        <w:pStyle w:val="Numbernormal"/>
        <w:numPr>
          <w:ilvl w:val="0"/>
          <w:numId w:val="17"/>
        </w:numPr>
        <w:jc w:val="both"/>
      </w:pPr>
      <w:r w:rsidRPr="00D55037">
        <w:t xml:space="preserve"> Management established a formal code of conduct that addressed appropriate </w:t>
      </w:r>
      <w:r>
        <w:t xml:space="preserve">ethical and moral </w:t>
      </w:r>
      <w:proofErr w:type="gramStart"/>
      <w:r>
        <w:t>behaviour,</w:t>
      </w:r>
      <w:proofErr w:type="gramEnd"/>
      <w:r>
        <w:t xml:space="preserve"> however,</w:t>
      </w:r>
      <w:r w:rsidRPr="00D55037">
        <w:t xml:space="preserve"> </w:t>
      </w:r>
      <w:r>
        <w:t>the official Director-General is currently on suspension and undergoing disciplinary processes. More instances of non-compliances that resulted in material irregularities are being investigated, as indicated under the </w:t>
      </w:r>
      <w:proofErr w:type="gramStart"/>
      <w:r>
        <w:rPr>
          <w:rStyle w:val="Emphasis"/>
          <w:color w:val="0E101A"/>
        </w:rPr>
        <w:t>Other</w:t>
      </w:r>
      <w:proofErr w:type="gramEnd"/>
      <w:r>
        <w:rPr>
          <w:rStyle w:val="Emphasis"/>
          <w:color w:val="0E101A"/>
        </w:rPr>
        <w:t xml:space="preserve"> reports</w:t>
      </w:r>
      <w:r>
        <w:t> section of this report.</w:t>
      </w:r>
    </w:p>
    <w:p w:rsidR="00846AA6" w:rsidRPr="00824CF7" w:rsidRDefault="00846AA6" w:rsidP="001E06E1">
      <w:pPr>
        <w:pStyle w:val="Numbernormal"/>
        <w:numPr>
          <w:ilvl w:val="0"/>
          <w:numId w:val="17"/>
        </w:numPr>
        <w:jc w:val="both"/>
      </w:pPr>
      <w:r w:rsidRPr="00824CF7">
        <w:t xml:space="preserve">The acting Director-General did not implement all the appropriate actions (investigate, identify responsible officials and implement disciplinary processes against the officials as well recover the financial loss) he committed in response to the material irregularity notification on </w:t>
      </w:r>
      <w:r w:rsidRPr="00824CF7">
        <w:rPr>
          <w:b/>
        </w:rPr>
        <w:t>state events</w:t>
      </w:r>
      <w:r w:rsidRPr="00824CF7">
        <w:t xml:space="preserve"> expenditure that exceeded the contract amount. </w:t>
      </w:r>
    </w:p>
    <w:p w:rsidR="00FC16A3" w:rsidRPr="0077659B" w:rsidRDefault="00B02276" w:rsidP="001E06E1">
      <w:pPr>
        <w:pStyle w:val="Heading5"/>
        <w:jc w:val="both"/>
        <w:rPr>
          <w:rFonts w:eastAsia="MS Mincho"/>
        </w:rPr>
      </w:pPr>
      <w:r w:rsidRPr="0077659B">
        <w:rPr>
          <w:rFonts w:eastAsia="MS Mincho"/>
        </w:rPr>
        <w:t>Oversight responsibility</w:t>
      </w:r>
    </w:p>
    <w:p w:rsidR="00D55037" w:rsidRDefault="00D55037" w:rsidP="001E06E1">
      <w:pPr>
        <w:pStyle w:val="Numbernormal"/>
        <w:numPr>
          <w:ilvl w:val="0"/>
          <w:numId w:val="17"/>
        </w:numPr>
        <w:jc w:val="both"/>
      </w:pPr>
      <w:r w:rsidRPr="00D55037">
        <w:t>The department did not have sufficient monitoring controls to ensure the proper implementation of the overall process of reporting based on the lack of improvement on the outcome</w:t>
      </w:r>
      <w:r w:rsidR="00846AA6">
        <w:t>s</w:t>
      </w:r>
      <w:r w:rsidRPr="00D55037">
        <w:t xml:space="preserve"> of the audit of predetermined objectives.</w:t>
      </w:r>
    </w:p>
    <w:p w:rsidR="00846AA6" w:rsidRPr="00F43EF6" w:rsidRDefault="00F43EF6" w:rsidP="001E06E1">
      <w:pPr>
        <w:pStyle w:val="Default"/>
        <w:numPr>
          <w:ilvl w:val="0"/>
          <w:numId w:val="17"/>
        </w:numPr>
        <w:jc w:val="both"/>
        <w:rPr>
          <w:rFonts w:ascii="Arial" w:eastAsia="Calibri" w:hAnsi="Arial" w:cs="Arial"/>
          <w:color w:val="auto"/>
          <w:sz w:val="22"/>
          <w:szCs w:val="22"/>
          <w:lang w:val="en-ZA"/>
        </w:rPr>
      </w:pPr>
      <w:r w:rsidRPr="00F43EF6">
        <w:rPr>
          <w:rFonts w:ascii="Arial" w:eastAsia="Calibri" w:hAnsi="Arial" w:cs="Arial"/>
          <w:color w:val="auto"/>
          <w:sz w:val="22"/>
          <w:szCs w:val="22"/>
          <w:lang w:val="en-ZA"/>
        </w:rPr>
        <w:t xml:space="preserve">The department developed a plan to address internal and external EPWP audit findings, however, some of the findings identified emanate from the projects implemented by the department and its implementing agency Independent Development Trust, the appropriate level of management did not monitor adherence to the plan in a timely manner to address the issues reported in the prior year audit. The review processes to ensure credibility of the reported achievements in annual performance report did not identify issues of material misstatement. </w:t>
      </w:r>
    </w:p>
    <w:p w:rsidR="00D55037" w:rsidRDefault="00D55037" w:rsidP="001E06E1">
      <w:pPr>
        <w:pStyle w:val="Numbernormal"/>
        <w:numPr>
          <w:ilvl w:val="0"/>
          <w:numId w:val="17"/>
        </w:numPr>
        <w:jc w:val="both"/>
      </w:pPr>
      <w:r w:rsidRPr="001C1FF3">
        <w:t xml:space="preserve">The suspension of the Director-General left an instability in the leadership of the department with the following senior management positions either being vacant or filled by acting incumbents as at 31 March 2021:- </w:t>
      </w:r>
    </w:p>
    <w:p w:rsidR="00D55037" w:rsidRPr="00846AA6" w:rsidRDefault="00D55037" w:rsidP="001E06E1">
      <w:pPr>
        <w:spacing w:after="0"/>
        <w:jc w:val="both"/>
        <w:rPr>
          <w:rFonts w:eastAsia="Calibri" w:cs="Arial"/>
        </w:rPr>
      </w:pPr>
    </w:p>
    <w:p w:rsidR="00D55037" w:rsidRPr="001C1FF3" w:rsidRDefault="00D55037" w:rsidP="001E06E1">
      <w:pPr>
        <w:pStyle w:val="ListParagraph"/>
        <w:numPr>
          <w:ilvl w:val="0"/>
          <w:numId w:val="20"/>
        </w:numPr>
        <w:spacing w:after="30"/>
        <w:ind w:left="513"/>
        <w:jc w:val="both"/>
        <w:rPr>
          <w:rFonts w:ascii="Arial" w:hAnsi="Arial" w:cs="Arial"/>
          <w:color w:val="000000"/>
        </w:rPr>
      </w:pPr>
      <w:r w:rsidRPr="001C1FF3">
        <w:rPr>
          <w:rFonts w:ascii="Arial" w:hAnsi="Arial" w:cs="Arial"/>
          <w:color w:val="000000"/>
        </w:rPr>
        <w:t xml:space="preserve">DDG: Inter-Governmental Relations (IGR) </w:t>
      </w:r>
    </w:p>
    <w:p w:rsidR="00D55037" w:rsidRPr="001C1FF3" w:rsidRDefault="00D55037" w:rsidP="001E06E1">
      <w:pPr>
        <w:pStyle w:val="ListParagraph"/>
        <w:numPr>
          <w:ilvl w:val="0"/>
          <w:numId w:val="20"/>
        </w:numPr>
        <w:spacing w:after="30"/>
        <w:ind w:left="513"/>
        <w:jc w:val="both"/>
        <w:rPr>
          <w:rFonts w:ascii="Arial" w:hAnsi="Arial" w:cs="Arial"/>
          <w:color w:val="000000"/>
        </w:rPr>
      </w:pPr>
      <w:r w:rsidRPr="001C1FF3">
        <w:rPr>
          <w:rFonts w:ascii="Arial" w:hAnsi="Arial" w:cs="Arial"/>
          <w:color w:val="000000"/>
        </w:rPr>
        <w:t xml:space="preserve">DDG: Policy, Research, and Regulations </w:t>
      </w:r>
    </w:p>
    <w:p w:rsidR="00D55037" w:rsidRPr="001C1FF3" w:rsidRDefault="00D55037" w:rsidP="001E06E1">
      <w:pPr>
        <w:pStyle w:val="ListParagraph"/>
        <w:numPr>
          <w:ilvl w:val="0"/>
          <w:numId w:val="20"/>
        </w:numPr>
        <w:spacing w:after="30"/>
        <w:ind w:left="513"/>
        <w:jc w:val="both"/>
        <w:rPr>
          <w:rFonts w:ascii="Arial" w:hAnsi="Arial" w:cs="Arial"/>
          <w:color w:val="000000"/>
        </w:rPr>
      </w:pPr>
      <w:r w:rsidRPr="001C1FF3">
        <w:rPr>
          <w:rFonts w:ascii="Arial" w:hAnsi="Arial" w:cs="Arial"/>
          <w:color w:val="000000"/>
        </w:rPr>
        <w:t xml:space="preserve">DDG: Expanded Public Works Programme (EPWP) </w:t>
      </w:r>
    </w:p>
    <w:p w:rsidR="00D55037" w:rsidRPr="001C1FF3" w:rsidRDefault="00D55037" w:rsidP="001E06E1">
      <w:pPr>
        <w:pStyle w:val="ListParagraph"/>
        <w:numPr>
          <w:ilvl w:val="0"/>
          <w:numId w:val="20"/>
        </w:numPr>
        <w:spacing w:after="30"/>
        <w:ind w:left="513"/>
        <w:jc w:val="both"/>
        <w:rPr>
          <w:rFonts w:ascii="Arial" w:hAnsi="Arial" w:cs="Arial"/>
          <w:color w:val="000000"/>
        </w:rPr>
      </w:pPr>
      <w:r w:rsidRPr="001C1FF3">
        <w:rPr>
          <w:rFonts w:ascii="Arial" w:hAnsi="Arial" w:cs="Arial"/>
          <w:color w:val="000000"/>
        </w:rPr>
        <w:t xml:space="preserve">DG position </w:t>
      </w:r>
    </w:p>
    <w:p w:rsidR="00D55037" w:rsidRPr="001C1FF3" w:rsidRDefault="00D55037" w:rsidP="001E06E1">
      <w:pPr>
        <w:pStyle w:val="ListParagraph"/>
        <w:numPr>
          <w:ilvl w:val="0"/>
          <w:numId w:val="20"/>
        </w:numPr>
        <w:spacing w:after="30"/>
        <w:ind w:left="513"/>
        <w:jc w:val="both"/>
        <w:rPr>
          <w:rFonts w:ascii="Arial" w:hAnsi="Arial" w:cs="Arial"/>
          <w:color w:val="000000"/>
        </w:rPr>
      </w:pPr>
      <w:r w:rsidRPr="001C1FF3">
        <w:rPr>
          <w:rFonts w:ascii="Arial" w:hAnsi="Arial" w:cs="Arial"/>
          <w:color w:val="000000"/>
        </w:rPr>
        <w:t xml:space="preserve">DDG: Governance Risk and Compliance Services (GRC) </w:t>
      </w:r>
    </w:p>
    <w:p w:rsidR="00D55037" w:rsidRPr="001F4292" w:rsidRDefault="00D55037" w:rsidP="001E06E1">
      <w:pPr>
        <w:pStyle w:val="ListParagraph"/>
        <w:numPr>
          <w:ilvl w:val="0"/>
          <w:numId w:val="20"/>
        </w:numPr>
        <w:spacing w:after="0"/>
        <w:ind w:left="513"/>
        <w:jc w:val="both"/>
        <w:rPr>
          <w:rFonts w:cs="Arial"/>
          <w:color w:val="000000"/>
        </w:rPr>
      </w:pPr>
      <w:r w:rsidRPr="001C1FF3">
        <w:rPr>
          <w:rFonts w:ascii="Arial" w:hAnsi="Arial" w:cs="Arial"/>
          <w:color w:val="000000"/>
        </w:rPr>
        <w:t>Head of Performance monitoring, evaluation and reporting (PM&amp;E)</w:t>
      </w:r>
      <w:r w:rsidRPr="00D55037">
        <w:rPr>
          <w:rFonts w:cs="Arial"/>
          <w:color w:val="000000"/>
        </w:rPr>
        <w:t xml:space="preserve"> </w:t>
      </w:r>
    </w:p>
    <w:p w:rsidR="00FC16A3" w:rsidRPr="001F4292" w:rsidRDefault="00FC16A3" w:rsidP="001E06E1">
      <w:pPr>
        <w:pStyle w:val="Heading5"/>
        <w:jc w:val="both"/>
        <w:rPr>
          <w:rFonts w:eastAsia="MS Mincho"/>
        </w:rPr>
      </w:pPr>
      <w:r w:rsidRPr="0077659B">
        <w:rPr>
          <w:rFonts w:eastAsia="MS Mincho"/>
        </w:rPr>
        <w:lastRenderedPageBreak/>
        <w:t>Human resource management</w:t>
      </w:r>
      <w:r w:rsidRPr="0077659B">
        <w:t xml:space="preserve"> </w:t>
      </w:r>
    </w:p>
    <w:p w:rsidR="00F43EF6" w:rsidRDefault="00F43EF6" w:rsidP="001E06E1">
      <w:pPr>
        <w:pStyle w:val="Numbernormal"/>
        <w:numPr>
          <w:ilvl w:val="0"/>
          <w:numId w:val="17"/>
        </w:numPr>
        <w:jc w:val="both"/>
        <w:rPr>
          <w:rFonts w:ascii="Calibri" w:hAnsi="Calibri"/>
        </w:rPr>
      </w:pPr>
      <w:r>
        <w:t>The overall vacancy rate at year-end increased from 10.6% in the previous year to 15.6% in the current year.</w:t>
      </w:r>
    </w:p>
    <w:p w:rsidR="00F43EF6" w:rsidRDefault="00F43EF6" w:rsidP="001E06E1">
      <w:pPr>
        <w:pStyle w:val="Numbernormal"/>
        <w:numPr>
          <w:ilvl w:val="0"/>
          <w:numId w:val="17"/>
        </w:numPr>
        <w:jc w:val="both"/>
      </w:pPr>
      <w:r>
        <w:t>The senior management vacancy rate at year-end increased from 24.3% in the previous year to 31.9% in the current year.</w:t>
      </w:r>
    </w:p>
    <w:p w:rsidR="00F43EF6" w:rsidRDefault="00F43EF6" w:rsidP="001E06E1">
      <w:pPr>
        <w:pStyle w:val="Numbernormal"/>
        <w:numPr>
          <w:ilvl w:val="0"/>
          <w:numId w:val="17"/>
        </w:numPr>
        <w:jc w:val="both"/>
      </w:pPr>
      <w:r>
        <w:t>Positions in senior management were vacant for more than 12 months.</w:t>
      </w:r>
    </w:p>
    <w:p w:rsidR="00F43EF6" w:rsidRDefault="00F43EF6" w:rsidP="001E06E1">
      <w:pPr>
        <w:pStyle w:val="Numbernormal"/>
        <w:numPr>
          <w:ilvl w:val="0"/>
          <w:numId w:val="17"/>
        </w:numPr>
        <w:jc w:val="both"/>
      </w:pPr>
      <w:r>
        <w:t>The 12 position had been vacant for more than 12 months (include specific posts that are critical for financial and performance reporting and monitoring compliance with legislation, i.e. key officials as defined in the HR working papers).</w:t>
      </w:r>
    </w:p>
    <w:p w:rsidR="00F43EF6" w:rsidRDefault="00F43EF6" w:rsidP="001E06E1">
      <w:pPr>
        <w:pStyle w:val="ListParagraph"/>
        <w:numPr>
          <w:ilvl w:val="0"/>
          <w:numId w:val="24"/>
        </w:numPr>
        <w:spacing w:after="240"/>
        <w:contextualSpacing/>
        <w:jc w:val="both"/>
      </w:pPr>
      <w:r>
        <w:t xml:space="preserve">Deputy Director : </w:t>
      </w:r>
      <w:proofErr w:type="spellStart"/>
      <w:r>
        <w:t>Fosad</w:t>
      </w:r>
      <w:proofErr w:type="spellEnd"/>
      <w:r>
        <w:t xml:space="preserve"> &amp; Cluster Co-Ordination   </w:t>
      </w:r>
    </w:p>
    <w:p w:rsidR="00F43EF6" w:rsidRDefault="00F43EF6" w:rsidP="001E06E1">
      <w:pPr>
        <w:pStyle w:val="ListParagraph"/>
        <w:numPr>
          <w:ilvl w:val="0"/>
          <w:numId w:val="24"/>
        </w:numPr>
        <w:spacing w:after="240"/>
        <w:contextualSpacing/>
        <w:jc w:val="both"/>
      </w:pPr>
      <w:r>
        <w:t xml:space="preserve">Director General: Deputy=                         </w:t>
      </w:r>
    </w:p>
    <w:p w:rsidR="00F43EF6" w:rsidRDefault="00F43EF6" w:rsidP="001E06E1">
      <w:pPr>
        <w:pStyle w:val="ListParagraph"/>
        <w:numPr>
          <w:ilvl w:val="0"/>
          <w:numId w:val="24"/>
        </w:numPr>
        <w:spacing w:after="240"/>
        <w:contextualSpacing/>
        <w:jc w:val="both"/>
      </w:pPr>
      <w:r>
        <w:t xml:space="preserve">Chief Director: Monitoring &amp; Evaluation </w:t>
      </w:r>
      <w:proofErr w:type="spellStart"/>
      <w:r>
        <w:t>Epwp</w:t>
      </w:r>
      <w:proofErr w:type="spellEnd"/>
      <w:r>
        <w:t xml:space="preserve">      </w:t>
      </w:r>
    </w:p>
    <w:p w:rsidR="00F43EF6" w:rsidRDefault="00F43EF6" w:rsidP="001E06E1">
      <w:pPr>
        <w:pStyle w:val="ListParagraph"/>
        <w:numPr>
          <w:ilvl w:val="0"/>
          <w:numId w:val="24"/>
        </w:numPr>
        <w:spacing w:after="240"/>
        <w:contextualSpacing/>
        <w:jc w:val="both"/>
      </w:pPr>
      <w:proofErr w:type="spellStart"/>
      <w:r>
        <w:t>Director:Epwp</w:t>
      </w:r>
      <w:proofErr w:type="spellEnd"/>
      <w:r>
        <w:t xml:space="preserve"> Data Management                     </w:t>
      </w:r>
    </w:p>
    <w:p w:rsidR="00F43EF6" w:rsidRDefault="00F43EF6" w:rsidP="001E06E1">
      <w:pPr>
        <w:pStyle w:val="ListParagraph"/>
        <w:numPr>
          <w:ilvl w:val="0"/>
          <w:numId w:val="24"/>
        </w:numPr>
        <w:spacing w:after="240"/>
        <w:contextualSpacing/>
        <w:jc w:val="both"/>
      </w:pPr>
      <w:r>
        <w:t xml:space="preserve">Deputy </w:t>
      </w:r>
      <w:proofErr w:type="spellStart"/>
      <w:r>
        <w:t>Director:Technical</w:t>
      </w:r>
      <w:proofErr w:type="spellEnd"/>
      <w:r>
        <w:t xml:space="preserve"> Support &amp; </w:t>
      </w:r>
      <w:proofErr w:type="spellStart"/>
      <w:r>
        <w:t>Managementepwp</w:t>
      </w:r>
      <w:proofErr w:type="spellEnd"/>
    </w:p>
    <w:p w:rsidR="00F43EF6" w:rsidRDefault="00F43EF6" w:rsidP="001E06E1">
      <w:pPr>
        <w:pStyle w:val="ListParagraph"/>
        <w:numPr>
          <w:ilvl w:val="0"/>
          <w:numId w:val="24"/>
        </w:numPr>
        <w:spacing w:after="240"/>
        <w:contextualSpacing/>
        <w:jc w:val="both"/>
      </w:pPr>
      <w:r>
        <w:t xml:space="preserve">Director: Social Development Specialist           </w:t>
      </w:r>
    </w:p>
    <w:p w:rsidR="00F43EF6" w:rsidRDefault="00F43EF6" w:rsidP="001E06E1">
      <w:pPr>
        <w:pStyle w:val="ListParagraph"/>
        <w:numPr>
          <w:ilvl w:val="0"/>
          <w:numId w:val="24"/>
        </w:numPr>
        <w:spacing w:after="240"/>
        <w:contextualSpacing/>
        <w:jc w:val="both"/>
      </w:pPr>
      <w:r>
        <w:t>Director: Environment &amp; Culture Sector (</w:t>
      </w:r>
      <w:proofErr w:type="spellStart"/>
      <w:r>
        <w:t>Epwp</w:t>
      </w:r>
      <w:proofErr w:type="spellEnd"/>
      <w:r>
        <w:t xml:space="preserve">)     </w:t>
      </w:r>
    </w:p>
    <w:p w:rsidR="00F43EF6" w:rsidRDefault="00F43EF6" w:rsidP="001E06E1">
      <w:pPr>
        <w:pStyle w:val="ListParagraph"/>
        <w:numPr>
          <w:ilvl w:val="0"/>
          <w:numId w:val="24"/>
        </w:numPr>
        <w:spacing w:after="240"/>
        <w:contextualSpacing/>
        <w:jc w:val="both"/>
      </w:pPr>
      <w:r>
        <w:t>Deputy Director: Training Coordinator (</w:t>
      </w:r>
      <w:proofErr w:type="spellStart"/>
      <w:r>
        <w:t>Epwp</w:t>
      </w:r>
      <w:proofErr w:type="spellEnd"/>
      <w:r>
        <w:t xml:space="preserve">)      </w:t>
      </w:r>
    </w:p>
    <w:p w:rsidR="00F43EF6" w:rsidRDefault="00F43EF6" w:rsidP="001E06E1">
      <w:pPr>
        <w:pStyle w:val="ListParagraph"/>
        <w:numPr>
          <w:ilvl w:val="0"/>
          <w:numId w:val="24"/>
        </w:numPr>
        <w:spacing w:after="240"/>
        <w:contextualSpacing/>
        <w:jc w:val="both"/>
      </w:pPr>
      <w:r>
        <w:t xml:space="preserve">Deputy </w:t>
      </w:r>
      <w:proofErr w:type="spellStart"/>
      <w:r>
        <w:t>Director:Compliance:Dpw</w:t>
      </w:r>
      <w:proofErr w:type="spellEnd"/>
      <w:r>
        <w:t xml:space="preserve">                    </w:t>
      </w:r>
    </w:p>
    <w:p w:rsidR="00F43EF6" w:rsidRDefault="00F43EF6" w:rsidP="001E06E1">
      <w:pPr>
        <w:pStyle w:val="ListParagraph"/>
        <w:numPr>
          <w:ilvl w:val="0"/>
          <w:numId w:val="24"/>
        </w:numPr>
        <w:spacing w:after="240"/>
        <w:contextualSpacing/>
        <w:jc w:val="both"/>
      </w:pPr>
      <w:r>
        <w:t xml:space="preserve">Chief </w:t>
      </w:r>
      <w:proofErr w:type="spellStart"/>
      <w:r>
        <w:t>Director:Construction</w:t>
      </w:r>
      <w:proofErr w:type="spellEnd"/>
      <w:r>
        <w:t xml:space="preserve"> Sector Regulation     </w:t>
      </w:r>
    </w:p>
    <w:p w:rsidR="00F43EF6" w:rsidRDefault="00F43EF6" w:rsidP="001E06E1">
      <w:pPr>
        <w:pStyle w:val="ListParagraph"/>
        <w:numPr>
          <w:ilvl w:val="0"/>
          <w:numId w:val="24"/>
        </w:numPr>
        <w:spacing w:after="240"/>
        <w:contextualSpacing/>
        <w:jc w:val="both"/>
      </w:pPr>
      <w:r>
        <w:t xml:space="preserve">Director: Property Policy &amp; Legislative Analysis  </w:t>
      </w:r>
    </w:p>
    <w:p w:rsidR="00F43EF6" w:rsidRDefault="00F43EF6" w:rsidP="001E06E1">
      <w:pPr>
        <w:pStyle w:val="ListParagraph"/>
        <w:numPr>
          <w:ilvl w:val="0"/>
          <w:numId w:val="24"/>
        </w:numPr>
        <w:spacing w:after="240"/>
        <w:contextualSpacing/>
        <w:jc w:val="both"/>
      </w:pPr>
      <w:r>
        <w:t xml:space="preserve">Director: Projects And Programme Management       </w:t>
      </w:r>
    </w:p>
    <w:p w:rsidR="00F43EF6" w:rsidRDefault="00F43EF6" w:rsidP="001E06E1">
      <w:pPr>
        <w:pStyle w:val="Numbernormal"/>
        <w:numPr>
          <w:ilvl w:val="0"/>
          <w:numId w:val="17"/>
        </w:numPr>
        <w:jc w:val="both"/>
        <w:rPr>
          <w:i/>
          <w:iCs/>
        </w:rPr>
      </w:pPr>
      <w:r>
        <w:t xml:space="preserve">Vacant positions in senior management </w:t>
      </w:r>
      <w:proofErr w:type="gramStart"/>
      <w:r>
        <w:t>were not advertised</w:t>
      </w:r>
      <w:proofErr w:type="gramEnd"/>
      <w:r>
        <w:t xml:space="preserve"> within six months.</w:t>
      </w:r>
    </w:p>
    <w:p w:rsidR="00FC16A3" w:rsidRPr="0077659B" w:rsidRDefault="00FC16A3" w:rsidP="001E06E1">
      <w:pPr>
        <w:pStyle w:val="Heading5"/>
        <w:jc w:val="both"/>
        <w:rPr>
          <w:rFonts w:eastAsia="MS Mincho"/>
        </w:rPr>
      </w:pPr>
      <w:r w:rsidRPr="0077659B">
        <w:rPr>
          <w:rFonts w:eastAsia="MS Mincho"/>
        </w:rPr>
        <w:t>Action plans to address internal control deficiencies</w:t>
      </w:r>
    </w:p>
    <w:p w:rsidR="00846AA6" w:rsidRDefault="00D55037" w:rsidP="001E06E1">
      <w:pPr>
        <w:pStyle w:val="Numbernormal"/>
        <w:numPr>
          <w:ilvl w:val="0"/>
          <w:numId w:val="17"/>
        </w:numPr>
        <w:jc w:val="both"/>
      </w:pPr>
      <w:r w:rsidRPr="00D55037">
        <w:t>The department developed a plan to address internal and external audit findings, but the appropriate level of management did not monitor adherence to the plan in a timely manner.</w:t>
      </w:r>
      <w:r>
        <w:t xml:space="preserve"> Findings reported on the audit of predetermined objectives are recurring and there is an increase in the issues reported as non- compliance as well as a regression on the material misstatement identified in the audit of financial statements. </w:t>
      </w:r>
    </w:p>
    <w:p w:rsidR="00877FDF" w:rsidRDefault="00877FDF" w:rsidP="001E06E1">
      <w:pPr>
        <w:pStyle w:val="Numbernormal"/>
        <w:numPr>
          <w:ilvl w:val="0"/>
          <w:numId w:val="17"/>
        </w:numPr>
        <w:jc w:val="both"/>
      </w:pPr>
      <w:r>
        <w:t xml:space="preserve">The implementation of recommendations of the state funerals investigation as well as the PSC reports were not fully implement due to numerous reasons i.e. court interdicts by implicated officials of the department as well as  challenges with securing the investigating bodies as witnesses for disciplinary hearings. </w:t>
      </w:r>
    </w:p>
    <w:p w:rsidR="00877FDF" w:rsidRPr="0077659B" w:rsidRDefault="00877FDF" w:rsidP="001E06E1">
      <w:pPr>
        <w:pStyle w:val="Numbernormal"/>
        <w:numPr>
          <w:ilvl w:val="0"/>
          <w:numId w:val="17"/>
        </w:numPr>
        <w:jc w:val="both"/>
      </w:pPr>
      <w:r>
        <w:t xml:space="preserve">The investigation into the matters of DPWI material </w:t>
      </w:r>
      <w:proofErr w:type="spellStart"/>
      <w:r>
        <w:t>irregulariy</w:t>
      </w:r>
      <w:proofErr w:type="spellEnd"/>
      <w:r>
        <w:t xml:space="preserve"> 02 </w:t>
      </w:r>
      <w:proofErr w:type="gramStart"/>
      <w:r>
        <w:t>were not investigated</w:t>
      </w:r>
      <w:proofErr w:type="gramEnd"/>
      <w:r>
        <w:t xml:space="preserve"> as </w:t>
      </w:r>
      <w:proofErr w:type="spellStart"/>
      <w:r>
        <w:t>previousy</w:t>
      </w:r>
      <w:proofErr w:type="spellEnd"/>
      <w:r>
        <w:t xml:space="preserve"> </w:t>
      </w:r>
      <w:proofErr w:type="spellStart"/>
      <w:r>
        <w:t>commited</w:t>
      </w:r>
      <w:proofErr w:type="spellEnd"/>
      <w:r>
        <w:t xml:space="preserve"> in the response to the notification. </w:t>
      </w:r>
    </w:p>
    <w:p w:rsidR="00FC16A3" w:rsidRPr="00F43EF6" w:rsidRDefault="00FC16A3" w:rsidP="001E06E1">
      <w:pPr>
        <w:pStyle w:val="Heading5"/>
        <w:jc w:val="both"/>
        <w:rPr>
          <w:rFonts w:eastAsia="MS Mincho"/>
        </w:rPr>
      </w:pPr>
      <w:r w:rsidRPr="0077659B">
        <w:rPr>
          <w:rFonts w:eastAsia="MS Mincho"/>
        </w:rPr>
        <w:t>Information technology governance framework</w:t>
      </w:r>
    </w:p>
    <w:p w:rsidR="00F43EF6" w:rsidRDefault="00F43EF6" w:rsidP="001E06E1">
      <w:pPr>
        <w:pStyle w:val="ListParagraph"/>
        <w:numPr>
          <w:ilvl w:val="0"/>
          <w:numId w:val="17"/>
        </w:numPr>
        <w:jc w:val="both"/>
        <w:rPr>
          <w:rFonts w:ascii="Arial" w:hAnsi="Arial" w:cs="Arial"/>
          <w:szCs w:val="36"/>
        </w:rPr>
      </w:pPr>
      <w:r w:rsidRPr="000004E4">
        <w:rPr>
          <w:rFonts w:ascii="Arial" w:hAnsi="Arial" w:cs="Arial"/>
          <w:szCs w:val="36"/>
        </w:rPr>
        <w:t>Information technology governance was found to be inadequately designed and implemented</w:t>
      </w:r>
      <w:r w:rsidRPr="003017E1">
        <w:rPr>
          <w:rFonts w:ascii="Arial" w:hAnsi="Arial" w:cs="Arial"/>
          <w:szCs w:val="36"/>
        </w:rPr>
        <w:t xml:space="preserve"> with the following internal control deficiencies to be considered by management:</w:t>
      </w:r>
    </w:p>
    <w:p w:rsidR="00F43EF6" w:rsidRPr="00F43EF6" w:rsidRDefault="00F43EF6" w:rsidP="001E06E1">
      <w:pPr>
        <w:pStyle w:val="ListParagraph"/>
        <w:numPr>
          <w:ilvl w:val="0"/>
          <w:numId w:val="17"/>
        </w:numPr>
        <w:jc w:val="both"/>
        <w:rPr>
          <w:rFonts w:ascii="Arial" w:eastAsiaTheme="minorHAnsi" w:hAnsi="Arial" w:cs="Arial"/>
          <w:lang w:val="en-US"/>
        </w:rPr>
      </w:pPr>
      <w:r w:rsidRPr="00C84FF3">
        <w:rPr>
          <w:rFonts w:ascii="Arial" w:eastAsiaTheme="minorHAnsi" w:hAnsi="Arial" w:cs="Arial"/>
          <w:lang w:val="en-US"/>
        </w:rPr>
        <w:t xml:space="preserve">The ICT structure was recently </w:t>
      </w:r>
      <w:proofErr w:type="gramStart"/>
      <w:r w:rsidRPr="00C84FF3">
        <w:rPr>
          <w:rFonts w:ascii="Arial" w:eastAsiaTheme="minorHAnsi" w:hAnsi="Arial" w:cs="Arial"/>
          <w:lang w:val="en-US"/>
        </w:rPr>
        <w:t>approved,</w:t>
      </w:r>
      <w:proofErr w:type="gramEnd"/>
      <w:r w:rsidRPr="00C84FF3">
        <w:rPr>
          <w:rFonts w:ascii="Arial" w:eastAsiaTheme="minorHAnsi" w:hAnsi="Arial" w:cs="Arial"/>
          <w:lang w:val="en-US"/>
        </w:rPr>
        <w:t xml:space="preserve"> the new Minister requested a re-evaluation of the organisational structure to be align to the new mandate of DPWI. Following the re-evaluation of the organisational structure, ICT has started advertising the key positions. Furthermore, the department did not receive qualifying candidates for positions that </w:t>
      </w:r>
      <w:proofErr w:type="gramStart"/>
      <w:r w:rsidRPr="00C84FF3">
        <w:rPr>
          <w:rFonts w:ascii="Arial" w:eastAsiaTheme="minorHAnsi" w:hAnsi="Arial" w:cs="Arial"/>
          <w:lang w:val="en-US"/>
        </w:rPr>
        <w:t>were advertised</w:t>
      </w:r>
      <w:proofErr w:type="gramEnd"/>
      <w:r w:rsidRPr="00C84FF3">
        <w:rPr>
          <w:rFonts w:ascii="Arial" w:eastAsiaTheme="minorHAnsi" w:hAnsi="Arial" w:cs="Arial"/>
          <w:lang w:val="en-US"/>
        </w:rPr>
        <w:t xml:space="preserve">. As a result, key vacancies within ICT remain a concern as two (2) key ICT vacancies </w:t>
      </w:r>
      <w:proofErr w:type="gramStart"/>
      <w:r w:rsidRPr="00C84FF3">
        <w:rPr>
          <w:rFonts w:ascii="Arial" w:eastAsiaTheme="minorHAnsi" w:hAnsi="Arial" w:cs="Arial"/>
          <w:lang w:val="en-US"/>
        </w:rPr>
        <w:t>were still not filled</w:t>
      </w:r>
      <w:proofErr w:type="gramEnd"/>
      <w:r w:rsidRPr="00C84FF3">
        <w:rPr>
          <w:rFonts w:ascii="Arial" w:eastAsiaTheme="minorHAnsi" w:hAnsi="Arial" w:cs="Arial"/>
          <w:lang w:val="en-US"/>
        </w:rPr>
        <w:t xml:space="preserve"> at </w:t>
      </w:r>
      <w:r w:rsidRPr="00C84FF3">
        <w:rPr>
          <w:rFonts w:ascii="Arial" w:eastAsiaTheme="minorHAnsi" w:hAnsi="Arial" w:cs="Arial"/>
          <w:lang w:val="en-US"/>
        </w:rPr>
        <w:lastRenderedPageBreak/>
        <w:t xml:space="preserve">the end of March 2021. If the ICT function </w:t>
      </w:r>
      <w:proofErr w:type="gramStart"/>
      <w:r w:rsidRPr="00C84FF3">
        <w:rPr>
          <w:rFonts w:ascii="Arial" w:eastAsiaTheme="minorHAnsi" w:hAnsi="Arial" w:cs="Arial"/>
          <w:lang w:val="en-US"/>
        </w:rPr>
        <w:t>is not fully capacitated</w:t>
      </w:r>
      <w:proofErr w:type="gramEnd"/>
      <w:r w:rsidRPr="00C84FF3">
        <w:rPr>
          <w:rFonts w:ascii="Arial" w:eastAsiaTheme="minorHAnsi" w:hAnsi="Arial" w:cs="Arial"/>
          <w:lang w:val="en-US"/>
        </w:rPr>
        <w:t>, some ICT resources may be overloaded with more responsibilities. This may result in lack of ability by other ICT resources to perform critical ICT activities leading to an increase in the number and impact of incidents caused by unavailability of essential skills.</w:t>
      </w:r>
      <w:r>
        <w:rPr>
          <w:rFonts w:ascii="Arial" w:eastAsiaTheme="minorHAnsi" w:hAnsi="Arial" w:cs="Arial"/>
          <w:lang w:val="en-US"/>
        </w:rPr>
        <w:t xml:space="preserve"> </w:t>
      </w:r>
    </w:p>
    <w:p w:rsidR="00F43EF6" w:rsidRPr="00F43EF6" w:rsidRDefault="00F43EF6" w:rsidP="001E06E1">
      <w:pPr>
        <w:pStyle w:val="ListParagraph"/>
        <w:numPr>
          <w:ilvl w:val="0"/>
          <w:numId w:val="17"/>
        </w:numPr>
        <w:jc w:val="both"/>
        <w:rPr>
          <w:rFonts w:ascii="Arial" w:eastAsiaTheme="minorHAnsi" w:hAnsi="Arial" w:cs="Arial"/>
          <w:lang w:val="en-US"/>
        </w:rPr>
      </w:pPr>
      <w:r>
        <w:rPr>
          <w:rFonts w:ascii="Arial" w:eastAsiaTheme="minorHAnsi" w:hAnsi="Arial" w:cs="Arial"/>
          <w:lang w:val="en-US"/>
        </w:rPr>
        <w:t>Management failed to meet key</w:t>
      </w:r>
      <w:r w:rsidRPr="00687846">
        <w:rPr>
          <w:rFonts w:ascii="Arial" w:eastAsiaTheme="minorHAnsi" w:hAnsi="Arial" w:cs="Arial"/>
          <w:lang w:val="en-US"/>
        </w:rPr>
        <w:t xml:space="preserve"> performance indicators (KPIs)</w:t>
      </w:r>
      <w:r>
        <w:rPr>
          <w:rFonts w:ascii="Arial" w:eastAsiaTheme="minorHAnsi" w:hAnsi="Arial" w:cs="Arial"/>
          <w:lang w:val="en-US"/>
        </w:rPr>
        <w:t xml:space="preserve"> as per the </w:t>
      </w:r>
      <w:r w:rsidRPr="00C84FF3">
        <w:rPr>
          <w:rFonts w:ascii="Arial" w:eastAsiaTheme="minorHAnsi" w:hAnsi="Arial" w:cs="Arial"/>
          <w:lang w:val="en-US"/>
        </w:rPr>
        <w:t>Annual Performance Plan (APP)</w:t>
      </w:r>
      <w:r>
        <w:rPr>
          <w:rFonts w:ascii="Arial" w:eastAsiaTheme="minorHAnsi" w:hAnsi="Arial" w:cs="Arial"/>
          <w:lang w:val="en-US"/>
        </w:rPr>
        <w:t xml:space="preserve"> due to t</w:t>
      </w:r>
      <w:r w:rsidRPr="00687846">
        <w:rPr>
          <w:rFonts w:ascii="Arial" w:eastAsiaTheme="minorHAnsi" w:hAnsi="Arial" w:cs="Arial"/>
          <w:lang w:val="en-US"/>
        </w:rPr>
        <w:t>he impact of the covid-19 pandemic. Productivity was slowed down the department was not fully equipped for employees to continue being productive while working from home. SCM personnel work on rotational basis, which means they were not available all the time to assist</w:t>
      </w:r>
      <w:r>
        <w:rPr>
          <w:rFonts w:ascii="Arial" w:eastAsiaTheme="minorHAnsi" w:hAnsi="Arial" w:cs="Arial"/>
          <w:lang w:val="en-US"/>
        </w:rPr>
        <w:t xml:space="preserve"> with finalizing ICT contracts. </w:t>
      </w:r>
    </w:p>
    <w:p w:rsidR="001F4789" w:rsidRPr="0077659B" w:rsidRDefault="001F4789" w:rsidP="001E06E1">
      <w:pPr>
        <w:pStyle w:val="Heading4"/>
        <w:jc w:val="both"/>
      </w:pPr>
      <w:bookmarkStart w:id="126" w:name="_Toc447106600"/>
      <w:r w:rsidRPr="0077659B">
        <w:t xml:space="preserve">Financial and performance management </w:t>
      </w:r>
    </w:p>
    <w:p w:rsidR="00FC16A3" w:rsidRPr="0077659B" w:rsidRDefault="00FC16A3" w:rsidP="001E06E1">
      <w:pPr>
        <w:pStyle w:val="Heading5"/>
        <w:jc w:val="both"/>
        <w:rPr>
          <w:rFonts w:eastAsia="MS Mincho"/>
        </w:rPr>
      </w:pPr>
      <w:r w:rsidRPr="0077659B">
        <w:rPr>
          <w:rFonts w:eastAsia="MS Mincho"/>
        </w:rPr>
        <w:t>Proper record keeping</w:t>
      </w:r>
    </w:p>
    <w:p w:rsidR="00D55037" w:rsidRDefault="00D55037" w:rsidP="001E06E1">
      <w:pPr>
        <w:pStyle w:val="Numbernormal"/>
        <w:numPr>
          <w:ilvl w:val="0"/>
          <w:numId w:val="17"/>
        </w:numPr>
        <w:jc w:val="both"/>
      </w:pPr>
      <w:r w:rsidRPr="00D55037">
        <w:t>The department did not have a proper records management system to maintain information that supported the reported performance in the annual p</w:t>
      </w:r>
      <w:r w:rsidR="00F43EF6">
        <w:t>erformance report. This includes</w:t>
      </w:r>
      <w:r w:rsidRPr="00D55037">
        <w:t xml:space="preserve"> information that related to the collection, collation, verification, storage, and reporting of actual performance information.</w:t>
      </w:r>
    </w:p>
    <w:p w:rsidR="00846AA6" w:rsidRPr="0077659B" w:rsidRDefault="00F43EF6" w:rsidP="001E06E1">
      <w:pPr>
        <w:pStyle w:val="Numbernormal"/>
        <w:numPr>
          <w:ilvl w:val="0"/>
          <w:numId w:val="17"/>
        </w:numPr>
        <w:jc w:val="both"/>
      </w:pPr>
      <w:r w:rsidRPr="00D55037">
        <w:t>The department did not have a proper records management system to maintain information that supported the</w:t>
      </w:r>
      <w:r>
        <w:t>, classes of transactions, balances and disclosures</w:t>
      </w:r>
      <w:r w:rsidRPr="00D55037">
        <w:t xml:space="preserve"> </w:t>
      </w:r>
      <w:r>
        <w:t>in the annual financial statements. This includes</w:t>
      </w:r>
      <w:r w:rsidRPr="00D55037">
        <w:t xml:space="preserve"> information that </w:t>
      </w:r>
      <w:r>
        <w:t xml:space="preserve">related to the presentation of the Irregular, Fruitless and Wasteful expenditure, contingent liabilities as well as </w:t>
      </w:r>
      <w:proofErr w:type="gramStart"/>
      <w:r>
        <w:t>impairment provision disclosure note</w:t>
      </w:r>
      <w:proofErr w:type="gramEnd"/>
      <w:r>
        <w:t xml:space="preserve">, classification of goods and services and limitation in the audit of Receivables. </w:t>
      </w:r>
    </w:p>
    <w:p w:rsidR="00FC16A3" w:rsidRPr="0077659B" w:rsidRDefault="00FC16A3" w:rsidP="001E06E1">
      <w:pPr>
        <w:pStyle w:val="Heading5"/>
        <w:jc w:val="both"/>
        <w:rPr>
          <w:rFonts w:eastAsia="MS Mincho"/>
        </w:rPr>
      </w:pPr>
      <w:r w:rsidRPr="0077659B">
        <w:rPr>
          <w:rFonts w:eastAsia="MS Mincho"/>
        </w:rPr>
        <w:t>Regular, accurate and complete financial and performance reports</w:t>
      </w:r>
    </w:p>
    <w:p w:rsidR="00846AA6" w:rsidRPr="00F43EF6" w:rsidRDefault="00D55037" w:rsidP="001E06E1">
      <w:pPr>
        <w:pStyle w:val="Numbernormal"/>
        <w:numPr>
          <w:ilvl w:val="0"/>
          <w:numId w:val="17"/>
        </w:numPr>
        <w:jc w:val="both"/>
        <w:rPr>
          <w:rFonts w:ascii="CIDFont+F4" w:hAnsi="CIDFont+F4" w:cs="CIDFont+F4"/>
          <w:sz w:val="21"/>
          <w:szCs w:val="21"/>
        </w:rPr>
      </w:pPr>
      <w:r w:rsidRPr="00D55037">
        <w:t xml:space="preserve">As indicated in section XX, the financial statements contained numerous material uncorrected misstatements. </w:t>
      </w:r>
      <w:r>
        <w:rPr>
          <w:rFonts w:ascii="CIDFont+F4" w:hAnsi="CIDFont+F4" w:cs="CIDFont+F4"/>
          <w:sz w:val="21"/>
          <w:szCs w:val="21"/>
        </w:rPr>
        <w:t xml:space="preserve">While the requisite and compulsory in-year financial reports were prepared, these were not accurate and </w:t>
      </w:r>
      <w:proofErr w:type="spellStart"/>
      <w:r>
        <w:rPr>
          <w:rFonts w:ascii="CIDFont+F4" w:hAnsi="CIDFont+F4" w:cs="CIDFont+F4"/>
          <w:sz w:val="21"/>
          <w:szCs w:val="21"/>
        </w:rPr>
        <w:t>complete.</w:t>
      </w:r>
      <w:r w:rsidRPr="00D55037">
        <w:t>This</w:t>
      </w:r>
      <w:proofErr w:type="spellEnd"/>
      <w:r w:rsidRPr="00D55037">
        <w:t xml:space="preserve"> was mainly due to an incorrect understanding</w:t>
      </w:r>
      <w:r w:rsidR="00846AA6">
        <w:t xml:space="preserve"> and interpretation</w:t>
      </w:r>
      <w:r w:rsidRPr="00D55037">
        <w:t xml:space="preserve"> of th</w:t>
      </w:r>
      <w:r>
        <w:t>e f</w:t>
      </w:r>
      <w:r w:rsidR="00F43EF6">
        <w:t xml:space="preserve">inancial reporting framework. The quality of the annual financial statements submitted for auditing regressed in the current compared to 2019-20, whereby there were no material financial audit adjustments </w:t>
      </w:r>
    </w:p>
    <w:p w:rsidR="00F43EF6" w:rsidRPr="00F43EF6" w:rsidRDefault="00F43EF6" w:rsidP="001E06E1">
      <w:pPr>
        <w:pStyle w:val="Numbernormal"/>
        <w:numPr>
          <w:ilvl w:val="0"/>
          <w:numId w:val="17"/>
        </w:numPr>
        <w:jc w:val="both"/>
        <w:rPr>
          <w:rFonts w:ascii="CIDFont+F4" w:hAnsi="CIDFont+F4" w:cs="CIDFont+F4"/>
          <w:sz w:val="21"/>
          <w:szCs w:val="21"/>
        </w:rPr>
      </w:pPr>
      <w:r w:rsidRPr="00D55037">
        <w:t xml:space="preserve">As indicated in section XX, the annual performance report contained numerous material uncorrected misstatements. </w:t>
      </w:r>
      <w:r>
        <w:rPr>
          <w:rFonts w:ascii="CIDFont+F4" w:hAnsi="CIDFont+F4" w:cs="CIDFont+F4"/>
          <w:sz w:val="21"/>
          <w:szCs w:val="21"/>
        </w:rPr>
        <w:t xml:space="preserve">While the requisite and compulsory in-year performance reports were prepared, these were not valid, accurate and </w:t>
      </w:r>
      <w:proofErr w:type="spellStart"/>
      <w:r>
        <w:rPr>
          <w:rFonts w:ascii="CIDFont+F4" w:hAnsi="CIDFont+F4" w:cs="CIDFont+F4"/>
          <w:sz w:val="21"/>
          <w:szCs w:val="21"/>
        </w:rPr>
        <w:t>complete.</w:t>
      </w:r>
      <w:r w:rsidRPr="00D55037">
        <w:t>This</w:t>
      </w:r>
      <w:proofErr w:type="spellEnd"/>
      <w:r w:rsidRPr="00D55037">
        <w:t xml:space="preserve"> was mainly due to </w:t>
      </w:r>
      <w:r>
        <w:t xml:space="preserve">the extent of reliance placed on the public bodies to ensure </w:t>
      </w:r>
      <w:proofErr w:type="gramStart"/>
      <w:r>
        <w:t>valid ,</w:t>
      </w:r>
      <w:proofErr w:type="gramEnd"/>
      <w:r>
        <w:t xml:space="preserve"> accurate and complete performance information reported. There is no improvement in the quality of the annual performance report submitted for auditing.  </w:t>
      </w:r>
    </w:p>
    <w:p w:rsidR="00FC16A3" w:rsidRPr="0077659B" w:rsidRDefault="00FC16A3" w:rsidP="001E06E1">
      <w:pPr>
        <w:pStyle w:val="Heading5"/>
        <w:jc w:val="both"/>
        <w:rPr>
          <w:rFonts w:eastAsia="MS Mincho"/>
        </w:rPr>
      </w:pPr>
      <w:r w:rsidRPr="0077659B">
        <w:rPr>
          <w:rFonts w:eastAsia="MS Mincho"/>
        </w:rPr>
        <w:t>Compliance monitoring</w:t>
      </w:r>
    </w:p>
    <w:p w:rsidR="00D55037" w:rsidRDefault="00D55037" w:rsidP="001E06E1">
      <w:pPr>
        <w:pStyle w:val="Numbernormal"/>
        <w:numPr>
          <w:ilvl w:val="0"/>
          <w:numId w:val="17"/>
        </w:numPr>
        <w:jc w:val="both"/>
        <w:rPr>
          <w:rFonts w:ascii="CIDFont+F4" w:hAnsi="CIDFont+F4" w:cs="CIDFont+F4"/>
          <w:sz w:val="21"/>
          <w:szCs w:val="21"/>
        </w:rPr>
      </w:pPr>
      <w:r w:rsidRPr="001C1FF3">
        <w:t>There</w:t>
      </w:r>
      <w:r>
        <w:rPr>
          <w:rFonts w:ascii="CIDFont+F4" w:hAnsi="CIDFont+F4" w:cs="CIDFont+F4"/>
          <w:sz w:val="21"/>
          <w:szCs w:val="21"/>
        </w:rPr>
        <w:t xml:space="preserve"> is an increased</w:t>
      </w:r>
      <w:r w:rsidR="00846AA6">
        <w:rPr>
          <w:rFonts w:ascii="CIDFont+F4" w:hAnsi="CIDFont+F4" w:cs="CIDFont+F4"/>
          <w:sz w:val="21"/>
          <w:szCs w:val="21"/>
        </w:rPr>
        <w:t xml:space="preserve"> in the</w:t>
      </w:r>
      <w:r>
        <w:rPr>
          <w:rFonts w:ascii="CIDFont+F4" w:hAnsi="CIDFont+F4" w:cs="CIDFont+F4"/>
          <w:sz w:val="21"/>
          <w:szCs w:val="21"/>
        </w:rPr>
        <w:t xml:space="preserve"> number of issues of non-compliance with legislation. Non-compliance with </w:t>
      </w:r>
      <w:r w:rsidRPr="001C1FF3">
        <w:rPr>
          <w:rFonts w:ascii="CIDFont+F4" w:hAnsi="CIDFont+F4" w:cs="CIDFont+F4"/>
          <w:sz w:val="21"/>
          <w:szCs w:val="21"/>
        </w:rPr>
        <w:t xml:space="preserve">legislation </w:t>
      </w:r>
      <w:proofErr w:type="gramStart"/>
      <w:r w:rsidRPr="001C1FF3">
        <w:rPr>
          <w:rFonts w:ascii="CIDFont+F4" w:hAnsi="CIDFont+F4" w:cs="CIDFont+F4"/>
          <w:sz w:val="21"/>
          <w:szCs w:val="21"/>
        </w:rPr>
        <w:t>could have been prevented</w:t>
      </w:r>
      <w:proofErr w:type="gramEnd"/>
      <w:r w:rsidRPr="001C1FF3">
        <w:rPr>
          <w:rFonts w:ascii="CIDFont+F4" w:hAnsi="CIDFont+F4" w:cs="CIDFont+F4"/>
          <w:sz w:val="21"/>
          <w:szCs w:val="21"/>
        </w:rPr>
        <w:t xml:space="preserve"> had compliance been properly reviewed and monitored.</w:t>
      </w:r>
    </w:p>
    <w:p w:rsidR="00846AA6" w:rsidRPr="001C1FF3" w:rsidRDefault="00846AA6" w:rsidP="001E06E1">
      <w:pPr>
        <w:pStyle w:val="Numbernormal"/>
        <w:numPr>
          <w:ilvl w:val="0"/>
          <w:numId w:val="17"/>
        </w:numPr>
        <w:jc w:val="both"/>
        <w:rPr>
          <w:rFonts w:ascii="CIDFont+F4" w:hAnsi="CIDFont+F4" w:cs="CIDFont+F4"/>
          <w:sz w:val="21"/>
          <w:szCs w:val="21"/>
        </w:rPr>
      </w:pPr>
      <w:r>
        <w:t>We commend the department for the improvement noted on the</w:t>
      </w:r>
      <w:r w:rsidR="00F43EF6">
        <w:t xml:space="preserve"> non – compliance issue of</w:t>
      </w:r>
      <w:r>
        <w:t xml:space="preserve"> payments </w:t>
      </w:r>
      <w:r w:rsidR="00F43EF6">
        <w:t xml:space="preserve">not </w:t>
      </w:r>
      <w:r>
        <w:t>made within 30 days</w:t>
      </w:r>
      <w:r w:rsidR="00F43EF6">
        <w:t xml:space="preserve"> that was reported in the prior year</w:t>
      </w:r>
      <w:r>
        <w:t xml:space="preserve"> and </w:t>
      </w:r>
      <w:r w:rsidR="00F43EF6">
        <w:t xml:space="preserve">there </w:t>
      </w:r>
      <w:proofErr w:type="gramStart"/>
      <w:r w:rsidR="00F43EF6">
        <w:t>were also</w:t>
      </w:r>
      <w:proofErr w:type="gramEnd"/>
      <w:r w:rsidR="00F43EF6">
        <w:t xml:space="preserve"> limited to no Supply Chain Management non- compliances identified. </w:t>
      </w:r>
      <w:proofErr w:type="spellStart"/>
      <w:r>
        <w:t>Howevetr</w:t>
      </w:r>
      <w:proofErr w:type="spellEnd"/>
      <w:r>
        <w:t xml:space="preserve"> there is an increase on the number of issues of non-compliance </w:t>
      </w:r>
      <w:proofErr w:type="spellStart"/>
      <w:r>
        <w:t>parag</w:t>
      </w:r>
      <w:r w:rsidR="00F43EF6">
        <w:t>r</w:t>
      </w:r>
      <w:r>
        <w:t>agphs</w:t>
      </w:r>
      <w:proofErr w:type="spellEnd"/>
      <w:r>
        <w:t xml:space="preserve"> reported on the audit report </w:t>
      </w:r>
      <w:r w:rsidR="00F43EF6">
        <w:t xml:space="preserve">.e. </w:t>
      </w:r>
      <w:r>
        <w:t xml:space="preserve"> </w:t>
      </w:r>
      <w:r w:rsidR="00F43EF6">
        <w:t xml:space="preserve">The paragraph on the non- compliance with PFMA on the Annual Financial Statements and Annual Report and recurring issues of Expenditure management on irregular expenditure that was not </w:t>
      </w:r>
      <w:r w:rsidR="00F43EF6">
        <w:lastRenderedPageBreak/>
        <w:t xml:space="preserve">prevented and effective internal controls that were not in place for approval and processing of payments. </w:t>
      </w:r>
    </w:p>
    <w:p w:rsidR="00FC16A3" w:rsidRPr="0077659B" w:rsidRDefault="00FC16A3" w:rsidP="001E06E1">
      <w:pPr>
        <w:pStyle w:val="Heading5"/>
        <w:jc w:val="both"/>
        <w:rPr>
          <w:rFonts w:eastAsia="MS Mincho"/>
        </w:rPr>
      </w:pPr>
      <w:r w:rsidRPr="0077659B">
        <w:rPr>
          <w:rFonts w:eastAsia="MS Mincho"/>
        </w:rPr>
        <w:t>Information technology systems</w:t>
      </w:r>
    </w:p>
    <w:p w:rsidR="00877FDF" w:rsidRDefault="00877FDF" w:rsidP="001E06E1">
      <w:pPr>
        <w:pStyle w:val="Numbernormal"/>
        <w:numPr>
          <w:ilvl w:val="0"/>
          <w:numId w:val="17"/>
        </w:numPr>
        <w:jc w:val="both"/>
        <w:rPr>
          <w:rFonts w:eastAsia="Times New Roman"/>
          <w:szCs w:val="36"/>
        </w:rPr>
      </w:pPr>
      <w:r w:rsidRPr="009F1540">
        <w:rPr>
          <w:rFonts w:eastAsia="Times New Roman"/>
          <w:szCs w:val="36"/>
        </w:rPr>
        <w:t>IT controls pertaining to</w:t>
      </w:r>
      <w:r>
        <w:rPr>
          <w:rFonts w:eastAsia="Times New Roman"/>
          <w:szCs w:val="36"/>
        </w:rPr>
        <w:t xml:space="preserve"> S</w:t>
      </w:r>
      <w:r w:rsidRPr="009F1540">
        <w:rPr>
          <w:rFonts w:eastAsia="Times New Roman"/>
          <w:szCs w:val="36"/>
        </w:rPr>
        <w:t xml:space="preserve">ervice </w:t>
      </w:r>
      <w:r>
        <w:rPr>
          <w:rFonts w:eastAsia="Times New Roman"/>
          <w:szCs w:val="36"/>
        </w:rPr>
        <w:t>C</w:t>
      </w:r>
      <w:r w:rsidRPr="009F1540">
        <w:rPr>
          <w:rFonts w:eastAsia="Times New Roman"/>
          <w:szCs w:val="36"/>
        </w:rPr>
        <w:t>ontinuity</w:t>
      </w:r>
      <w:r>
        <w:rPr>
          <w:rFonts w:eastAsia="Times New Roman"/>
          <w:szCs w:val="36"/>
        </w:rPr>
        <w:t>; Security M</w:t>
      </w:r>
      <w:r w:rsidRPr="009F1540">
        <w:rPr>
          <w:rFonts w:eastAsia="Times New Roman"/>
          <w:szCs w:val="36"/>
        </w:rPr>
        <w:t>anagement</w:t>
      </w:r>
      <w:r>
        <w:rPr>
          <w:rFonts w:eastAsia="Times New Roman"/>
          <w:szCs w:val="36"/>
        </w:rPr>
        <w:t>, User Access Management and C</w:t>
      </w:r>
      <w:r w:rsidRPr="009F1540">
        <w:rPr>
          <w:rFonts w:eastAsia="Times New Roman"/>
          <w:szCs w:val="36"/>
        </w:rPr>
        <w:t xml:space="preserve">hange control management </w:t>
      </w:r>
      <w:proofErr w:type="gramStart"/>
      <w:r w:rsidRPr="009F1540">
        <w:rPr>
          <w:rFonts w:eastAsia="Times New Roman"/>
          <w:szCs w:val="36"/>
        </w:rPr>
        <w:t>were not effectively designed and implemented due to the following ke</w:t>
      </w:r>
      <w:r>
        <w:rPr>
          <w:rFonts w:eastAsia="Times New Roman"/>
          <w:szCs w:val="36"/>
        </w:rPr>
        <w:t>y internal control deficiencies</w:t>
      </w:r>
      <w:proofErr w:type="gramEnd"/>
      <w:r>
        <w:rPr>
          <w:rFonts w:eastAsia="Times New Roman"/>
          <w:szCs w:val="36"/>
        </w:rPr>
        <w:t>.</w:t>
      </w:r>
    </w:p>
    <w:p w:rsidR="00877FDF" w:rsidRDefault="00877FDF" w:rsidP="001E06E1">
      <w:pPr>
        <w:pStyle w:val="ListParagraph"/>
        <w:numPr>
          <w:ilvl w:val="0"/>
          <w:numId w:val="25"/>
        </w:numPr>
        <w:autoSpaceDE/>
        <w:autoSpaceDN/>
        <w:adjustRightInd/>
        <w:spacing w:after="200" w:line="276" w:lineRule="auto"/>
        <w:contextualSpacing/>
        <w:jc w:val="both"/>
        <w:rPr>
          <w:rFonts w:ascii="Arial" w:hAnsi="Arial" w:cs="Arial"/>
          <w:szCs w:val="36"/>
        </w:rPr>
      </w:pPr>
      <w:r>
        <w:rPr>
          <w:rFonts w:ascii="Arial" w:hAnsi="Arial" w:cs="Arial"/>
          <w:szCs w:val="36"/>
        </w:rPr>
        <w:t>There was l</w:t>
      </w:r>
      <w:r w:rsidRPr="00687846">
        <w:rPr>
          <w:rFonts w:ascii="Arial" w:hAnsi="Arial" w:cs="Arial"/>
          <w:szCs w:val="36"/>
        </w:rPr>
        <w:t>ack of consequence management for not</w:t>
      </w:r>
      <w:r>
        <w:rPr>
          <w:rFonts w:ascii="Arial" w:hAnsi="Arial" w:cs="Arial"/>
          <w:szCs w:val="36"/>
        </w:rPr>
        <w:t xml:space="preserve"> resolving prior audit findings on IT Service Continuity, as there were not controls around backup management due to the department running out of </w:t>
      </w:r>
      <w:r w:rsidRPr="00687846">
        <w:rPr>
          <w:rFonts w:ascii="Arial" w:hAnsi="Arial" w:cs="Arial"/>
          <w:szCs w:val="36"/>
        </w:rPr>
        <w:t>space on the drive for backups</w:t>
      </w:r>
      <w:r>
        <w:rPr>
          <w:rFonts w:ascii="Arial" w:hAnsi="Arial" w:cs="Arial"/>
          <w:szCs w:val="36"/>
        </w:rPr>
        <w:t xml:space="preserve"> due to the expired backup tool. </w:t>
      </w:r>
    </w:p>
    <w:p w:rsidR="00877FDF" w:rsidRPr="00687846" w:rsidRDefault="00877FDF" w:rsidP="001E06E1">
      <w:pPr>
        <w:pStyle w:val="ListParagraph"/>
        <w:numPr>
          <w:ilvl w:val="0"/>
          <w:numId w:val="25"/>
        </w:numPr>
        <w:autoSpaceDE/>
        <w:autoSpaceDN/>
        <w:adjustRightInd/>
        <w:spacing w:after="200" w:line="276" w:lineRule="auto"/>
        <w:contextualSpacing/>
        <w:jc w:val="both"/>
        <w:rPr>
          <w:rFonts w:ascii="Arial" w:hAnsi="Arial" w:cs="Arial"/>
          <w:szCs w:val="36"/>
        </w:rPr>
      </w:pPr>
      <w:r w:rsidRPr="00687846">
        <w:rPr>
          <w:rFonts w:ascii="Arial" w:hAnsi="Arial" w:cs="Arial"/>
          <w:szCs w:val="36"/>
          <w:lang w:val="en-US"/>
        </w:rPr>
        <w:t xml:space="preserve">The review of administrator activities on AD </w:t>
      </w:r>
      <w:proofErr w:type="gramStart"/>
      <w:r w:rsidRPr="00687846">
        <w:rPr>
          <w:rFonts w:ascii="Arial" w:hAnsi="Arial" w:cs="Arial"/>
          <w:szCs w:val="36"/>
          <w:lang w:val="en-US"/>
        </w:rPr>
        <w:t>was not performed</w:t>
      </w:r>
      <w:proofErr w:type="gramEnd"/>
      <w:r w:rsidRPr="00687846">
        <w:rPr>
          <w:rFonts w:ascii="Arial" w:hAnsi="Arial" w:cs="Arial"/>
          <w:szCs w:val="36"/>
          <w:lang w:val="en-US"/>
        </w:rPr>
        <w:t xml:space="preserve"> due </w:t>
      </w:r>
      <w:r w:rsidRPr="00687846">
        <w:rPr>
          <w:rFonts w:ascii="Arial" w:hAnsi="Arial" w:cs="Arial"/>
          <w:szCs w:val="36"/>
          <w:lang w:val="en-GB"/>
        </w:rPr>
        <w:t>to resource constraints within the ICT function</w:t>
      </w:r>
      <w:r>
        <w:rPr>
          <w:rFonts w:ascii="Arial" w:hAnsi="Arial" w:cs="Arial"/>
          <w:szCs w:val="36"/>
          <w:lang w:val="en-GB"/>
        </w:rPr>
        <w:t xml:space="preserve">. </w:t>
      </w:r>
    </w:p>
    <w:p w:rsidR="00877FDF" w:rsidRDefault="00877FDF" w:rsidP="001E06E1">
      <w:pPr>
        <w:pStyle w:val="ListParagraph"/>
        <w:numPr>
          <w:ilvl w:val="0"/>
          <w:numId w:val="25"/>
        </w:numPr>
        <w:autoSpaceDE/>
        <w:autoSpaceDN/>
        <w:adjustRightInd/>
        <w:spacing w:after="200" w:line="276" w:lineRule="auto"/>
        <w:contextualSpacing/>
        <w:jc w:val="both"/>
        <w:rPr>
          <w:rFonts w:ascii="Arial" w:hAnsi="Arial" w:cs="Arial"/>
          <w:szCs w:val="36"/>
        </w:rPr>
      </w:pPr>
      <w:r w:rsidRPr="0076317B">
        <w:rPr>
          <w:rFonts w:ascii="Arial" w:hAnsi="Arial" w:cs="Arial"/>
          <w:szCs w:val="36"/>
        </w:rPr>
        <w:t xml:space="preserve">Management </w:t>
      </w:r>
      <w:proofErr w:type="gramStart"/>
      <w:r w:rsidRPr="0076317B">
        <w:rPr>
          <w:rFonts w:ascii="Arial" w:hAnsi="Arial" w:cs="Arial"/>
          <w:szCs w:val="36"/>
        </w:rPr>
        <w:t>did not in all instances implement</w:t>
      </w:r>
      <w:proofErr w:type="gramEnd"/>
      <w:r w:rsidRPr="0076317B">
        <w:rPr>
          <w:rFonts w:ascii="Arial" w:hAnsi="Arial" w:cs="Arial"/>
          <w:szCs w:val="36"/>
        </w:rPr>
        <w:t xml:space="preserve"> proper record keeping </w:t>
      </w:r>
      <w:r>
        <w:rPr>
          <w:rFonts w:ascii="Arial" w:hAnsi="Arial" w:cs="Arial"/>
          <w:szCs w:val="36"/>
        </w:rPr>
        <w:t xml:space="preserve">of reviews of user access rights and system administrator’s activities on Reapatala and EPWP systems </w:t>
      </w:r>
      <w:r w:rsidRPr="0076317B">
        <w:rPr>
          <w:rFonts w:ascii="Arial" w:hAnsi="Arial" w:cs="Arial"/>
          <w:szCs w:val="36"/>
        </w:rPr>
        <w:t>in a timely manner to ensure that complete, relevant and accurate information is accessible and available to support Information Systems Audit reporting.</w:t>
      </w:r>
    </w:p>
    <w:p w:rsidR="00877FDF" w:rsidRDefault="00877FDF" w:rsidP="001E06E1">
      <w:pPr>
        <w:pStyle w:val="ListParagraph"/>
        <w:numPr>
          <w:ilvl w:val="0"/>
          <w:numId w:val="25"/>
        </w:numPr>
        <w:autoSpaceDE/>
        <w:autoSpaceDN/>
        <w:adjustRightInd/>
        <w:spacing w:after="200" w:line="276" w:lineRule="auto"/>
        <w:contextualSpacing/>
        <w:jc w:val="both"/>
        <w:rPr>
          <w:rFonts w:ascii="Arial" w:hAnsi="Arial" w:cs="Arial"/>
          <w:szCs w:val="36"/>
        </w:rPr>
      </w:pPr>
      <w:r>
        <w:rPr>
          <w:rFonts w:ascii="Arial" w:hAnsi="Arial" w:cs="Arial"/>
          <w:szCs w:val="36"/>
        </w:rPr>
        <w:t xml:space="preserve">Noncompliance to the approved </w:t>
      </w:r>
      <w:r w:rsidRPr="0076317B">
        <w:rPr>
          <w:rFonts w:ascii="Arial" w:hAnsi="Arial" w:cs="Arial"/>
          <w:szCs w:val="36"/>
        </w:rPr>
        <w:t>procedur</w:t>
      </w:r>
      <w:r>
        <w:rPr>
          <w:rFonts w:ascii="Arial" w:hAnsi="Arial" w:cs="Arial"/>
          <w:szCs w:val="36"/>
        </w:rPr>
        <w:t xml:space="preserve">es as the </w:t>
      </w:r>
      <w:r w:rsidRPr="0076317B">
        <w:rPr>
          <w:rFonts w:ascii="Arial" w:hAnsi="Arial" w:cs="Arial"/>
          <w:szCs w:val="36"/>
        </w:rPr>
        <w:t>of user access management controls around PERSAL</w:t>
      </w:r>
      <w:r>
        <w:rPr>
          <w:rFonts w:ascii="Arial" w:hAnsi="Arial" w:cs="Arial"/>
          <w:szCs w:val="36"/>
        </w:rPr>
        <w:t xml:space="preserve"> were inadequately implemented. </w:t>
      </w:r>
    </w:p>
    <w:p w:rsidR="00877FDF" w:rsidRPr="0076317B" w:rsidRDefault="00877FDF" w:rsidP="001E06E1">
      <w:pPr>
        <w:pStyle w:val="ListParagraph"/>
        <w:numPr>
          <w:ilvl w:val="0"/>
          <w:numId w:val="25"/>
        </w:numPr>
        <w:autoSpaceDE/>
        <w:autoSpaceDN/>
        <w:adjustRightInd/>
        <w:spacing w:after="200" w:line="276" w:lineRule="auto"/>
        <w:contextualSpacing/>
        <w:jc w:val="both"/>
        <w:rPr>
          <w:rFonts w:ascii="Arial" w:hAnsi="Arial" w:cs="Arial"/>
          <w:lang w:val="en-US"/>
        </w:rPr>
      </w:pPr>
      <w:r w:rsidRPr="0076317B">
        <w:rPr>
          <w:rFonts w:ascii="Arial" w:hAnsi="Arial" w:cs="Arial"/>
          <w:szCs w:val="36"/>
        </w:rPr>
        <w:t>Failure by IT management in ensuring that application systems in use can log and track cha</w:t>
      </w:r>
      <w:r>
        <w:rPr>
          <w:rFonts w:ascii="Arial" w:hAnsi="Arial" w:cs="Arial"/>
          <w:szCs w:val="36"/>
        </w:rPr>
        <w:t xml:space="preserve">nges that </w:t>
      </w:r>
      <w:proofErr w:type="gramStart"/>
      <w:r>
        <w:rPr>
          <w:rFonts w:ascii="Arial" w:hAnsi="Arial" w:cs="Arial"/>
          <w:szCs w:val="36"/>
        </w:rPr>
        <w:t>have been implemented</w:t>
      </w:r>
      <w:proofErr w:type="gramEnd"/>
      <w:r>
        <w:rPr>
          <w:rFonts w:ascii="Arial" w:hAnsi="Arial" w:cs="Arial"/>
          <w:szCs w:val="36"/>
        </w:rPr>
        <w:t xml:space="preserve"> and lack of </w:t>
      </w:r>
      <w:r w:rsidRPr="0076317B">
        <w:rPr>
          <w:rFonts w:ascii="Arial" w:hAnsi="Arial" w:cs="Arial"/>
          <w:szCs w:val="36"/>
          <w:lang w:val="en-GB"/>
        </w:rPr>
        <w:t xml:space="preserve">consequence management </w:t>
      </w:r>
      <w:r>
        <w:rPr>
          <w:rFonts w:ascii="Arial" w:hAnsi="Arial" w:cs="Arial"/>
          <w:szCs w:val="36"/>
          <w:lang w:val="en-GB"/>
        </w:rPr>
        <w:t xml:space="preserve">to ensure recommendation made by the AG were implemented. </w:t>
      </w:r>
    </w:p>
    <w:p w:rsidR="00877FDF" w:rsidRPr="009F1540" w:rsidRDefault="00877FDF" w:rsidP="001E06E1">
      <w:pPr>
        <w:pStyle w:val="ListParagraph"/>
        <w:numPr>
          <w:ilvl w:val="0"/>
          <w:numId w:val="25"/>
        </w:numPr>
        <w:autoSpaceDE/>
        <w:autoSpaceDN/>
        <w:adjustRightInd/>
        <w:spacing w:after="200" w:line="276" w:lineRule="auto"/>
        <w:contextualSpacing/>
        <w:jc w:val="both"/>
        <w:rPr>
          <w:rFonts w:ascii="Arial" w:hAnsi="Arial" w:cs="Arial"/>
          <w:lang w:val="en-US"/>
        </w:rPr>
      </w:pPr>
      <w:r w:rsidRPr="0076317B">
        <w:rPr>
          <w:rFonts w:ascii="Arial" w:hAnsi="Arial" w:cs="Arial"/>
          <w:lang w:val="en-US"/>
        </w:rPr>
        <w:t>Lack of capacity from a skills and technology perspective within the department to ensure that adequate security control measures are implemented and consistently performed</w:t>
      </w:r>
    </w:p>
    <w:p w:rsidR="00877FDF" w:rsidRPr="001F4292" w:rsidRDefault="00877FDF" w:rsidP="001E06E1">
      <w:pPr>
        <w:pStyle w:val="Numbernormal"/>
        <w:jc w:val="both"/>
        <w:rPr>
          <w:highlight w:val="yellow"/>
        </w:rPr>
      </w:pPr>
    </w:p>
    <w:p w:rsidR="001F4789" w:rsidRPr="0077659B" w:rsidRDefault="001F4789" w:rsidP="001E06E1">
      <w:pPr>
        <w:pStyle w:val="Heading4"/>
        <w:jc w:val="both"/>
      </w:pPr>
      <w:r w:rsidRPr="0077659B">
        <w:t>Governance</w:t>
      </w:r>
    </w:p>
    <w:p w:rsidR="00FC16A3" w:rsidRPr="0077659B" w:rsidRDefault="00FC16A3" w:rsidP="001E06E1">
      <w:pPr>
        <w:pStyle w:val="Heading5"/>
        <w:jc w:val="both"/>
        <w:rPr>
          <w:rFonts w:eastAsia="MS Mincho"/>
        </w:rPr>
      </w:pPr>
      <w:r w:rsidRPr="0077659B">
        <w:rPr>
          <w:rFonts w:eastAsia="MS Mincho"/>
        </w:rPr>
        <w:t>Risk management activities and risk strategy</w:t>
      </w:r>
    </w:p>
    <w:p w:rsidR="00F43EF6" w:rsidRPr="0077659B" w:rsidRDefault="00D55037" w:rsidP="001E06E1">
      <w:pPr>
        <w:pStyle w:val="Numbernormal"/>
        <w:numPr>
          <w:ilvl w:val="0"/>
          <w:numId w:val="17"/>
        </w:numPr>
        <w:jc w:val="both"/>
      </w:pPr>
      <w:r w:rsidRPr="00D55037">
        <w:t xml:space="preserve">The department conducted a risk assessment, as required by the PFMA. However, the investigation into expenditure on state events </w:t>
      </w:r>
      <w:proofErr w:type="gramStart"/>
      <w:r w:rsidRPr="00D55037">
        <w:t>was not conducted</w:t>
      </w:r>
      <w:proofErr w:type="gramEnd"/>
      <w:r w:rsidRPr="00D55037">
        <w:t xml:space="preserve"> to quantify the full extent of the financial loss, identify the responsible parties and initiate the internal disciplinary processes.</w:t>
      </w:r>
    </w:p>
    <w:p w:rsidR="00FC16A3" w:rsidRDefault="00FC16A3" w:rsidP="001E06E1">
      <w:pPr>
        <w:pStyle w:val="Heading5"/>
        <w:jc w:val="both"/>
        <w:rPr>
          <w:rFonts w:eastAsia="MS Mincho"/>
        </w:rPr>
      </w:pPr>
      <w:r w:rsidRPr="0077659B">
        <w:rPr>
          <w:rFonts w:eastAsia="MS Mincho"/>
        </w:rPr>
        <w:t>Internal audit</w:t>
      </w:r>
    </w:p>
    <w:p w:rsidR="001B6284" w:rsidRPr="00E870E1" w:rsidRDefault="001B6284" w:rsidP="001E06E1">
      <w:pPr>
        <w:pStyle w:val="Numbernormal"/>
        <w:numPr>
          <w:ilvl w:val="0"/>
          <w:numId w:val="17"/>
        </w:numPr>
        <w:jc w:val="both"/>
        <w:rPr>
          <w:rFonts w:ascii="CIDFont+F4" w:hAnsi="CIDFont+F4" w:cs="CIDFont+F4"/>
          <w:sz w:val="21"/>
          <w:szCs w:val="21"/>
        </w:rPr>
      </w:pPr>
      <w:proofErr w:type="gramStart"/>
      <w:r>
        <w:rPr>
          <w:rFonts w:ascii="CIDFont+F4" w:hAnsi="CIDFont+F4" w:cs="CIDFont+F4"/>
          <w:sz w:val="21"/>
          <w:szCs w:val="21"/>
        </w:rPr>
        <w:t xml:space="preserve">The internal audit performed a number of audits throughout the financial period (relating to, </w:t>
      </w:r>
      <w:r>
        <w:rPr>
          <w:rFonts w:ascii="CIDFont+F9" w:hAnsi="CIDFont+F9" w:cs="CIDFont+F9"/>
          <w:sz w:val="21"/>
          <w:szCs w:val="21"/>
        </w:rPr>
        <w:t xml:space="preserve">inter alia, </w:t>
      </w:r>
      <w:r>
        <w:rPr>
          <w:rFonts w:ascii="CIDFont+F4" w:hAnsi="CIDFont+F4" w:cs="CIDFont+F4"/>
          <w:sz w:val="21"/>
          <w:szCs w:val="21"/>
        </w:rPr>
        <w:t>quarterly performance information and contract management controls) and</w:t>
      </w:r>
      <w:r w:rsidR="00846AA6">
        <w:rPr>
          <w:rFonts w:ascii="CIDFont+F4" w:hAnsi="CIDFont+F4" w:cs="CIDFont+F4"/>
          <w:sz w:val="21"/>
          <w:szCs w:val="21"/>
        </w:rPr>
        <w:t xml:space="preserve"> thu</w:t>
      </w:r>
      <w:r>
        <w:rPr>
          <w:rFonts w:ascii="CIDFont+F4" w:hAnsi="CIDFont+F4" w:cs="CIDFont+F4"/>
          <w:sz w:val="21"/>
          <w:szCs w:val="21"/>
        </w:rPr>
        <w:t xml:space="preserve">s effectively discharged its </w:t>
      </w:r>
      <w:r w:rsidR="00846AA6">
        <w:rPr>
          <w:rFonts w:ascii="CIDFont+F4" w:hAnsi="CIDFont+F4" w:cs="CIDFont+F4"/>
          <w:sz w:val="21"/>
          <w:szCs w:val="21"/>
        </w:rPr>
        <w:t>d</w:t>
      </w:r>
      <w:r>
        <w:rPr>
          <w:rFonts w:ascii="CIDFont+F4" w:hAnsi="CIDFont+F4" w:cs="CIDFont+F4"/>
          <w:sz w:val="21"/>
          <w:szCs w:val="21"/>
        </w:rPr>
        <w:t xml:space="preserve">, while senior management has a responsibility to design and implement preventative controls, internal audit function can also play a fundamental role in identifying areas of vulnerability where there are no preventative controls </w:t>
      </w:r>
      <w:r w:rsidR="00877FDF">
        <w:rPr>
          <w:rFonts w:ascii="CIDFont+F4" w:hAnsi="CIDFont+F4" w:cs="CIDFont+F4"/>
          <w:sz w:val="21"/>
          <w:szCs w:val="21"/>
        </w:rPr>
        <w:t xml:space="preserve">i.e. the regression in the financial audit opinion </w:t>
      </w:r>
      <w:r>
        <w:rPr>
          <w:rFonts w:ascii="CIDFont+F4" w:hAnsi="CIDFont+F4" w:cs="CIDFont+F4"/>
          <w:sz w:val="21"/>
          <w:szCs w:val="21"/>
        </w:rPr>
        <w:t>to enable oversight responsibility by other role players such as the audit committee and the accounting officer.</w:t>
      </w:r>
      <w:proofErr w:type="gramEnd"/>
      <w:r w:rsidR="00877FDF">
        <w:rPr>
          <w:rFonts w:ascii="CIDFont+F4" w:hAnsi="CIDFont+F4" w:cs="CIDFont+F4"/>
          <w:sz w:val="21"/>
          <w:szCs w:val="21"/>
        </w:rPr>
        <w:t xml:space="preserve"> </w:t>
      </w:r>
    </w:p>
    <w:p w:rsidR="00FC16A3" w:rsidRPr="0077659B" w:rsidRDefault="00FC16A3" w:rsidP="001E06E1">
      <w:pPr>
        <w:pStyle w:val="Heading5"/>
        <w:jc w:val="both"/>
        <w:rPr>
          <w:rFonts w:eastAsia="MS Mincho"/>
        </w:rPr>
      </w:pPr>
      <w:r w:rsidRPr="0077659B">
        <w:rPr>
          <w:rFonts w:eastAsia="MS Mincho"/>
        </w:rPr>
        <w:t>Audit committee</w:t>
      </w:r>
    </w:p>
    <w:p w:rsidR="00D55037" w:rsidRDefault="00D55037" w:rsidP="001E06E1">
      <w:pPr>
        <w:pStyle w:val="Numbernormal"/>
        <w:numPr>
          <w:ilvl w:val="0"/>
          <w:numId w:val="17"/>
        </w:numPr>
        <w:jc w:val="both"/>
      </w:pPr>
      <w:r>
        <w:t>The audit committee was in place, fully functional for the financial period, and comp</w:t>
      </w:r>
      <w:r w:rsidR="00846AA6">
        <w:t>lied with relevant legislation.</w:t>
      </w:r>
    </w:p>
    <w:p w:rsidR="00877FDF" w:rsidRDefault="00877FDF" w:rsidP="001E06E1">
      <w:pPr>
        <w:pStyle w:val="Numbernormal"/>
        <w:numPr>
          <w:ilvl w:val="0"/>
          <w:numId w:val="17"/>
        </w:numPr>
        <w:jc w:val="both"/>
      </w:pPr>
      <w:r>
        <w:t xml:space="preserve">The audit committee vigorously interrogated the audit action plans that </w:t>
      </w:r>
      <w:proofErr w:type="gramStart"/>
      <w:r>
        <w:t>were designed</w:t>
      </w:r>
      <w:proofErr w:type="gramEnd"/>
      <w:r>
        <w:t xml:space="preserve"> to address audit finds from both internal and external auditors and consistently monitored the </w:t>
      </w:r>
      <w:r>
        <w:lastRenderedPageBreak/>
        <w:t>implementation thereof. The audit committee members are highly  skilled and experienced which enables the robustness in the environment and the committee holds the executive as well as the accounting officer accountable for their actions that may hinder the department from obtaining the desired audit outcome</w:t>
      </w:r>
    </w:p>
    <w:p w:rsidR="00C22F2B" w:rsidRPr="0077659B" w:rsidRDefault="00C22F2B" w:rsidP="001E06E1">
      <w:pPr>
        <w:pStyle w:val="Heading4"/>
        <w:jc w:val="both"/>
      </w:pPr>
      <w:bookmarkStart w:id="127" w:name="NewSummary"/>
      <w:bookmarkStart w:id="128" w:name="_Toc447106603"/>
      <w:bookmarkEnd w:id="126"/>
      <w:bookmarkEnd w:id="127"/>
      <w:r w:rsidRPr="0077659B">
        <w:t>Summary</w:t>
      </w:r>
      <w:bookmarkEnd w:id="128"/>
    </w:p>
    <w:p w:rsidR="00C22F2B" w:rsidRDefault="00C22F2B" w:rsidP="001E06E1">
      <w:pPr>
        <w:pStyle w:val="Numbernormal"/>
        <w:numPr>
          <w:ilvl w:val="0"/>
          <w:numId w:val="17"/>
        </w:numPr>
        <w:jc w:val="both"/>
      </w:pPr>
      <w:r w:rsidRPr="0077659B">
        <w:t>The matters above, as they relate to</w:t>
      </w:r>
      <w:r w:rsidR="001B6284">
        <w:t xml:space="preserve"> the basis for the qualified opinion, findings on the </w:t>
      </w:r>
      <w:r w:rsidRPr="0077659B">
        <w:t>annual performance report and findings on compliance with legislation, will be summarised in the auditor’s report as follows:</w:t>
      </w:r>
    </w:p>
    <w:p w:rsidR="001B6284" w:rsidRDefault="001B6284" w:rsidP="001E06E1">
      <w:pPr>
        <w:pStyle w:val="NumberedARs"/>
        <w:numPr>
          <w:ilvl w:val="0"/>
          <w:numId w:val="17"/>
        </w:numPr>
        <w:spacing w:line="288" w:lineRule="auto"/>
        <w:jc w:val="both"/>
      </w:pPr>
      <w:r w:rsidRPr="00D55037">
        <w:t>The department developed a plan to address internal and external audit findings, but the appropriate level of management did not monitor adherence to the plan in a timely manner.</w:t>
      </w:r>
      <w:r>
        <w:t xml:space="preserve"> Findings reported on the audit of predetermined objectives are recurring and there is an increase in the issues reported as non- compliance as well as a regression on the material misstatement identified in the audit of financial statements. </w:t>
      </w:r>
    </w:p>
    <w:p w:rsidR="001B6284" w:rsidRDefault="001B6284" w:rsidP="001E06E1">
      <w:pPr>
        <w:pStyle w:val="NumberedARs"/>
        <w:numPr>
          <w:ilvl w:val="0"/>
          <w:numId w:val="17"/>
        </w:numPr>
        <w:spacing w:line="288" w:lineRule="auto"/>
        <w:jc w:val="both"/>
      </w:pPr>
      <w:r w:rsidRPr="00D55037">
        <w:t>The department did not have a proper records management system to maintain information that supported the reported performance in the annual performance report. This included information that related to the collection, collation, verification, storage, and reporting of actual performance information.</w:t>
      </w:r>
    </w:p>
    <w:p w:rsidR="001B6284" w:rsidRPr="0077659B" w:rsidRDefault="001B6284" w:rsidP="001E06E1">
      <w:pPr>
        <w:pStyle w:val="Numbernormal"/>
        <w:numPr>
          <w:ilvl w:val="0"/>
          <w:numId w:val="17"/>
        </w:numPr>
        <w:jc w:val="both"/>
      </w:pPr>
      <w:r>
        <w:t>T</w:t>
      </w:r>
      <w:r w:rsidRPr="00D55037">
        <w:t xml:space="preserve">he financial statements and annual performance report contained numerous material uncorrected misstatements. </w:t>
      </w:r>
      <w:r>
        <w:rPr>
          <w:rFonts w:ascii="CIDFont+F4" w:hAnsi="CIDFont+F4" w:cs="CIDFont+F4"/>
          <w:sz w:val="21"/>
          <w:szCs w:val="21"/>
        </w:rPr>
        <w:t xml:space="preserve">While the requisite and compulsory in-year financial and performance reports were prepared, these were not accurate and </w:t>
      </w:r>
      <w:proofErr w:type="spellStart"/>
      <w:r>
        <w:rPr>
          <w:rFonts w:ascii="CIDFont+F4" w:hAnsi="CIDFont+F4" w:cs="CIDFont+F4"/>
          <w:sz w:val="21"/>
          <w:szCs w:val="21"/>
        </w:rPr>
        <w:t>complete.</w:t>
      </w:r>
      <w:r w:rsidRPr="00D55037">
        <w:t>This</w:t>
      </w:r>
      <w:proofErr w:type="spellEnd"/>
      <w:r w:rsidRPr="00D55037">
        <w:t xml:space="preserve"> was mainly due to an incorrect understanding of th</w:t>
      </w:r>
      <w:r>
        <w:t>e financial reporting framework and the extent of reliance placed on the public bodies to ensure valid , accurate and complete performance  information reporting</w:t>
      </w:r>
    </w:p>
    <w:p w:rsidR="00AD6C24" w:rsidRPr="0077659B" w:rsidRDefault="0036018B" w:rsidP="001E06E1">
      <w:pPr>
        <w:pStyle w:val="Heading3"/>
        <w:jc w:val="both"/>
        <w:rPr>
          <w:color w:val="365F91" w:themeColor="accent1" w:themeShade="BF"/>
          <w:szCs w:val="26"/>
        </w:rPr>
      </w:pPr>
      <w:bookmarkStart w:id="129" w:name="_Toc77816780"/>
      <w:r>
        <w:rPr>
          <w:lang w:val="en-ZA"/>
        </w:rPr>
        <w:t>MATERIAL IRREGULARITIES</w:t>
      </w:r>
      <w:bookmarkStart w:id="130" w:name="OR1"/>
      <w:bookmarkStart w:id="131" w:name="_Toc447106611"/>
      <w:bookmarkEnd w:id="129"/>
      <w:bookmarkEnd w:id="130"/>
    </w:p>
    <w:p w:rsidR="0053300F" w:rsidRDefault="0053300F" w:rsidP="001E06E1">
      <w:pPr>
        <w:pStyle w:val="Numbernormal"/>
        <w:numPr>
          <w:ilvl w:val="0"/>
          <w:numId w:val="17"/>
        </w:numPr>
        <w:jc w:val="both"/>
      </w:pPr>
      <w:r>
        <w:t xml:space="preserve">In accordance with the PAA and the material irregularity regulations, we have a responsibility to report on material irregularities identified during an audit and on the status of material irregularities reported in the previous year. </w:t>
      </w:r>
    </w:p>
    <w:p w:rsidR="00877FDF" w:rsidRPr="004F670C" w:rsidRDefault="00877FDF" w:rsidP="001E06E1">
      <w:pPr>
        <w:pStyle w:val="Numbernormal"/>
        <w:numPr>
          <w:ilvl w:val="0"/>
          <w:numId w:val="17"/>
        </w:numPr>
        <w:jc w:val="both"/>
      </w:pPr>
      <w:r w:rsidRPr="004F670C">
        <w:t>We have notified the accounting office of material irregularities and suspected material irregularities identified during the audit and the actions the AGSA will take with regard to these material irregularities. We also assessed the progress made in resolving the material irregularities reported in the previous year.</w:t>
      </w:r>
    </w:p>
    <w:p w:rsidR="00AD6C24" w:rsidRDefault="00AD6C24" w:rsidP="001E06E1">
      <w:pPr>
        <w:pStyle w:val="Numbernormal"/>
        <w:numPr>
          <w:ilvl w:val="0"/>
          <w:numId w:val="17"/>
        </w:numPr>
        <w:jc w:val="both"/>
      </w:pPr>
      <w:r w:rsidRPr="0077659B">
        <w:t>The auditor’s report will include the following summarised information</w:t>
      </w:r>
      <w:r w:rsidRPr="00BB6EEC">
        <w:t>:</w:t>
      </w:r>
    </w:p>
    <w:p w:rsidR="00877FDF" w:rsidRPr="00877FDF" w:rsidRDefault="00877FDF" w:rsidP="001E06E1">
      <w:pPr>
        <w:pStyle w:val="Heading3"/>
        <w:jc w:val="both"/>
        <w:rPr>
          <w:lang w:val="en-ZA"/>
        </w:rPr>
      </w:pPr>
      <w:r w:rsidRPr="00877FDF">
        <w:rPr>
          <w:lang w:val="en-ZA"/>
        </w:rPr>
        <w:t>Status of previously reported material irregularities</w:t>
      </w:r>
    </w:p>
    <w:p w:rsidR="00A77775" w:rsidRDefault="001B6284" w:rsidP="001E06E1">
      <w:pPr>
        <w:pStyle w:val="Heading3"/>
        <w:jc w:val="both"/>
        <w:rPr>
          <w:lang w:val="en-ZA"/>
        </w:rPr>
      </w:pPr>
      <w:r w:rsidRPr="001B6284">
        <w:rPr>
          <w:lang w:val="en-ZA"/>
        </w:rPr>
        <w:t xml:space="preserve">State events </w:t>
      </w:r>
      <w:proofErr w:type="spellStart"/>
      <w:r>
        <w:rPr>
          <w:lang w:val="en-ZA"/>
        </w:rPr>
        <w:t>e</w:t>
      </w:r>
      <w:r w:rsidRPr="001B6284">
        <w:rPr>
          <w:lang w:val="en-ZA"/>
        </w:rPr>
        <w:t>p</w:t>
      </w:r>
      <w:r>
        <w:rPr>
          <w:lang w:val="en-ZA"/>
        </w:rPr>
        <w:t>e</w:t>
      </w:r>
      <w:r w:rsidRPr="001B6284">
        <w:rPr>
          <w:lang w:val="en-ZA"/>
        </w:rPr>
        <w:t>enditure</w:t>
      </w:r>
      <w:proofErr w:type="spellEnd"/>
      <w:r w:rsidRPr="001B6284">
        <w:rPr>
          <w:lang w:val="en-ZA"/>
        </w:rPr>
        <w:t xml:space="preserve"> exceeded the contract amount </w:t>
      </w:r>
    </w:p>
    <w:p w:rsidR="00877FDF" w:rsidRPr="00877FDF" w:rsidRDefault="00877FDF" w:rsidP="001E06E1">
      <w:pPr>
        <w:pStyle w:val="Numbernormal"/>
        <w:numPr>
          <w:ilvl w:val="0"/>
          <w:numId w:val="17"/>
        </w:numPr>
        <w:jc w:val="both"/>
        <w:rPr>
          <w:rFonts w:ascii="ArialMT" w:hAnsi="ArialMT" w:cs="ArialMT"/>
        </w:rPr>
      </w:pPr>
      <w:r>
        <w:rPr>
          <w:rFonts w:ascii="ArialMT" w:hAnsi="ArialMT" w:cs="ArialMT"/>
        </w:rPr>
        <w:t xml:space="preserve">The prices that </w:t>
      </w:r>
      <w:proofErr w:type="gramStart"/>
      <w:r>
        <w:rPr>
          <w:rFonts w:ascii="ArialMT" w:hAnsi="ArialMT" w:cs="ArialMT"/>
        </w:rPr>
        <w:t>were charged</w:t>
      </w:r>
      <w:proofErr w:type="gramEnd"/>
      <w:r>
        <w:rPr>
          <w:rFonts w:ascii="ArialMT" w:hAnsi="ArialMT" w:cs="ArialMT"/>
        </w:rPr>
        <w:t xml:space="preserve"> on the invoice were different from the prices that were quoted </w:t>
      </w:r>
      <w:r w:rsidRPr="00877FDF">
        <w:rPr>
          <w:rFonts w:ascii="ArialMT" w:hAnsi="ArialMT" w:cs="ArialMT"/>
        </w:rPr>
        <w:t xml:space="preserve">on the pricing schedule that was submitted by the supplier during the tender process </w:t>
      </w:r>
      <w:r w:rsidR="00824CF7">
        <w:rPr>
          <w:rFonts w:ascii="ArialMT" w:hAnsi="ArialMT" w:cs="ArialMT"/>
        </w:rPr>
        <w:t xml:space="preserve">of </w:t>
      </w:r>
      <w:r>
        <w:rPr>
          <w:rFonts w:ascii="ArialMT" w:hAnsi="ArialMT" w:cs="ArialMT"/>
        </w:rPr>
        <w:t>state events and the non-compliance resulted into likely material financial loss of R825 832. The n</w:t>
      </w:r>
      <w:r w:rsidRPr="00877FDF">
        <w:rPr>
          <w:rFonts w:ascii="ArialMT" w:hAnsi="ArialMT" w:cs="ArialMT"/>
        </w:rPr>
        <w:t xml:space="preserve">on-compliance </w:t>
      </w:r>
      <w:proofErr w:type="gramStart"/>
      <w:r w:rsidRPr="00877FDF">
        <w:rPr>
          <w:rFonts w:ascii="ArialMT" w:hAnsi="ArialMT" w:cs="ArialMT"/>
        </w:rPr>
        <w:t>was identified</w:t>
      </w:r>
      <w:proofErr w:type="gramEnd"/>
      <w:r w:rsidRPr="00877FDF">
        <w:rPr>
          <w:rFonts w:ascii="ArialMT" w:hAnsi="ArialMT" w:cs="ArialMT"/>
        </w:rPr>
        <w:t xml:space="preserve"> with TR 8.1.1 as the internal procedures and internal control</w:t>
      </w:r>
      <w:r>
        <w:t xml:space="preserve"> </w:t>
      </w:r>
      <w:r w:rsidRPr="00877FDF">
        <w:t>measures did not identify or prevent the irregular payments mentioned above.</w:t>
      </w:r>
    </w:p>
    <w:p w:rsidR="001B6284" w:rsidRDefault="001B6284" w:rsidP="001E06E1">
      <w:pPr>
        <w:pStyle w:val="Numbernormal"/>
        <w:numPr>
          <w:ilvl w:val="0"/>
          <w:numId w:val="17"/>
        </w:numPr>
        <w:jc w:val="both"/>
      </w:pPr>
      <w:r>
        <w:lastRenderedPageBreak/>
        <w:t>The Accounting Officer was notified of the MI on</w:t>
      </w:r>
      <w:r w:rsidR="00846AA6">
        <w:t xml:space="preserve"> 03</w:t>
      </w:r>
      <w:r>
        <w:t xml:space="preserve"> September 2020 and the appropriate actions committed in response to the notification</w:t>
      </w:r>
      <w:r w:rsidR="00877FDF">
        <w:t xml:space="preserve"> </w:t>
      </w:r>
      <w:proofErr w:type="gramStart"/>
      <w:r w:rsidR="00877FDF">
        <w:t>( Investigate</w:t>
      </w:r>
      <w:proofErr w:type="gramEnd"/>
      <w:r w:rsidR="00877FDF">
        <w:t xml:space="preserve"> the expenditure into state events, quantify the full quantum of the </w:t>
      </w:r>
      <w:proofErr w:type="spellStart"/>
      <w:r w:rsidR="00877FDF">
        <w:t>likey</w:t>
      </w:r>
      <w:proofErr w:type="spellEnd"/>
      <w:r w:rsidR="00877FDF">
        <w:t xml:space="preserve"> financial loss, identify responsible officials and initiate the process to recover the financial loss)</w:t>
      </w:r>
      <w:r>
        <w:t xml:space="preserve"> have not been implemented</w:t>
      </w:r>
      <w:r w:rsidR="00877FDF">
        <w:t xml:space="preserve"> within reasonable time. </w:t>
      </w:r>
    </w:p>
    <w:p w:rsidR="001B6284" w:rsidRPr="001B6284" w:rsidRDefault="001B6284" w:rsidP="001E06E1">
      <w:pPr>
        <w:pStyle w:val="Numbernormal"/>
        <w:numPr>
          <w:ilvl w:val="0"/>
          <w:numId w:val="17"/>
        </w:numPr>
        <w:jc w:val="both"/>
      </w:pPr>
      <w:r w:rsidRPr="001B6284">
        <w:t>I recommend that the accounting officer should take the following actions to address the material irregularity, which should be implemented by 31 March 2022:-</w:t>
      </w:r>
    </w:p>
    <w:p w:rsidR="001B6284" w:rsidRPr="001B6284" w:rsidRDefault="001B6284" w:rsidP="001E06E1">
      <w:pPr>
        <w:pStyle w:val="Numbernormal"/>
        <w:numPr>
          <w:ilvl w:val="0"/>
          <w:numId w:val="22"/>
        </w:numPr>
        <w:jc w:val="both"/>
      </w:pPr>
      <w:r w:rsidRPr="001B6284">
        <w:t>The accounting officer should investigate the non-compliance and quantify the amount of the financial loss incurred in accordance with the applicable instruction note(s) issued by the National Treasury dealing with fruitless &amp; wasteful expenditure</w:t>
      </w:r>
    </w:p>
    <w:p w:rsidR="001B6284" w:rsidRPr="001B6284" w:rsidRDefault="001B6284" w:rsidP="001E06E1">
      <w:pPr>
        <w:pStyle w:val="Numbernormal"/>
        <w:numPr>
          <w:ilvl w:val="0"/>
          <w:numId w:val="22"/>
        </w:numPr>
        <w:jc w:val="both"/>
      </w:pPr>
      <w:r w:rsidRPr="001B6284">
        <w:t>Appropriate action should be taken to determine whether the responsible official is liable by law for the losses suffered by the department for the purpose of recovery, as required by treasury regulations 9.1.4 and 12.7.1</w:t>
      </w:r>
    </w:p>
    <w:p w:rsidR="001B6284" w:rsidRDefault="001B6284" w:rsidP="001E06E1">
      <w:pPr>
        <w:pStyle w:val="Numbernormal"/>
        <w:numPr>
          <w:ilvl w:val="0"/>
          <w:numId w:val="22"/>
        </w:numPr>
        <w:jc w:val="both"/>
      </w:pPr>
      <w:r w:rsidRPr="001B6284">
        <w:t>Effective and appropriate disciplinary steps should be taken against any official that the investigation found to be responsible, as required by section 38(1</w:t>
      </w:r>
      <w:proofErr w:type="gramStart"/>
      <w:r w:rsidRPr="001B6284">
        <w:t>)(</w:t>
      </w:r>
      <w:proofErr w:type="gramEnd"/>
      <w:r w:rsidRPr="001B6284">
        <w:t>h) of the PFMA and in accordance with treasury regulation 9.1.3.</w:t>
      </w:r>
    </w:p>
    <w:p w:rsidR="001B6284" w:rsidRPr="00877FDF" w:rsidRDefault="001B6284" w:rsidP="001E06E1">
      <w:pPr>
        <w:pStyle w:val="Heading3"/>
        <w:jc w:val="both"/>
        <w:rPr>
          <w:lang w:val="en-ZA"/>
        </w:rPr>
      </w:pPr>
      <w:r w:rsidRPr="001B6284">
        <w:rPr>
          <w:lang w:val="en-ZA"/>
        </w:rPr>
        <w:t xml:space="preserve">State </w:t>
      </w:r>
      <w:r>
        <w:rPr>
          <w:lang w:val="en-ZA"/>
        </w:rPr>
        <w:t>funerals ex</w:t>
      </w:r>
      <w:r w:rsidRPr="001B6284">
        <w:rPr>
          <w:lang w:val="en-ZA"/>
        </w:rPr>
        <w:t>p</w:t>
      </w:r>
      <w:r>
        <w:rPr>
          <w:lang w:val="en-ZA"/>
        </w:rPr>
        <w:t>e</w:t>
      </w:r>
      <w:r w:rsidRPr="001B6284">
        <w:rPr>
          <w:lang w:val="en-ZA"/>
        </w:rPr>
        <w:t xml:space="preserve">nditure exceeded the contract amount </w:t>
      </w:r>
    </w:p>
    <w:p w:rsidR="00877FDF" w:rsidRPr="00877FDF" w:rsidRDefault="00877FDF" w:rsidP="001E06E1">
      <w:pPr>
        <w:pStyle w:val="Numbernormal"/>
        <w:numPr>
          <w:ilvl w:val="0"/>
          <w:numId w:val="17"/>
        </w:numPr>
        <w:jc w:val="both"/>
        <w:rPr>
          <w:rFonts w:ascii="ArialMT" w:hAnsi="ArialMT" w:cs="ArialMT"/>
        </w:rPr>
      </w:pPr>
      <w:r w:rsidRPr="00877FDF">
        <w:t xml:space="preserve">The prices that </w:t>
      </w:r>
      <w:proofErr w:type="gramStart"/>
      <w:r w:rsidRPr="00877FDF">
        <w:t>were charged</w:t>
      </w:r>
      <w:proofErr w:type="gramEnd"/>
      <w:r w:rsidRPr="00877FDF">
        <w:t xml:space="preserve"> on the invoice were different from the prices that were quoted on the pricing schedule that was submitted by the supplier during the tender process. This resulted in a financial loss of </w:t>
      </w:r>
      <w:r>
        <w:rPr>
          <w:rFonts w:ascii="ArialMT" w:hAnsi="ArialMT" w:cs="ArialMT"/>
        </w:rPr>
        <w:t>R</w:t>
      </w:r>
      <w:r w:rsidRPr="00877FDF">
        <w:t xml:space="preserve"> </w:t>
      </w:r>
      <w:r w:rsidRPr="00877FDF">
        <w:rPr>
          <w:rFonts w:ascii="ArialMT" w:hAnsi="ArialMT" w:cs="ArialMT"/>
        </w:rPr>
        <w:t>9</w:t>
      </w:r>
      <w:r>
        <w:rPr>
          <w:rFonts w:ascii="ArialMT" w:hAnsi="ArialMT" w:cs="ArialMT"/>
        </w:rPr>
        <w:t> </w:t>
      </w:r>
      <w:r w:rsidRPr="00877FDF">
        <w:rPr>
          <w:rFonts w:ascii="ArialMT" w:hAnsi="ArialMT" w:cs="ArialMT"/>
        </w:rPr>
        <w:t>121</w:t>
      </w:r>
      <w:r>
        <w:rPr>
          <w:rFonts w:ascii="ArialMT" w:hAnsi="ArialMT" w:cs="ArialMT"/>
        </w:rPr>
        <w:t> </w:t>
      </w:r>
      <w:r w:rsidRPr="00877FDF">
        <w:rPr>
          <w:rFonts w:ascii="ArialMT" w:hAnsi="ArialMT" w:cs="ArialMT"/>
        </w:rPr>
        <w:t>374</w:t>
      </w:r>
      <w:r>
        <w:rPr>
          <w:rFonts w:ascii="ArialMT" w:hAnsi="ArialMT" w:cs="ArialMT"/>
        </w:rPr>
        <w:t>.</w:t>
      </w:r>
      <w:r>
        <w:t xml:space="preserve"> The </w:t>
      </w:r>
      <w:r>
        <w:rPr>
          <w:rFonts w:ascii="ArialMT" w:hAnsi="ArialMT" w:cs="ArialMT"/>
        </w:rPr>
        <w:t>n</w:t>
      </w:r>
      <w:r w:rsidRPr="00877FDF">
        <w:rPr>
          <w:rFonts w:ascii="ArialMT" w:hAnsi="ArialMT" w:cs="ArialMT"/>
        </w:rPr>
        <w:t xml:space="preserve">on-compliance </w:t>
      </w:r>
      <w:proofErr w:type="gramStart"/>
      <w:r w:rsidRPr="00877FDF">
        <w:rPr>
          <w:rFonts w:ascii="ArialMT" w:hAnsi="ArialMT" w:cs="ArialMT"/>
        </w:rPr>
        <w:t>was identified</w:t>
      </w:r>
      <w:proofErr w:type="gramEnd"/>
      <w:r w:rsidRPr="00877FDF">
        <w:rPr>
          <w:rFonts w:ascii="ArialMT" w:hAnsi="ArialMT" w:cs="ArialMT"/>
        </w:rPr>
        <w:t xml:space="preserve"> with TR 8.1.1 as the internal procedures and internal control measures did not identify or prevent the irregular payments mentioned above.</w:t>
      </w:r>
      <w:r>
        <w:rPr>
          <w:rFonts w:ascii="ArialMT" w:hAnsi="ArialMT" w:cs="ArialMT"/>
        </w:rPr>
        <w:t xml:space="preserve"> </w:t>
      </w:r>
      <w:r>
        <w:t>The Accounting Officer was notified of the MI on 02 September 2020 and the appropriate</w:t>
      </w:r>
    </w:p>
    <w:p w:rsidR="001B6284" w:rsidRDefault="001B6284" w:rsidP="001E06E1">
      <w:pPr>
        <w:pStyle w:val="Numbernormal"/>
        <w:numPr>
          <w:ilvl w:val="0"/>
          <w:numId w:val="17"/>
        </w:numPr>
        <w:jc w:val="both"/>
      </w:pPr>
      <w:r>
        <w:t>An investigation by the Special Investigating Unit (SIU) on the m</w:t>
      </w:r>
      <w:r w:rsidR="00877FDF">
        <w:t xml:space="preserve">atter commenced in </w:t>
      </w:r>
      <w:r w:rsidR="00824CF7" w:rsidRPr="00824CF7">
        <w:rPr>
          <w:highlight w:val="yellow"/>
        </w:rPr>
        <w:t>2020</w:t>
      </w:r>
      <w:r w:rsidR="00877FDF">
        <w:t xml:space="preserve"> </w:t>
      </w:r>
      <w:r>
        <w:t xml:space="preserve">with the plan to institute civil claim against the supplier based on the outcome of the investigation and the contract with the supplier </w:t>
      </w:r>
      <w:proofErr w:type="gramStart"/>
      <w:r>
        <w:t>was terminated</w:t>
      </w:r>
      <w:proofErr w:type="gramEnd"/>
      <w:r>
        <w:t xml:space="preserve"> in the prior year. I will follow up on the investigation and the implementation of the planned actions during my next audit.</w:t>
      </w:r>
    </w:p>
    <w:p w:rsidR="001B6284" w:rsidRDefault="001B6284" w:rsidP="001E06E1">
      <w:pPr>
        <w:pStyle w:val="Numbernormal"/>
        <w:numPr>
          <w:ilvl w:val="0"/>
          <w:numId w:val="17"/>
        </w:numPr>
        <w:jc w:val="both"/>
      </w:pPr>
      <w:r>
        <w:t xml:space="preserve">An investigation into the matter by the external service provider concluded on </w:t>
      </w:r>
      <w:r w:rsidR="00877FDF" w:rsidRPr="00877FDF">
        <w:t>29 March 2019</w:t>
      </w:r>
      <w:r>
        <w:t>. The executive authority, accounting officer and the Hon. Minister in the Office of Presidency are takin disciplinary actions against the officials found responsible. The accounting officer opened a criminal case with the South African Police Service (SAPS) on</w:t>
      </w:r>
      <w:r w:rsidR="00877FDF" w:rsidRPr="00877FDF">
        <w:t xml:space="preserve"> CAS 792/3/2020</w:t>
      </w:r>
      <w:r>
        <w:t xml:space="preserve"> against the service provider and notified the supplier of the intention to prohibit the supplier from doing business with the state. I will follow up on the implementation of the planned actions during my next audit. </w:t>
      </w:r>
    </w:p>
    <w:p w:rsidR="00AD6C24" w:rsidRPr="0077659B" w:rsidRDefault="00AD6C24" w:rsidP="001E06E1">
      <w:pPr>
        <w:pStyle w:val="Numbernormal"/>
        <w:ind w:left="360"/>
        <w:jc w:val="both"/>
      </w:pPr>
    </w:p>
    <w:p w:rsidR="004523B1" w:rsidRPr="00BB6EEC" w:rsidRDefault="004523B1" w:rsidP="001E06E1">
      <w:pPr>
        <w:pStyle w:val="Heading3"/>
        <w:jc w:val="both"/>
        <w:rPr>
          <w:lang w:val="en-ZA"/>
        </w:rPr>
      </w:pPr>
      <w:bookmarkStart w:id="132" w:name="_Toc77816781"/>
      <w:r w:rsidRPr="00BB6EEC">
        <w:rPr>
          <w:lang w:val="en-ZA"/>
        </w:rPr>
        <w:t>OTHER REPORTS</w:t>
      </w:r>
      <w:bookmarkEnd w:id="131"/>
      <w:bookmarkEnd w:id="132"/>
    </w:p>
    <w:p w:rsidR="004523B1" w:rsidRDefault="00307DE0" w:rsidP="001E06E1">
      <w:pPr>
        <w:pStyle w:val="Numbernormal"/>
        <w:numPr>
          <w:ilvl w:val="0"/>
          <w:numId w:val="17"/>
        </w:numPr>
        <w:jc w:val="both"/>
      </w:pPr>
      <w:r w:rsidRPr="0077659B">
        <w:t>We</w:t>
      </w:r>
      <w:r w:rsidR="004523B1" w:rsidRPr="0077659B">
        <w:t xml:space="preserve"> draw attention to the following engagements conducted by various parties that have or could potentially have an impact on the </w:t>
      </w:r>
      <w:proofErr w:type="spellStart"/>
      <w:r w:rsidR="00D55037">
        <w:t>dfepartment</w:t>
      </w:r>
      <w:r w:rsidR="004523B1" w:rsidRPr="0077659B">
        <w:t>’s</w:t>
      </w:r>
      <w:proofErr w:type="spellEnd"/>
      <w:r w:rsidR="004523B1" w:rsidRPr="0077659B">
        <w:t xml:space="preserve"> financial statements, reported performance information and compliance with applicable legislation and other related matters. The reports noted do not form part of my opinion on the financial statements or my findings on the reported performance information or compliance with legislation. </w:t>
      </w:r>
      <w:r w:rsidR="00775734" w:rsidRPr="0077659B">
        <w:t>The summarised other reports will be included in the auditor’s report as follows:</w:t>
      </w:r>
    </w:p>
    <w:p w:rsidR="00D55037" w:rsidRPr="00D55037" w:rsidRDefault="00D55037" w:rsidP="001E06E1">
      <w:pPr>
        <w:pStyle w:val="Numbernormal"/>
        <w:numPr>
          <w:ilvl w:val="0"/>
          <w:numId w:val="17"/>
        </w:numPr>
        <w:jc w:val="both"/>
      </w:pPr>
      <w:r w:rsidRPr="001C1FF3">
        <w:lastRenderedPageBreak/>
        <w:t xml:space="preserve">An investigation into supply chain management irregularities within inter alia the </w:t>
      </w:r>
      <w:r w:rsidRPr="00D55037">
        <w:t>Prestige branch at the department, which covered the period 2003-04 to 2010-11.</w:t>
      </w:r>
      <w:r w:rsidRPr="001C1FF3">
        <w:t xml:space="preserve"> </w:t>
      </w:r>
      <w:r w:rsidRPr="00D55037">
        <w:t xml:space="preserve">The report was finalised in 2018-19. The investigation </w:t>
      </w:r>
      <w:proofErr w:type="gramStart"/>
      <w:r w:rsidRPr="00D55037">
        <w:t>was then extended to cover</w:t>
      </w:r>
      <w:r w:rsidRPr="001C1FF3">
        <w:t xml:space="preserve"> </w:t>
      </w:r>
      <w:r w:rsidRPr="00D55037">
        <w:t>the period 2010-11 to 2015-16, and further extended to cover the period 2015-16 to</w:t>
      </w:r>
      <w:r w:rsidRPr="001C1FF3">
        <w:t xml:space="preserve"> 2019-20</w:t>
      </w:r>
      <w:proofErr w:type="gramEnd"/>
      <w:r w:rsidRPr="001C1FF3">
        <w:t>. These investigations were still in progress at the date of this auditor’s report.</w:t>
      </w:r>
    </w:p>
    <w:p w:rsidR="000142F4" w:rsidRPr="0077659B" w:rsidRDefault="000142F4" w:rsidP="001E06E1">
      <w:pPr>
        <w:pStyle w:val="Heading2"/>
        <w:jc w:val="both"/>
      </w:pPr>
      <w:bookmarkStart w:id="133" w:name="_Toc77816782"/>
      <w:r w:rsidRPr="0077659B">
        <w:t>SECTION 3: Assurance providers and status of implementation of commitments and recommendations</w:t>
      </w:r>
      <w:bookmarkEnd w:id="133"/>
    </w:p>
    <w:p w:rsidR="00C47242" w:rsidRPr="00BB6EEC" w:rsidRDefault="006C0DAE" w:rsidP="001E06E1">
      <w:pPr>
        <w:pStyle w:val="Heading3"/>
        <w:jc w:val="both"/>
        <w:rPr>
          <w:lang w:val="en-ZA"/>
        </w:rPr>
      </w:pPr>
      <w:bookmarkStart w:id="134" w:name="NewPartF"/>
      <w:bookmarkStart w:id="135" w:name="E2_6"/>
      <w:bookmarkStart w:id="136" w:name="_Toc77816783"/>
      <w:bookmarkEnd w:id="134"/>
      <w:bookmarkEnd w:id="135"/>
      <w:r w:rsidRPr="00BB6EEC">
        <w:rPr>
          <w:lang w:val="en-ZA"/>
        </w:rPr>
        <w:t>ASSESSMENT OF ASSURANCE PROVIDERS</w:t>
      </w:r>
      <w:bookmarkEnd w:id="136"/>
    </w:p>
    <w:p w:rsidR="00C22F2B" w:rsidRPr="0077659B" w:rsidRDefault="00C22F2B" w:rsidP="001E06E1">
      <w:pPr>
        <w:pStyle w:val="Numbernormal"/>
        <w:numPr>
          <w:ilvl w:val="0"/>
          <w:numId w:val="17"/>
        </w:numPr>
        <w:jc w:val="both"/>
      </w:pPr>
      <w:r w:rsidRPr="0077659B">
        <w:t xml:space="preserve">The annual report </w:t>
      </w:r>
      <w:proofErr w:type="gramStart"/>
      <w:r w:rsidRPr="0077659B">
        <w:t>is used</w:t>
      </w:r>
      <w:proofErr w:type="gramEnd"/>
      <w:r w:rsidRPr="0077659B">
        <w:t xml:space="preserve"> to report on the financial position of auditees, their performance against predetermined objectives</w:t>
      </w:r>
      <w:r w:rsidRPr="00871C3E">
        <w:rPr>
          <w:rStyle w:val="EndnoteReference"/>
        </w:rPr>
        <w:t xml:space="preserve"> </w:t>
      </w:r>
      <w:r w:rsidRPr="0077659B">
        <w:t>and overall governance. One of the important oversight functions of Parliament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w:t>
      </w:r>
      <w:r w:rsidR="006C52DC" w:rsidRPr="0077659B">
        <w:t>,</w:t>
      </w:r>
      <w:r w:rsidRPr="0077659B">
        <w:t xml:space="preserve"> as well as on the auditee’s compliance with legislation. </w:t>
      </w:r>
    </w:p>
    <w:p w:rsidR="00C22F2B" w:rsidRPr="0077659B" w:rsidRDefault="00C22F2B" w:rsidP="001E06E1">
      <w:pPr>
        <w:pStyle w:val="Numbernormal"/>
        <w:numPr>
          <w:ilvl w:val="0"/>
          <w:numId w:val="17"/>
        </w:numPr>
        <w:jc w:val="both"/>
      </w:pPr>
      <w:r w:rsidRPr="0077659B">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w:t>
      </w:r>
      <w:proofErr w:type="gramStart"/>
      <w:r w:rsidRPr="0077659B">
        <w:t>are implemented</w:t>
      </w:r>
      <w:proofErr w:type="gramEnd"/>
      <w:r w:rsidRPr="0077659B">
        <w:t xml:space="preserve">. </w:t>
      </w:r>
    </w:p>
    <w:p w:rsidR="00381C53" w:rsidRPr="0077659B" w:rsidRDefault="00C22F2B" w:rsidP="001E06E1">
      <w:pPr>
        <w:pStyle w:val="Numbernormal"/>
        <w:numPr>
          <w:ilvl w:val="0"/>
          <w:numId w:val="17"/>
        </w:numPr>
        <w:jc w:val="both"/>
      </w:pPr>
      <w:r w:rsidRPr="0077659B">
        <w:t>We assess the level of assurance provided by these assurance providers based on the status of internal controls (as reported in section</w:t>
      </w:r>
      <w:r w:rsidR="00F52458" w:rsidRPr="0077659B">
        <w:t xml:space="preserve"> </w:t>
      </w:r>
      <w:r w:rsidR="00D55037">
        <w:t>XX</w:t>
      </w:r>
      <w:r w:rsidRPr="0077659B">
        <w:t>) and the impact of the different role players on these controls. We provide our assessment for this audit cycle below.</w:t>
      </w:r>
      <w:bookmarkStart w:id="137" w:name="_Toc447106605"/>
    </w:p>
    <w:p w:rsidR="00722F26" w:rsidRPr="0077659B" w:rsidRDefault="00722F26" w:rsidP="001E06E1">
      <w:pPr>
        <w:pStyle w:val="Heading5"/>
        <w:jc w:val="both"/>
        <w:rPr>
          <w:rFonts w:eastAsia="Calibri"/>
        </w:rPr>
      </w:pPr>
      <w:r w:rsidRPr="0077659B">
        <w:t>Senior management</w:t>
      </w:r>
      <w:bookmarkEnd w:id="137"/>
      <w:r w:rsidR="00FE6B42" w:rsidRPr="0077659B">
        <w:t xml:space="preserve">: </w:t>
      </w:r>
      <w:r w:rsidR="00381C53" w:rsidRPr="0077659B">
        <w:t>p</w:t>
      </w:r>
      <w:r w:rsidRPr="0077659B">
        <w:t xml:space="preserve">rovides </w:t>
      </w:r>
      <w:r w:rsidRPr="0077659B">
        <w:rPr>
          <w:color w:val="C0504D"/>
        </w:rPr>
        <w:t>limited assurance</w:t>
      </w:r>
    </w:p>
    <w:p w:rsidR="00663656" w:rsidRDefault="00D55037" w:rsidP="001E06E1">
      <w:pPr>
        <w:pStyle w:val="Numbernormal"/>
        <w:numPr>
          <w:ilvl w:val="0"/>
          <w:numId w:val="17"/>
        </w:numPr>
        <w:jc w:val="both"/>
      </w:pPr>
      <w:r w:rsidRPr="00D55037">
        <w:t>The implementation of action plans by senior management were in certain instances not effective as it resulted in the department financial audit opinion regressing</w:t>
      </w:r>
      <w:r>
        <w:t>.</w:t>
      </w:r>
      <w:r w:rsidRPr="00D55037">
        <w:t xml:space="preserve"> </w:t>
      </w:r>
      <w:proofErr w:type="gramStart"/>
      <w:r w:rsidRPr="00D55037">
        <w:t>The is</w:t>
      </w:r>
      <w:proofErr w:type="gramEnd"/>
      <w:r w:rsidRPr="00D55037">
        <w:t xml:space="preserve"> a slight increase in the number of non-compliance paragraphs. These actions plans were not adequate and were not implemented timeously to improve the outcome of the</w:t>
      </w:r>
      <w:bookmarkStart w:id="138" w:name="_Toc447106606"/>
      <w:r w:rsidR="00846AA6">
        <w:t xml:space="preserve"> audit of predetermined </w:t>
      </w:r>
      <w:proofErr w:type="spellStart"/>
      <w:proofErr w:type="gramStart"/>
      <w:r w:rsidR="00846AA6">
        <w:t>objectiv</w:t>
      </w:r>
      <w:proofErr w:type="spellEnd"/>
      <w:r w:rsidR="00663656">
        <w:t xml:space="preserve"> which</w:t>
      </w:r>
      <w:proofErr w:type="gramEnd"/>
      <w:r w:rsidR="00663656">
        <w:t xml:space="preserve"> remains a qualification.</w:t>
      </w:r>
    </w:p>
    <w:p w:rsidR="00722F26" w:rsidRPr="0077659B" w:rsidRDefault="00722F26" w:rsidP="001E06E1">
      <w:pPr>
        <w:pStyle w:val="Heading5"/>
        <w:jc w:val="both"/>
      </w:pPr>
      <w:r w:rsidRPr="0077659B">
        <w:t>Accounting officer</w:t>
      </w:r>
      <w:bookmarkEnd w:id="138"/>
      <w:r w:rsidR="00663656">
        <w:t xml:space="preserve">: provides </w:t>
      </w:r>
      <w:r w:rsidR="00663656">
        <w:rPr>
          <w:color w:val="C0504D"/>
        </w:rPr>
        <w:t>limited assurance</w:t>
      </w:r>
    </w:p>
    <w:p w:rsidR="00722F26" w:rsidRDefault="00D55037" w:rsidP="001E06E1">
      <w:pPr>
        <w:pStyle w:val="Numbernormal"/>
        <w:numPr>
          <w:ilvl w:val="0"/>
          <w:numId w:val="17"/>
        </w:numPr>
        <w:jc w:val="both"/>
      </w:pPr>
      <w:r w:rsidRPr="00D55037">
        <w:t xml:space="preserve">The accounting officer has put initiatives in place to provide assurance. The focus </w:t>
      </w:r>
      <w:proofErr w:type="gramStart"/>
      <w:r w:rsidRPr="00D55037">
        <w:t>should be placed</w:t>
      </w:r>
      <w:proofErr w:type="gramEnd"/>
      <w:r w:rsidRPr="00D55037">
        <w:t xml:space="preserve"> on ensuring that these initiatives are monitored regularly and management is held accountable where weaknesses are identified. Some of the interventions did not take place timeously, which contributed to the recurrence of the negative audit outcomes on performance information as well regression in the financial audit opinion. </w:t>
      </w:r>
      <w:r w:rsidR="00722F26" w:rsidRPr="0077659B">
        <w:t xml:space="preserve"> </w:t>
      </w:r>
    </w:p>
    <w:p w:rsidR="001B6284" w:rsidRPr="0077659B" w:rsidRDefault="001B6284" w:rsidP="001E06E1">
      <w:pPr>
        <w:pStyle w:val="Numbernormal"/>
        <w:numPr>
          <w:ilvl w:val="0"/>
          <w:numId w:val="17"/>
        </w:numPr>
        <w:jc w:val="both"/>
      </w:pPr>
      <w:r>
        <w:t xml:space="preserve">The accounting officer did not implement all the appropriate actions he committed in response to the material irregularity notification on state events expenditure exceeding the contract amount. </w:t>
      </w:r>
    </w:p>
    <w:p w:rsidR="00722F26" w:rsidRPr="0077659B" w:rsidRDefault="00722F26" w:rsidP="001E06E1">
      <w:pPr>
        <w:pStyle w:val="Heading5"/>
        <w:jc w:val="both"/>
      </w:pPr>
      <w:r w:rsidRPr="0077659B">
        <w:lastRenderedPageBreak/>
        <w:t>Executive authority</w:t>
      </w:r>
      <w:r w:rsidR="00FE6B42" w:rsidRPr="0077659B">
        <w:t xml:space="preserve"> </w:t>
      </w:r>
      <w:r w:rsidR="000142F4" w:rsidRPr="0077659B">
        <w:t>p</w:t>
      </w:r>
      <w:r w:rsidRPr="0077659B">
        <w:t xml:space="preserve">rovides </w:t>
      </w:r>
      <w:r w:rsidR="001B6284" w:rsidRPr="0077659B">
        <w:rPr>
          <w:color w:val="00B050"/>
        </w:rPr>
        <w:t>assurance</w:t>
      </w:r>
      <w:r w:rsidR="001B6284">
        <w:rPr>
          <w:color w:val="00B050"/>
        </w:rPr>
        <w:t xml:space="preserve"> </w:t>
      </w:r>
    </w:p>
    <w:p w:rsidR="00722F26" w:rsidRDefault="00D55037" w:rsidP="001E06E1">
      <w:pPr>
        <w:pStyle w:val="Numbernormal"/>
        <w:numPr>
          <w:ilvl w:val="0"/>
          <w:numId w:val="17"/>
        </w:numPr>
        <w:jc w:val="both"/>
      </w:pPr>
      <w:r w:rsidRPr="00D55037">
        <w:t>The executive authority has been receptive to recommendations from the auditors, and the Minister should continue to engage with the different assurance providers of the department for continuous monitoring of commitments made toward improving audit outcomes of the department.</w:t>
      </w:r>
      <w:r w:rsidR="00722F26" w:rsidRPr="0077659B">
        <w:t xml:space="preserve"> </w:t>
      </w:r>
      <w:r w:rsidR="00877FDF">
        <w:t xml:space="preserve">The minister was receptive to the issues communicated on special audit report 1 and 2, took a compliance approach to speedily </w:t>
      </w:r>
      <w:proofErr w:type="spellStart"/>
      <w:r w:rsidR="00877FDF">
        <w:t>resolfve</w:t>
      </w:r>
      <w:proofErr w:type="spellEnd"/>
      <w:r w:rsidR="00877FDF">
        <w:t xml:space="preserve"> audit issues and hold responsible officials accountable. She also initiated compulsory training on the PAA amendments for all the executives to enforce the culture of performance with the understanding of the </w:t>
      </w:r>
      <w:proofErr w:type="spellStart"/>
      <w:r w:rsidR="00877FDF">
        <w:t>repercursions</w:t>
      </w:r>
      <w:proofErr w:type="spellEnd"/>
      <w:r w:rsidR="00877FDF">
        <w:t xml:space="preserve"> of non- compliance. </w:t>
      </w:r>
    </w:p>
    <w:p w:rsidR="00722F26" w:rsidRPr="0077659B" w:rsidRDefault="00722F26" w:rsidP="001E06E1">
      <w:pPr>
        <w:pStyle w:val="Heading5"/>
        <w:jc w:val="both"/>
      </w:pPr>
      <w:bookmarkStart w:id="139" w:name="_Toc447106608"/>
      <w:r w:rsidRPr="0077659B">
        <w:t>Internal audit</w:t>
      </w:r>
      <w:bookmarkEnd w:id="139"/>
      <w:r w:rsidR="00663656">
        <w:t>:</w:t>
      </w:r>
      <w:r w:rsidR="00FE6B42" w:rsidRPr="0077659B">
        <w:t xml:space="preserve"> provides</w:t>
      </w:r>
      <w:r w:rsidR="00FE6B42" w:rsidRPr="0077659B">
        <w:rPr>
          <w:color w:val="00B050"/>
        </w:rPr>
        <w:t xml:space="preserve"> assurance</w:t>
      </w:r>
    </w:p>
    <w:p w:rsidR="00722F26" w:rsidRPr="0077659B" w:rsidRDefault="00722F26" w:rsidP="001E06E1">
      <w:pPr>
        <w:pStyle w:val="Numbernormal"/>
        <w:numPr>
          <w:ilvl w:val="0"/>
          <w:numId w:val="17"/>
        </w:numPr>
        <w:jc w:val="both"/>
      </w:pPr>
      <w:r w:rsidRPr="0077659B">
        <w:t xml:space="preserve">Legislation in South Africa requires the establishment, roles and responsibilities of internal audit units. Internal audit units form part of the internal control and governance structures of the </w:t>
      </w:r>
      <w:r w:rsidR="00D55037">
        <w:t>department</w:t>
      </w:r>
      <w:r w:rsidRPr="0077659B">
        <w:t xml:space="preserve"> and play an important role in its monitoring activities. Internal audit provides an independent assessment of the </w:t>
      </w:r>
      <w:r w:rsidR="00D55037">
        <w:t>department</w:t>
      </w:r>
      <w:r w:rsidR="006B1D3E" w:rsidRPr="0077659B">
        <w:t>’s</w:t>
      </w:r>
      <w:r w:rsidRPr="0077659B">
        <w:t xml:space="preserve"> governance, risk management and internal control processes.</w:t>
      </w:r>
    </w:p>
    <w:p w:rsidR="00722F26" w:rsidRPr="0077659B" w:rsidRDefault="00722F26" w:rsidP="001E06E1">
      <w:pPr>
        <w:pStyle w:val="Numbernormal"/>
        <w:numPr>
          <w:ilvl w:val="0"/>
          <w:numId w:val="17"/>
        </w:numPr>
        <w:jc w:val="both"/>
      </w:pPr>
      <w:r w:rsidRPr="0077659B">
        <w:t xml:space="preserve">The internal audit unit of </w:t>
      </w:r>
      <w:r w:rsidR="006B1D3E" w:rsidRPr="0077659B">
        <w:t xml:space="preserve">the </w:t>
      </w:r>
      <w:r w:rsidR="00D55037">
        <w:t>department</w:t>
      </w:r>
      <w:r w:rsidRPr="0077659B">
        <w:t xml:space="preserve"> must prepare a risk-based audit plan and internal audit programme for each financial year. It must advise the </w:t>
      </w:r>
      <w:r w:rsidR="00881F76">
        <w:t>accounting officer</w:t>
      </w:r>
      <w:r w:rsidRPr="0077659B">
        <w:t xml:space="preserve"> and report to the audit committee on </w:t>
      </w:r>
      <w:r w:rsidR="000262C0" w:rsidRPr="0077659B">
        <w:t xml:space="preserve">the implementation of </w:t>
      </w:r>
      <w:r w:rsidRPr="0077659B">
        <w:t>the internal audit plan and matters relating to internal audit</w:t>
      </w:r>
      <w:r w:rsidR="000262C0" w:rsidRPr="0077659B">
        <w:t>,</w:t>
      </w:r>
      <w:r w:rsidRPr="0077659B">
        <w:t xml:space="preserve"> internal controls</w:t>
      </w:r>
      <w:r w:rsidR="000262C0" w:rsidRPr="0077659B">
        <w:t>,</w:t>
      </w:r>
      <w:r w:rsidRPr="0077659B">
        <w:t xml:space="preserve"> accounting procedures and practices</w:t>
      </w:r>
      <w:r w:rsidR="000262C0" w:rsidRPr="0077659B">
        <w:t>,</w:t>
      </w:r>
      <w:r w:rsidRPr="0077659B">
        <w:t xml:space="preserve"> risk and risk management</w:t>
      </w:r>
      <w:r w:rsidR="000262C0" w:rsidRPr="0077659B">
        <w:t>,</w:t>
      </w:r>
      <w:r w:rsidRPr="0077659B">
        <w:t xml:space="preserve"> performance management</w:t>
      </w:r>
      <w:r w:rsidR="000262C0" w:rsidRPr="0077659B">
        <w:t>,</w:t>
      </w:r>
      <w:r w:rsidRPr="0077659B">
        <w:t xml:space="preserve"> loss con</w:t>
      </w:r>
      <w:r w:rsidR="00D505CC" w:rsidRPr="0077659B">
        <w:t>trol and compliance with the P</w:t>
      </w:r>
      <w:r w:rsidRPr="0077659B">
        <w:t xml:space="preserve">FMA. The internal audit unit must also perform such other duties as may be assigned by the </w:t>
      </w:r>
      <w:r w:rsidR="00881F76">
        <w:t>accounting officer</w:t>
      </w:r>
      <w:r w:rsidRPr="0077659B">
        <w:t>.</w:t>
      </w:r>
    </w:p>
    <w:p w:rsidR="00722F26" w:rsidRPr="0077659B" w:rsidRDefault="00D55037" w:rsidP="001E06E1">
      <w:pPr>
        <w:pStyle w:val="Numbernormal"/>
        <w:numPr>
          <w:ilvl w:val="0"/>
          <w:numId w:val="17"/>
        </w:numPr>
        <w:jc w:val="both"/>
      </w:pPr>
      <w:r>
        <w:t>The internal audit unit effectively discharges its duties and responsibilities, however, the full extent or benefit will be realised once management effectively and timeously implements the recommendations from the</w:t>
      </w:r>
      <w:r w:rsidR="00663656">
        <w:t xml:space="preserve"> outcomes of these audits.</w:t>
      </w:r>
    </w:p>
    <w:p w:rsidR="00722F26" w:rsidRPr="0077659B" w:rsidRDefault="00722F26" w:rsidP="001E06E1">
      <w:pPr>
        <w:pStyle w:val="Heading5"/>
        <w:jc w:val="both"/>
      </w:pPr>
      <w:bookmarkStart w:id="140" w:name="_Toc447106609"/>
      <w:r w:rsidRPr="0077659B">
        <w:t>Audit committee</w:t>
      </w:r>
      <w:bookmarkEnd w:id="140"/>
      <w:r w:rsidR="00FE6B42" w:rsidRPr="0077659B">
        <w:t>: pr</w:t>
      </w:r>
      <w:r w:rsidRPr="0077659B">
        <w:t xml:space="preserve">ovides </w:t>
      </w:r>
      <w:r w:rsidRPr="00871C3E">
        <w:rPr>
          <w:color w:val="00B050"/>
        </w:rPr>
        <w:t>assurance</w:t>
      </w:r>
    </w:p>
    <w:p w:rsidR="00722F26" w:rsidRPr="0077659B" w:rsidRDefault="00722F26" w:rsidP="001E06E1">
      <w:pPr>
        <w:pStyle w:val="Numbernormal"/>
        <w:numPr>
          <w:ilvl w:val="0"/>
          <w:numId w:val="17"/>
        </w:numPr>
        <w:jc w:val="both"/>
      </w:pPr>
      <w:proofErr w:type="gramStart"/>
      <w:r w:rsidRPr="0077659B">
        <w:t xml:space="preserve">The audit committee is an independent advisory body to the </w:t>
      </w:r>
      <w:r w:rsidR="00881F76">
        <w:t>accounting officer</w:t>
      </w:r>
      <w:r w:rsidRPr="0077659B">
        <w:t xml:space="preserve"> and the management and staff of the department on matters relating to internal financial control and internal audits; risk management; accounting policies; adequacy, reliability and accuracy of financial reporting and information; performance management; effective governance; the PFMA, </w:t>
      </w:r>
      <w:r w:rsidR="00AA3B58" w:rsidRPr="0077659B">
        <w:t>T</w:t>
      </w:r>
      <w:r w:rsidRPr="0077659B">
        <w:t xml:space="preserve">reasury </w:t>
      </w:r>
      <w:r w:rsidR="00AA3B58" w:rsidRPr="0077659B">
        <w:t>R</w:t>
      </w:r>
      <w:r w:rsidRPr="0077659B">
        <w:t xml:space="preserve">egulations </w:t>
      </w:r>
      <w:r w:rsidR="008304A3" w:rsidRPr="0077659B">
        <w:t xml:space="preserve"> </w:t>
      </w:r>
      <w:r w:rsidRPr="0077659B">
        <w:t>and any other applicable legislation; performance evaluation and any other issues.</w:t>
      </w:r>
      <w:proofErr w:type="gramEnd"/>
      <w:r w:rsidRPr="0077659B">
        <w:t xml:space="preserve"> </w:t>
      </w:r>
    </w:p>
    <w:p w:rsidR="00D55037" w:rsidRDefault="00722F26" w:rsidP="001E06E1">
      <w:pPr>
        <w:pStyle w:val="Numbernormal"/>
        <w:numPr>
          <w:ilvl w:val="0"/>
          <w:numId w:val="17"/>
        </w:numPr>
        <w:jc w:val="both"/>
      </w:pPr>
      <w:r w:rsidRPr="0077659B">
        <w:t xml:space="preserve">The audit committee </w:t>
      </w:r>
      <w:proofErr w:type="gramStart"/>
      <w:r w:rsidRPr="0077659B">
        <w:t>is also expected</w:t>
      </w:r>
      <w:proofErr w:type="gramEnd"/>
      <w:r w:rsidRPr="0077659B">
        <w:t xml:space="preserve"> to review the annual financial statements to provide an authoritative and credible view of the </w:t>
      </w:r>
      <w:r w:rsidR="00D55037">
        <w:t>department</w:t>
      </w:r>
      <w:r w:rsidRPr="0077659B">
        <w:t>, its efficiency and effectiveness and its overall level of compliance with the applicable legislation.</w:t>
      </w:r>
    </w:p>
    <w:p w:rsidR="00D55037" w:rsidRDefault="00D55037" w:rsidP="001E06E1">
      <w:pPr>
        <w:pStyle w:val="Numbernormal"/>
        <w:numPr>
          <w:ilvl w:val="0"/>
          <w:numId w:val="17"/>
        </w:numPr>
        <w:jc w:val="both"/>
      </w:pPr>
      <w:r>
        <w:t>The audit committee met regularly throughout the year. The committee reviewed and approved the annual financial statements and annual reports before submission. The audit the committee also follows up with management on the implementation of internal and external audit recommendations.</w:t>
      </w:r>
    </w:p>
    <w:p w:rsidR="00722F26" w:rsidRPr="0077659B" w:rsidRDefault="00722F26" w:rsidP="001E06E1">
      <w:pPr>
        <w:pStyle w:val="Bulletedlist"/>
        <w:numPr>
          <w:ilvl w:val="0"/>
          <w:numId w:val="0"/>
        </w:numPr>
        <w:ind w:left="568"/>
        <w:jc w:val="both"/>
      </w:pPr>
      <w:r w:rsidRPr="0077659B">
        <w:t xml:space="preserve"> </w:t>
      </w:r>
    </w:p>
    <w:p w:rsidR="00C22F2B" w:rsidRPr="00BB6EEC" w:rsidRDefault="006C0DAE" w:rsidP="001E06E1">
      <w:pPr>
        <w:pStyle w:val="Heading3"/>
        <w:jc w:val="both"/>
        <w:rPr>
          <w:lang w:val="en-ZA"/>
        </w:rPr>
      </w:pPr>
      <w:bookmarkStart w:id="141" w:name="Back33"/>
      <w:bookmarkStart w:id="142" w:name="_Toc447106610"/>
      <w:bookmarkStart w:id="143" w:name="_Toc77816784"/>
      <w:bookmarkEnd w:id="141"/>
      <w:r w:rsidRPr="00BB6EEC">
        <w:rPr>
          <w:lang w:val="en-ZA"/>
        </w:rPr>
        <w:lastRenderedPageBreak/>
        <w:t>STATUS OF IMPLEMENTING COMMITMENTS AND RECOMMENDATIONS</w:t>
      </w:r>
      <w:bookmarkEnd w:id="142"/>
      <w:bookmarkEnd w:id="143"/>
    </w:p>
    <w:p w:rsidR="00C22F2B" w:rsidRPr="0077659B" w:rsidRDefault="00D55037" w:rsidP="001E06E1">
      <w:pPr>
        <w:pStyle w:val="Numbernormal"/>
        <w:numPr>
          <w:ilvl w:val="0"/>
          <w:numId w:val="17"/>
        </w:numPr>
        <w:jc w:val="both"/>
      </w:pPr>
      <w:r w:rsidRPr="00D55037">
        <w:t>Below is our assessment of the progress in implementing the commitments made by the department to address the prior and current year’s audit findings.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3805"/>
        <w:gridCol w:w="1492"/>
        <w:gridCol w:w="1556"/>
        <w:gridCol w:w="1949"/>
      </w:tblGrid>
      <w:tr w:rsidR="00877FDF" w:rsidRPr="0077659B" w:rsidTr="001B6284">
        <w:tc>
          <w:tcPr>
            <w:tcW w:w="429" w:type="pct"/>
            <w:shd w:val="clear" w:color="auto" w:fill="A6A6A6" w:themeFill="background1" w:themeFillShade="A6"/>
          </w:tcPr>
          <w:p w:rsidR="001B6284" w:rsidRPr="0077659B" w:rsidRDefault="001B6284" w:rsidP="001E06E1">
            <w:pPr>
              <w:pStyle w:val="NoSpacing"/>
              <w:jc w:val="both"/>
            </w:pPr>
            <w:r w:rsidRPr="0077659B">
              <w:t>No.</w:t>
            </w:r>
          </w:p>
        </w:tc>
        <w:tc>
          <w:tcPr>
            <w:tcW w:w="1976" w:type="pct"/>
            <w:shd w:val="clear" w:color="auto" w:fill="A6A6A6" w:themeFill="background1" w:themeFillShade="A6"/>
          </w:tcPr>
          <w:p w:rsidR="001B6284" w:rsidRPr="0077659B" w:rsidRDefault="001B6284" w:rsidP="001E06E1">
            <w:pPr>
              <w:pStyle w:val="NoSpacing"/>
              <w:jc w:val="both"/>
            </w:pPr>
            <w:r w:rsidRPr="0077659B">
              <w:t>Commitment</w:t>
            </w:r>
          </w:p>
        </w:tc>
        <w:tc>
          <w:tcPr>
            <w:tcW w:w="775" w:type="pct"/>
            <w:shd w:val="clear" w:color="auto" w:fill="A6A6A6" w:themeFill="background1" w:themeFillShade="A6"/>
          </w:tcPr>
          <w:p w:rsidR="001B6284" w:rsidRPr="0077659B" w:rsidRDefault="001B6284" w:rsidP="001E06E1">
            <w:pPr>
              <w:pStyle w:val="NoSpacing"/>
              <w:jc w:val="both"/>
            </w:pPr>
            <w:r w:rsidRPr="0077659B">
              <w:t>Made by</w:t>
            </w:r>
          </w:p>
        </w:tc>
        <w:tc>
          <w:tcPr>
            <w:tcW w:w="808" w:type="pct"/>
            <w:shd w:val="clear" w:color="auto" w:fill="A6A6A6" w:themeFill="background1" w:themeFillShade="A6"/>
          </w:tcPr>
          <w:p w:rsidR="001B6284" w:rsidRPr="0077659B" w:rsidRDefault="001B6284" w:rsidP="001E06E1">
            <w:pPr>
              <w:pStyle w:val="NoSpacing"/>
              <w:jc w:val="both"/>
            </w:pPr>
            <w:r>
              <w:t>Auditors comments</w:t>
            </w:r>
          </w:p>
        </w:tc>
        <w:tc>
          <w:tcPr>
            <w:tcW w:w="1012" w:type="pct"/>
            <w:shd w:val="clear" w:color="auto" w:fill="A6A6A6" w:themeFill="background1" w:themeFillShade="A6"/>
          </w:tcPr>
          <w:p w:rsidR="001B6284" w:rsidRPr="0077659B" w:rsidRDefault="001B6284" w:rsidP="001E06E1">
            <w:pPr>
              <w:pStyle w:val="NoSpacing"/>
              <w:jc w:val="both"/>
            </w:pPr>
            <w:r w:rsidRPr="0077659B">
              <w:t>Status</w:t>
            </w:r>
          </w:p>
        </w:tc>
      </w:tr>
      <w:tr w:rsidR="00877FDF" w:rsidRPr="0077659B" w:rsidTr="001B6284">
        <w:tc>
          <w:tcPr>
            <w:tcW w:w="429" w:type="pct"/>
          </w:tcPr>
          <w:p w:rsidR="001B6284" w:rsidRPr="00BB6EEC" w:rsidRDefault="001B6284" w:rsidP="001E06E1">
            <w:pPr>
              <w:pStyle w:val="Tabletext"/>
              <w:jc w:val="both"/>
              <w:rPr>
                <w:lang w:val="en-ZA"/>
              </w:rPr>
            </w:pPr>
          </w:p>
        </w:tc>
        <w:tc>
          <w:tcPr>
            <w:tcW w:w="1976" w:type="pct"/>
          </w:tcPr>
          <w:p w:rsidR="001B6284" w:rsidRDefault="001B6284" w:rsidP="001E06E1">
            <w:pPr>
              <w:autoSpaceDE w:val="0"/>
              <w:autoSpaceDN w:val="0"/>
              <w:adjustRightInd w:val="0"/>
              <w:spacing w:after="0" w:line="240" w:lineRule="auto"/>
              <w:jc w:val="both"/>
              <w:rPr>
                <w:rFonts w:ascii="CIDFont+F2" w:hAnsi="CIDFont+F2" w:cs="CIDFont+F2"/>
                <w:sz w:val="17"/>
                <w:szCs w:val="17"/>
              </w:rPr>
            </w:pPr>
            <w:r>
              <w:rPr>
                <w:rFonts w:ascii="CIDFont+F2" w:hAnsi="CIDFont+F2" w:cs="CIDFont+F2"/>
                <w:sz w:val="17"/>
                <w:szCs w:val="17"/>
              </w:rPr>
              <w:t>Incorrect classification of expenditure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 Payments to be verified prior to processing to</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ensure full compliance;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b) Monthly review of the expenditure, and</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processing</w:t>
            </w:r>
            <w:proofErr w:type="gramEnd"/>
            <w:r>
              <w:rPr>
                <w:rFonts w:ascii="CIDFont+F4" w:hAnsi="CIDFont+F4" w:cs="CIDFont+F4"/>
                <w:sz w:val="17"/>
                <w:szCs w:val="17"/>
              </w:rPr>
              <w:t xml:space="preserve"> of journals t</w:t>
            </w:r>
            <w:r w:rsidR="00846AA6">
              <w:rPr>
                <w:rFonts w:ascii="CIDFont+F4" w:hAnsi="CIDFont+F4" w:cs="CIDFont+F4"/>
                <w:sz w:val="17"/>
                <w:szCs w:val="17"/>
              </w:rPr>
              <w:t xml:space="preserve">o ensure correction of all </w:t>
            </w:r>
            <w:r>
              <w:rPr>
                <w:rFonts w:ascii="CIDFont+F4" w:hAnsi="CIDFont+F4" w:cs="CIDFont+F4"/>
                <w:sz w:val="17"/>
                <w:szCs w:val="17"/>
              </w:rPr>
              <w:t>misallocations. All</w:t>
            </w:r>
            <w:r w:rsidR="00846AA6">
              <w:rPr>
                <w:rFonts w:ascii="CIDFont+F4" w:hAnsi="CIDFont+F4" w:cs="CIDFont+F4"/>
                <w:sz w:val="17"/>
                <w:szCs w:val="17"/>
              </w:rPr>
              <w:t xml:space="preserve"> expenditure misallocation from </w:t>
            </w:r>
            <w:r>
              <w:rPr>
                <w:rFonts w:ascii="CIDFont+F4" w:hAnsi="CIDFont+F4" w:cs="CIDFont+F4"/>
                <w:sz w:val="17"/>
                <w:szCs w:val="17"/>
              </w:rPr>
              <w:t>April 2019 are b</w:t>
            </w:r>
            <w:r w:rsidR="00846AA6">
              <w:rPr>
                <w:rFonts w:ascii="CIDFont+F4" w:hAnsi="CIDFont+F4" w:cs="CIDFont+F4"/>
                <w:sz w:val="17"/>
                <w:szCs w:val="17"/>
              </w:rPr>
              <w:t xml:space="preserve">eing corrected through journals </w:t>
            </w:r>
            <w:r>
              <w:rPr>
                <w:rFonts w:ascii="CIDFont+F4" w:hAnsi="CIDFont+F4" w:cs="CIDFont+F4"/>
                <w:sz w:val="17"/>
                <w:szCs w:val="17"/>
              </w:rPr>
              <w:t>and the project i</w:t>
            </w:r>
            <w:r w:rsidR="00846AA6">
              <w:rPr>
                <w:rFonts w:ascii="CIDFont+F4" w:hAnsi="CIDFont+F4" w:cs="CIDFont+F4"/>
                <w:sz w:val="17"/>
                <w:szCs w:val="17"/>
              </w:rPr>
              <w:t xml:space="preserve">s estimated to be completed the </w:t>
            </w:r>
            <w:r>
              <w:rPr>
                <w:rFonts w:ascii="CIDFont+F4" w:hAnsi="CIDFont+F4" w:cs="CIDFont+F4"/>
                <w:sz w:val="17"/>
                <w:szCs w:val="17"/>
              </w:rPr>
              <w:t>end of September 2019;</w:t>
            </w:r>
          </w:p>
          <w:p w:rsidR="001B6284" w:rsidRPr="00846AA6"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c) Regular checkin</w:t>
            </w:r>
            <w:r w:rsidR="00846AA6">
              <w:rPr>
                <w:rFonts w:ascii="CIDFont+F4" w:hAnsi="CIDFont+F4" w:cs="CIDFont+F4"/>
                <w:sz w:val="17"/>
                <w:szCs w:val="17"/>
              </w:rPr>
              <w:t xml:space="preserve">g of the new Practise notes for </w:t>
            </w:r>
            <w:r>
              <w:rPr>
                <w:rFonts w:ascii="CIDFont+F4" w:hAnsi="CIDFont+F4" w:cs="CIDFont+F4"/>
                <w:sz w:val="17"/>
                <w:szCs w:val="17"/>
              </w:rPr>
              <w:t>implementati</w:t>
            </w:r>
            <w:r w:rsidR="00846AA6">
              <w:rPr>
                <w:rFonts w:ascii="CIDFont+F4" w:hAnsi="CIDFont+F4" w:cs="CIDFont+F4"/>
                <w:sz w:val="17"/>
                <w:szCs w:val="17"/>
              </w:rPr>
              <w:t xml:space="preserve">on. Communication regarding the </w:t>
            </w:r>
            <w:r>
              <w:rPr>
                <w:rFonts w:ascii="CIDFont+F4" w:hAnsi="CIDFont+F4" w:cs="CIDFont+F4"/>
                <w:sz w:val="17"/>
                <w:szCs w:val="17"/>
              </w:rPr>
              <w:t>expenditure items changes to be sent</w:t>
            </w:r>
          </w:p>
        </w:tc>
        <w:tc>
          <w:tcPr>
            <w:tcW w:w="775" w:type="pct"/>
          </w:tcPr>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M. Sithole (Chief</w:t>
            </w:r>
          </w:p>
          <w:p w:rsidR="001B6284" w:rsidRPr="00BB6EEC" w:rsidRDefault="001B6284" w:rsidP="001E06E1">
            <w:pPr>
              <w:pStyle w:val="Tabletext"/>
              <w:jc w:val="both"/>
              <w:rPr>
                <w:lang w:val="en-ZA"/>
              </w:rPr>
            </w:pPr>
            <w:r>
              <w:rPr>
                <w:rFonts w:ascii="CIDFont+F4" w:hAnsi="CIDFont+F4" w:cs="CIDFont+F4"/>
                <w:sz w:val="17"/>
                <w:szCs w:val="17"/>
              </w:rPr>
              <w:t>Financial Officer)</w:t>
            </w:r>
          </w:p>
        </w:tc>
        <w:tc>
          <w:tcPr>
            <w:tcW w:w="808" w:type="pct"/>
          </w:tcPr>
          <w:p w:rsidR="001B6284" w:rsidRPr="00BB6EEC" w:rsidRDefault="001B6284" w:rsidP="001E06E1">
            <w:pPr>
              <w:pStyle w:val="Tabletext"/>
              <w:jc w:val="both"/>
              <w:rPr>
                <w:lang w:val="en-ZA"/>
              </w:rPr>
            </w:pPr>
            <w:r>
              <w:rPr>
                <w:lang w:val="en-ZA"/>
              </w:rPr>
              <w:t>One instance of misstatement was identified</w:t>
            </w:r>
          </w:p>
        </w:tc>
        <w:tc>
          <w:tcPr>
            <w:tcW w:w="1012" w:type="pct"/>
          </w:tcPr>
          <w:p w:rsidR="001B6284" w:rsidRPr="00BB6EEC" w:rsidRDefault="001B6284" w:rsidP="001E06E1">
            <w:pPr>
              <w:pStyle w:val="Tabletext"/>
              <w:jc w:val="both"/>
              <w:rPr>
                <w:lang w:val="en-ZA"/>
              </w:rPr>
            </w:pPr>
            <w:r>
              <w:rPr>
                <w:lang w:val="en-ZA"/>
              </w:rPr>
              <w:t>In progress</w:t>
            </w:r>
          </w:p>
        </w:tc>
      </w:tr>
      <w:tr w:rsidR="00877FDF" w:rsidRPr="0077659B" w:rsidTr="001B6284">
        <w:tc>
          <w:tcPr>
            <w:tcW w:w="429" w:type="pct"/>
          </w:tcPr>
          <w:p w:rsidR="001B6284" w:rsidRPr="00BB6EEC" w:rsidRDefault="001B6284" w:rsidP="001E06E1">
            <w:pPr>
              <w:pStyle w:val="Tabletext"/>
              <w:jc w:val="both"/>
              <w:rPr>
                <w:lang w:val="en-ZA"/>
              </w:rPr>
            </w:pPr>
          </w:p>
        </w:tc>
        <w:tc>
          <w:tcPr>
            <w:tcW w:w="1976" w:type="pct"/>
          </w:tcPr>
          <w:p w:rsidR="001B6284" w:rsidRDefault="001B6284" w:rsidP="001E06E1">
            <w:pPr>
              <w:autoSpaceDE w:val="0"/>
              <w:autoSpaceDN w:val="0"/>
              <w:adjustRightInd w:val="0"/>
              <w:spacing w:after="0" w:line="240" w:lineRule="auto"/>
              <w:jc w:val="both"/>
              <w:rPr>
                <w:rFonts w:ascii="CIDFont+F2" w:hAnsi="CIDFont+F2" w:cs="CIDFont+F2"/>
                <w:sz w:val="17"/>
                <w:szCs w:val="17"/>
              </w:rPr>
            </w:pPr>
            <w:r>
              <w:rPr>
                <w:rFonts w:ascii="CIDFont+F2" w:hAnsi="CIDFont+F2" w:cs="CIDFont+F2"/>
                <w:sz w:val="17"/>
                <w:szCs w:val="17"/>
              </w:rPr>
              <w:t>The KPIs and targets were not measurable due</w:t>
            </w:r>
          </w:p>
          <w:p w:rsidR="001B6284" w:rsidRDefault="001B6284" w:rsidP="001E06E1">
            <w:pPr>
              <w:autoSpaceDE w:val="0"/>
              <w:autoSpaceDN w:val="0"/>
              <w:adjustRightInd w:val="0"/>
              <w:spacing w:after="0" w:line="240" w:lineRule="auto"/>
              <w:jc w:val="both"/>
              <w:rPr>
                <w:rFonts w:ascii="CIDFont+F2" w:hAnsi="CIDFont+F2" w:cs="CIDFont+F2"/>
                <w:sz w:val="17"/>
                <w:szCs w:val="17"/>
              </w:rPr>
            </w:pPr>
            <w:proofErr w:type="gramStart"/>
            <w:r>
              <w:rPr>
                <w:rFonts w:ascii="CIDFont+F2" w:hAnsi="CIDFont+F2" w:cs="CIDFont+F2"/>
                <w:sz w:val="17"/>
                <w:szCs w:val="17"/>
              </w:rPr>
              <w:t>to</w:t>
            </w:r>
            <w:proofErr w:type="gramEnd"/>
            <w:r>
              <w:rPr>
                <w:rFonts w:ascii="CIDFont+F2" w:hAnsi="CIDFont+F2" w:cs="CIDFont+F2"/>
                <w:sz w:val="17"/>
                <w:szCs w:val="17"/>
              </w:rPr>
              <w:t xml:space="preserve"> inadequate records management.</w:t>
            </w:r>
          </w:p>
          <w:p w:rsidR="001B6284" w:rsidRDefault="001B6284" w:rsidP="001E06E1">
            <w:pPr>
              <w:autoSpaceDE w:val="0"/>
              <w:autoSpaceDN w:val="0"/>
              <w:adjustRightInd w:val="0"/>
              <w:spacing w:after="0" w:line="240" w:lineRule="auto"/>
              <w:jc w:val="both"/>
              <w:rPr>
                <w:rFonts w:ascii="CIDFont+F11" w:hAnsi="CIDFont+F11" w:cs="CIDFont+F11"/>
                <w:sz w:val="17"/>
                <w:szCs w:val="17"/>
              </w:rPr>
            </w:pPr>
            <w:r>
              <w:rPr>
                <w:rFonts w:ascii="CIDFont+F11" w:hAnsi="CIDFont+F11" w:cs="CIDFont+F11"/>
                <w:sz w:val="17"/>
                <w:szCs w:val="17"/>
              </w:rPr>
              <w:t>Expanded Public Works Programme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 To conduct Public Body Visits throughout the</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year</w:t>
            </w:r>
            <w:proofErr w:type="gramEnd"/>
            <w:r>
              <w:rPr>
                <w:rFonts w:ascii="CIDFont+F4" w:hAnsi="CIDFont+F4" w:cs="CIDFont+F4"/>
                <w:sz w:val="17"/>
                <w:szCs w:val="17"/>
              </w:rPr>
              <w:t xml:space="preserve"> in the format of mini audits. These visits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focus on the public body, rather than specific</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projects, to ensure public bodies with recurring</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audit</w:t>
            </w:r>
            <w:proofErr w:type="gramEnd"/>
            <w:r>
              <w:rPr>
                <w:rFonts w:ascii="CIDFont+F4" w:hAnsi="CIDFont+F4" w:cs="CIDFont+F4"/>
                <w:sz w:val="17"/>
                <w:szCs w:val="17"/>
              </w:rPr>
              <w:t xml:space="preserve"> findings are assisted.</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b) To manage an Intervention Register of all noncompliance</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issues</w:t>
            </w:r>
            <w:proofErr w:type="gramEnd"/>
            <w:r>
              <w:rPr>
                <w:rFonts w:ascii="CIDFont+F4" w:hAnsi="CIDFont+F4" w:cs="CIDFont+F4"/>
                <w:sz w:val="17"/>
                <w:szCs w:val="17"/>
              </w:rPr>
              <w:t xml:space="preserve"> noted at these visits. In this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register responsibility for and timelines for</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resolution</w:t>
            </w:r>
            <w:proofErr w:type="gramEnd"/>
            <w:r>
              <w:rPr>
                <w:rFonts w:ascii="CIDFont+F4" w:hAnsi="CIDFont+F4" w:cs="CIDFont+F4"/>
                <w:sz w:val="17"/>
                <w:szCs w:val="17"/>
              </w:rPr>
              <w:t xml:space="preserve"> are assigned to responsible parties.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c) To follow up with escalation to Accounting</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Officers and to relevant administrative and</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political heads the non-resolution within the</w:t>
            </w:r>
          </w:p>
          <w:p w:rsidR="001B6284" w:rsidRDefault="001B6284" w:rsidP="001E06E1">
            <w:pPr>
              <w:pStyle w:val="Tabletext"/>
              <w:jc w:val="both"/>
              <w:rPr>
                <w:rFonts w:ascii="CIDFont+F4" w:hAnsi="CIDFont+F4" w:cs="CIDFont+F4"/>
                <w:sz w:val="17"/>
                <w:szCs w:val="17"/>
              </w:rPr>
            </w:pPr>
            <w:proofErr w:type="gramStart"/>
            <w:r>
              <w:rPr>
                <w:rFonts w:ascii="CIDFont+F4" w:hAnsi="CIDFont+F4" w:cs="CIDFont+F4"/>
                <w:sz w:val="17"/>
                <w:szCs w:val="17"/>
              </w:rPr>
              <w:t>specified</w:t>
            </w:r>
            <w:proofErr w:type="gramEnd"/>
            <w:r>
              <w:rPr>
                <w:rFonts w:ascii="CIDFont+F4" w:hAnsi="CIDFont+F4" w:cs="CIDFont+F4"/>
                <w:sz w:val="17"/>
                <w:szCs w:val="17"/>
              </w:rPr>
              <w:t xml:space="preserve"> timelines of non-compliance issues.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d) To keep a paper trail of the escalation as proof</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of the Department fulfilling its coordination</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mandate</w:t>
            </w:r>
            <w:proofErr w:type="gramEnd"/>
            <w:r>
              <w:rPr>
                <w:rFonts w:ascii="CIDFont+F4" w:hAnsi="CIDFont+F4" w:cs="CIDFont+F4"/>
                <w:sz w:val="17"/>
                <w:szCs w:val="17"/>
              </w:rPr>
              <w:t>.</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e) To withhold payments to public bodies</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receiving</w:t>
            </w:r>
            <w:proofErr w:type="gramEnd"/>
            <w:r>
              <w:rPr>
                <w:rFonts w:ascii="CIDFont+F4" w:hAnsi="CIDFont+F4" w:cs="CIDFont+F4"/>
                <w:sz w:val="17"/>
                <w:szCs w:val="17"/>
              </w:rPr>
              <w:t xml:space="preserve"> grants for non-compliant projects.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To continue to provide training on EPWP</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frameworks</w:t>
            </w:r>
            <w:proofErr w:type="gramEnd"/>
            <w:r>
              <w:rPr>
                <w:rFonts w:ascii="CIDFont+F4" w:hAnsi="CIDFont+F4" w:cs="CIDFont+F4"/>
                <w:sz w:val="17"/>
                <w:szCs w:val="17"/>
              </w:rPr>
              <w:t xml:space="preserve"> to public bodies.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f) To develop and consult on the viability of</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implementing an EPWP Audit Practice Note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aimed at providing guidance on the roles and</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responsibilities of all EPWP stakeholders with</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 xml:space="preserve">regard to auditing processes and </w:t>
            </w:r>
            <w:proofErr w:type="spellStart"/>
            <w:r>
              <w:rPr>
                <w:rFonts w:ascii="CIDFont+F4" w:hAnsi="CIDFont+F4" w:cs="CIDFont+F4"/>
                <w:sz w:val="17"/>
                <w:szCs w:val="17"/>
              </w:rPr>
              <w:t>recordsmanagement</w:t>
            </w:r>
            <w:proofErr w:type="spellEnd"/>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requirements</w:t>
            </w:r>
            <w:proofErr w:type="gramEnd"/>
            <w:r>
              <w:rPr>
                <w:rFonts w:ascii="CIDFont+F4" w:hAnsi="CIDFont+F4" w:cs="CIDFont+F4"/>
                <w:sz w:val="17"/>
                <w:szCs w:val="17"/>
              </w:rPr>
              <w:t xml:space="preserve"> of the EPWP.</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g) To forward a letter to the Head of Construction</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Project Management to instruct the branch to take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responsibility for the reporting and capturing of its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EPWP data.</w:t>
            </w:r>
          </w:p>
          <w:p w:rsidR="001B6284" w:rsidRDefault="001B6284" w:rsidP="001E06E1">
            <w:pPr>
              <w:autoSpaceDE w:val="0"/>
              <w:autoSpaceDN w:val="0"/>
              <w:adjustRightInd w:val="0"/>
              <w:spacing w:after="0" w:line="240" w:lineRule="auto"/>
              <w:jc w:val="both"/>
              <w:rPr>
                <w:rFonts w:ascii="CIDFont+F11" w:hAnsi="CIDFont+F11" w:cs="CIDFont+F11"/>
                <w:sz w:val="17"/>
                <w:szCs w:val="17"/>
              </w:rPr>
            </w:pPr>
            <w:r>
              <w:rPr>
                <w:rFonts w:ascii="CIDFont+F11" w:hAnsi="CIDFont+F11" w:cs="CIDFont+F11"/>
                <w:sz w:val="17"/>
                <w:szCs w:val="17"/>
              </w:rPr>
              <w:t>Prestige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 Liaise with ICT for creation of the shared drive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and implementation of paper trail System</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(b) Maintain manual filing system until the</w:t>
            </w:r>
          </w:p>
          <w:p w:rsidR="001B6284" w:rsidRPr="00BB6EEC" w:rsidRDefault="001B6284" w:rsidP="001E06E1">
            <w:pPr>
              <w:pStyle w:val="Tabletext"/>
              <w:jc w:val="both"/>
              <w:rPr>
                <w:lang w:val="en-ZA"/>
              </w:rPr>
            </w:pPr>
            <w:r>
              <w:rPr>
                <w:rFonts w:ascii="CIDFont+F4" w:hAnsi="CIDFont+F4" w:cs="CIDFont+F4"/>
                <w:sz w:val="17"/>
                <w:szCs w:val="17"/>
              </w:rPr>
              <w:t>electronic system is functional</w:t>
            </w:r>
          </w:p>
        </w:tc>
        <w:tc>
          <w:tcPr>
            <w:tcW w:w="775" w:type="pct"/>
          </w:tcPr>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S. Henderson</w:t>
            </w:r>
          </w:p>
          <w:p w:rsidR="001B6284" w:rsidRPr="00BB6EEC" w:rsidRDefault="001B6284" w:rsidP="001E06E1">
            <w:pPr>
              <w:pStyle w:val="Tabletext"/>
              <w:jc w:val="both"/>
              <w:rPr>
                <w:lang w:val="en-ZA"/>
              </w:rPr>
            </w:pPr>
            <w:r>
              <w:rPr>
                <w:rFonts w:ascii="CIDFont+F4" w:hAnsi="CIDFont+F4" w:cs="CIDFont+F4"/>
                <w:sz w:val="17"/>
                <w:szCs w:val="17"/>
              </w:rPr>
              <w:t>(previous DDGEPWP)</w:t>
            </w:r>
          </w:p>
        </w:tc>
        <w:tc>
          <w:tcPr>
            <w:tcW w:w="808" w:type="pct"/>
          </w:tcPr>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Similar findings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were identified</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 xml:space="preserve">during </w:t>
            </w:r>
            <w:r w:rsidR="00846AA6">
              <w:rPr>
                <w:rFonts w:ascii="CIDFont+F4" w:hAnsi="CIDFont+F4" w:cs="CIDFont+F4"/>
                <w:sz w:val="17"/>
                <w:szCs w:val="17"/>
              </w:rPr>
              <w:t xml:space="preserve">Special Report (1&amp; 2), </w:t>
            </w:r>
            <w:r>
              <w:rPr>
                <w:rFonts w:ascii="CIDFont+F4" w:hAnsi="CIDFont+F4" w:cs="CIDFont+F4"/>
                <w:sz w:val="17"/>
                <w:szCs w:val="17"/>
              </w:rPr>
              <w:t>interim and</w:t>
            </w:r>
          </w:p>
          <w:p w:rsidR="001B6284" w:rsidRPr="00BB6EEC" w:rsidRDefault="001B6284" w:rsidP="001E06E1">
            <w:pPr>
              <w:pStyle w:val="Tabletext"/>
              <w:jc w:val="both"/>
              <w:rPr>
                <w:lang w:val="en-ZA"/>
              </w:rPr>
            </w:pPr>
            <w:r>
              <w:rPr>
                <w:rFonts w:ascii="CIDFont+F4" w:hAnsi="CIDFont+F4" w:cs="CIDFont+F4"/>
                <w:sz w:val="17"/>
                <w:szCs w:val="17"/>
              </w:rPr>
              <w:t>final audit</w:t>
            </w:r>
          </w:p>
        </w:tc>
        <w:tc>
          <w:tcPr>
            <w:tcW w:w="1012" w:type="pct"/>
          </w:tcPr>
          <w:p w:rsidR="001B6284" w:rsidRPr="00BB6EEC" w:rsidRDefault="001B6284" w:rsidP="001E06E1">
            <w:pPr>
              <w:pStyle w:val="Tabletext"/>
              <w:jc w:val="both"/>
              <w:rPr>
                <w:lang w:val="en-ZA"/>
              </w:rPr>
            </w:pPr>
            <w:r>
              <w:rPr>
                <w:lang w:val="en-ZA"/>
              </w:rPr>
              <w:t>In progress</w:t>
            </w:r>
          </w:p>
        </w:tc>
      </w:tr>
      <w:tr w:rsidR="00877FDF" w:rsidRPr="0077659B" w:rsidTr="001B6284">
        <w:tc>
          <w:tcPr>
            <w:tcW w:w="429" w:type="pct"/>
          </w:tcPr>
          <w:p w:rsidR="001B6284" w:rsidRPr="00BB6EEC" w:rsidRDefault="001B6284" w:rsidP="001E06E1">
            <w:pPr>
              <w:pStyle w:val="Tabletext"/>
              <w:jc w:val="both"/>
              <w:rPr>
                <w:lang w:val="en-ZA"/>
              </w:rPr>
            </w:pPr>
          </w:p>
        </w:tc>
        <w:tc>
          <w:tcPr>
            <w:tcW w:w="1976" w:type="pct"/>
          </w:tcPr>
          <w:p w:rsidR="001B6284" w:rsidRDefault="001B6284" w:rsidP="001E06E1">
            <w:pPr>
              <w:autoSpaceDE w:val="0"/>
              <w:autoSpaceDN w:val="0"/>
              <w:adjustRightInd w:val="0"/>
              <w:spacing w:after="0" w:line="240" w:lineRule="auto"/>
              <w:jc w:val="both"/>
              <w:rPr>
                <w:rFonts w:ascii="CIDFont+F2" w:hAnsi="CIDFont+F2" w:cs="CIDFont+F2"/>
                <w:sz w:val="17"/>
                <w:szCs w:val="17"/>
              </w:rPr>
            </w:pPr>
            <w:r>
              <w:rPr>
                <w:rFonts w:ascii="CIDFont+F2" w:hAnsi="CIDFont+F2" w:cs="CIDFont+F2"/>
                <w:sz w:val="17"/>
                <w:szCs w:val="17"/>
              </w:rPr>
              <w:t>Inadequate Contract Management that</w:t>
            </w:r>
          </w:p>
          <w:p w:rsidR="001B6284" w:rsidRDefault="001B6284" w:rsidP="001E06E1">
            <w:pPr>
              <w:autoSpaceDE w:val="0"/>
              <w:autoSpaceDN w:val="0"/>
              <w:adjustRightInd w:val="0"/>
              <w:spacing w:after="0" w:line="240" w:lineRule="auto"/>
              <w:jc w:val="both"/>
              <w:rPr>
                <w:rFonts w:ascii="CIDFont+F2" w:hAnsi="CIDFont+F2" w:cs="CIDFont+F2"/>
                <w:sz w:val="17"/>
                <w:szCs w:val="17"/>
              </w:rPr>
            </w:pPr>
            <w:r>
              <w:rPr>
                <w:rFonts w:ascii="CIDFont+F2" w:hAnsi="CIDFont+F2" w:cs="CIDFont+F2"/>
                <w:sz w:val="17"/>
                <w:szCs w:val="17"/>
              </w:rPr>
              <w:t>resulted in Irregular Expenditure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 Develop a checklist for requisition and</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verification</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(b) Segregation of duties between Events</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management</w:t>
            </w:r>
            <w:proofErr w:type="gramEnd"/>
            <w:r>
              <w:rPr>
                <w:rFonts w:ascii="CIDFont+F4" w:hAnsi="CIDFont+F4" w:cs="CIDFont+F4"/>
                <w:sz w:val="17"/>
                <w:szCs w:val="17"/>
              </w:rPr>
              <w:t xml:space="preserve"> and Finance section.</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(c) Prestige and SCM to perform reconciliation</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between invoice and quotation</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 SCM will issue a Circular requiring submission</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of all contract related records to Legal Services</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for</w:t>
            </w:r>
            <w:proofErr w:type="gramEnd"/>
            <w:r>
              <w:rPr>
                <w:rFonts w:ascii="CIDFont+F4" w:hAnsi="CIDFont+F4" w:cs="CIDFont+F4"/>
                <w:sz w:val="17"/>
                <w:szCs w:val="17"/>
              </w:rPr>
              <w:t xml:space="preserve"> placement on the tender (Pink) file.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b) To provide internal workshop for Project</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Managers throughout the Department to be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aware of applicable rules within the Contract</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Management space.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c) Utilisation of Paper trail for electronic storing of</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documents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R. Naidoo (ADDG:</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Supply Chain</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Management)</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The finding was</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identified in the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current period,</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however the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amounts involved</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were much lower</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than</w:t>
            </w:r>
            <w:proofErr w:type="gramEnd"/>
            <w:r>
              <w:rPr>
                <w:rFonts w:ascii="CIDFont+F4" w:hAnsi="CIDFont+F4" w:cs="CIDFont+F4"/>
                <w:sz w:val="17"/>
                <w:szCs w:val="17"/>
              </w:rPr>
              <w:t xml:space="preserve"> previous year.</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Follows ups will be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made during the</w:t>
            </w:r>
          </w:p>
          <w:p w:rsidR="001B6284" w:rsidRDefault="001B6284" w:rsidP="001E06E1">
            <w:pPr>
              <w:autoSpaceDE w:val="0"/>
              <w:autoSpaceDN w:val="0"/>
              <w:adjustRightInd w:val="0"/>
              <w:spacing w:after="0" w:line="240" w:lineRule="auto"/>
              <w:jc w:val="both"/>
              <w:rPr>
                <w:rFonts w:ascii="CIDFont+F4" w:hAnsi="CIDFont+F4" w:cs="CIDFont+F4"/>
                <w:sz w:val="17"/>
                <w:szCs w:val="17"/>
              </w:rPr>
            </w:pPr>
            <w:proofErr w:type="gramStart"/>
            <w:r>
              <w:rPr>
                <w:rFonts w:ascii="CIDFont+F4" w:hAnsi="CIDFont+F4" w:cs="CIDFont+F4"/>
                <w:sz w:val="17"/>
                <w:szCs w:val="17"/>
              </w:rPr>
              <w:t>next</w:t>
            </w:r>
            <w:proofErr w:type="gramEnd"/>
            <w:r>
              <w:rPr>
                <w:rFonts w:ascii="CIDFont+F4" w:hAnsi="CIDFont+F4" w:cs="CIDFont+F4"/>
                <w:sz w:val="17"/>
                <w:szCs w:val="17"/>
              </w:rPr>
              <w:t xml:space="preserve"> audit cycle.</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In Progress</w:t>
            </w:r>
          </w:p>
          <w:p w:rsidR="001B6284" w:rsidRPr="00BB6EEC" w:rsidRDefault="001B6284" w:rsidP="001E06E1">
            <w:pPr>
              <w:pStyle w:val="Tabletext"/>
              <w:jc w:val="both"/>
              <w:rPr>
                <w:lang w:val="en-ZA"/>
              </w:rPr>
            </w:pPr>
            <w:r>
              <w:rPr>
                <w:rFonts w:ascii="CIDFont+F2" w:hAnsi="CIDFont+F2" w:cs="CIDFont+F2"/>
                <w:sz w:val="17"/>
                <w:szCs w:val="17"/>
              </w:rPr>
              <w:t>Information Technology</w:t>
            </w:r>
          </w:p>
        </w:tc>
        <w:tc>
          <w:tcPr>
            <w:tcW w:w="775" w:type="pct"/>
          </w:tcPr>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R. Naidoo (ADDG:</w:t>
            </w:r>
          </w:p>
          <w:p w:rsidR="001B6284" w:rsidRDefault="001B6284" w:rsidP="001E06E1">
            <w:pPr>
              <w:autoSpaceDE w:val="0"/>
              <w:autoSpaceDN w:val="0"/>
              <w:adjustRightInd w:val="0"/>
              <w:spacing w:after="0" w:line="240" w:lineRule="auto"/>
              <w:jc w:val="both"/>
              <w:rPr>
                <w:rFonts w:ascii="CIDFont+F4" w:hAnsi="CIDFont+F4" w:cs="CIDFont+F4"/>
                <w:sz w:val="17"/>
                <w:szCs w:val="17"/>
              </w:rPr>
            </w:pPr>
            <w:r>
              <w:rPr>
                <w:rFonts w:ascii="CIDFont+F4" w:hAnsi="CIDFont+F4" w:cs="CIDFont+F4"/>
                <w:sz w:val="17"/>
                <w:szCs w:val="17"/>
              </w:rPr>
              <w:t>Supply Chain</w:t>
            </w:r>
          </w:p>
          <w:p w:rsidR="001B6284" w:rsidRPr="00BB6EEC" w:rsidRDefault="001B6284" w:rsidP="001E06E1">
            <w:pPr>
              <w:pStyle w:val="Tabletext"/>
              <w:jc w:val="both"/>
              <w:rPr>
                <w:lang w:val="en-ZA"/>
              </w:rPr>
            </w:pPr>
            <w:r>
              <w:rPr>
                <w:rFonts w:ascii="CIDFont+F4" w:hAnsi="CIDFont+F4" w:cs="CIDFont+F4"/>
                <w:sz w:val="17"/>
                <w:szCs w:val="17"/>
              </w:rPr>
              <w:t>Management)</w:t>
            </w:r>
          </w:p>
        </w:tc>
        <w:tc>
          <w:tcPr>
            <w:tcW w:w="808" w:type="pct"/>
          </w:tcPr>
          <w:p w:rsidR="001B6284" w:rsidRPr="00BB6EEC" w:rsidRDefault="00877FDF" w:rsidP="001E06E1">
            <w:pPr>
              <w:pStyle w:val="Tabletext"/>
              <w:jc w:val="both"/>
              <w:rPr>
                <w:lang w:val="en-ZA"/>
              </w:rPr>
            </w:pPr>
            <w:r>
              <w:rPr>
                <w:lang w:val="en-ZA"/>
              </w:rPr>
              <w:t xml:space="preserve">There was an improvement on the issues of non- compliance with legislation on procurement and contract management, however, </w:t>
            </w:r>
            <w:r w:rsidR="001B6284">
              <w:rPr>
                <w:lang w:val="en-ZA"/>
              </w:rPr>
              <w:t xml:space="preserve">Instances of non- compliances with legislation were identified and noted an increase in the non-compliance paragraphs </w:t>
            </w:r>
          </w:p>
        </w:tc>
        <w:tc>
          <w:tcPr>
            <w:tcW w:w="1012" w:type="pct"/>
          </w:tcPr>
          <w:p w:rsidR="001B6284" w:rsidRPr="00BB6EEC" w:rsidRDefault="001B6284" w:rsidP="001E06E1">
            <w:pPr>
              <w:pStyle w:val="Tabletext"/>
              <w:jc w:val="both"/>
              <w:rPr>
                <w:lang w:val="en-ZA"/>
              </w:rPr>
            </w:pPr>
            <w:r>
              <w:rPr>
                <w:lang w:val="en-ZA"/>
              </w:rPr>
              <w:t xml:space="preserve">In progress </w:t>
            </w:r>
          </w:p>
        </w:tc>
      </w:tr>
    </w:tbl>
    <w:p w:rsidR="00A908D3" w:rsidRPr="0077659B" w:rsidRDefault="00A908D3" w:rsidP="001E06E1">
      <w:pPr>
        <w:pStyle w:val="Numbernormal"/>
        <w:jc w:val="both"/>
      </w:pPr>
      <w:bookmarkStart w:id="144" w:name="NewPartG"/>
      <w:bookmarkStart w:id="145" w:name="S5E39"/>
      <w:bookmarkStart w:id="146" w:name="Para59"/>
      <w:bookmarkStart w:id="147" w:name="S5E40"/>
      <w:bookmarkStart w:id="148" w:name="Para62"/>
      <w:bookmarkStart w:id="149" w:name="SEC3"/>
      <w:bookmarkStart w:id="150" w:name="_Toc447106615"/>
      <w:bookmarkEnd w:id="144"/>
      <w:bookmarkEnd w:id="145"/>
      <w:bookmarkEnd w:id="146"/>
      <w:bookmarkEnd w:id="147"/>
      <w:bookmarkEnd w:id="148"/>
      <w:bookmarkEnd w:id="149"/>
    </w:p>
    <w:p w:rsidR="006B1D3E" w:rsidRPr="0077659B" w:rsidRDefault="006B1D3E" w:rsidP="001E06E1">
      <w:pPr>
        <w:pStyle w:val="Heading2"/>
        <w:jc w:val="both"/>
        <w:rPr>
          <w:rFonts w:eastAsia="Times New Roman"/>
        </w:rPr>
      </w:pPr>
      <w:bookmarkStart w:id="151" w:name="_Toc77816785"/>
      <w:r w:rsidRPr="0077659B">
        <w:t>SECTION 4: Specific focus areas</w:t>
      </w:r>
      <w:bookmarkEnd w:id="151"/>
    </w:p>
    <w:p w:rsidR="009F2DC4" w:rsidRPr="00BB6EEC" w:rsidRDefault="009F2DC4" w:rsidP="001E06E1">
      <w:pPr>
        <w:pStyle w:val="Heading3"/>
        <w:jc w:val="both"/>
        <w:rPr>
          <w:lang w:val="en-ZA"/>
        </w:rPr>
      </w:pPr>
      <w:bookmarkStart w:id="152" w:name="FH"/>
      <w:bookmarkStart w:id="153" w:name="S4E17"/>
      <w:bookmarkStart w:id="154" w:name="_Toc77816786"/>
      <w:bookmarkEnd w:id="150"/>
      <w:bookmarkEnd w:id="152"/>
      <w:bookmarkEnd w:id="153"/>
      <w:r w:rsidRPr="00BB6EEC">
        <w:rPr>
          <w:lang w:val="en-ZA"/>
        </w:rPr>
        <w:t>FINANCIAL VIABILITY</w:t>
      </w:r>
      <w:bookmarkEnd w:id="154"/>
    </w:p>
    <w:p w:rsidR="009F2DC4" w:rsidRDefault="009F2DC4" w:rsidP="001E06E1">
      <w:pPr>
        <w:pStyle w:val="Numbernormal"/>
        <w:numPr>
          <w:ilvl w:val="0"/>
          <w:numId w:val="17"/>
        </w:numPr>
        <w:jc w:val="both"/>
      </w:pPr>
      <w:r w:rsidRPr="0077659B">
        <w:t xml:space="preserve">Our audit included a high-level overview of the </w:t>
      </w:r>
      <w:proofErr w:type="spellStart"/>
      <w:r w:rsidR="00D55037">
        <w:t>departments</w:t>
      </w:r>
      <w:r w:rsidRPr="0077659B">
        <w:t>’s</w:t>
      </w:r>
      <w:proofErr w:type="spellEnd"/>
      <w:r w:rsidRPr="0077659B">
        <w:t xml:space="preserve"> financial viability as at year-end. The financial viability assessment provides useful information for accountability and decision-making purposes and complements the financial statements by providing insights and perspectives thereon. The financial viability assessment </w:t>
      </w:r>
      <w:proofErr w:type="gramStart"/>
      <w:r w:rsidRPr="0077659B">
        <w:t>is expected</w:t>
      </w:r>
      <w:proofErr w:type="gramEnd"/>
      <w:r w:rsidRPr="0077659B">
        <w:t xml:space="preserve">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w:t>
      </w:r>
      <w:proofErr w:type="gramStart"/>
      <w:r w:rsidRPr="0077659B">
        <w:t>should be used</w:t>
      </w:r>
      <w:proofErr w:type="gramEnd"/>
      <w:r w:rsidRPr="0077659B">
        <w:t xml:space="preserve"> to complement, rather than substitute, management’s own financial assessment.</w:t>
      </w: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1C1FF3" w:rsidRPr="0077659B" w:rsidTr="00592831">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rsidR="001C1FF3" w:rsidRPr="0077659B" w:rsidRDefault="001C1FF3" w:rsidP="001E06E1">
            <w:pPr>
              <w:spacing w:before="60" w:after="60"/>
              <w:jc w:val="both"/>
              <w:rPr>
                <w:rFonts w:cs="Arial"/>
                <w:b/>
                <w:color w:val="000000"/>
              </w:rPr>
            </w:pPr>
            <w:r w:rsidRPr="0077659B">
              <w:rPr>
                <w:rFonts w:cs="Arial"/>
                <w:b/>
                <w:color w:val="000000"/>
              </w:rPr>
              <w:t>FINANCIAL VIABILITY ASSESSMENT</w:t>
            </w:r>
          </w:p>
        </w:tc>
      </w:tr>
      <w:tr w:rsidR="001C1FF3" w:rsidRPr="0077659B" w:rsidTr="00592831">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rsidR="001C1FF3" w:rsidRPr="0077659B" w:rsidRDefault="001C1FF3" w:rsidP="001E06E1">
            <w:pPr>
              <w:autoSpaceDE w:val="0"/>
              <w:autoSpaceDN w:val="0"/>
              <w:adjustRightInd w:val="0"/>
              <w:spacing w:before="60" w:after="60"/>
              <w:ind w:left="1452" w:hanging="1276"/>
              <w:jc w:val="both"/>
              <w:rPr>
                <w:rFonts w:cs="Arial"/>
                <w:b/>
                <w:color w:val="000000"/>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rsidR="001C1FF3" w:rsidRPr="0077659B" w:rsidRDefault="001C1FF3" w:rsidP="001E06E1">
            <w:pPr>
              <w:autoSpaceDE w:val="0"/>
              <w:autoSpaceDN w:val="0"/>
              <w:adjustRightInd w:val="0"/>
              <w:spacing w:before="60" w:after="60"/>
              <w:jc w:val="both"/>
              <w:rPr>
                <w:rFonts w:cs="Arial"/>
                <w:b/>
                <w:color w:val="000000"/>
              </w:rPr>
            </w:pPr>
            <w:r w:rsidRPr="0077659B">
              <w:rPr>
                <w:rFonts w:cs="Arial"/>
                <w:b/>
                <w:color w:val="000000"/>
              </w:rPr>
              <w:t>AS AT 31 MARCH 20</w:t>
            </w:r>
            <w:r>
              <w:rPr>
                <w:rFonts w:cs="Arial"/>
                <w:b/>
                <w:color w:val="000000"/>
              </w:rPr>
              <w:t>21</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rsidR="001C1FF3" w:rsidRPr="0077659B" w:rsidRDefault="001C1FF3" w:rsidP="001E06E1">
            <w:pPr>
              <w:autoSpaceDE w:val="0"/>
              <w:autoSpaceDN w:val="0"/>
              <w:adjustRightInd w:val="0"/>
              <w:spacing w:before="60" w:after="60"/>
              <w:jc w:val="both"/>
              <w:rPr>
                <w:rFonts w:cs="Arial"/>
                <w:b/>
                <w:color w:val="000000"/>
              </w:rPr>
            </w:pPr>
            <w:r w:rsidRPr="0077659B">
              <w:rPr>
                <w:rFonts w:cs="Arial"/>
                <w:b/>
                <w:color w:val="000000"/>
              </w:rPr>
              <w:t>AS AT 31 MARCH 20</w:t>
            </w:r>
            <w:r>
              <w:rPr>
                <w:rFonts w:cs="Arial"/>
                <w:b/>
                <w:color w:val="000000"/>
              </w:rPr>
              <w:t>20</w:t>
            </w:r>
          </w:p>
        </w:tc>
      </w:tr>
      <w:tr w:rsidR="001C1FF3" w:rsidRPr="0077659B" w:rsidTr="0059283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1C1FF3" w:rsidRPr="0077659B" w:rsidRDefault="001C1FF3" w:rsidP="001E06E1">
            <w:pPr>
              <w:tabs>
                <w:tab w:val="left" w:pos="2405"/>
              </w:tabs>
              <w:spacing w:before="60" w:after="60"/>
              <w:jc w:val="both"/>
              <w:rPr>
                <w:rFonts w:cs="Arial"/>
                <w:b/>
                <w:color w:val="000000"/>
              </w:rPr>
            </w:pPr>
            <w:r w:rsidRPr="0077659B">
              <w:rPr>
                <w:rFonts w:cs="Arial"/>
                <w:b/>
                <w:color w:val="000000"/>
              </w:rPr>
              <w:t>EXPENDITURE MANAGEMENT</w:t>
            </w:r>
          </w:p>
        </w:tc>
      </w:tr>
      <w:tr w:rsidR="001C1FF3" w:rsidRPr="0077659B" w:rsidTr="00592831">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rsidR="001C1FF3" w:rsidRPr="0077659B" w:rsidRDefault="001C1FF3" w:rsidP="001E06E1">
            <w:pPr>
              <w:spacing w:before="60" w:after="60"/>
              <w:jc w:val="both"/>
              <w:rPr>
                <w:rFonts w:cs="Arial"/>
              </w:rPr>
            </w:pPr>
            <w:r w:rsidRPr="0077659B">
              <w:rPr>
                <w:rFonts w:cs="Arial"/>
              </w:rPr>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Creditor 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 xml:space="preserve">24.8 </w:t>
            </w:r>
            <w:r w:rsidRPr="0077659B">
              <w:rPr>
                <w:rFonts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 xml:space="preserve">17.8 </w:t>
            </w:r>
            <w:r w:rsidRPr="0077659B">
              <w:rPr>
                <w:rFonts w:cs="Arial"/>
                <w:b/>
              </w:rPr>
              <w:t>Days</w:t>
            </w:r>
          </w:p>
        </w:tc>
      </w:tr>
      <w:tr w:rsidR="001C1FF3" w:rsidRPr="0077659B" w:rsidTr="00592831">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rsidR="001C1FF3" w:rsidRPr="0077659B" w:rsidRDefault="001C1FF3" w:rsidP="001E06E1">
            <w:pPr>
              <w:spacing w:before="60" w:after="60"/>
              <w:jc w:val="both"/>
              <w:rPr>
                <w:rFonts w:cs="Arial"/>
              </w:rPr>
            </w:pPr>
            <w:r w:rsidRPr="0077659B">
              <w:rPr>
                <w:rFonts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2.5</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0</w:t>
            </w:r>
            <w:r w:rsidRPr="0077659B">
              <w:rPr>
                <w:rFonts w:cs="Arial"/>
                <w:b/>
              </w:rPr>
              <w:t>%</w:t>
            </w:r>
          </w:p>
        </w:tc>
      </w:tr>
      <w:tr w:rsidR="001C1FF3" w:rsidRPr="0077659B" w:rsidTr="00592831">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rsidR="001C1FF3" w:rsidRPr="0077659B" w:rsidRDefault="001C1FF3" w:rsidP="001E06E1">
            <w:pPr>
              <w:spacing w:before="60" w:after="60"/>
              <w:jc w:val="both"/>
              <w:rPr>
                <w:rFonts w:cs="Arial"/>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rsidR="001C1FF3" w:rsidRPr="0077659B" w:rsidRDefault="001C1FF3" w:rsidP="001E06E1">
            <w:pPr>
              <w:numPr>
                <w:ilvl w:val="0"/>
                <w:numId w:val="8"/>
              </w:numPr>
              <w:spacing w:before="60" w:after="60"/>
              <w:ind w:left="284" w:hanging="284"/>
              <w:jc w:val="both"/>
              <w:rPr>
                <w:rFonts w:cs="Arial"/>
              </w:rPr>
            </w:pPr>
            <w:r w:rsidRPr="0077659B">
              <w:rPr>
                <w:rFonts w:cs="Arial"/>
                <w:color w:val="000000"/>
              </w:rPr>
              <w:t>Amount</w:t>
            </w:r>
            <w:r w:rsidRPr="0077659B">
              <w:rPr>
                <w:rFonts w:cs="Arial"/>
              </w:rPr>
              <w:t xml:space="preserve"> of 30+ day accruals</w:t>
            </w:r>
          </w:p>
          <w:p w:rsidR="001C1FF3" w:rsidRPr="0077659B" w:rsidRDefault="001C1FF3" w:rsidP="001E06E1">
            <w:pPr>
              <w:numPr>
                <w:ilvl w:val="0"/>
                <w:numId w:val="8"/>
              </w:numPr>
              <w:spacing w:before="60" w:after="60"/>
              <w:ind w:left="284" w:hanging="284"/>
              <w:jc w:val="both"/>
              <w:rPr>
                <w:rFonts w:cs="Arial"/>
              </w:rPr>
            </w:pPr>
            <w:r w:rsidRPr="0077659B">
              <w:rPr>
                <w:rFonts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R399 000</w:t>
            </w:r>
          </w:p>
          <w:p w:rsidR="001C1FF3" w:rsidRPr="0077659B" w:rsidRDefault="001C1FF3" w:rsidP="001E06E1">
            <w:pPr>
              <w:spacing w:before="60" w:after="60"/>
              <w:jc w:val="both"/>
              <w:rPr>
                <w:rFonts w:cs="Arial"/>
                <w:b/>
              </w:rPr>
            </w:pPr>
            <w:r>
              <w:rPr>
                <w:rFonts w:cs="Arial"/>
                <w:b/>
              </w:rPr>
              <w:t>R16 068 000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R0</w:t>
            </w:r>
          </w:p>
          <w:p w:rsidR="001C1FF3" w:rsidRPr="0077659B" w:rsidRDefault="001C1FF3" w:rsidP="001E06E1">
            <w:pPr>
              <w:spacing w:before="60" w:after="60"/>
              <w:jc w:val="both"/>
              <w:rPr>
                <w:rFonts w:cs="Arial"/>
                <w:b/>
              </w:rPr>
            </w:pPr>
            <w:r>
              <w:rPr>
                <w:rFonts w:cs="Arial"/>
                <w:b/>
              </w:rPr>
              <w:t>R23 506 000</w:t>
            </w:r>
          </w:p>
        </w:tc>
      </w:tr>
      <w:tr w:rsidR="001C1FF3" w:rsidRPr="0077659B" w:rsidTr="0059283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1C1FF3" w:rsidRPr="0077659B" w:rsidRDefault="001C1FF3" w:rsidP="001E06E1">
            <w:pPr>
              <w:spacing w:before="60" w:after="60"/>
              <w:jc w:val="both"/>
              <w:rPr>
                <w:rFonts w:cs="Arial"/>
                <w:b/>
                <w:color w:val="000000"/>
              </w:rPr>
            </w:pPr>
            <w:r w:rsidRPr="0077659B">
              <w:rPr>
                <w:rFonts w:cs="Arial"/>
                <w:b/>
                <w:color w:val="000000"/>
              </w:rPr>
              <w:t>REVENUE MANAGEMENT</w:t>
            </w:r>
          </w:p>
        </w:tc>
      </w:tr>
      <w:tr w:rsidR="001C1FF3" w:rsidRPr="0077659B" w:rsidTr="00592831">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r w:rsidRPr="0077659B">
              <w:rPr>
                <w:rFonts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 xml:space="preserve">69.1 </w:t>
            </w:r>
            <w:r w:rsidRPr="0077659B">
              <w:rPr>
                <w:rFonts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 xml:space="preserve">35 </w:t>
            </w:r>
            <w:r w:rsidRPr="0077659B">
              <w:rPr>
                <w:rFonts w:cs="Arial"/>
                <w:b/>
              </w:rPr>
              <w:t>Days</w:t>
            </w:r>
          </w:p>
        </w:tc>
      </w:tr>
      <w:tr w:rsidR="001C1FF3" w:rsidRPr="0077659B" w:rsidTr="00592831">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r w:rsidRPr="0077659B">
              <w:rPr>
                <w:rFonts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0</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0</w:t>
            </w:r>
            <w:r w:rsidRPr="0077659B">
              <w:rPr>
                <w:rFonts w:cs="Arial"/>
                <w:b/>
              </w:rPr>
              <w:t>%</w:t>
            </w:r>
          </w:p>
        </w:tc>
      </w:tr>
      <w:tr w:rsidR="001C1FF3" w:rsidRPr="0077659B" w:rsidTr="00592831">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1C1FF3" w:rsidRPr="0077659B" w:rsidRDefault="001C1FF3" w:rsidP="001E06E1">
            <w:pPr>
              <w:numPr>
                <w:ilvl w:val="0"/>
                <w:numId w:val="8"/>
              </w:numPr>
              <w:spacing w:before="60" w:after="60"/>
              <w:ind w:left="284" w:hanging="284"/>
              <w:jc w:val="both"/>
              <w:rPr>
                <w:rFonts w:cs="Arial"/>
              </w:rPr>
            </w:pPr>
            <w:r w:rsidRPr="0077659B">
              <w:rPr>
                <w:rFonts w:cs="Arial"/>
                <w:color w:val="000000"/>
              </w:rPr>
              <w:t>Amount</w:t>
            </w:r>
            <w:r w:rsidRPr="0077659B">
              <w:rPr>
                <w:rFonts w:cs="Arial"/>
              </w:rPr>
              <w:t xml:space="preserve"> of debtors’ impairment provision</w:t>
            </w:r>
          </w:p>
          <w:p w:rsidR="001C1FF3" w:rsidRPr="0077659B" w:rsidRDefault="001C1FF3" w:rsidP="001E06E1">
            <w:pPr>
              <w:numPr>
                <w:ilvl w:val="0"/>
                <w:numId w:val="8"/>
              </w:numPr>
              <w:spacing w:before="60" w:after="60"/>
              <w:ind w:left="284" w:hanging="284"/>
              <w:jc w:val="both"/>
              <w:rPr>
                <w:rFonts w:cs="Arial"/>
              </w:rPr>
            </w:pPr>
            <w:r w:rsidRPr="0077659B">
              <w:rPr>
                <w:rFonts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R0</w:t>
            </w:r>
          </w:p>
          <w:p w:rsidR="001C1FF3" w:rsidRPr="0077659B" w:rsidRDefault="001C1FF3" w:rsidP="001E06E1">
            <w:pPr>
              <w:spacing w:before="60" w:after="60"/>
              <w:jc w:val="both"/>
              <w:rPr>
                <w:rFonts w:cs="Arial"/>
                <w:b/>
              </w:rPr>
            </w:pPr>
            <w:r>
              <w:rPr>
                <w:rFonts w:cs="Arial"/>
                <w:b/>
              </w:rPr>
              <w:t>R1 416 000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R0</w:t>
            </w:r>
          </w:p>
          <w:p w:rsidR="001C1FF3" w:rsidRPr="0077659B" w:rsidRDefault="001C1FF3" w:rsidP="001E06E1">
            <w:pPr>
              <w:spacing w:before="60" w:after="60"/>
              <w:jc w:val="both"/>
              <w:rPr>
                <w:rFonts w:cs="Arial"/>
                <w:b/>
              </w:rPr>
            </w:pPr>
            <w:r>
              <w:rPr>
                <w:rFonts w:cs="Arial"/>
                <w:b/>
              </w:rPr>
              <w:t>R1 416 00</w:t>
            </w:r>
          </w:p>
        </w:tc>
      </w:tr>
      <w:tr w:rsidR="001C1FF3" w:rsidRPr="0077659B" w:rsidTr="0059283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1C1FF3" w:rsidRPr="0077659B" w:rsidRDefault="001C1FF3" w:rsidP="001E06E1">
            <w:pPr>
              <w:spacing w:before="60" w:after="60"/>
              <w:jc w:val="both"/>
              <w:rPr>
                <w:rFonts w:cs="Arial"/>
                <w:b/>
                <w:color w:val="000000"/>
              </w:rPr>
            </w:pPr>
            <w:r w:rsidRPr="0077659B">
              <w:rPr>
                <w:rFonts w:cs="Arial"/>
                <w:b/>
                <w:color w:val="000000"/>
              </w:rPr>
              <w:t>ASSET AND LIABILITY MANAGEMENT</w:t>
            </w:r>
          </w:p>
        </w:tc>
      </w:tr>
      <w:tr w:rsidR="001C1FF3" w:rsidRPr="0077659B" w:rsidTr="00592831">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r w:rsidRPr="0077659B">
              <w:rPr>
                <w:rFonts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An accrual-adjusted deficit for the year was realised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No</w:t>
            </w:r>
          </w:p>
        </w:tc>
      </w:tr>
      <w:tr w:rsidR="001C1FF3" w:rsidRPr="0077659B" w:rsidTr="00592831">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ind w:left="357"/>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1C1FF3" w:rsidRPr="0077659B" w:rsidRDefault="001C1FF3" w:rsidP="001E06E1">
            <w:pPr>
              <w:numPr>
                <w:ilvl w:val="0"/>
                <w:numId w:val="8"/>
              </w:numPr>
              <w:spacing w:before="60" w:after="60"/>
              <w:ind w:left="284" w:hanging="284"/>
              <w:jc w:val="both"/>
              <w:rPr>
                <w:rFonts w:cs="Arial"/>
              </w:rPr>
            </w:pPr>
            <w:r w:rsidRPr="0077659B">
              <w:rPr>
                <w:rFonts w:cs="Arial"/>
                <w:color w:val="000000"/>
              </w:rPr>
              <w:t>Amount</w:t>
            </w:r>
            <w:r w:rsidRPr="0077659B">
              <w:rPr>
                <w:rFonts w:cs="Arial"/>
              </w:rPr>
              <w:t xml:space="preserve"> of accrual-adjusted surplus/(deficit)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R58 101 000*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R116 698 000</w:t>
            </w:r>
          </w:p>
        </w:tc>
      </w:tr>
      <w:tr w:rsidR="001C1FF3" w:rsidRPr="0077659B" w:rsidTr="00592831">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r w:rsidRPr="0077659B">
              <w:rPr>
                <w:rFonts w:cs="Arial"/>
                <w:color w:val="000000"/>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An accrual-adjusted net current liability position was realised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sidRPr="0077659B">
              <w:rPr>
                <w:rFonts w:cs="Arial"/>
                <w:b/>
              </w:rPr>
              <w:t>Yes</w:t>
            </w:r>
          </w:p>
        </w:tc>
      </w:tr>
      <w:tr w:rsidR="001C1FF3" w:rsidRPr="0077659B" w:rsidTr="00592831">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1C1FF3" w:rsidRPr="0077659B" w:rsidRDefault="001C1FF3" w:rsidP="001E06E1">
            <w:pPr>
              <w:numPr>
                <w:ilvl w:val="0"/>
                <w:numId w:val="8"/>
              </w:numPr>
              <w:spacing w:before="60" w:after="60"/>
              <w:ind w:left="284" w:hanging="284"/>
              <w:jc w:val="both"/>
              <w:rPr>
                <w:rFonts w:cs="Arial"/>
              </w:rPr>
            </w:pPr>
            <w:r w:rsidRPr="0077659B">
              <w:rPr>
                <w:rFonts w:cs="Arial"/>
              </w:rPr>
              <w:t>Amount of accrual-adjusted net current assets/(liability)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(R478 953 000)*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(R420 891 000)</w:t>
            </w:r>
          </w:p>
        </w:tc>
      </w:tr>
      <w:tr w:rsidR="001C1FF3" w:rsidRPr="0077659B" w:rsidTr="00592831">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r w:rsidRPr="0077659B">
              <w:rPr>
                <w:rFonts w:cs="Arial"/>
                <w:color w:val="000000"/>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An accrual-adjusted net liability position was realised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No</w:t>
            </w:r>
          </w:p>
        </w:tc>
      </w:tr>
      <w:tr w:rsidR="001C1FF3" w:rsidRPr="0077659B" w:rsidTr="00592831">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1C1FF3" w:rsidRPr="0077659B" w:rsidRDefault="001C1FF3" w:rsidP="001E06E1">
            <w:pPr>
              <w:numPr>
                <w:ilvl w:val="0"/>
                <w:numId w:val="8"/>
              </w:numPr>
              <w:spacing w:before="60" w:after="60"/>
              <w:ind w:left="284" w:hanging="284"/>
              <w:jc w:val="both"/>
              <w:rPr>
                <w:rFonts w:cs="Arial"/>
              </w:rPr>
            </w:pPr>
            <w:r w:rsidRPr="0077659B">
              <w:rPr>
                <w:rFonts w:cs="Arial"/>
                <w:color w:val="000000"/>
              </w:rPr>
              <w:t>Amount</w:t>
            </w:r>
            <w:r w:rsidRPr="0077659B">
              <w:rPr>
                <w:rFonts w:cs="Arial"/>
              </w:rPr>
              <w:t xml:space="preserve"> of accrual-adjusted net asset/(liability)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R84</w:t>
            </w:r>
            <w:r w:rsidR="00972242">
              <w:rPr>
                <w:rFonts w:cs="Arial"/>
                <w:b/>
              </w:rPr>
              <w:t> </w:t>
            </w:r>
            <w:r>
              <w:rPr>
                <w:rFonts w:cs="Arial"/>
                <w:b/>
              </w:rPr>
              <w:t>211</w:t>
            </w:r>
            <w:r w:rsidR="00972242">
              <w:rPr>
                <w:rFonts w:cs="Arial"/>
                <w:b/>
              </w:rPr>
              <w:t xml:space="preserve"> 000</w:t>
            </w:r>
            <w:r>
              <w:rPr>
                <w:rFonts w:cs="Arial"/>
                <w:b/>
              </w:rPr>
              <w:t>*</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R265 637 000</w:t>
            </w:r>
          </w:p>
        </w:tc>
      </w:tr>
      <w:tr w:rsidR="001C1FF3" w:rsidRPr="0077659B" w:rsidTr="0059283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rsidR="001C1FF3" w:rsidRPr="0077659B" w:rsidRDefault="001C1FF3" w:rsidP="001E06E1">
            <w:pPr>
              <w:spacing w:before="60" w:after="60"/>
              <w:jc w:val="both"/>
              <w:rPr>
                <w:rFonts w:cs="Arial"/>
                <w:b/>
                <w:color w:val="000000"/>
              </w:rPr>
            </w:pPr>
            <w:r w:rsidRPr="0077659B">
              <w:rPr>
                <w:rFonts w:cs="Arial"/>
                <w:b/>
                <w:color w:val="000000"/>
              </w:rPr>
              <w:t>CASH MANAGEMENT</w:t>
            </w:r>
          </w:p>
        </w:tc>
      </w:tr>
      <w:tr w:rsidR="001C1FF3" w:rsidRPr="0077659B" w:rsidTr="00592831">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r w:rsidRPr="0077659B">
              <w:rPr>
                <w:rFonts w:cs="Arial"/>
                <w:color w:val="000000"/>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sidRPr="0077659B">
              <w:rPr>
                <w:rFonts w:cs="Arial"/>
                <w:b/>
              </w:rPr>
              <w:t>Yes</w:t>
            </w:r>
          </w:p>
        </w:tc>
      </w:tr>
      <w:tr w:rsidR="001C1FF3" w:rsidRPr="0077659B" w:rsidTr="00592831">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ind w:left="357"/>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1C1FF3" w:rsidRPr="0077659B" w:rsidRDefault="001C1FF3" w:rsidP="001E06E1">
            <w:pPr>
              <w:numPr>
                <w:ilvl w:val="0"/>
                <w:numId w:val="8"/>
              </w:numPr>
              <w:spacing w:before="60" w:after="60"/>
              <w:ind w:left="284" w:hanging="284"/>
              <w:jc w:val="both"/>
              <w:rPr>
                <w:rFonts w:cs="Arial"/>
              </w:rPr>
            </w:pPr>
            <w:r w:rsidRPr="0077659B">
              <w:rPr>
                <w:rFonts w:cs="Arial"/>
                <w:color w:val="000000"/>
              </w:rPr>
              <w:t>Amount</w:t>
            </w:r>
            <w:r w:rsidRPr="0077659B">
              <w:rPr>
                <w:rFonts w:cs="Arial"/>
              </w:rPr>
              <w:t xml:space="preserve"> of year-end bank balance (cash and cash equivalents)/(bank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(R</w:t>
            </w:r>
            <w:r w:rsidRPr="0009611E">
              <w:rPr>
                <w:rFonts w:cs="Arial"/>
                <w:b/>
              </w:rPr>
              <w:t>83</w:t>
            </w:r>
            <w:r>
              <w:rPr>
                <w:rFonts w:cs="Arial"/>
                <w:b/>
              </w:rPr>
              <w:t> </w:t>
            </w:r>
            <w:r w:rsidRPr="0009611E">
              <w:rPr>
                <w:rFonts w:cs="Arial"/>
                <w:b/>
              </w:rPr>
              <w:t>112</w:t>
            </w:r>
            <w:r>
              <w:rPr>
                <w:rFonts w:cs="Arial"/>
                <w:b/>
              </w:rPr>
              <w:t>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w:t>
            </w:r>
            <w:r w:rsidRPr="0009611E">
              <w:rPr>
                <w:rFonts w:cs="Arial"/>
                <w:b/>
              </w:rPr>
              <w:t>R153 176</w:t>
            </w:r>
            <w:r>
              <w:rPr>
                <w:rFonts w:cs="Arial"/>
                <w:b/>
              </w:rPr>
              <w:t> </w:t>
            </w:r>
            <w:r w:rsidRPr="0009611E">
              <w:rPr>
                <w:rFonts w:cs="Arial"/>
                <w:b/>
              </w:rPr>
              <w:t>000</w:t>
            </w:r>
            <w:r>
              <w:rPr>
                <w:rFonts w:cs="Arial"/>
                <w:b/>
              </w:rPr>
              <w:t>)</w:t>
            </w:r>
          </w:p>
        </w:tc>
      </w:tr>
      <w:tr w:rsidR="001C1FF3" w:rsidRPr="0077659B" w:rsidTr="00592831">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r w:rsidRPr="0077659B">
              <w:rPr>
                <w:rFonts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1C1FF3" w:rsidRPr="0077659B" w:rsidRDefault="001C1FF3" w:rsidP="001E06E1">
            <w:pPr>
              <w:spacing w:before="60" w:after="60"/>
              <w:jc w:val="both"/>
              <w:rPr>
                <w:rFonts w:cs="Arial"/>
              </w:rPr>
            </w:pPr>
            <w:r w:rsidRPr="0077659B">
              <w:rPr>
                <w:rFonts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1C1FF3" w:rsidRPr="0077659B" w:rsidRDefault="001C1FF3" w:rsidP="001E06E1">
            <w:pPr>
              <w:spacing w:before="60" w:after="60"/>
              <w:jc w:val="both"/>
              <w:rPr>
                <w:rFonts w:cs="Arial"/>
                <w:b/>
              </w:rPr>
            </w:pPr>
            <w:r>
              <w:rPr>
                <w:rFonts w:cs="Arial"/>
                <w:b/>
              </w:rPr>
              <w:t>37.4</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1C1FF3" w:rsidRPr="0077659B" w:rsidRDefault="001C1FF3" w:rsidP="001E06E1">
            <w:pPr>
              <w:spacing w:before="60" w:after="60"/>
              <w:jc w:val="both"/>
              <w:rPr>
                <w:rFonts w:cs="Arial"/>
                <w:b/>
              </w:rPr>
            </w:pPr>
            <w:r>
              <w:rPr>
                <w:rFonts w:cs="Arial"/>
                <w:b/>
              </w:rPr>
              <w:t>62.2</w:t>
            </w:r>
            <w:r w:rsidRPr="0077659B">
              <w:rPr>
                <w:rFonts w:cs="Arial"/>
                <w:b/>
              </w:rPr>
              <w:t>%</w:t>
            </w:r>
          </w:p>
        </w:tc>
      </w:tr>
      <w:tr w:rsidR="001C1FF3" w:rsidRPr="0077659B" w:rsidTr="00592831">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rsidR="001C1FF3" w:rsidRPr="0077659B" w:rsidRDefault="001C1FF3" w:rsidP="001E06E1">
            <w:pPr>
              <w:spacing w:before="60" w:after="60"/>
              <w:jc w:val="both"/>
              <w:rPr>
                <w:rFonts w:cs="Arial"/>
                <w:color w:val="000000"/>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rsidR="001C1FF3" w:rsidRPr="0077659B" w:rsidRDefault="001C1FF3" w:rsidP="001E06E1">
            <w:pPr>
              <w:numPr>
                <w:ilvl w:val="0"/>
                <w:numId w:val="8"/>
              </w:numPr>
              <w:spacing w:before="60" w:after="60"/>
              <w:ind w:left="284" w:hanging="284"/>
              <w:jc w:val="both"/>
              <w:rPr>
                <w:rFonts w:cs="Arial"/>
              </w:rPr>
            </w:pPr>
            <w:r w:rsidRPr="0077659B">
              <w:rPr>
                <w:rFonts w:cs="Arial"/>
              </w:rPr>
              <w:t>Amount of the cash surplus/(shortfall)</w:t>
            </w:r>
          </w:p>
          <w:p w:rsidR="001C1FF3" w:rsidRPr="0077659B" w:rsidRDefault="001C1FF3" w:rsidP="001E06E1">
            <w:pPr>
              <w:numPr>
                <w:ilvl w:val="0"/>
                <w:numId w:val="8"/>
              </w:numPr>
              <w:spacing w:before="60" w:after="60"/>
              <w:ind w:left="284" w:hanging="284"/>
              <w:jc w:val="both"/>
              <w:rPr>
                <w:rFonts w:cs="Arial"/>
                <w:color w:val="000000"/>
              </w:rPr>
            </w:pPr>
            <w:r w:rsidRPr="0077659B">
              <w:rPr>
                <w:rFonts w:cs="Arial"/>
              </w:rPr>
              <w:t>Amount of next</w:t>
            </w:r>
            <w:r w:rsidRPr="0077659B">
              <w:rPr>
                <w:rFonts w:cs="Arial"/>
                <w:color w:val="000000"/>
              </w:rPr>
              <w:t xml:space="preserve"> year’s appropriation (budget), excluding “compensation of employees” </w:t>
            </w:r>
            <w:r w:rsidRPr="0077659B">
              <w:rPr>
                <w:rFonts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auto"/>
            <w:tcMar>
              <w:left w:w="28" w:type="dxa"/>
              <w:right w:w="28" w:type="dxa"/>
            </w:tcMar>
          </w:tcPr>
          <w:p w:rsidR="001C1FF3" w:rsidRPr="0077659B" w:rsidRDefault="001C1FF3" w:rsidP="001E06E1">
            <w:pPr>
              <w:spacing w:before="60" w:after="60"/>
              <w:jc w:val="both"/>
              <w:rPr>
                <w:rFonts w:cs="Arial"/>
                <w:b/>
              </w:rPr>
            </w:pPr>
            <w:r>
              <w:rPr>
                <w:rFonts w:cs="Arial"/>
                <w:b/>
              </w:rPr>
              <w:t>(R</w:t>
            </w:r>
            <w:r w:rsidRPr="0009611E">
              <w:rPr>
                <w:rFonts w:cs="Arial"/>
                <w:b/>
              </w:rPr>
              <w:t>188</w:t>
            </w:r>
            <w:r>
              <w:rPr>
                <w:rFonts w:cs="Arial"/>
                <w:b/>
              </w:rPr>
              <w:t> </w:t>
            </w:r>
            <w:r w:rsidRPr="0009611E">
              <w:rPr>
                <w:rFonts w:cs="Arial"/>
                <w:b/>
              </w:rPr>
              <w:t>739</w:t>
            </w:r>
            <w:r>
              <w:rPr>
                <w:rFonts w:cs="Arial"/>
                <w:b/>
              </w:rPr>
              <w:t> 000)</w:t>
            </w:r>
          </w:p>
          <w:p w:rsidR="001C1FF3" w:rsidRPr="0077659B" w:rsidRDefault="001C1FF3" w:rsidP="001E06E1">
            <w:pPr>
              <w:spacing w:before="60" w:after="60"/>
              <w:jc w:val="both"/>
              <w:rPr>
                <w:rFonts w:cs="Arial"/>
                <w:b/>
              </w:rPr>
            </w:pPr>
            <w:r>
              <w:rPr>
                <w:rFonts w:cs="Arial"/>
                <w:b/>
              </w:rPr>
              <w:t>R</w:t>
            </w:r>
            <w:r w:rsidRPr="0009611E">
              <w:rPr>
                <w:rFonts w:cs="Arial"/>
                <w:b/>
              </w:rPr>
              <w:t>504</w:t>
            </w:r>
            <w:r>
              <w:rPr>
                <w:rFonts w:cs="Arial"/>
                <w:b/>
              </w:rPr>
              <w:t> </w:t>
            </w:r>
            <w:r w:rsidRPr="0009611E">
              <w:rPr>
                <w:rFonts w:cs="Arial"/>
                <w:b/>
              </w:rPr>
              <w:t>904</w:t>
            </w:r>
            <w:r>
              <w:rPr>
                <w:rFonts w:cs="Arial"/>
                <w:b/>
              </w:rPr>
              <w:t xml:space="preserve"> 000</w:t>
            </w:r>
          </w:p>
        </w:tc>
        <w:tc>
          <w:tcPr>
            <w:tcW w:w="2126" w:type="dxa"/>
            <w:tcBorders>
              <w:top w:val="single" w:sz="4" w:space="0" w:color="000000"/>
              <w:left w:val="single" w:sz="4" w:space="0" w:color="000000"/>
              <w:bottom w:val="single" w:sz="12" w:space="0" w:color="auto"/>
              <w:right w:val="single" w:sz="12" w:space="0" w:color="000000"/>
            </w:tcBorders>
            <w:tcMar>
              <w:left w:w="28" w:type="dxa"/>
              <w:right w:w="28" w:type="dxa"/>
            </w:tcMar>
          </w:tcPr>
          <w:p w:rsidR="001C1FF3" w:rsidRPr="0077659B" w:rsidRDefault="001C1FF3" w:rsidP="001E06E1">
            <w:pPr>
              <w:spacing w:before="60" w:after="60"/>
              <w:jc w:val="both"/>
              <w:rPr>
                <w:rFonts w:cs="Arial"/>
                <w:b/>
              </w:rPr>
            </w:pPr>
            <w:r>
              <w:rPr>
                <w:rFonts w:cs="Arial"/>
                <w:b/>
              </w:rPr>
              <w:t>(</w:t>
            </w:r>
            <w:r w:rsidRPr="0009611E">
              <w:rPr>
                <w:rFonts w:cs="Arial"/>
                <w:b/>
              </w:rPr>
              <w:t>R298 438</w:t>
            </w:r>
            <w:r>
              <w:rPr>
                <w:rFonts w:cs="Arial"/>
                <w:b/>
              </w:rPr>
              <w:t> </w:t>
            </w:r>
            <w:r w:rsidRPr="0009611E">
              <w:rPr>
                <w:rFonts w:cs="Arial"/>
                <w:b/>
              </w:rPr>
              <w:t>000</w:t>
            </w:r>
            <w:r>
              <w:rPr>
                <w:rFonts w:cs="Arial"/>
                <w:b/>
              </w:rPr>
              <w:t>)</w:t>
            </w:r>
          </w:p>
          <w:p w:rsidR="001C1FF3" w:rsidRPr="0077659B" w:rsidRDefault="001C1FF3" w:rsidP="001E06E1">
            <w:pPr>
              <w:spacing w:before="60" w:after="60"/>
              <w:jc w:val="both"/>
              <w:rPr>
                <w:rFonts w:cs="Arial"/>
                <w:b/>
              </w:rPr>
            </w:pPr>
            <w:r>
              <w:rPr>
                <w:rFonts w:cs="Arial"/>
                <w:b/>
              </w:rPr>
              <w:t>R</w:t>
            </w:r>
            <w:r w:rsidRPr="0009611E">
              <w:rPr>
                <w:rFonts w:cs="Arial"/>
                <w:b/>
              </w:rPr>
              <w:t>480 005 000</w:t>
            </w:r>
          </w:p>
        </w:tc>
      </w:tr>
      <w:tr w:rsidR="001C1FF3" w:rsidRPr="0077659B" w:rsidTr="00592831">
        <w:trPr>
          <w:trHeight w:val="340"/>
        </w:trPr>
        <w:tc>
          <w:tcPr>
            <w:tcW w:w="567" w:type="dxa"/>
            <w:vMerge w:val="restart"/>
            <w:tcBorders>
              <w:top w:val="single" w:sz="12" w:space="0" w:color="auto"/>
              <w:left w:val="single" w:sz="12" w:space="0" w:color="auto"/>
            </w:tcBorders>
          </w:tcPr>
          <w:p w:rsidR="001C1FF3" w:rsidRPr="0077659B" w:rsidRDefault="001C1FF3" w:rsidP="001E06E1">
            <w:pPr>
              <w:spacing w:before="60" w:after="60"/>
              <w:jc w:val="both"/>
              <w:rPr>
                <w:rFonts w:cs="Arial"/>
                <w:color w:val="000000"/>
              </w:rPr>
            </w:pPr>
            <w:r w:rsidRPr="0077659B">
              <w:rPr>
                <w:rFonts w:cs="Arial"/>
                <w:color w:val="000000"/>
              </w:rPr>
              <w:t>4.3</w:t>
            </w:r>
          </w:p>
        </w:tc>
        <w:tc>
          <w:tcPr>
            <w:tcW w:w="4820" w:type="dxa"/>
            <w:tcBorders>
              <w:top w:val="single" w:sz="12" w:space="0" w:color="auto"/>
            </w:tcBorders>
          </w:tcPr>
          <w:p w:rsidR="001C1FF3" w:rsidRPr="0077659B" w:rsidRDefault="001C1FF3" w:rsidP="001E06E1">
            <w:pPr>
              <w:spacing w:before="60" w:after="60"/>
              <w:jc w:val="both"/>
              <w:rPr>
                <w:rFonts w:cs="Arial"/>
              </w:rPr>
            </w:pPr>
            <w:r w:rsidRPr="0077659B">
              <w:rPr>
                <w:rFonts w:cs="Arial"/>
              </w:rPr>
              <w:t>Amounts payable in future periods as a percentage of the budget for the next three years, excluding “compensation of employees” and “transfers and subsidies”</w:t>
            </w:r>
          </w:p>
        </w:tc>
        <w:tc>
          <w:tcPr>
            <w:tcW w:w="2126" w:type="dxa"/>
            <w:tcBorders>
              <w:top w:val="single" w:sz="12" w:space="0" w:color="auto"/>
            </w:tcBorders>
          </w:tcPr>
          <w:p w:rsidR="001C1FF3" w:rsidRPr="0077659B" w:rsidRDefault="001C1FF3" w:rsidP="001E06E1">
            <w:pPr>
              <w:spacing w:before="60" w:after="60"/>
              <w:jc w:val="both"/>
              <w:rPr>
                <w:rFonts w:cs="Arial"/>
                <w:b/>
              </w:rPr>
            </w:pPr>
            <w:r>
              <w:rPr>
                <w:rFonts w:cs="Arial"/>
                <w:b/>
              </w:rPr>
              <w:t>6.4</w:t>
            </w:r>
            <w:r w:rsidRPr="0077659B">
              <w:rPr>
                <w:rFonts w:cs="Arial"/>
                <w:b/>
              </w:rPr>
              <w:t xml:space="preserve"> %</w:t>
            </w:r>
          </w:p>
        </w:tc>
        <w:tc>
          <w:tcPr>
            <w:tcW w:w="2126" w:type="dxa"/>
            <w:tcBorders>
              <w:top w:val="single" w:sz="12" w:space="0" w:color="auto"/>
              <w:right w:val="single" w:sz="12" w:space="0" w:color="auto"/>
            </w:tcBorders>
          </w:tcPr>
          <w:p w:rsidR="001C1FF3" w:rsidRPr="0077659B" w:rsidRDefault="001C1FF3" w:rsidP="001E06E1">
            <w:pPr>
              <w:spacing w:before="60" w:after="60"/>
              <w:jc w:val="both"/>
              <w:rPr>
                <w:rFonts w:cs="Arial"/>
                <w:b/>
              </w:rPr>
            </w:pPr>
            <w:r>
              <w:rPr>
                <w:rFonts w:cs="Arial"/>
                <w:b/>
              </w:rPr>
              <w:t>7.8</w:t>
            </w:r>
            <w:r w:rsidRPr="0077659B">
              <w:rPr>
                <w:rFonts w:cs="Arial"/>
                <w:b/>
              </w:rPr>
              <w:t>%</w:t>
            </w:r>
          </w:p>
        </w:tc>
      </w:tr>
      <w:tr w:rsidR="001C1FF3" w:rsidRPr="0077659B" w:rsidTr="00592831">
        <w:trPr>
          <w:trHeight w:val="70"/>
        </w:trPr>
        <w:tc>
          <w:tcPr>
            <w:tcW w:w="567" w:type="dxa"/>
            <w:vMerge/>
            <w:tcBorders>
              <w:left w:val="single" w:sz="12" w:space="0" w:color="auto"/>
              <w:bottom w:val="single" w:sz="12" w:space="0" w:color="auto"/>
            </w:tcBorders>
          </w:tcPr>
          <w:p w:rsidR="001C1FF3" w:rsidRPr="0077659B" w:rsidRDefault="001C1FF3" w:rsidP="001E06E1">
            <w:pPr>
              <w:spacing w:before="60" w:after="60"/>
              <w:jc w:val="both"/>
              <w:rPr>
                <w:rFonts w:cs="Arial"/>
                <w:color w:val="000000"/>
              </w:rPr>
            </w:pPr>
          </w:p>
        </w:tc>
        <w:tc>
          <w:tcPr>
            <w:tcW w:w="4820" w:type="dxa"/>
            <w:tcBorders>
              <w:bottom w:val="single" w:sz="12" w:space="0" w:color="auto"/>
            </w:tcBorders>
          </w:tcPr>
          <w:p w:rsidR="001C1FF3" w:rsidRPr="0077659B" w:rsidRDefault="001C1FF3" w:rsidP="001E06E1">
            <w:pPr>
              <w:numPr>
                <w:ilvl w:val="0"/>
                <w:numId w:val="8"/>
              </w:numPr>
              <w:spacing w:before="60" w:after="60"/>
              <w:ind w:left="284" w:hanging="284"/>
              <w:jc w:val="both"/>
              <w:rPr>
                <w:rFonts w:cs="Arial"/>
                <w:color w:val="000000"/>
              </w:rPr>
            </w:pPr>
            <w:r w:rsidRPr="0077659B">
              <w:rPr>
                <w:rFonts w:cs="Arial"/>
                <w:color w:val="000000"/>
              </w:rPr>
              <w:t>Amounts payable in future periods</w:t>
            </w:r>
          </w:p>
          <w:p w:rsidR="001C1FF3" w:rsidRPr="0077659B" w:rsidRDefault="001C1FF3" w:rsidP="001E06E1">
            <w:pPr>
              <w:numPr>
                <w:ilvl w:val="0"/>
                <w:numId w:val="8"/>
              </w:numPr>
              <w:spacing w:before="60" w:after="60"/>
              <w:ind w:left="284" w:hanging="284"/>
              <w:jc w:val="both"/>
              <w:rPr>
                <w:rFonts w:cs="Arial"/>
                <w:color w:val="000000"/>
              </w:rPr>
            </w:pPr>
            <w:r w:rsidRPr="0077659B">
              <w:rPr>
                <w:rFonts w:cs="Arial"/>
                <w:color w:val="000000"/>
              </w:rPr>
              <w:lastRenderedPageBreak/>
              <w:t>Amount of the next three years’ appropriation (budget), excluding “compensation of employees” and “transfers and subsidies"</w:t>
            </w:r>
          </w:p>
        </w:tc>
        <w:tc>
          <w:tcPr>
            <w:tcW w:w="2126" w:type="dxa"/>
            <w:tcBorders>
              <w:bottom w:val="single" w:sz="12" w:space="0" w:color="auto"/>
            </w:tcBorders>
          </w:tcPr>
          <w:p w:rsidR="001C1FF3" w:rsidRPr="0077659B" w:rsidRDefault="001C1FF3" w:rsidP="001E06E1">
            <w:pPr>
              <w:spacing w:before="60" w:after="60"/>
              <w:jc w:val="both"/>
              <w:rPr>
                <w:rFonts w:cs="Arial"/>
                <w:b/>
              </w:rPr>
            </w:pPr>
            <w:r>
              <w:rPr>
                <w:rFonts w:cs="Arial"/>
                <w:b/>
              </w:rPr>
              <w:lastRenderedPageBreak/>
              <w:t>R</w:t>
            </w:r>
            <w:r w:rsidRPr="0040732F">
              <w:rPr>
                <w:rFonts w:cs="Arial"/>
                <w:b/>
              </w:rPr>
              <w:t>98</w:t>
            </w:r>
            <w:r>
              <w:rPr>
                <w:rFonts w:cs="Arial"/>
                <w:b/>
              </w:rPr>
              <w:t> </w:t>
            </w:r>
            <w:r w:rsidRPr="0040732F">
              <w:rPr>
                <w:rFonts w:cs="Arial"/>
                <w:b/>
              </w:rPr>
              <w:t>853</w:t>
            </w:r>
            <w:r>
              <w:rPr>
                <w:rFonts w:cs="Arial"/>
                <w:b/>
              </w:rPr>
              <w:t xml:space="preserve"> 000</w:t>
            </w:r>
          </w:p>
          <w:p w:rsidR="001C1FF3" w:rsidRPr="0077659B" w:rsidRDefault="001C1FF3" w:rsidP="001E06E1">
            <w:pPr>
              <w:spacing w:before="60" w:after="60"/>
              <w:jc w:val="both"/>
              <w:rPr>
                <w:rFonts w:cs="Arial"/>
                <w:b/>
              </w:rPr>
            </w:pPr>
            <w:r>
              <w:rPr>
                <w:rFonts w:cs="Arial"/>
                <w:b/>
              </w:rPr>
              <w:t>R</w:t>
            </w:r>
            <w:r w:rsidRPr="0040732F">
              <w:rPr>
                <w:rFonts w:cs="Arial"/>
                <w:b/>
              </w:rPr>
              <w:t>1 545</w:t>
            </w:r>
            <w:r>
              <w:rPr>
                <w:rFonts w:cs="Arial"/>
                <w:b/>
              </w:rPr>
              <w:t> </w:t>
            </w:r>
            <w:r w:rsidRPr="0040732F">
              <w:rPr>
                <w:rFonts w:cs="Arial"/>
                <w:b/>
              </w:rPr>
              <w:t>904</w:t>
            </w:r>
            <w:r>
              <w:rPr>
                <w:rFonts w:cs="Arial"/>
                <w:b/>
              </w:rPr>
              <w:t xml:space="preserve"> 000</w:t>
            </w:r>
          </w:p>
        </w:tc>
        <w:tc>
          <w:tcPr>
            <w:tcW w:w="2126" w:type="dxa"/>
            <w:tcBorders>
              <w:bottom w:val="single" w:sz="12" w:space="0" w:color="auto"/>
              <w:right w:val="single" w:sz="12" w:space="0" w:color="auto"/>
            </w:tcBorders>
          </w:tcPr>
          <w:p w:rsidR="001C1FF3" w:rsidRPr="0077659B" w:rsidRDefault="001C1FF3" w:rsidP="001E06E1">
            <w:pPr>
              <w:spacing w:before="60" w:after="60"/>
              <w:jc w:val="both"/>
              <w:rPr>
                <w:rFonts w:cs="Arial"/>
                <w:b/>
              </w:rPr>
            </w:pPr>
            <w:r>
              <w:rPr>
                <w:rFonts w:cs="Arial"/>
                <w:b/>
              </w:rPr>
              <w:t>R</w:t>
            </w:r>
            <w:r w:rsidRPr="0040732F">
              <w:rPr>
                <w:rFonts w:cs="Arial"/>
                <w:b/>
              </w:rPr>
              <w:t>124 765 000</w:t>
            </w:r>
          </w:p>
          <w:p w:rsidR="001C1FF3" w:rsidRPr="0077659B" w:rsidRDefault="001C1FF3" w:rsidP="001E06E1">
            <w:pPr>
              <w:spacing w:before="60" w:after="60"/>
              <w:jc w:val="both"/>
              <w:rPr>
                <w:rFonts w:cs="Arial"/>
                <w:b/>
              </w:rPr>
            </w:pPr>
            <w:r>
              <w:rPr>
                <w:rFonts w:cs="Arial"/>
                <w:b/>
              </w:rPr>
              <w:t>R</w:t>
            </w:r>
            <w:r w:rsidRPr="0040732F">
              <w:rPr>
                <w:rFonts w:cs="Arial"/>
                <w:b/>
              </w:rPr>
              <w:t>1 589 800 000</w:t>
            </w:r>
          </w:p>
        </w:tc>
      </w:tr>
      <w:tr w:rsidR="001C1FF3" w:rsidRPr="0077659B" w:rsidTr="00592831">
        <w:trPr>
          <w:trHeight w:val="340"/>
        </w:trPr>
        <w:tc>
          <w:tcPr>
            <w:tcW w:w="567" w:type="dxa"/>
            <w:vMerge w:val="restart"/>
            <w:tcBorders>
              <w:top w:val="single" w:sz="12" w:space="0" w:color="auto"/>
              <w:left w:val="single" w:sz="12" w:space="0" w:color="auto"/>
            </w:tcBorders>
          </w:tcPr>
          <w:p w:rsidR="001C1FF3" w:rsidRPr="0077659B" w:rsidRDefault="001C1FF3" w:rsidP="001E06E1">
            <w:pPr>
              <w:spacing w:before="60" w:after="60"/>
              <w:jc w:val="both"/>
              <w:rPr>
                <w:rFonts w:cs="Arial"/>
                <w:color w:val="000000"/>
              </w:rPr>
            </w:pPr>
            <w:r w:rsidRPr="0077659B">
              <w:rPr>
                <w:rFonts w:cs="Arial"/>
                <w:color w:val="000000"/>
              </w:rPr>
              <w:t>4.4</w:t>
            </w:r>
          </w:p>
        </w:tc>
        <w:tc>
          <w:tcPr>
            <w:tcW w:w="4820" w:type="dxa"/>
            <w:tcBorders>
              <w:top w:val="single" w:sz="12" w:space="0" w:color="auto"/>
            </w:tcBorders>
          </w:tcPr>
          <w:p w:rsidR="001C1FF3" w:rsidRPr="0077659B" w:rsidRDefault="001C1FF3" w:rsidP="001E06E1">
            <w:pPr>
              <w:spacing w:before="60" w:after="60"/>
              <w:jc w:val="both"/>
              <w:rPr>
                <w:rFonts w:cs="Arial"/>
              </w:rPr>
            </w:pPr>
            <w:r w:rsidRPr="0077659B">
              <w:rPr>
                <w:rFonts w:cs="Arial"/>
              </w:rPr>
              <w:t>Guarantees issued by the department as a percentage of next year’s budget, excluding “compensation of employees” and “transfers and subsidies”</w:t>
            </w:r>
          </w:p>
        </w:tc>
        <w:tc>
          <w:tcPr>
            <w:tcW w:w="2126" w:type="dxa"/>
            <w:tcBorders>
              <w:top w:val="single" w:sz="12" w:space="0" w:color="auto"/>
            </w:tcBorders>
          </w:tcPr>
          <w:p w:rsidR="001C1FF3" w:rsidRPr="0077659B" w:rsidRDefault="001C1FF3" w:rsidP="001E06E1">
            <w:pPr>
              <w:spacing w:before="60" w:after="60"/>
              <w:jc w:val="both"/>
              <w:rPr>
                <w:rFonts w:cs="Arial"/>
                <w:b/>
              </w:rPr>
            </w:pPr>
            <w:r>
              <w:rPr>
                <w:rFonts w:cs="Arial"/>
                <w:b/>
              </w:rPr>
              <w:t>0,01</w:t>
            </w:r>
            <w:r w:rsidRPr="0077659B">
              <w:rPr>
                <w:rFonts w:cs="Arial"/>
                <w:b/>
              </w:rPr>
              <w:t>%</w:t>
            </w:r>
          </w:p>
        </w:tc>
        <w:tc>
          <w:tcPr>
            <w:tcW w:w="2126" w:type="dxa"/>
            <w:tcBorders>
              <w:top w:val="single" w:sz="12" w:space="0" w:color="auto"/>
              <w:right w:val="single" w:sz="12" w:space="0" w:color="auto"/>
            </w:tcBorders>
          </w:tcPr>
          <w:p w:rsidR="001C1FF3" w:rsidRPr="0077659B" w:rsidRDefault="001C1FF3" w:rsidP="001E06E1">
            <w:pPr>
              <w:spacing w:before="60" w:after="60"/>
              <w:jc w:val="both"/>
              <w:rPr>
                <w:rFonts w:cs="Arial"/>
                <w:b/>
              </w:rPr>
            </w:pPr>
            <w:r>
              <w:rPr>
                <w:rFonts w:cs="Arial"/>
                <w:b/>
              </w:rPr>
              <w:t>No guarantees issued</w:t>
            </w:r>
          </w:p>
        </w:tc>
      </w:tr>
      <w:tr w:rsidR="001C1FF3" w:rsidRPr="0077659B" w:rsidTr="00592831">
        <w:trPr>
          <w:trHeight w:val="70"/>
        </w:trPr>
        <w:tc>
          <w:tcPr>
            <w:tcW w:w="567" w:type="dxa"/>
            <w:vMerge/>
            <w:tcBorders>
              <w:left w:val="single" w:sz="12" w:space="0" w:color="auto"/>
              <w:bottom w:val="single" w:sz="12" w:space="0" w:color="auto"/>
            </w:tcBorders>
          </w:tcPr>
          <w:p w:rsidR="001C1FF3" w:rsidRPr="0077659B" w:rsidRDefault="001C1FF3" w:rsidP="001E06E1">
            <w:pPr>
              <w:spacing w:before="60" w:after="60"/>
              <w:jc w:val="both"/>
              <w:rPr>
                <w:rFonts w:cs="Arial"/>
                <w:color w:val="000000"/>
              </w:rPr>
            </w:pPr>
          </w:p>
        </w:tc>
        <w:tc>
          <w:tcPr>
            <w:tcW w:w="4820" w:type="dxa"/>
            <w:tcBorders>
              <w:bottom w:val="single" w:sz="12" w:space="0" w:color="auto"/>
            </w:tcBorders>
          </w:tcPr>
          <w:p w:rsidR="001C1FF3" w:rsidRPr="0077659B" w:rsidRDefault="001C1FF3" w:rsidP="001E06E1">
            <w:pPr>
              <w:numPr>
                <w:ilvl w:val="0"/>
                <w:numId w:val="8"/>
              </w:numPr>
              <w:spacing w:before="60" w:after="60"/>
              <w:ind w:left="284" w:hanging="284"/>
              <w:jc w:val="both"/>
              <w:rPr>
                <w:rFonts w:cs="Arial"/>
                <w:color w:val="000000"/>
              </w:rPr>
            </w:pPr>
            <w:r w:rsidRPr="0077659B">
              <w:rPr>
                <w:rFonts w:cs="Arial"/>
                <w:color w:val="000000"/>
              </w:rPr>
              <w:t>Amount of guarantees issued</w:t>
            </w:r>
          </w:p>
          <w:p w:rsidR="001C1FF3" w:rsidRPr="0077659B" w:rsidRDefault="001C1FF3" w:rsidP="001E06E1">
            <w:pPr>
              <w:numPr>
                <w:ilvl w:val="0"/>
                <w:numId w:val="8"/>
              </w:numPr>
              <w:spacing w:before="60" w:after="60"/>
              <w:ind w:left="284" w:hanging="284"/>
              <w:jc w:val="both"/>
              <w:rPr>
                <w:rFonts w:cs="Arial"/>
                <w:color w:val="000000"/>
              </w:rPr>
            </w:pPr>
            <w:r w:rsidRPr="0077659B">
              <w:rPr>
                <w:rFonts w:cs="Arial"/>
                <w:color w:val="000000"/>
              </w:rPr>
              <w:t>Amount of next year’s appropriation (budget), excluding “compensation of employees” and “transfers</w:t>
            </w:r>
            <w:r w:rsidRPr="0077659B">
              <w:rPr>
                <w:rFonts w:cs="Arial"/>
              </w:rPr>
              <w:t xml:space="preserve"> and subsidies”</w:t>
            </w:r>
          </w:p>
        </w:tc>
        <w:tc>
          <w:tcPr>
            <w:tcW w:w="2126" w:type="dxa"/>
            <w:tcBorders>
              <w:bottom w:val="single" w:sz="12" w:space="0" w:color="auto"/>
            </w:tcBorders>
          </w:tcPr>
          <w:p w:rsidR="001C1FF3" w:rsidRPr="0077659B" w:rsidRDefault="001C1FF3" w:rsidP="001E06E1">
            <w:pPr>
              <w:spacing w:before="60" w:after="60"/>
              <w:jc w:val="both"/>
              <w:rPr>
                <w:rFonts w:cs="Arial"/>
                <w:b/>
              </w:rPr>
            </w:pPr>
            <w:r>
              <w:rPr>
                <w:rFonts w:cs="Arial"/>
                <w:b/>
              </w:rPr>
              <w:t>R53 000</w:t>
            </w:r>
          </w:p>
          <w:p w:rsidR="001C1FF3" w:rsidRPr="0077659B" w:rsidRDefault="007B6919" w:rsidP="001E06E1">
            <w:pPr>
              <w:spacing w:before="60" w:after="60"/>
              <w:jc w:val="both"/>
              <w:rPr>
                <w:rFonts w:cs="Arial"/>
                <w:b/>
              </w:rPr>
            </w:pPr>
            <w:r w:rsidRPr="007B6919">
              <w:rPr>
                <w:rFonts w:cs="Arial"/>
                <w:b/>
              </w:rPr>
              <w:t>R504 904 000</w:t>
            </w:r>
          </w:p>
        </w:tc>
        <w:tc>
          <w:tcPr>
            <w:tcW w:w="2126" w:type="dxa"/>
            <w:tcBorders>
              <w:bottom w:val="single" w:sz="12" w:space="0" w:color="auto"/>
              <w:right w:val="single" w:sz="12" w:space="0" w:color="auto"/>
            </w:tcBorders>
          </w:tcPr>
          <w:p w:rsidR="001C1FF3" w:rsidRPr="0077659B" w:rsidRDefault="001C1FF3" w:rsidP="001E06E1">
            <w:pPr>
              <w:spacing w:before="60" w:after="60"/>
              <w:jc w:val="both"/>
              <w:rPr>
                <w:rFonts w:cs="Arial"/>
                <w:b/>
              </w:rPr>
            </w:pPr>
            <w:r>
              <w:rPr>
                <w:rFonts w:cs="Arial"/>
                <w:b/>
              </w:rPr>
              <w:t>R0</w:t>
            </w:r>
          </w:p>
          <w:p w:rsidR="001C1FF3" w:rsidRPr="0077659B" w:rsidRDefault="007B6919" w:rsidP="001E06E1">
            <w:pPr>
              <w:spacing w:before="60" w:after="60"/>
              <w:jc w:val="both"/>
              <w:rPr>
                <w:rFonts w:cs="Arial"/>
                <w:b/>
              </w:rPr>
            </w:pPr>
            <w:r w:rsidRPr="007B6919">
              <w:rPr>
                <w:rFonts w:cs="Arial"/>
                <w:b/>
              </w:rPr>
              <w:t>R480 005 000</w:t>
            </w:r>
          </w:p>
        </w:tc>
      </w:tr>
      <w:tr w:rsidR="001C1FF3" w:rsidRPr="0077659B" w:rsidTr="00592831">
        <w:trPr>
          <w:trHeight w:val="340"/>
        </w:trPr>
        <w:tc>
          <w:tcPr>
            <w:tcW w:w="567" w:type="dxa"/>
            <w:vMerge w:val="restart"/>
            <w:tcBorders>
              <w:top w:val="single" w:sz="12" w:space="0" w:color="auto"/>
              <w:left w:val="single" w:sz="12" w:space="0" w:color="auto"/>
            </w:tcBorders>
          </w:tcPr>
          <w:p w:rsidR="001C1FF3" w:rsidRPr="0077659B" w:rsidRDefault="001C1FF3" w:rsidP="001E06E1">
            <w:pPr>
              <w:spacing w:before="60" w:after="60"/>
              <w:jc w:val="both"/>
              <w:rPr>
                <w:rFonts w:cs="Arial"/>
                <w:color w:val="000000"/>
              </w:rPr>
            </w:pPr>
            <w:r w:rsidRPr="0077659B">
              <w:rPr>
                <w:rFonts w:cs="Arial"/>
                <w:color w:val="000000"/>
              </w:rPr>
              <w:t>4.5</w:t>
            </w:r>
          </w:p>
        </w:tc>
        <w:tc>
          <w:tcPr>
            <w:tcW w:w="4820" w:type="dxa"/>
            <w:tcBorders>
              <w:top w:val="single" w:sz="12" w:space="0" w:color="auto"/>
            </w:tcBorders>
          </w:tcPr>
          <w:p w:rsidR="001C1FF3" w:rsidRPr="0077659B" w:rsidRDefault="001C1FF3" w:rsidP="001E06E1">
            <w:pPr>
              <w:spacing w:before="60" w:after="60"/>
              <w:jc w:val="both"/>
              <w:rPr>
                <w:rFonts w:cs="Arial"/>
              </w:rPr>
            </w:pPr>
            <w:r w:rsidRPr="0077659B">
              <w:rPr>
                <w:rFonts w:cs="Arial"/>
              </w:rPr>
              <w:t>Claims against the department as a percentage of next year’s budget, excluding “compensation of employees” and “transfers and subsidies”</w:t>
            </w:r>
          </w:p>
        </w:tc>
        <w:tc>
          <w:tcPr>
            <w:tcW w:w="2126" w:type="dxa"/>
            <w:tcBorders>
              <w:top w:val="single" w:sz="12" w:space="0" w:color="auto"/>
            </w:tcBorders>
          </w:tcPr>
          <w:p w:rsidR="001C1FF3" w:rsidRPr="0077659B" w:rsidRDefault="001C1FF3" w:rsidP="001E06E1">
            <w:pPr>
              <w:spacing w:before="60" w:after="60"/>
              <w:jc w:val="both"/>
              <w:rPr>
                <w:rFonts w:cs="Arial"/>
                <w:b/>
              </w:rPr>
            </w:pPr>
            <w:r>
              <w:rPr>
                <w:rFonts w:cs="Arial"/>
                <w:b/>
              </w:rPr>
              <w:t>2</w:t>
            </w:r>
            <w:r w:rsidRPr="0077659B">
              <w:rPr>
                <w:rFonts w:cs="Arial"/>
                <w:b/>
              </w:rPr>
              <w:t>%</w:t>
            </w:r>
          </w:p>
        </w:tc>
        <w:tc>
          <w:tcPr>
            <w:tcW w:w="2126" w:type="dxa"/>
            <w:tcBorders>
              <w:top w:val="single" w:sz="12" w:space="0" w:color="auto"/>
              <w:right w:val="single" w:sz="12" w:space="0" w:color="auto"/>
            </w:tcBorders>
          </w:tcPr>
          <w:p w:rsidR="001C1FF3" w:rsidRPr="0077659B" w:rsidRDefault="001C1FF3" w:rsidP="001E06E1">
            <w:pPr>
              <w:spacing w:before="60" w:after="60"/>
              <w:jc w:val="both"/>
              <w:rPr>
                <w:rFonts w:cs="Arial"/>
                <w:b/>
              </w:rPr>
            </w:pPr>
            <w:r w:rsidRPr="0077659B">
              <w:rPr>
                <w:rFonts w:cs="Arial"/>
                <w:b/>
              </w:rPr>
              <w:t>No c</w:t>
            </w:r>
            <w:r>
              <w:rPr>
                <w:rFonts w:cs="Arial"/>
                <w:b/>
              </w:rPr>
              <w:t>laims against the department</w:t>
            </w:r>
          </w:p>
        </w:tc>
      </w:tr>
      <w:tr w:rsidR="001C1FF3" w:rsidRPr="0077659B" w:rsidTr="00592831">
        <w:trPr>
          <w:trHeight w:val="70"/>
        </w:trPr>
        <w:tc>
          <w:tcPr>
            <w:tcW w:w="567" w:type="dxa"/>
            <w:vMerge/>
            <w:tcBorders>
              <w:left w:val="single" w:sz="12" w:space="0" w:color="auto"/>
              <w:bottom w:val="single" w:sz="12" w:space="0" w:color="auto"/>
            </w:tcBorders>
          </w:tcPr>
          <w:p w:rsidR="001C1FF3" w:rsidRPr="0077659B" w:rsidRDefault="001C1FF3" w:rsidP="001E06E1">
            <w:pPr>
              <w:spacing w:before="60" w:after="60"/>
              <w:jc w:val="both"/>
              <w:rPr>
                <w:rFonts w:cs="Arial"/>
                <w:color w:val="000000"/>
              </w:rPr>
            </w:pPr>
          </w:p>
        </w:tc>
        <w:tc>
          <w:tcPr>
            <w:tcW w:w="4820" w:type="dxa"/>
            <w:tcBorders>
              <w:bottom w:val="single" w:sz="12" w:space="0" w:color="auto"/>
            </w:tcBorders>
          </w:tcPr>
          <w:p w:rsidR="001C1FF3" w:rsidRPr="0077659B" w:rsidRDefault="001C1FF3" w:rsidP="001E06E1">
            <w:pPr>
              <w:numPr>
                <w:ilvl w:val="0"/>
                <w:numId w:val="8"/>
              </w:numPr>
              <w:spacing w:before="60" w:after="60"/>
              <w:ind w:left="284" w:hanging="284"/>
              <w:jc w:val="both"/>
              <w:rPr>
                <w:rFonts w:cs="Arial"/>
                <w:color w:val="000000"/>
              </w:rPr>
            </w:pPr>
            <w:r w:rsidRPr="0077659B">
              <w:rPr>
                <w:rFonts w:cs="Arial"/>
                <w:color w:val="000000"/>
              </w:rPr>
              <w:t>Amount of claims against the department</w:t>
            </w:r>
          </w:p>
          <w:p w:rsidR="001C1FF3" w:rsidRPr="0077659B" w:rsidRDefault="001C1FF3" w:rsidP="001E06E1">
            <w:pPr>
              <w:numPr>
                <w:ilvl w:val="0"/>
                <w:numId w:val="8"/>
              </w:numPr>
              <w:spacing w:before="60" w:after="60"/>
              <w:ind w:left="284" w:hanging="284"/>
              <w:jc w:val="both"/>
              <w:rPr>
                <w:rFonts w:cs="Arial"/>
                <w:color w:val="000000"/>
              </w:rPr>
            </w:pPr>
            <w:r w:rsidRPr="0077659B">
              <w:rPr>
                <w:rFonts w:cs="Arial"/>
              </w:rPr>
              <w:t>Amount of next</w:t>
            </w:r>
            <w:r w:rsidRPr="0077659B">
              <w:rPr>
                <w:rFonts w:cs="Arial"/>
                <w:color w:val="000000"/>
              </w:rPr>
              <w:t xml:space="preserve"> year’s appropriation (budget), excluding “compensation of employees” </w:t>
            </w:r>
            <w:r w:rsidRPr="0077659B">
              <w:rPr>
                <w:rFonts w:cs="Arial"/>
              </w:rPr>
              <w:t>and “transfers and subsidies”</w:t>
            </w:r>
          </w:p>
        </w:tc>
        <w:tc>
          <w:tcPr>
            <w:tcW w:w="2126" w:type="dxa"/>
            <w:tcBorders>
              <w:bottom w:val="single" w:sz="12" w:space="0" w:color="auto"/>
            </w:tcBorders>
          </w:tcPr>
          <w:p w:rsidR="001C1FF3" w:rsidRPr="0077659B" w:rsidRDefault="001C1FF3" w:rsidP="001E06E1">
            <w:pPr>
              <w:spacing w:before="60" w:after="60"/>
              <w:jc w:val="both"/>
              <w:rPr>
                <w:rFonts w:cs="Arial"/>
                <w:b/>
              </w:rPr>
            </w:pPr>
            <w:r>
              <w:rPr>
                <w:rFonts w:cs="Arial"/>
                <w:b/>
              </w:rPr>
              <w:t>R10 000 000</w:t>
            </w:r>
          </w:p>
          <w:p w:rsidR="001C1FF3" w:rsidRPr="0077659B" w:rsidRDefault="007B6919" w:rsidP="001E06E1">
            <w:pPr>
              <w:spacing w:before="60" w:after="60"/>
              <w:jc w:val="both"/>
              <w:rPr>
                <w:rFonts w:cs="Arial"/>
                <w:b/>
              </w:rPr>
            </w:pPr>
            <w:r w:rsidRPr="007B6919">
              <w:rPr>
                <w:rFonts w:cs="Arial"/>
                <w:b/>
              </w:rPr>
              <w:t>R504 904 000</w:t>
            </w:r>
          </w:p>
        </w:tc>
        <w:tc>
          <w:tcPr>
            <w:tcW w:w="2126" w:type="dxa"/>
            <w:tcBorders>
              <w:bottom w:val="single" w:sz="12" w:space="0" w:color="auto"/>
              <w:right w:val="single" w:sz="12" w:space="0" w:color="auto"/>
            </w:tcBorders>
          </w:tcPr>
          <w:p w:rsidR="001C1FF3" w:rsidRPr="0077659B" w:rsidRDefault="001C1FF3" w:rsidP="001E06E1">
            <w:pPr>
              <w:spacing w:before="60" w:after="60"/>
              <w:jc w:val="both"/>
              <w:rPr>
                <w:rFonts w:cs="Arial"/>
                <w:b/>
              </w:rPr>
            </w:pPr>
            <w:r>
              <w:rPr>
                <w:rFonts w:cs="Arial"/>
                <w:b/>
              </w:rPr>
              <w:t>R0</w:t>
            </w:r>
          </w:p>
          <w:p w:rsidR="001C1FF3" w:rsidRPr="0077659B" w:rsidRDefault="007B6919" w:rsidP="001E06E1">
            <w:pPr>
              <w:spacing w:before="60" w:after="60"/>
              <w:jc w:val="both"/>
              <w:rPr>
                <w:rFonts w:cs="Arial"/>
                <w:b/>
              </w:rPr>
            </w:pPr>
            <w:r w:rsidRPr="007B6919">
              <w:rPr>
                <w:rFonts w:cs="Arial"/>
                <w:b/>
              </w:rPr>
              <w:t>R480 005 000</w:t>
            </w:r>
          </w:p>
        </w:tc>
      </w:tr>
      <w:tr w:rsidR="001C1FF3" w:rsidRPr="0077659B" w:rsidTr="00592831">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rsidR="001C1FF3" w:rsidRPr="0077659B" w:rsidRDefault="001C1FF3" w:rsidP="001E06E1">
            <w:pPr>
              <w:spacing w:before="60" w:after="60"/>
              <w:jc w:val="both"/>
              <w:rPr>
                <w:rFonts w:cs="Arial"/>
                <w:b/>
                <w:color w:val="000000"/>
              </w:rPr>
            </w:pPr>
            <w:r w:rsidRPr="0077659B">
              <w:rPr>
                <w:rFonts w:cs="Arial"/>
                <w:b/>
                <w:color w:val="000000"/>
              </w:rPr>
              <w:t xml:space="preserve">OVERALL ASSESSMENT </w:t>
            </w:r>
          </w:p>
        </w:tc>
      </w:tr>
      <w:tr w:rsidR="001C1FF3" w:rsidRPr="0077659B" w:rsidTr="00592831">
        <w:trPr>
          <w:trHeight w:val="340"/>
        </w:trPr>
        <w:tc>
          <w:tcPr>
            <w:tcW w:w="5387" w:type="dxa"/>
            <w:gridSpan w:val="2"/>
            <w:tcBorders>
              <w:top w:val="single" w:sz="12" w:space="0" w:color="000000"/>
              <w:left w:val="single" w:sz="12" w:space="0" w:color="000000"/>
              <w:bottom w:val="single" w:sz="4" w:space="0" w:color="000000"/>
              <w:right w:val="single" w:sz="4" w:space="0" w:color="000000"/>
            </w:tcBorders>
            <w:tcMar>
              <w:left w:w="108" w:type="dxa"/>
              <w:right w:w="113" w:type="dxa"/>
            </w:tcMar>
            <w:vAlign w:val="center"/>
          </w:tcPr>
          <w:p w:rsidR="001C1FF3" w:rsidRPr="0077659B" w:rsidRDefault="001C1FF3" w:rsidP="001E06E1">
            <w:pPr>
              <w:spacing w:before="60" w:after="60"/>
              <w:jc w:val="both"/>
              <w:rPr>
                <w:rFonts w:cs="Arial"/>
              </w:rPr>
            </w:pPr>
            <w:r w:rsidRPr="0077659B">
              <w:rPr>
                <w:rFonts w:cs="Arial"/>
              </w:rPr>
              <w:t>Overall the financial viability is assessed as:</w:t>
            </w:r>
          </w:p>
        </w:tc>
        <w:tc>
          <w:tcPr>
            <w:tcW w:w="2126" w:type="dxa"/>
            <w:tcBorders>
              <w:top w:val="single" w:sz="12" w:space="0" w:color="000000"/>
              <w:left w:val="single" w:sz="4" w:space="0" w:color="000000"/>
              <w:bottom w:val="single" w:sz="4" w:space="0" w:color="000000"/>
              <w:right w:val="single" w:sz="4" w:space="0" w:color="000000"/>
            </w:tcBorders>
            <w:shd w:val="clear" w:color="auto" w:fill="00B050"/>
            <w:vAlign w:val="center"/>
          </w:tcPr>
          <w:p w:rsidR="001C1FF3" w:rsidRPr="0077659B" w:rsidRDefault="001C1FF3" w:rsidP="001E06E1">
            <w:pPr>
              <w:spacing w:before="60" w:after="60"/>
              <w:jc w:val="both"/>
              <w:rPr>
                <w:rFonts w:cs="Arial"/>
                <w:b/>
                <w:bCs/>
                <w:color w:val="000000"/>
              </w:rPr>
            </w:pPr>
            <w:r w:rsidRPr="0077659B">
              <w:rPr>
                <w:rFonts w:cs="Arial"/>
                <w:b/>
                <w:bCs/>
                <w:color w:val="000000"/>
              </w:rPr>
              <w:t>Green (Good)</w:t>
            </w:r>
          </w:p>
        </w:tc>
        <w:tc>
          <w:tcPr>
            <w:tcW w:w="2126" w:type="dxa"/>
            <w:tcBorders>
              <w:top w:val="single" w:sz="12" w:space="0" w:color="000000"/>
              <w:left w:val="single" w:sz="4" w:space="0" w:color="000000"/>
              <w:bottom w:val="single" w:sz="4" w:space="0" w:color="000000"/>
              <w:right w:val="single" w:sz="12" w:space="0" w:color="000000"/>
            </w:tcBorders>
            <w:shd w:val="clear" w:color="auto" w:fill="00B050"/>
            <w:vAlign w:val="center"/>
          </w:tcPr>
          <w:p w:rsidR="001C1FF3" w:rsidRPr="0077659B" w:rsidRDefault="001C1FF3" w:rsidP="001E06E1">
            <w:pPr>
              <w:spacing w:before="60" w:after="60"/>
              <w:jc w:val="both"/>
              <w:rPr>
                <w:rFonts w:cs="Arial"/>
                <w:b/>
                <w:bCs/>
                <w:color w:val="000000"/>
              </w:rPr>
            </w:pPr>
            <w:r w:rsidRPr="0077659B">
              <w:rPr>
                <w:rFonts w:cs="Arial"/>
                <w:b/>
                <w:bCs/>
                <w:color w:val="000000"/>
              </w:rPr>
              <w:t>Green (Good)</w:t>
            </w:r>
          </w:p>
        </w:tc>
      </w:tr>
      <w:tr w:rsidR="001C1FF3" w:rsidRPr="0077659B" w:rsidTr="0059283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rsidR="001C1FF3" w:rsidRPr="0077659B" w:rsidRDefault="001C1FF3" w:rsidP="001E06E1">
            <w:pPr>
              <w:spacing w:before="60" w:after="60"/>
              <w:ind w:left="284" w:hanging="284"/>
              <w:jc w:val="both"/>
              <w:rPr>
                <w:rFonts w:cs="Arial"/>
                <w:i/>
              </w:rPr>
            </w:pPr>
            <w:r>
              <w:rPr>
                <w:rFonts w:cs="Arial"/>
                <w:i/>
              </w:rPr>
              <w:t xml:space="preserve">* </w:t>
            </w:r>
            <w:r>
              <w:rPr>
                <w:rFonts w:cs="Arial"/>
                <w:i/>
              </w:rPr>
              <w:tab/>
              <w:t xml:space="preserve">These amounts </w:t>
            </w:r>
            <w:proofErr w:type="gramStart"/>
            <w:r>
              <w:rPr>
                <w:rFonts w:cs="Arial"/>
                <w:i/>
              </w:rPr>
              <w:t>have</w:t>
            </w:r>
            <w:r w:rsidRPr="0077659B">
              <w:rPr>
                <w:rFonts w:cs="Arial"/>
                <w:i/>
              </w:rPr>
              <w:t xml:space="preserve"> been adjusted</w:t>
            </w:r>
            <w:proofErr w:type="gramEnd"/>
            <w:r w:rsidRPr="0077659B">
              <w:rPr>
                <w:rFonts w:cs="Arial"/>
                <w:i/>
              </w:rPr>
              <w:t xml:space="preserve"> for uncorrected misstatements that resulted in the modification of the audit opinion and will therefore not agree with </w:t>
            </w:r>
            <w:r w:rsidR="00081B5F">
              <w:rPr>
                <w:rFonts w:cs="Arial"/>
                <w:i/>
              </w:rPr>
              <w:t xml:space="preserve">the financial statement amounts. </w:t>
            </w:r>
            <w:r>
              <w:rPr>
                <w:rFonts w:cs="Arial"/>
                <w:i/>
              </w:rPr>
              <w:t>The uncorrected misstatements included understatement of provision for impairment by R54 541 000 relating to DBE and overstatement of Claims recoverable by R15 019 000 relating to PMTE.</w:t>
            </w:r>
          </w:p>
          <w:p w:rsidR="001C1FF3" w:rsidRPr="001E4D90" w:rsidRDefault="001C1FF3" w:rsidP="001E06E1">
            <w:pPr>
              <w:spacing w:before="60" w:after="60"/>
              <w:ind w:left="284" w:hanging="284"/>
              <w:jc w:val="both"/>
              <w:rPr>
                <w:rFonts w:cs="Arial"/>
                <w:i/>
              </w:rPr>
            </w:pPr>
            <w:r w:rsidRPr="0077659B">
              <w:rPr>
                <w:rFonts w:cs="Arial"/>
                <w:i/>
              </w:rPr>
              <w:t xml:space="preserve">** </w:t>
            </w:r>
            <w:r w:rsidRPr="0077659B">
              <w:rPr>
                <w:rFonts w:cs="Arial"/>
                <w:i/>
              </w:rPr>
              <w:tab/>
              <w:t xml:space="preserve">This </w:t>
            </w:r>
            <w:r w:rsidRPr="001E4D90">
              <w:rPr>
                <w:rFonts w:cs="Arial"/>
                <w:i/>
              </w:rPr>
              <w:t>indicator assumes that the unauthorised expenditure of R261 169 000, per note 9 will not be</w:t>
            </w:r>
          </w:p>
          <w:p w:rsidR="001C1FF3" w:rsidRPr="0077659B" w:rsidRDefault="001C1FF3" w:rsidP="001E06E1">
            <w:pPr>
              <w:spacing w:before="60" w:after="60"/>
              <w:ind w:left="284" w:hanging="284"/>
              <w:jc w:val="both"/>
              <w:rPr>
                <w:rFonts w:cs="Arial"/>
                <w:i/>
              </w:rPr>
            </w:pPr>
            <w:proofErr w:type="gramStart"/>
            <w:r w:rsidRPr="001E4D90">
              <w:rPr>
                <w:rFonts w:cs="Arial"/>
                <w:i/>
              </w:rPr>
              <w:t>approved</w:t>
            </w:r>
            <w:proofErr w:type="gramEnd"/>
            <w:r w:rsidRPr="001E4D90">
              <w:rPr>
                <w:rFonts w:cs="Arial"/>
                <w:i/>
              </w:rPr>
              <w:t xml:space="preserve"> with funding.</w:t>
            </w:r>
          </w:p>
        </w:tc>
      </w:tr>
    </w:tbl>
    <w:p w:rsidR="001C1FF3" w:rsidRPr="0077659B" w:rsidRDefault="001C1FF3" w:rsidP="001E06E1">
      <w:pPr>
        <w:pStyle w:val="Numbernormal"/>
        <w:jc w:val="both"/>
      </w:pPr>
    </w:p>
    <w:p w:rsidR="009F2DC4" w:rsidRPr="0077659B" w:rsidRDefault="009F2DC4" w:rsidP="001E06E1">
      <w:pPr>
        <w:pStyle w:val="Heading4"/>
        <w:jc w:val="both"/>
      </w:pPr>
      <w:r w:rsidRPr="0077659B">
        <w:t>High-level comments</w:t>
      </w:r>
    </w:p>
    <w:p w:rsidR="00C21A2A" w:rsidRDefault="001C1FF3" w:rsidP="001E06E1">
      <w:pPr>
        <w:pStyle w:val="Numbernormal"/>
        <w:numPr>
          <w:ilvl w:val="0"/>
          <w:numId w:val="17"/>
        </w:numPr>
        <w:jc w:val="both"/>
      </w:pPr>
      <w:r>
        <w:t xml:space="preserve">The department’s financial position improved as indicated by the significant decline in the bank overdraft balance. This is however due to low spending in the current year </w:t>
      </w:r>
      <w:proofErr w:type="gramStart"/>
      <w:r>
        <w:t>as a results</w:t>
      </w:r>
      <w:proofErr w:type="gramEnd"/>
      <w:r>
        <w:t xml:space="preserve"> of COVID-19 which impacted operations and activities nationwide.</w:t>
      </w:r>
      <w:r w:rsidR="00592831">
        <w:t xml:space="preserve"> The bank overdraft will however remain until such time when the unauthorised expenditure </w:t>
      </w:r>
      <w:proofErr w:type="gramStart"/>
      <w:r w:rsidR="00592831">
        <w:t>is app</w:t>
      </w:r>
      <w:r w:rsidR="007B6919">
        <w:t>roved</w:t>
      </w:r>
      <w:proofErr w:type="gramEnd"/>
      <w:r w:rsidR="007B6919">
        <w:t xml:space="preserve"> with funding.</w:t>
      </w:r>
    </w:p>
    <w:p w:rsidR="006158BA" w:rsidRDefault="006158BA" w:rsidP="001E06E1">
      <w:pPr>
        <w:pStyle w:val="Numbernormal"/>
        <w:numPr>
          <w:ilvl w:val="0"/>
          <w:numId w:val="17"/>
        </w:numPr>
        <w:jc w:val="both"/>
      </w:pPr>
      <w:r>
        <w:t xml:space="preserve">The financial position is affected by the uncorrected misstatements relating to receivables and impairment of </w:t>
      </w:r>
      <w:proofErr w:type="gramStart"/>
      <w:r>
        <w:t>receivables which</w:t>
      </w:r>
      <w:proofErr w:type="gramEnd"/>
      <w:r>
        <w:t xml:space="preserve"> </w:t>
      </w:r>
      <w:r w:rsidR="00EC1BC5">
        <w:t>negatively affected the net assets balances.</w:t>
      </w:r>
    </w:p>
    <w:p w:rsidR="001C1FF3" w:rsidRDefault="001C1FF3" w:rsidP="001E06E1">
      <w:pPr>
        <w:pStyle w:val="Numbernormal"/>
        <w:numPr>
          <w:ilvl w:val="0"/>
          <w:numId w:val="17"/>
        </w:numPr>
        <w:jc w:val="both"/>
      </w:pPr>
      <w:r>
        <w:t xml:space="preserve">The </w:t>
      </w:r>
      <w:proofErr w:type="gramStart"/>
      <w:r>
        <w:t>creditors</w:t>
      </w:r>
      <w:proofErr w:type="gramEnd"/>
      <w:r>
        <w:t xml:space="preserve"> payment period has regressed mostly due to employees working from home and not being able to process payments </w:t>
      </w:r>
      <w:r w:rsidR="009A12AB">
        <w:t xml:space="preserve">on a timely manner. However, the </w:t>
      </w:r>
      <w:proofErr w:type="gramStart"/>
      <w:r w:rsidR="009A12AB">
        <w:t>creditors</w:t>
      </w:r>
      <w:proofErr w:type="gramEnd"/>
      <w:r w:rsidR="009A12AB">
        <w:t xml:space="preserve"> payment </w:t>
      </w:r>
      <w:r w:rsidR="00592831">
        <w:t>period is still within the legislated</w:t>
      </w:r>
      <w:r w:rsidR="009A12AB">
        <w:t xml:space="preserve"> 30 days payments period.</w:t>
      </w:r>
    </w:p>
    <w:p w:rsidR="007B6919" w:rsidRPr="0077659B" w:rsidRDefault="006158BA" w:rsidP="001E06E1">
      <w:pPr>
        <w:pStyle w:val="Numbernormal"/>
        <w:numPr>
          <w:ilvl w:val="0"/>
          <w:numId w:val="17"/>
        </w:numPr>
        <w:jc w:val="both"/>
      </w:pPr>
      <w:r>
        <w:t xml:space="preserve">The department is involved in a legal dispute where a previous contractor is claiming for damaged against the department and if the claim is </w:t>
      </w:r>
      <w:proofErr w:type="gramStart"/>
      <w:r>
        <w:t>successful</w:t>
      </w:r>
      <w:proofErr w:type="gramEnd"/>
      <w:r>
        <w:t xml:space="preserve"> it might present financial challenges to the department.</w:t>
      </w:r>
    </w:p>
    <w:p w:rsidR="00F576DC" w:rsidRPr="00BB6EEC" w:rsidRDefault="00C22F2B" w:rsidP="001E06E1">
      <w:pPr>
        <w:pStyle w:val="Heading3"/>
        <w:jc w:val="both"/>
        <w:rPr>
          <w:lang w:val="en-ZA"/>
        </w:rPr>
      </w:pPr>
      <w:bookmarkStart w:id="155" w:name="_Toc447106617"/>
      <w:bookmarkStart w:id="156" w:name="_Toc77816787"/>
      <w:r w:rsidRPr="00BB6EEC">
        <w:rPr>
          <w:lang w:val="en-ZA"/>
        </w:rPr>
        <w:lastRenderedPageBreak/>
        <w:t>PROCUREMENT AND CONTRACT MANAGEMENT</w:t>
      </w:r>
      <w:bookmarkEnd w:id="155"/>
      <w:bookmarkEnd w:id="156"/>
    </w:p>
    <w:p w:rsidR="00C22F2B" w:rsidRPr="0077659B" w:rsidRDefault="00D35BBA" w:rsidP="001E06E1">
      <w:pPr>
        <w:pStyle w:val="Numbernormal"/>
        <w:numPr>
          <w:ilvl w:val="0"/>
          <w:numId w:val="17"/>
        </w:numPr>
        <w:jc w:val="both"/>
      </w:pPr>
      <w:r w:rsidRPr="0077659B">
        <w:t>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w:t>
      </w:r>
      <w:r w:rsidR="00607800" w:rsidRPr="0077659B">
        <w:t>,</w:t>
      </w:r>
      <w:r w:rsidRPr="0077659B">
        <w:t xml:space="preserve"> and unfair and other irregular practices. </w:t>
      </w:r>
      <w:r w:rsidR="00C22F2B" w:rsidRPr="0077659B">
        <w:t>A summary of the findings from the audit are as follows:</w:t>
      </w:r>
    </w:p>
    <w:p w:rsidR="00C22F2B" w:rsidRPr="0077659B" w:rsidRDefault="00C22F2B" w:rsidP="001E06E1">
      <w:pPr>
        <w:pStyle w:val="Heading5"/>
        <w:jc w:val="both"/>
        <w:rPr>
          <w:rFonts w:eastAsia="Calibri"/>
        </w:rPr>
      </w:pPr>
      <w:bookmarkStart w:id="157" w:name="_Toc447106618"/>
      <w:r w:rsidRPr="0077659B">
        <w:rPr>
          <w:rFonts w:eastAsia="Calibri"/>
        </w:rPr>
        <w:t>Irregular expenditure</w:t>
      </w:r>
      <w:bookmarkEnd w:id="157"/>
    </w:p>
    <w:p w:rsidR="00C22F2B" w:rsidRPr="00601171" w:rsidRDefault="00C22F2B" w:rsidP="001E06E1">
      <w:pPr>
        <w:pStyle w:val="Numbernormal"/>
        <w:numPr>
          <w:ilvl w:val="0"/>
          <w:numId w:val="17"/>
        </w:numPr>
        <w:jc w:val="both"/>
      </w:pPr>
      <w:r w:rsidRPr="0077659B">
        <w:t>R</w:t>
      </w:r>
      <w:r w:rsidR="00D55037">
        <w:t>6 004 818</w:t>
      </w:r>
      <w:r w:rsidRPr="0077659B">
        <w:t>(</w:t>
      </w:r>
      <w:r w:rsidR="00D55037">
        <w:t>79</w:t>
      </w:r>
      <w:r w:rsidRPr="0077659B">
        <w:t xml:space="preserve">%) of irregular expenditure incurred in the current financial year was </w:t>
      </w:r>
      <w:proofErr w:type="gramStart"/>
      <w:r w:rsidRPr="0077659B">
        <w:t>as a result</w:t>
      </w:r>
      <w:proofErr w:type="gramEnd"/>
      <w:r w:rsidRPr="0077659B">
        <w:t xml:space="preserve"> of </w:t>
      </w:r>
      <w:r w:rsidR="00D55037">
        <w:t>salaries of employees that were appointed irregularly.</w:t>
      </w:r>
      <w:r w:rsidRPr="0077659B">
        <w:t xml:space="preserve"> Further irregular expenditure incurred in previous years amounting to R</w:t>
      </w:r>
      <w:r w:rsidR="00D55037">
        <w:t>19 662</w:t>
      </w:r>
      <w:r w:rsidR="00601171">
        <w:t> </w:t>
      </w:r>
      <w:r w:rsidR="00D55037">
        <w:t>211</w:t>
      </w:r>
      <w:r w:rsidR="00601171">
        <w:t xml:space="preserve"> </w:t>
      </w:r>
      <w:r w:rsidRPr="0077659B">
        <w:t xml:space="preserve">as also identified in the current year. </w:t>
      </w:r>
      <w:proofErr w:type="gramStart"/>
      <w:r w:rsidR="00D55037">
        <w:t>100%</w:t>
      </w:r>
      <w:proofErr w:type="gramEnd"/>
      <w:r w:rsidR="00D55037">
        <w:t xml:space="preserve"> </w:t>
      </w:r>
      <w:r w:rsidRPr="0077659B">
        <w:t xml:space="preserve">of this irregular expenditure was identified during the audit process and not detected by the </w:t>
      </w:r>
      <w:r w:rsidR="00D55037">
        <w:t>department</w:t>
      </w:r>
      <w:r w:rsidR="00C34378" w:rsidRPr="0077659B">
        <w:t>’s</w:t>
      </w:r>
      <w:r w:rsidRPr="0077659B">
        <w:t xml:space="preserve"> monitoring processes. The root cause(s) of the lack of effective prevention and detection are </w:t>
      </w:r>
      <w:r w:rsidR="00D55037" w:rsidRPr="00601171">
        <w:t>inadequate review and mo</w:t>
      </w:r>
      <w:r w:rsidR="00975628" w:rsidRPr="00601171">
        <w:t xml:space="preserve">nitoring of payment processes. </w:t>
      </w:r>
    </w:p>
    <w:p w:rsidR="00975628" w:rsidRPr="00975628" w:rsidRDefault="00975628" w:rsidP="001E06E1">
      <w:pPr>
        <w:autoSpaceDE w:val="0"/>
        <w:autoSpaceDN w:val="0"/>
        <w:adjustRightInd w:val="0"/>
        <w:spacing w:after="0" w:line="240" w:lineRule="auto"/>
        <w:jc w:val="both"/>
        <w:rPr>
          <w:rFonts w:ascii="CIDFont+F4" w:hAnsi="CIDFont+F4" w:cs="CIDFont+F4"/>
          <w:sz w:val="21"/>
          <w:szCs w:val="21"/>
        </w:rPr>
      </w:pPr>
    </w:p>
    <w:p w:rsidR="00C22F2B" w:rsidRPr="0077659B" w:rsidRDefault="00C22F2B" w:rsidP="001E06E1">
      <w:pPr>
        <w:pStyle w:val="Heading5"/>
        <w:jc w:val="both"/>
        <w:rPr>
          <w:rFonts w:eastAsia="Calibri"/>
        </w:rPr>
      </w:pPr>
      <w:bookmarkStart w:id="158" w:name="_Toc447106620"/>
      <w:r w:rsidRPr="0077659B">
        <w:rPr>
          <w:rFonts w:eastAsia="Calibri"/>
        </w:rPr>
        <w:t>Procurement processes</w:t>
      </w:r>
      <w:bookmarkEnd w:id="158"/>
    </w:p>
    <w:p w:rsidR="00C22F2B" w:rsidRPr="0077659B" w:rsidRDefault="00C22F2B" w:rsidP="001E06E1">
      <w:pPr>
        <w:pStyle w:val="Numbernormal"/>
        <w:numPr>
          <w:ilvl w:val="0"/>
          <w:numId w:val="17"/>
        </w:numPr>
        <w:jc w:val="both"/>
      </w:pPr>
      <w:r w:rsidRPr="0077659B">
        <w:t>The table below is a summary of findings identified on procurement processes:</w:t>
      </w:r>
    </w:p>
    <w:tbl>
      <w:tblPr>
        <w:tblStyle w:val="TableGrid14"/>
        <w:tblW w:w="9746" w:type="dxa"/>
        <w:tblInd w:w="108" w:type="dxa"/>
        <w:tblLayout w:type="fixed"/>
        <w:tblLook w:val="04A0" w:firstRow="1" w:lastRow="0" w:firstColumn="1" w:lastColumn="0" w:noHBand="0" w:noVBand="1"/>
      </w:tblPr>
      <w:tblGrid>
        <w:gridCol w:w="2700"/>
        <w:gridCol w:w="1128"/>
        <w:gridCol w:w="1212"/>
        <w:gridCol w:w="1080"/>
        <w:gridCol w:w="1260"/>
        <w:gridCol w:w="1080"/>
        <w:gridCol w:w="1286"/>
      </w:tblGrid>
      <w:tr w:rsidR="00D55037" w:rsidRPr="0077659B" w:rsidTr="00592831">
        <w:tc>
          <w:tcPr>
            <w:tcW w:w="2700" w:type="dxa"/>
            <w:vMerge w:val="restart"/>
            <w:shd w:val="clear" w:color="auto" w:fill="A6A6A6" w:themeFill="background1" w:themeFillShade="A6"/>
          </w:tcPr>
          <w:p w:rsidR="00D55037" w:rsidRPr="0077659B" w:rsidRDefault="00D55037" w:rsidP="001E06E1">
            <w:pPr>
              <w:pStyle w:val="NoSpacing"/>
              <w:jc w:val="both"/>
            </w:pPr>
          </w:p>
        </w:tc>
        <w:tc>
          <w:tcPr>
            <w:tcW w:w="2340" w:type="dxa"/>
            <w:gridSpan w:val="2"/>
            <w:shd w:val="clear" w:color="auto" w:fill="A6A6A6" w:themeFill="background1" w:themeFillShade="A6"/>
          </w:tcPr>
          <w:p w:rsidR="00D55037" w:rsidRPr="0077659B" w:rsidRDefault="00D55037" w:rsidP="001E06E1">
            <w:pPr>
              <w:pStyle w:val="NoSpacing"/>
              <w:jc w:val="both"/>
            </w:pPr>
            <w:r w:rsidRPr="0077659B">
              <w:t>Total</w:t>
            </w:r>
          </w:p>
        </w:tc>
        <w:tc>
          <w:tcPr>
            <w:tcW w:w="2340" w:type="dxa"/>
            <w:gridSpan w:val="2"/>
            <w:shd w:val="clear" w:color="auto" w:fill="A6A6A6" w:themeFill="background1" w:themeFillShade="A6"/>
          </w:tcPr>
          <w:p w:rsidR="00D55037" w:rsidRPr="0077659B" w:rsidRDefault="00D55037" w:rsidP="001E06E1">
            <w:pPr>
              <w:pStyle w:val="NoSpacing"/>
              <w:jc w:val="both"/>
            </w:pPr>
            <w:r w:rsidRPr="0077659B">
              <w:t>Quotations (below R500 000)</w:t>
            </w:r>
          </w:p>
        </w:tc>
        <w:tc>
          <w:tcPr>
            <w:tcW w:w="2366" w:type="dxa"/>
            <w:gridSpan w:val="2"/>
            <w:shd w:val="clear" w:color="auto" w:fill="A6A6A6" w:themeFill="background1" w:themeFillShade="A6"/>
          </w:tcPr>
          <w:p w:rsidR="00D55037" w:rsidRPr="0077659B" w:rsidRDefault="00D55037" w:rsidP="001E06E1">
            <w:pPr>
              <w:pStyle w:val="NoSpacing"/>
              <w:jc w:val="both"/>
            </w:pPr>
            <w:r w:rsidRPr="0077659B">
              <w:t>Competitive bids (over R500 000)</w:t>
            </w:r>
          </w:p>
        </w:tc>
      </w:tr>
      <w:tr w:rsidR="00D55037" w:rsidRPr="0077659B" w:rsidTr="00592831">
        <w:tc>
          <w:tcPr>
            <w:tcW w:w="2700" w:type="dxa"/>
            <w:vMerge/>
            <w:shd w:val="clear" w:color="auto" w:fill="A6A6A6" w:themeFill="background1" w:themeFillShade="A6"/>
          </w:tcPr>
          <w:p w:rsidR="00D55037" w:rsidRPr="0077659B" w:rsidRDefault="00D55037" w:rsidP="001E06E1">
            <w:pPr>
              <w:pStyle w:val="NoSpacing"/>
              <w:jc w:val="both"/>
            </w:pPr>
          </w:p>
        </w:tc>
        <w:tc>
          <w:tcPr>
            <w:tcW w:w="1128" w:type="dxa"/>
            <w:shd w:val="clear" w:color="auto" w:fill="D9D9D9" w:themeFill="background1" w:themeFillShade="D9"/>
          </w:tcPr>
          <w:p w:rsidR="00D55037" w:rsidRPr="0077659B" w:rsidRDefault="00D55037" w:rsidP="001E06E1">
            <w:pPr>
              <w:pStyle w:val="NoSpacing"/>
              <w:jc w:val="both"/>
            </w:pPr>
            <w:r w:rsidRPr="0077659B">
              <w:t>Number</w:t>
            </w:r>
          </w:p>
        </w:tc>
        <w:tc>
          <w:tcPr>
            <w:tcW w:w="1212" w:type="dxa"/>
            <w:shd w:val="clear" w:color="auto" w:fill="D9D9D9" w:themeFill="background1" w:themeFillShade="D9"/>
          </w:tcPr>
          <w:p w:rsidR="00D55037" w:rsidRPr="0077659B" w:rsidRDefault="00D55037" w:rsidP="001E06E1">
            <w:pPr>
              <w:pStyle w:val="NoSpacing"/>
              <w:jc w:val="both"/>
            </w:pPr>
            <w:r w:rsidRPr="0077659B">
              <w:t>Value</w:t>
            </w:r>
          </w:p>
          <w:p w:rsidR="00D55037" w:rsidRPr="0077659B" w:rsidRDefault="00D55037" w:rsidP="001E06E1">
            <w:pPr>
              <w:pStyle w:val="NoSpacing"/>
              <w:jc w:val="both"/>
            </w:pPr>
            <w:r w:rsidRPr="0077659B">
              <w:rPr>
                <w:i/>
              </w:rPr>
              <w:t>R</w:t>
            </w:r>
          </w:p>
        </w:tc>
        <w:tc>
          <w:tcPr>
            <w:tcW w:w="1080" w:type="dxa"/>
            <w:shd w:val="clear" w:color="auto" w:fill="D9D9D9" w:themeFill="background1" w:themeFillShade="D9"/>
          </w:tcPr>
          <w:p w:rsidR="00D55037" w:rsidRPr="0077659B" w:rsidRDefault="00D55037" w:rsidP="001E06E1">
            <w:pPr>
              <w:pStyle w:val="NoSpacing"/>
              <w:jc w:val="both"/>
            </w:pPr>
            <w:r w:rsidRPr="0077659B">
              <w:t>Number</w:t>
            </w:r>
          </w:p>
        </w:tc>
        <w:tc>
          <w:tcPr>
            <w:tcW w:w="1260" w:type="dxa"/>
            <w:shd w:val="clear" w:color="auto" w:fill="D9D9D9" w:themeFill="background1" w:themeFillShade="D9"/>
          </w:tcPr>
          <w:p w:rsidR="00D55037" w:rsidRPr="0077659B" w:rsidRDefault="00D55037" w:rsidP="001E06E1">
            <w:pPr>
              <w:pStyle w:val="NoSpacing"/>
              <w:jc w:val="both"/>
              <w:rPr>
                <w:i/>
              </w:rPr>
            </w:pPr>
            <w:r w:rsidRPr="0077659B">
              <w:t>Value</w:t>
            </w:r>
          </w:p>
          <w:p w:rsidR="00D55037" w:rsidRPr="0077659B" w:rsidRDefault="00D55037" w:rsidP="001E06E1">
            <w:pPr>
              <w:pStyle w:val="NoSpacing"/>
              <w:jc w:val="both"/>
              <w:rPr>
                <w:i/>
              </w:rPr>
            </w:pPr>
            <w:r w:rsidRPr="0077659B">
              <w:rPr>
                <w:i/>
              </w:rPr>
              <w:t>R</w:t>
            </w:r>
          </w:p>
        </w:tc>
        <w:tc>
          <w:tcPr>
            <w:tcW w:w="1080" w:type="dxa"/>
            <w:shd w:val="clear" w:color="auto" w:fill="D9D9D9" w:themeFill="background1" w:themeFillShade="D9"/>
          </w:tcPr>
          <w:p w:rsidR="00D55037" w:rsidRPr="0077659B" w:rsidRDefault="00D55037" w:rsidP="001E06E1">
            <w:pPr>
              <w:pStyle w:val="NoSpacing"/>
              <w:jc w:val="both"/>
            </w:pPr>
            <w:r w:rsidRPr="0077659B">
              <w:t>Number</w:t>
            </w:r>
          </w:p>
        </w:tc>
        <w:tc>
          <w:tcPr>
            <w:tcW w:w="1286" w:type="dxa"/>
            <w:shd w:val="clear" w:color="auto" w:fill="D9D9D9" w:themeFill="background1" w:themeFillShade="D9"/>
          </w:tcPr>
          <w:p w:rsidR="00D55037" w:rsidRPr="0077659B" w:rsidRDefault="00D55037" w:rsidP="001E06E1">
            <w:pPr>
              <w:pStyle w:val="NoSpacing"/>
              <w:jc w:val="both"/>
              <w:rPr>
                <w:i/>
              </w:rPr>
            </w:pPr>
            <w:r w:rsidRPr="0077659B">
              <w:t>Value</w:t>
            </w:r>
          </w:p>
          <w:p w:rsidR="00D55037" w:rsidRPr="0077659B" w:rsidRDefault="00D55037" w:rsidP="001E06E1">
            <w:pPr>
              <w:pStyle w:val="NoSpacing"/>
              <w:jc w:val="both"/>
            </w:pPr>
            <w:r w:rsidRPr="0077659B">
              <w:rPr>
                <w:i/>
              </w:rPr>
              <w:t>R</w:t>
            </w:r>
          </w:p>
        </w:tc>
      </w:tr>
      <w:tr w:rsidR="00D55037" w:rsidRPr="0077659B" w:rsidTr="00592831">
        <w:tc>
          <w:tcPr>
            <w:tcW w:w="2700" w:type="dxa"/>
          </w:tcPr>
          <w:p w:rsidR="00D55037" w:rsidRPr="00871C3E" w:rsidRDefault="00D55037" w:rsidP="001E06E1">
            <w:pPr>
              <w:pStyle w:val="Tabletext"/>
              <w:jc w:val="both"/>
              <w:rPr>
                <w:b/>
              </w:rPr>
            </w:pPr>
            <w:r w:rsidRPr="00871C3E">
              <w:rPr>
                <w:b/>
              </w:rPr>
              <w:t>Awards selected for testing</w:t>
            </w:r>
          </w:p>
        </w:tc>
        <w:tc>
          <w:tcPr>
            <w:tcW w:w="1128" w:type="dxa"/>
          </w:tcPr>
          <w:p w:rsidR="00D55037" w:rsidRPr="0077659B" w:rsidRDefault="00D55037" w:rsidP="001E06E1">
            <w:pPr>
              <w:pStyle w:val="Tabletext"/>
              <w:jc w:val="both"/>
              <w:rPr>
                <w:i/>
              </w:rPr>
            </w:pPr>
            <w:r>
              <w:rPr>
                <w:i/>
              </w:rPr>
              <w:t>61</w:t>
            </w:r>
          </w:p>
        </w:tc>
        <w:tc>
          <w:tcPr>
            <w:tcW w:w="1212" w:type="dxa"/>
          </w:tcPr>
          <w:p w:rsidR="00D55037" w:rsidRPr="0077659B" w:rsidRDefault="00D55037" w:rsidP="001E06E1">
            <w:pPr>
              <w:pStyle w:val="Tabletext"/>
              <w:jc w:val="both"/>
              <w:rPr>
                <w:i/>
              </w:rPr>
            </w:pPr>
            <w:r w:rsidRPr="00640305">
              <w:rPr>
                <w:i/>
              </w:rPr>
              <w:t>78 672 036</w:t>
            </w:r>
          </w:p>
        </w:tc>
        <w:tc>
          <w:tcPr>
            <w:tcW w:w="1080" w:type="dxa"/>
          </w:tcPr>
          <w:p w:rsidR="00D55037" w:rsidRPr="0077659B" w:rsidRDefault="00D55037" w:rsidP="001E06E1">
            <w:pPr>
              <w:pStyle w:val="Tabletext"/>
              <w:jc w:val="both"/>
              <w:rPr>
                <w:i/>
              </w:rPr>
            </w:pPr>
            <w:r>
              <w:rPr>
                <w:i/>
              </w:rPr>
              <w:t>47</w:t>
            </w:r>
          </w:p>
        </w:tc>
        <w:tc>
          <w:tcPr>
            <w:tcW w:w="1260" w:type="dxa"/>
          </w:tcPr>
          <w:p w:rsidR="00D55037" w:rsidRPr="0077659B" w:rsidRDefault="00D55037" w:rsidP="001E06E1">
            <w:pPr>
              <w:pStyle w:val="Tabletext"/>
              <w:jc w:val="both"/>
              <w:rPr>
                <w:i/>
              </w:rPr>
            </w:pPr>
            <w:r w:rsidRPr="00640305">
              <w:rPr>
                <w:i/>
              </w:rPr>
              <w:t>8 621 337</w:t>
            </w:r>
          </w:p>
        </w:tc>
        <w:tc>
          <w:tcPr>
            <w:tcW w:w="1080" w:type="dxa"/>
          </w:tcPr>
          <w:p w:rsidR="00D55037" w:rsidRPr="0077659B" w:rsidRDefault="00D55037" w:rsidP="001E06E1">
            <w:pPr>
              <w:pStyle w:val="Tabletext"/>
              <w:jc w:val="both"/>
              <w:rPr>
                <w:i/>
              </w:rPr>
            </w:pPr>
            <w:r>
              <w:rPr>
                <w:i/>
              </w:rPr>
              <w:t>14</w:t>
            </w:r>
          </w:p>
        </w:tc>
        <w:tc>
          <w:tcPr>
            <w:tcW w:w="1286" w:type="dxa"/>
          </w:tcPr>
          <w:p w:rsidR="00D55037" w:rsidRPr="0077659B" w:rsidRDefault="00D55037" w:rsidP="001E06E1">
            <w:pPr>
              <w:pStyle w:val="Tabletext"/>
              <w:jc w:val="both"/>
              <w:rPr>
                <w:i/>
              </w:rPr>
            </w:pPr>
            <w:r w:rsidRPr="00640305">
              <w:rPr>
                <w:i/>
              </w:rPr>
              <w:t>70 050 700</w:t>
            </w:r>
          </w:p>
        </w:tc>
      </w:tr>
      <w:tr w:rsidR="00D55037" w:rsidRPr="0077659B" w:rsidTr="00592831">
        <w:tc>
          <w:tcPr>
            <w:tcW w:w="2700" w:type="dxa"/>
          </w:tcPr>
          <w:p w:rsidR="00D55037" w:rsidRPr="00871C3E" w:rsidRDefault="00D55037" w:rsidP="001E06E1">
            <w:pPr>
              <w:pStyle w:val="Tabletext"/>
              <w:jc w:val="both"/>
              <w:rPr>
                <w:b/>
              </w:rPr>
            </w:pPr>
            <w:r w:rsidRPr="00871C3E">
              <w:rPr>
                <w:b/>
              </w:rPr>
              <w:t>Expenditure incurred on selected awards – current year</w:t>
            </w:r>
          </w:p>
        </w:tc>
        <w:tc>
          <w:tcPr>
            <w:tcW w:w="1128" w:type="dxa"/>
            <w:shd w:val="clear" w:color="auto" w:fill="000000" w:themeFill="text1"/>
          </w:tcPr>
          <w:p w:rsidR="00D55037" w:rsidRPr="0077659B" w:rsidRDefault="00D55037" w:rsidP="001E06E1">
            <w:pPr>
              <w:pStyle w:val="Tabletext"/>
              <w:jc w:val="both"/>
              <w:rPr>
                <w:i/>
              </w:rPr>
            </w:pPr>
          </w:p>
        </w:tc>
        <w:tc>
          <w:tcPr>
            <w:tcW w:w="1212" w:type="dxa"/>
          </w:tcPr>
          <w:p w:rsidR="00D55037" w:rsidRPr="0077659B" w:rsidRDefault="00D55037" w:rsidP="001E06E1">
            <w:pPr>
              <w:pStyle w:val="Tabletext"/>
              <w:jc w:val="both"/>
              <w:rPr>
                <w:i/>
              </w:rPr>
            </w:pPr>
            <w:r w:rsidRPr="00640305">
              <w:rPr>
                <w:i/>
              </w:rPr>
              <w:t>18 049 397</w:t>
            </w:r>
          </w:p>
        </w:tc>
        <w:tc>
          <w:tcPr>
            <w:tcW w:w="1080" w:type="dxa"/>
            <w:shd w:val="clear" w:color="auto" w:fill="000000" w:themeFill="text1"/>
          </w:tcPr>
          <w:p w:rsidR="00D55037" w:rsidRPr="0077659B" w:rsidRDefault="00D55037" w:rsidP="001E06E1">
            <w:pPr>
              <w:pStyle w:val="Tabletext"/>
              <w:jc w:val="both"/>
              <w:rPr>
                <w:i/>
              </w:rPr>
            </w:pPr>
          </w:p>
        </w:tc>
        <w:tc>
          <w:tcPr>
            <w:tcW w:w="1260" w:type="dxa"/>
          </w:tcPr>
          <w:p w:rsidR="00D55037" w:rsidRPr="0077659B" w:rsidRDefault="00D55037" w:rsidP="001E06E1">
            <w:pPr>
              <w:pStyle w:val="Tabletext"/>
              <w:jc w:val="both"/>
              <w:rPr>
                <w:i/>
              </w:rPr>
            </w:pPr>
            <w:r w:rsidRPr="00640305">
              <w:rPr>
                <w:i/>
              </w:rPr>
              <w:t>7 061 373</w:t>
            </w:r>
          </w:p>
        </w:tc>
        <w:tc>
          <w:tcPr>
            <w:tcW w:w="1080" w:type="dxa"/>
            <w:shd w:val="clear" w:color="auto" w:fill="000000" w:themeFill="text1"/>
          </w:tcPr>
          <w:p w:rsidR="00D55037" w:rsidRPr="0077659B" w:rsidRDefault="00D55037" w:rsidP="001E06E1">
            <w:pPr>
              <w:pStyle w:val="Tabletext"/>
              <w:jc w:val="both"/>
              <w:rPr>
                <w:i/>
              </w:rPr>
            </w:pPr>
          </w:p>
        </w:tc>
        <w:tc>
          <w:tcPr>
            <w:tcW w:w="1286" w:type="dxa"/>
          </w:tcPr>
          <w:p w:rsidR="00D55037" w:rsidRPr="0077659B" w:rsidRDefault="00D55037" w:rsidP="001E06E1">
            <w:pPr>
              <w:pStyle w:val="Tabletext"/>
              <w:jc w:val="both"/>
              <w:rPr>
                <w:i/>
              </w:rPr>
            </w:pPr>
            <w:r w:rsidRPr="00640305">
              <w:rPr>
                <w:i/>
              </w:rPr>
              <w:t>10 988 025</w:t>
            </w:r>
          </w:p>
        </w:tc>
      </w:tr>
      <w:tr w:rsidR="00D55037" w:rsidRPr="0077659B" w:rsidTr="00592831">
        <w:tc>
          <w:tcPr>
            <w:tcW w:w="2700" w:type="dxa"/>
          </w:tcPr>
          <w:p w:rsidR="00D55037" w:rsidRPr="00871C3E" w:rsidRDefault="00D55037" w:rsidP="001E06E1">
            <w:pPr>
              <w:pStyle w:val="Tabletext"/>
              <w:jc w:val="both"/>
              <w:rPr>
                <w:b/>
              </w:rPr>
            </w:pPr>
            <w:r w:rsidRPr="00871C3E">
              <w:rPr>
                <w:b/>
              </w:rPr>
              <w:t>Limitations – awards selected but could not be tested</w:t>
            </w:r>
          </w:p>
        </w:tc>
        <w:tc>
          <w:tcPr>
            <w:tcW w:w="1128" w:type="dxa"/>
          </w:tcPr>
          <w:p w:rsidR="00D55037" w:rsidRPr="0077659B" w:rsidRDefault="00D55037" w:rsidP="001E06E1">
            <w:pPr>
              <w:pStyle w:val="Tabletext"/>
              <w:jc w:val="both"/>
              <w:rPr>
                <w:i/>
              </w:rPr>
            </w:pPr>
            <w:r>
              <w:rPr>
                <w:i/>
              </w:rPr>
              <w:t>0</w:t>
            </w:r>
          </w:p>
        </w:tc>
        <w:tc>
          <w:tcPr>
            <w:tcW w:w="1212" w:type="dxa"/>
          </w:tcPr>
          <w:p w:rsidR="00D55037" w:rsidRPr="0077659B" w:rsidRDefault="00D55037" w:rsidP="001E06E1">
            <w:pPr>
              <w:pStyle w:val="Tabletext"/>
              <w:jc w:val="both"/>
              <w:rPr>
                <w:i/>
              </w:rPr>
            </w:pPr>
            <w:r>
              <w:rPr>
                <w:i/>
              </w:rPr>
              <w:t>0</w:t>
            </w:r>
          </w:p>
        </w:tc>
        <w:tc>
          <w:tcPr>
            <w:tcW w:w="1080" w:type="dxa"/>
          </w:tcPr>
          <w:p w:rsidR="00D55037" w:rsidRPr="0077659B" w:rsidRDefault="00D55037" w:rsidP="001E06E1">
            <w:pPr>
              <w:pStyle w:val="Tabletext"/>
              <w:jc w:val="both"/>
              <w:rPr>
                <w:i/>
              </w:rPr>
            </w:pPr>
            <w:r>
              <w:rPr>
                <w:i/>
              </w:rPr>
              <w:t>0</w:t>
            </w:r>
          </w:p>
        </w:tc>
        <w:tc>
          <w:tcPr>
            <w:tcW w:w="1260" w:type="dxa"/>
          </w:tcPr>
          <w:p w:rsidR="00D55037" w:rsidRPr="0077659B" w:rsidRDefault="00D55037" w:rsidP="001E06E1">
            <w:pPr>
              <w:pStyle w:val="Tabletext"/>
              <w:jc w:val="both"/>
              <w:rPr>
                <w:i/>
              </w:rPr>
            </w:pPr>
            <w:r>
              <w:rPr>
                <w:i/>
              </w:rPr>
              <w:t>0</w:t>
            </w:r>
          </w:p>
        </w:tc>
        <w:tc>
          <w:tcPr>
            <w:tcW w:w="1080" w:type="dxa"/>
          </w:tcPr>
          <w:p w:rsidR="00D55037" w:rsidRPr="0077659B" w:rsidRDefault="00D55037" w:rsidP="001E06E1">
            <w:pPr>
              <w:pStyle w:val="Tabletext"/>
              <w:jc w:val="both"/>
              <w:rPr>
                <w:i/>
              </w:rPr>
            </w:pPr>
            <w:r>
              <w:rPr>
                <w:i/>
              </w:rPr>
              <w:t>0</w:t>
            </w:r>
          </w:p>
        </w:tc>
        <w:tc>
          <w:tcPr>
            <w:tcW w:w="1286" w:type="dxa"/>
          </w:tcPr>
          <w:p w:rsidR="00D55037" w:rsidRPr="0077659B" w:rsidRDefault="00D55037" w:rsidP="001E06E1">
            <w:pPr>
              <w:pStyle w:val="Tabletext"/>
              <w:jc w:val="both"/>
              <w:rPr>
                <w:i/>
              </w:rPr>
            </w:pPr>
            <w:r>
              <w:rPr>
                <w:i/>
              </w:rPr>
              <w:t>0</w:t>
            </w:r>
          </w:p>
        </w:tc>
      </w:tr>
      <w:tr w:rsidR="00D55037" w:rsidRPr="0077659B" w:rsidTr="00592831">
        <w:tc>
          <w:tcPr>
            <w:tcW w:w="2700" w:type="dxa"/>
          </w:tcPr>
          <w:p w:rsidR="00D55037" w:rsidRPr="00871C3E" w:rsidRDefault="00D55037" w:rsidP="001E06E1">
            <w:pPr>
              <w:pStyle w:val="Tabletext"/>
              <w:jc w:val="both"/>
              <w:rPr>
                <w:b/>
              </w:rPr>
            </w:pPr>
            <w:r w:rsidRPr="00871C3E">
              <w:rPr>
                <w:b/>
              </w:rPr>
              <w:t>Awards on which non-compliance was identified</w:t>
            </w:r>
          </w:p>
        </w:tc>
        <w:tc>
          <w:tcPr>
            <w:tcW w:w="1128" w:type="dxa"/>
          </w:tcPr>
          <w:p w:rsidR="00D55037" w:rsidRPr="0077659B" w:rsidRDefault="00D55037" w:rsidP="001E06E1">
            <w:pPr>
              <w:pStyle w:val="Tabletext"/>
              <w:jc w:val="both"/>
              <w:rPr>
                <w:i/>
              </w:rPr>
            </w:pPr>
            <w:r>
              <w:rPr>
                <w:i/>
              </w:rPr>
              <w:t>1</w:t>
            </w:r>
          </w:p>
        </w:tc>
        <w:tc>
          <w:tcPr>
            <w:tcW w:w="1212" w:type="dxa"/>
          </w:tcPr>
          <w:p w:rsidR="00D55037" w:rsidRPr="0077659B" w:rsidRDefault="00D55037" w:rsidP="001E06E1">
            <w:pPr>
              <w:pStyle w:val="Tabletext"/>
              <w:jc w:val="both"/>
              <w:rPr>
                <w:i/>
              </w:rPr>
            </w:pPr>
            <w:r w:rsidRPr="00640305">
              <w:rPr>
                <w:i/>
              </w:rPr>
              <w:t>53 423</w:t>
            </w:r>
          </w:p>
        </w:tc>
        <w:tc>
          <w:tcPr>
            <w:tcW w:w="1080" w:type="dxa"/>
          </w:tcPr>
          <w:p w:rsidR="00D55037" w:rsidRPr="0077659B" w:rsidRDefault="00D55037" w:rsidP="001E06E1">
            <w:pPr>
              <w:pStyle w:val="Tabletext"/>
              <w:jc w:val="both"/>
              <w:rPr>
                <w:i/>
              </w:rPr>
            </w:pPr>
            <w:r>
              <w:rPr>
                <w:i/>
              </w:rPr>
              <w:t>1</w:t>
            </w:r>
          </w:p>
        </w:tc>
        <w:tc>
          <w:tcPr>
            <w:tcW w:w="1260" w:type="dxa"/>
          </w:tcPr>
          <w:p w:rsidR="00D55037" w:rsidRPr="0077659B" w:rsidRDefault="00D55037" w:rsidP="001E06E1">
            <w:pPr>
              <w:pStyle w:val="Tabletext"/>
              <w:jc w:val="both"/>
              <w:rPr>
                <w:i/>
              </w:rPr>
            </w:pPr>
            <w:r w:rsidRPr="00640305">
              <w:rPr>
                <w:i/>
              </w:rPr>
              <w:t>53 423</w:t>
            </w:r>
          </w:p>
        </w:tc>
        <w:tc>
          <w:tcPr>
            <w:tcW w:w="1080" w:type="dxa"/>
          </w:tcPr>
          <w:p w:rsidR="00D55037" w:rsidRPr="0077659B" w:rsidRDefault="00D55037" w:rsidP="001E06E1">
            <w:pPr>
              <w:pStyle w:val="Tabletext"/>
              <w:jc w:val="both"/>
              <w:rPr>
                <w:i/>
              </w:rPr>
            </w:pPr>
            <w:r>
              <w:rPr>
                <w:i/>
              </w:rPr>
              <w:t>0</w:t>
            </w:r>
          </w:p>
        </w:tc>
        <w:tc>
          <w:tcPr>
            <w:tcW w:w="1286" w:type="dxa"/>
          </w:tcPr>
          <w:p w:rsidR="00D55037" w:rsidRPr="0077659B" w:rsidRDefault="00D55037" w:rsidP="001E06E1">
            <w:pPr>
              <w:pStyle w:val="Tabletext"/>
              <w:jc w:val="both"/>
              <w:rPr>
                <w:i/>
              </w:rPr>
            </w:pPr>
            <w:r>
              <w:rPr>
                <w:i/>
              </w:rPr>
              <w:t>0</w:t>
            </w:r>
          </w:p>
        </w:tc>
      </w:tr>
      <w:tr w:rsidR="00D55037" w:rsidRPr="0077659B" w:rsidTr="00592831">
        <w:tc>
          <w:tcPr>
            <w:tcW w:w="2700" w:type="dxa"/>
          </w:tcPr>
          <w:p w:rsidR="00D55037" w:rsidRPr="00871C3E" w:rsidRDefault="00D55037" w:rsidP="001E06E1">
            <w:pPr>
              <w:pStyle w:val="Tabletext"/>
              <w:jc w:val="both"/>
              <w:rPr>
                <w:b/>
              </w:rPr>
            </w:pPr>
            <w:r w:rsidRPr="00871C3E">
              <w:rPr>
                <w:b/>
              </w:rPr>
              <w:t>Irregular expenditure identified</w:t>
            </w:r>
          </w:p>
        </w:tc>
        <w:tc>
          <w:tcPr>
            <w:tcW w:w="1128" w:type="dxa"/>
          </w:tcPr>
          <w:p w:rsidR="00D55037" w:rsidRPr="0077659B" w:rsidRDefault="00D55037" w:rsidP="001E06E1">
            <w:pPr>
              <w:pStyle w:val="Tabletext"/>
              <w:jc w:val="both"/>
              <w:rPr>
                <w:i/>
              </w:rPr>
            </w:pPr>
            <w:r>
              <w:rPr>
                <w:i/>
              </w:rPr>
              <w:t>1</w:t>
            </w:r>
          </w:p>
        </w:tc>
        <w:tc>
          <w:tcPr>
            <w:tcW w:w="1212" w:type="dxa"/>
          </w:tcPr>
          <w:p w:rsidR="00D55037" w:rsidRPr="0077659B" w:rsidRDefault="00D55037" w:rsidP="001E06E1">
            <w:pPr>
              <w:pStyle w:val="Tabletext"/>
              <w:jc w:val="both"/>
              <w:rPr>
                <w:i/>
              </w:rPr>
            </w:pPr>
            <w:r w:rsidRPr="00640305">
              <w:rPr>
                <w:i/>
              </w:rPr>
              <w:t>53 423</w:t>
            </w:r>
          </w:p>
        </w:tc>
        <w:tc>
          <w:tcPr>
            <w:tcW w:w="1080" w:type="dxa"/>
          </w:tcPr>
          <w:p w:rsidR="00D55037" w:rsidRPr="0077659B" w:rsidRDefault="00D55037" w:rsidP="001E06E1">
            <w:pPr>
              <w:pStyle w:val="Tabletext"/>
              <w:jc w:val="both"/>
              <w:rPr>
                <w:i/>
              </w:rPr>
            </w:pPr>
            <w:r>
              <w:rPr>
                <w:i/>
              </w:rPr>
              <w:t>1</w:t>
            </w:r>
          </w:p>
        </w:tc>
        <w:tc>
          <w:tcPr>
            <w:tcW w:w="1260" w:type="dxa"/>
          </w:tcPr>
          <w:p w:rsidR="00D55037" w:rsidRPr="0077659B" w:rsidRDefault="00D55037" w:rsidP="001E06E1">
            <w:pPr>
              <w:pStyle w:val="Tabletext"/>
              <w:jc w:val="both"/>
              <w:rPr>
                <w:i/>
              </w:rPr>
            </w:pPr>
            <w:r w:rsidRPr="00640305">
              <w:rPr>
                <w:i/>
              </w:rPr>
              <w:t>53 423</w:t>
            </w:r>
          </w:p>
        </w:tc>
        <w:tc>
          <w:tcPr>
            <w:tcW w:w="1080" w:type="dxa"/>
          </w:tcPr>
          <w:p w:rsidR="00D55037" w:rsidRPr="0077659B" w:rsidRDefault="00D55037" w:rsidP="001E06E1">
            <w:pPr>
              <w:pStyle w:val="Tabletext"/>
              <w:jc w:val="both"/>
              <w:rPr>
                <w:i/>
              </w:rPr>
            </w:pPr>
            <w:r>
              <w:rPr>
                <w:i/>
              </w:rPr>
              <w:t>0</w:t>
            </w:r>
          </w:p>
        </w:tc>
        <w:tc>
          <w:tcPr>
            <w:tcW w:w="1286" w:type="dxa"/>
          </w:tcPr>
          <w:p w:rsidR="00D55037" w:rsidRPr="0077659B" w:rsidRDefault="00D55037" w:rsidP="001E06E1">
            <w:pPr>
              <w:pStyle w:val="Tabletext"/>
              <w:jc w:val="both"/>
              <w:rPr>
                <w:i/>
              </w:rPr>
            </w:pPr>
            <w:r>
              <w:rPr>
                <w:i/>
              </w:rPr>
              <w:t>0</w:t>
            </w:r>
          </w:p>
        </w:tc>
      </w:tr>
      <w:tr w:rsidR="00D55037" w:rsidRPr="0077659B" w:rsidTr="00592831">
        <w:tc>
          <w:tcPr>
            <w:tcW w:w="2700" w:type="dxa"/>
          </w:tcPr>
          <w:p w:rsidR="00D55037" w:rsidRPr="00871C3E" w:rsidRDefault="00D55037" w:rsidP="001E06E1">
            <w:pPr>
              <w:pStyle w:val="Tabletext"/>
              <w:jc w:val="both"/>
              <w:rPr>
                <w:b/>
              </w:rPr>
            </w:pPr>
            <w:r w:rsidRPr="00871C3E">
              <w:rPr>
                <w:b/>
              </w:rPr>
              <w:t>Instances of irregular expenditure where goods/ services were not received</w:t>
            </w:r>
          </w:p>
        </w:tc>
        <w:tc>
          <w:tcPr>
            <w:tcW w:w="1128" w:type="dxa"/>
          </w:tcPr>
          <w:p w:rsidR="00D55037" w:rsidRPr="0077659B" w:rsidRDefault="00D55037" w:rsidP="001E06E1">
            <w:pPr>
              <w:pStyle w:val="Tabletext"/>
              <w:jc w:val="both"/>
              <w:rPr>
                <w:i/>
              </w:rPr>
            </w:pPr>
            <w:r>
              <w:rPr>
                <w:i/>
              </w:rPr>
              <w:t>0</w:t>
            </w:r>
          </w:p>
        </w:tc>
        <w:tc>
          <w:tcPr>
            <w:tcW w:w="1212" w:type="dxa"/>
          </w:tcPr>
          <w:p w:rsidR="00D55037" w:rsidRPr="0077659B" w:rsidRDefault="00D55037" w:rsidP="001E06E1">
            <w:pPr>
              <w:pStyle w:val="Tabletext"/>
              <w:jc w:val="both"/>
              <w:rPr>
                <w:i/>
              </w:rPr>
            </w:pPr>
            <w:r>
              <w:rPr>
                <w:i/>
              </w:rPr>
              <w:t>0</w:t>
            </w:r>
          </w:p>
        </w:tc>
        <w:tc>
          <w:tcPr>
            <w:tcW w:w="1080" w:type="dxa"/>
          </w:tcPr>
          <w:p w:rsidR="00D55037" w:rsidRPr="0077659B" w:rsidRDefault="00D55037" w:rsidP="001E06E1">
            <w:pPr>
              <w:pStyle w:val="Tabletext"/>
              <w:jc w:val="both"/>
              <w:rPr>
                <w:i/>
              </w:rPr>
            </w:pPr>
            <w:r>
              <w:rPr>
                <w:i/>
              </w:rPr>
              <w:t>0</w:t>
            </w:r>
          </w:p>
        </w:tc>
        <w:tc>
          <w:tcPr>
            <w:tcW w:w="1260" w:type="dxa"/>
          </w:tcPr>
          <w:p w:rsidR="00D55037" w:rsidRPr="0077659B" w:rsidRDefault="00D55037" w:rsidP="001E06E1">
            <w:pPr>
              <w:pStyle w:val="Tabletext"/>
              <w:jc w:val="both"/>
              <w:rPr>
                <w:i/>
              </w:rPr>
            </w:pPr>
            <w:r>
              <w:rPr>
                <w:i/>
              </w:rPr>
              <w:t>0</w:t>
            </w:r>
          </w:p>
        </w:tc>
        <w:tc>
          <w:tcPr>
            <w:tcW w:w="1080" w:type="dxa"/>
          </w:tcPr>
          <w:p w:rsidR="00D55037" w:rsidRPr="0077659B" w:rsidRDefault="00D55037" w:rsidP="001E06E1">
            <w:pPr>
              <w:pStyle w:val="Tabletext"/>
              <w:jc w:val="both"/>
              <w:rPr>
                <w:i/>
              </w:rPr>
            </w:pPr>
            <w:r>
              <w:rPr>
                <w:i/>
              </w:rPr>
              <w:t>0</w:t>
            </w:r>
          </w:p>
        </w:tc>
        <w:tc>
          <w:tcPr>
            <w:tcW w:w="1286" w:type="dxa"/>
          </w:tcPr>
          <w:p w:rsidR="00D55037" w:rsidRPr="0077659B" w:rsidRDefault="00D55037" w:rsidP="001E06E1">
            <w:pPr>
              <w:pStyle w:val="Tabletext"/>
              <w:jc w:val="both"/>
              <w:rPr>
                <w:i/>
              </w:rPr>
            </w:pPr>
            <w:r>
              <w:rPr>
                <w:i/>
              </w:rPr>
              <w:t>0</w:t>
            </w:r>
          </w:p>
        </w:tc>
      </w:tr>
    </w:tbl>
    <w:p w:rsidR="000C4182" w:rsidRPr="0077659B" w:rsidRDefault="000C4182" w:rsidP="001E06E1">
      <w:pPr>
        <w:pStyle w:val="Heading5"/>
        <w:jc w:val="both"/>
        <w:rPr>
          <w:rFonts w:eastAsia="Calibri"/>
        </w:rPr>
      </w:pPr>
      <w:r w:rsidRPr="0077659B">
        <w:rPr>
          <w:rFonts w:eastAsia="Calibri"/>
        </w:rPr>
        <w:t>Local content and production (designated sectors)</w:t>
      </w:r>
    </w:p>
    <w:p w:rsidR="00D55037" w:rsidRDefault="00D55037" w:rsidP="001E06E1">
      <w:pPr>
        <w:pStyle w:val="Bulletedlist"/>
        <w:ind w:left="426" w:hanging="426"/>
        <w:jc w:val="both"/>
        <w:rPr>
          <w:rFonts w:ascii="Calibri" w:hAnsi="Calibri"/>
        </w:rPr>
      </w:pPr>
      <w:r>
        <w:t>One (1) quotation with a total value of R53 423</w:t>
      </w:r>
      <w:proofErr w:type="gramStart"/>
      <w:r>
        <w:t>,25</w:t>
      </w:r>
      <w:proofErr w:type="gramEnd"/>
      <w:r>
        <w:t xml:space="preserve"> was awarded to a bidder that did not meet the minimum threshold for local production and content.</w:t>
      </w:r>
    </w:p>
    <w:p w:rsidR="00D26232" w:rsidRPr="00BB6EEC" w:rsidRDefault="00C22F2B" w:rsidP="001E06E1">
      <w:pPr>
        <w:pStyle w:val="Heading3"/>
        <w:jc w:val="both"/>
        <w:rPr>
          <w:lang w:val="en-ZA"/>
        </w:rPr>
      </w:pPr>
      <w:bookmarkStart w:id="159" w:name="S4E18"/>
      <w:bookmarkStart w:id="160" w:name="PartB"/>
      <w:bookmarkStart w:id="161" w:name="PartF"/>
      <w:bookmarkStart w:id="162" w:name="_Toc447106622"/>
      <w:bookmarkStart w:id="163" w:name="_Toc77816788"/>
      <w:bookmarkEnd w:id="159"/>
      <w:bookmarkEnd w:id="160"/>
      <w:bookmarkEnd w:id="161"/>
      <w:r w:rsidRPr="00BB6EEC">
        <w:rPr>
          <w:lang w:val="en-ZA"/>
        </w:rPr>
        <w:t>FRAUD AND CONSEQUENCE MANAGEMENT</w:t>
      </w:r>
      <w:bookmarkStart w:id="164" w:name="Fraud1"/>
      <w:bookmarkEnd w:id="162"/>
      <w:bookmarkEnd w:id="163"/>
      <w:bookmarkEnd w:id="164"/>
    </w:p>
    <w:p w:rsidR="00C22F2B" w:rsidRPr="00871C3E" w:rsidRDefault="00C22F2B" w:rsidP="001E06E1">
      <w:pPr>
        <w:pStyle w:val="Numbernormal"/>
        <w:numPr>
          <w:ilvl w:val="0"/>
          <w:numId w:val="17"/>
        </w:numPr>
        <w:jc w:val="both"/>
      </w:pPr>
      <w:r w:rsidRPr="0077659B">
        <w:t xml:space="preserve">The primary responsibility for preventing and detecting fraud rests with management and those charged with governance. We are responsible for obtaining reasonable assurance that the financial statements are free from material misstatement, whether caused </w:t>
      </w:r>
      <w:proofErr w:type="gramStart"/>
      <w:r w:rsidRPr="0077659B">
        <w:t xml:space="preserve">by fraud or error, and </w:t>
      </w:r>
      <w:r w:rsidRPr="0077659B">
        <w:lastRenderedPageBreak/>
        <w:t>to issue an auditor’s report that includes our opinion</w:t>
      </w:r>
      <w:proofErr w:type="gramEnd"/>
      <w:r w:rsidRPr="0077659B">
        <w:t xml:space="preserve">. Due to the inherent limitations of an audit, there is a risk that some material misstatements, including fraud, </w:t>
      </w:r>
      <w:proofErr w:type="gramStart"/>
      <w:r w:rsidRPr="0077659B">
        <w:t>may not be detected</w:t>
      </w:r>
      <w:proofErr w:type="gramEnd"/>
      <w:r w:rsidRPr="0077659B">
        <w:t>.</w:t>
      </w:r>
      <w:r w:rsidR="00434F0F" w:rsidRPr="0077659B">
        <w:rPr>
          <w:rStyle w:val="EndnoteReference"/>
          <w:b/>
          <w:bCs/>
        </w:rPr>
        <w:t xml:space="preserve"> </w:t>
      </w:r>
    </w:p>
    <w:p w:rsidR="00C22F2B" w:rsidRPr="0077659B" w:rsidRDefault="00C22F2B" w:rsidP="001E06E1">
      <w:pPr>
        <w:pStyle w:val="Numbernormal"/>
        <w:numPr>
          <w:ilvl w:val="0"/>
          <w:numId w:val="17"/>
        </w:numPr>
        <w:jc w:val="both"/>
      </w:pPr>
      <w:r w:rsidRPr="0077659B">
        <w:t xml:space="preserve">Below is a summary of fraud risk factors that </w:t>
      </w:r>
      <w:proofErr w:type="gramStart"/>
      <w:r w:rsidRPr="0077659B">
        <w:t>should be addressed</w:t>
      </w:r>
      <w:proofErr w:type="gramEnd"/>
      <w:r w:rsidRPr="0077659B">
        <w:t xml:space="preserve"> to ensure that sufficient measures/controls are in place to prevent material misstatement due to fraud.</w:t>
      </w:r>
    </w:p>
    <w:p w:rsidR="00C22F2B" w:rsidRPr="0077659B" w:rsidRDefault="00C22F2B" w:rsidP="001E06E1">
      <w:pPr>
        <w:pStyle w:val="Numbernormal"/>
        <w:numPr>
          <w:ilvl w:val="0"/>
          <w:numId w:val="17"/>
        </w:numPr>
        <w:jc w:val="both"/>
      </w:pPr>
      <w:r w:rsidRPr="0077659B">
        <w:t>The PFMA and its regulations clearly stipulate that matters such as incurring unauthorised, irregular as well as fruitless and wasteful expenditure</w:t>
      </w:r>
      <w:r w:rsidR="006958A8" w:rsidRPr="0077659B">
        <w:t>,</w:t>
      </w:r>
      <w:r w:rsidRPr="0077659B">
        <w:t xml:space="preserve"> the possible abuse of the SCM system (including fraud and improper conduct) and allegations of financial misconduct </w:t>
      </w:r>
      <w:proofErr w:type="gramStart"/>
      <w:r w:rsidRPr="0077659B">
        <w:t>should be investigated</w:t>
      </w:r>
      <w:proofErr w:type="gramEnd"/>
      <w:r w:rsidRPr="0077659B">
        <w:t xml:space="preserve">. Disciplinary steps </w:t>
      </w:r>
      <w:proofErr w:type="gramStart"/>
      <w:r w:rsidRPr="0077659B">
        <w:t>should be taken</w:t>
      </w:r>
      <w:proofErr w:type="gramEnd"/>
      <w:r w:rsidRPr="0077659B">
        <w:t xml:space="preserve"> based on the results of the investigations. Our audits included an assessment of the </w:t>
      </w:r>
      <w:r w:rsidR="00D55037">
        <w:t>department</w:t>
      </w:r>
      <w:r w:rsidRPr="0077659B">
        <w:t xml:space="preserve">’s management of consequences. </w:t>
      </w:r>
    </w:p>
    <w:p w:rsidR="00725FEE" w:rsidRPr="0077659B" w:rsidRDefault="00CB4918" w:rsidP="001E06E1">
      <w:pPr>
        <w:pStyle w:val="Heading5"/>
        <w:jc w:val="both"/>
        <w:rPr>
          <w:rFonts w:eastAsia="Calibri"/>
        </w:rPr>
      </w:pPr>
      <w:r w:rsidRPr="0077659B">
        <w:rPr>
          <w:rFonts w:eastAsia="Calibri"/>
        </w:rPr>
        <w:t>Ongoing</w:t>
      </w:r>
      <w:r w:rsidR="00725FEE" w:rsidRPr="0077659B">
        <w:rPr>
          <w:rFonts w:eastAsia="Calibri"/>
        </w:rPr>
        <w:t xml:space="preserve"> investigations</w:t>
      </w:r>
    </w:p>
    <w:p w:rsidR="008957BC" w:rsidRPr="0077659B" w:rsidRDefault="008957BC" w:rsidP="001E06E1">
      <w:pPr>
        <w:pStyle w:val="Numbernormal"/>
        <w:numPr>
          <w:ilvl w:val="0"/>
          <w:numId w:val="17"/>
        </w:numPr>
        <w:jc w:val="both"/>
      </w:pPr>
      <w:proofErr w:type="gramStart"/>
      <w:r w:rsidRPr="0077659B">
        <w:t>A</w:t>
      </w:r>
      <w:r w:rsidR="002459C9" w:rsidRPr="0077659B">
        <w:t xml:space="preserve"> t</w:t>
      </w:r>
      <w:r w:rsidRPr="0077659B">
        <w:t xml:space="preserve">otal of </w:t>
      </w:r>
      <w:r w:rsidR="00877FDF">
        <w:rPr>
          <w:highlight w:val="yellow"/>
        </w:rPr>
        <w:t>05</w:t>
      </w:r>
      <w:proofErr w:type="gramEnd"/>
      <w:r w:rsidR="00877FDF">
        <w:rPr>
          <w:highlight w:val="yellow"/>
        </w:rPr>
        <w:t xml:space="preserve"> </w:t>
      </w:r>
      <w:r w:rsidRPr="001C1FF3">
        <w:rPr>
          <w:highlight w:val="yellow"/>
        </w:rPr>
        <w:t>(</w:t>
      </w:r>
      <w:r w:rsidR="00877FDF">
        <w:rPr>
          <w:highlight w:val="yellow"/>
        </w:rPr>
        <w:t>five</w:t>
      </w:r>
      <w:r w:rsidRPr="001C1FF3">
        <w:rPr>
          <w:highlight w:val="yellow"/>
        </w:rPr>
        <w:t>) investigations</w:t>
      </w:r>
      <w:r w:rsidRPr="0077659B">
        <w:t xml:space="preserve"> </w:t>
      </w:r>
      <w:r w:rsidR="000554E4" w:rsidRPr="0077659B">
        <w:t>were</w:t>
      </w:r>
      <w:r w:rsidR="002459C9" w:rsidRPr="0077659B">
        <w:t xml:space="preserve"> ongoing at year</w:t>
      </w:r>
      <w:r w:rsidR="005827DA" w:rsidRPr="0077659B">
        <w:t>-</w:t>
      </w:r>
      <w:r w:rsidR="002459C9" w:rsidRPr="0077659B">
        <w:t xml:space="preserve">end </w:t>
      </w:r>
      <w:r w:rsidR="00305A60" w:rsidRPr="0077659B">
        <w:t xml:space="preserve">into </w:t>
      </w:r>
      <w:r w:rsidRPr="0077659B">
        <w:t xml:space="preserve">allegations relating to financial misconduct, fraud </w:t>
      </w:r>
      <w:r w:rsidR="005827DA" w:rsidRPr="0077659B">
        <w:t>and/</w:t>
      </w:r>
      <w:r w:rsidRPr="0077659B">
        <w:t xml:space="preserve">or improper conduct in SCM. Some of these investigations have been ongoing for a </w:t>
      </w:r>
      <w:r w:rsidR="005827DA" w:rsidRPr="0077659B">
        <w:t>period exceeding 12 months</w:t>
      </w:r>
      <w:r w:rsidRPr="0077659B">
        <w:t>. The table below provides a summary of investigations which had not been completed as at year-end:</w:t>
      </w:r>
    </w:p>
    <w:tbl>
      <w:tblPr>
        <w:tblStyle w:val="TableGrid"/>
        <w:tblW w:w="0" w:type="auto"/>
        <w:tblInd w:w="360" w:type="dxa"/>
        <w:tblLook w:val="04A0" w:firstRow="1" w:lastRow="0" w:firstColumn="1" w:lastColumn="0" w:noHBand="0" w:noVBand="1"/>
      </w:tblPr>
      <w:tblGrid>
        <w:gridCol w:w="5586"/>
        <w:gridCol w:w="3682"/>
      </w:tblGrid>
      <w:tr w:rsidR="005827DA" w:rsidRPr="0077659B" w:rsidTr="00B65109">
        <w:tc>
          <w:tcPr>
            <w:tcW w:w="5702" w:type="dxa"/>
            <w:vAlign w:val="center"/>
          </w:tcPr>
          <w:p w:rsidR="005827DA" w:rsidRPr="00877FDF" w:rsidRDefault="005827DA" w:rsidP="001E06E1">
            <w:pPr>
              <w:pStyle w:val="Tabletext"/>
              <w:jc w:val="both"/>
              <w:rPr>
                <w:highlight w:val="yellow"/>
                <w:lang w:val="en-ZA"/>
              </w:rPr>
            </w:pPr>
            <w:r w:rsidRPr="00877FDF">
              <w:rPr>
                <w:highlight w:val="yellow"/>
                <w:lang w:val="en-ZA"/>
              </w:rPr>
              <w:t>Total number of ongoing investigations as at year-end</w:t>
            </w:r>
          </w:p>
        </w:tc>
        <w:tc>
          <w:tcPr>
            <w:tcW w:w="3792" w:type="dxa"/>
            <w:vAlign w:val="center"/>
          </w:tcPr>
          <w:p w:rsidR="005827DA" w:rsidRPr="00877FDF" w:rsidRDefault="00877FDF" w:rsidP="001E06E1">
            <w:pPr>
              <w:spacing w:after="240"/>
              <w:jc w:val="both"/>
              <w:rPr>
                <w:rFonts w:eastAsia="Calibri" w:cs="Arial"/>
                <w:highlight w:val="yellow"/>
              </w:rPr>
            </w:pPr>
            <w:r w:rsidRPr="00877FDF">
              <w:rPr>
                <w:rFonts w:eastAsia="Calibri" w:cs="Arial"/>
                <w:highlight w:val="yellow"/>
              </w:rPr>
              <w:t>5</w:t>
            </w:r>
          </w:p>
        </w:tc>
      </w:tr>
      <w:tr w:rsidR="005827DA" w:rsidRPr="0077659B" w:rsidTr="00B65109">
        <w:tc>
          <w:tcPr>
            <w:tcW w:w="5702" w:type="dxa"/>
            <w:vAlign w:val="center"/>
          </w:tcPr>
          <w:p w:rsidR="005827DA" w:rsidRPr="00877FDF" w:rsidRDefault="005827DA" w:rsidP="001E06E1">
            <w:pPr>
              <w:pStyle w:val="Tabletext"/>
              <w:numPr>
                <w:ilvl w:val="0"/>
                <w:numId w:val="15"/>
              </w:numPr>
              <w:jc w:val="both"/>
              <w:rPr>
                <w:highlight w:val="yellow"/>
                <w:lang w:val="en-ZA"/>
              </w:rPr>
            </w:pPr>
            <w:r w:rsidRPr="00877FDF">
              <w:rPr>
                <w:highlight w:val="yellow"/>
                <w:lang w:val="en-ZA"/>
              </w:rPr>
              <w:t xml:space="preserve">Number of </w:t>
            </w:r>
            <w:r w:rsidR="00305A60" w:rsidRPr="00877FDF">
              <w:rPr>
                <w:highlight w:val="yellow"/>
                <w:lang w:val="en-ZA"/>
              </w:rPr>
              <w:t>SCM-related</w:t>
            </w:r>
            <w:r w:rsidRPr="00877FDF">
              <w:rPr>
                <w:highlight w:val="yellow"/>
                <w:lang w:val="en-ZA"/>
              </w:rPr>
              <w:t xml:space="preserve"> investigations</w:t>
            </w:r>
          </w:p>
        </w:tc>
        <w:tc>
          <w:tcPr>
            <w:tcW w:w="3792" w:type="dxa"/>
            <w:vAlign w:val="center"/>
          </w:tcPr>
          <w:p w:rsidR="005827DA" w:rsidRPr="00877FDF" w:rsidRDefault="00877FDF" w:rsidP="001E06E1">
            <w:pPr>
              <w:spacing w:after="240"/>
              <w:jc w:val="both"/>
              <w:rPr>
                <w:rFonts w:eastAsia="Calibri" w:cs="Arial"/>
                <w:highlight w:val="yellow"/>
              </w:rPr>
            </w:pPr>
            <w:r w:rsidRPr="00877FDF">
              <w:rPr>
                <w:rFonts w:eastAsia="Calibri" w:cs="Arial"/>
                <w:highlight w:val="yellow"/>
              </w:rPr>
              <w:t>1</w:t>
            </w:r>
          </w:p>
        </w:tc>
      </w:tr>
      <w:tr w:rsidR="005827DA" w:rsidRPr="0077659B" w:rsidTr="00B65109">
        <w:tc>
          <w:tcPr>
            <w:tcW w:w="5702" w:type="dxa"/>
            <w:vAlign w:val="center"/>
          </w:tcPr>
          <w:p w:rsidR="005827DA" w:rsidRPr="00877FDF" w:rsidRDefault="005827DA" w:rsidP="001E06E1">
            <w:pPr>
              <w:pStyle w:val="Tabletext"/>
              <w:numPr>
                <w:ilvl w:val="0"/>
                <w:numId w:val="15"/>
              </w:numPr>
              <w:jc w:val="both"/>
              <w:rPr>
                <w:highlight w:val="yellow"/>
                <w:lang w:val="en-ZA"/>
              </w:rPr>
            </w:pPr>
            <w:r w:rsidRPr="00877FDF">
              <w:rPr>
                <w:highlight w:val="yellow"/>
                <w:lang w:val="en-ZA"/>
              </w:rPr>
              <w:t xml:space="preserve">Number of </w:t>
            </w:r>
            <w:r w:rsidR="00305A60" w:rsidRPr="00877FDF">
              <w:rPr>
                <w:highlight w:val="yellow"/>
                <w:lang w:val="en-ZA"/>
              </w:rPr>
              <w:t xml:space="preserve">fraud-related </w:t>
            </w:r>
            <w:r w:rsidRPr="00877FDF">
              <w:rPr>
                <w:highlight w:val="yellow"/>
                <w:lang w:val="en-ZA"/>
              </w:rPr>
              <w:t>investigations</w:t>
            </w:r>
          </w:p>
        </w:tc>
        <w:tc>
          <w:tcPr>
            <w:tcW w:w="3792" w:type="dxa"/>
            <w:vAlign w:val="center"/>
          </w:tcPr>
          <w:p w:rsidR="005827DA" w:rsidRPr="00877FDF" w:rsidRDefault="00877FDF" w:rsidP="001E06E1">
            <w:pPr>
              <w:spacing w:after="240"/>
              <w:jc w:val="both"/>
              <w:rPr>
                <w:rFonts w:eastAsia="Calibri" w:cs="Arial"/>
                <w:highlight w:val="yellow"/>
              </w:rPr>
            </w:pPr>
            <w:r w:rsidRPr="00877FDF">
              <w:rPr>
                <w:rFonts w:eastAsia="Calibri" w:cs="Arial"/>
                <w:highlight w:val="yellow"/>
              </w:rPr>
              <w:t>4</w:t>
            </w:r>
          </w:p>
        </w:tc>
      </w:tr>
      <w:tr w:rsidR="005827DA" w:rsidRPr="0077659B" w:rsidTr="00B65109">
        <w:tc>
          <w:tcPr>
            <w:tcW w:w="5702" w:type="dxa"/>
            <w:vAlign w:val="center"/>
          </w:tcPr>
          <w:p w:rsidR="005827DA" w:rsidRPr="00877FDF" w:rsidRDefault="005827DA" w:rsidP="001E06E1">
            <w:pPr>
              <w:pStyle w:val="Tabletext"/>
              <w:jc w:val="both"/>
              <w:rPr>
                <w:highlight w:val="yellow"/>
                <w:lang w:val="en-ZA"/>
              </w:rPr>
            </w:pPr>
            <w:r w:rsidRPr="00877FDF">
              <w:rPr>
                <w:highlight w:val="yellow"/>
                <w:lang w:val="en-ZA"/>
              </w:rPr>
              <w:t xml:space="preserve">Number of investigations exceeding a period of </w:t>
            </w:r>
            <w:r w:rsidR="00305A60" w:rsidRPr="00877FDF">
              <w:rPr>
                <w:highlight w:val="yellow"/>
                <w:lang w:val="en-ZA"/>
              </w:rPr>
              <w:t>six</w:t>
            </w:r>
            <w:r w:rsidRPr="00877FDF">
              <w:rPr>
                <w:highlight w:val="yellow"/>
                <w:lang w:val="en-ZA"/>
              </w:rPr>
              <w:t xml:space="preserve"> months</w:t>
            </w:r>
          </w:p>
        </w:tc>
        <w:tc>
          <w:tcPr>
            <w:tcW w:w="3792" w:type="dxa"/>
            <w:vAlign w:val="center"/>
          </w:tcPr>
          <w:p w:rsidR="005827DA" w:rsidRPr="00877FDF" w:rsidRDefault="00877FDF" w:rsidP="001E06E1">
            <w:pPr>
              <w:spacing w:after="240"/>
              <w:jc w:val="both"/>
              <w:rPr>
                <w:rFonts w:eastAsia="Calibri" w:cs="Arial"/>
                <w:highlight w:val="yellow"/>
              </w:rPr>
            </w:pPr>
            <w:r w:rsidRPr="00877FDF">
              <w:rPr>
                <w:rFonts w:eastAsia="Calibri" w:cs="Arial"/>
                <w:highlight w:val="yellow"/>
              </w:rPr>
              <w:t>5</w:t>
            </w:r>
          </w:p>
        </w:tc>
      </w:tr>
    </w:tbl>
    <w:p w:rsidR="00F15024" w:rsidRDefault="00F15024" w:rsidP="001E06E1">
      <w:pPr>
        <w:pStyle w:val="Heading3"/>
        <w:jc w:val="both"/>
        <w:rPr>
          <w:bCs/>
          <w:sz w:val="24"/>
        </w:rPr>
      </w:pPr>
      <w:bookmarkStart w:id="165" w:name="PartE"/>
      <w:bookmarkStart w:id="166" w:name="_Toc77816789"/>
      <w:bookmarkEnd w:id="165"/>
      <w:r w:rsidRPr="007F57B6">
        <w:rPr>
          <w:lang w:val="en-ZA"/>
        </w:rPr>
        <w:t>BROAD</w:t>
      </w:r>
      <w:r>
        <w:rPr>
          <w:bCs/>
          <w:sz w:val="24"/>
        </w:rPr>
        <w:t>-BASED BLACK ECONOMIC EMPOWERMENT (B-BBEE) ACT AND REGULATIONS REQUIREMENTS</w:t>
      </w:r>
      <w:bookmarkEnd w:id="166"/>
      <w:r w:rsidRPr="007A45CB">
        <w:rPr>
          <w:bCs/>
          <w:sz w:val="24"/>
        </w:rPr>
        <w:t xml:space="preserve"> </w:t>
      </w:r>
    </w:p>
    <w:p w:rsidR="00F15024" w:rsidRPr="00871C3E" w:rsidRDefault="00F15024" w:rsidP="001E06E1">
      <w:pPr>
        <w:pStyle w:val="Numbernormal"/>
        <w:numPr>
          <w:ilvl w:val="0"/>
          <w:numId w:val="17"/>
        </w:numPr>
        <w:jc w:val="both"/>
      </w:pPr>
      <w:r w:rsidRPr="004A30C1">
        <w:rPr>
          <w:rFonts w:eastAsiaTheme="minorHAnsi"/>
        </w:rPr>
        <w:t xml:space="preserve">The audit included </w:t>
      </w:r>
      <w:r>
        <w:rPr>
          <w:rFonts w:eastAsiaTheme="minorHAnsi"/>
        </w:rPr>
        <w:t xml:space="preserve">confirming whether the </w:t>
      </w:r>
      <w:r w:rsidRPr="004A30C1">
        <w:rPr>
          <w:rFonts w:eastAsiaTheme="minorHAnsi"/>
        </w:rPr>
        <w:t xml:space="preserve">requirements as set out in the </w:t>
      </w:r>
      <w:r>
        <w:rPr>
          <w:rFonts w:eastAsiaTheme="minorHAnsi"/>
        </w:rPr>
        <w:t xml:space="preserve">B-BBEE Act and Regulations </w:t>
      </w:r>
      <w:proofErr w:type="gramStart"/>
      <w:r>
        <w:rPr>
          <w:rFonts w:eastAsiaTheme="minorHAnsi"/>
        </w:rPr>
        <w:t>were adhered</w:t>
      </w:r>
      <w:proofErr w:type="gramEnd"/>
      <w:r>
        <w:rPr>
          <w:rFonts w:eastAsiaTheme="minorHAnsi"/>
        </w:rPr>
        <w:t xml:space="preserve"> to. The purpose of this value-add initiative is to highlight the requirements contained in the B-BBEE Act and Regulations. </w:t>
      </w:r>
      <w:r w:rsidRPr="00D17342">
        <w:rPr>
          <w:rFonts w:eastAsiaTheme="minorHAnsi"/>
        </w:rPr>
        <w:t>Below is the list of findings identified</w:t>
      </w:r>
      <w:r>
        <w:rPr>
          <w:rFonts w:eastAsiaTheme="minorHAnsi"/>
        </w:rPr>
        <w:t>:</w:t>
      </w:r>
    </w:p>
    <w:p w:rsidR="00F15024" w:rsidRPr="00601171" w:rsidRDefault="00373646" w:rsidP="001E06E1">
      <w:pPr>
        <w:pStyle w:val="ListParagraph"/>
        <w:numPr>
          <w:ilvl w:val="0"/>
          <w:numId w:val="19"/>
        </w:numPr>
        <w:tabs>
          <w:tab w:val="left" w:pos="567"/>
        </w:tabs>
        <w:autoSpaceDE/>
        <w:autoSpaceDN/>
        <w:adjustRightInd/>
        <w:jc w:val="both"/>
        <w:rPr>
          <w:highlight w:val="yellow"/>
        </w:rPr>
      </w:pPr>
      <w:r w:rsidRPr="00601171">
        <w:rPr>
          <w:highlight w:val="yellow"/>
        </w:rPr>
        <w:t>The department</w:t>
      </w:r>
      <w:r w:rsidR="00F15024" w:rsidRPr="00601171" w:rsidDel="004543E1">
        <w:rPr>
          <w:highlight w:val="yellow"/>
        </w:rPr>
        <w:t xml:space="preserve"> </w:t>
      </w:r>
      <w:r w:rsidRPr="00601171">
        <w:rPr>
          <w:highlight w:val="yellow"/>
        </w:rPr>
        <w:t>did not submit the FORM B-BBEE 1,</w:t>
      </w:r>
      <w:r w:rsidR="00F15024" w:rsidRPr="00601171">
        <w:rPr>
          <w:highlight w:val="yellow"/>
        </w:rPr>
        <w:t xml:space="preserve"> the approved audite</w:t>
      </w:r>
      <w:r w:rsidRPr="00601171">
        <w:rPr>
          <w:highlight w:val="yellow"/>
        </w:rPr>
        <w:t>d annual financial statements and the approved annual report</w:t>
      </w:r>
      <w:r w:rsidR="00F15024" w:rsidRPr="00601171" w:rsidDel="00002691">
        <w:rPr>
          <w:highlight w:val="yellow"/>
        </w:rPr>
        <w:t xml:space="preserve"> </w:t>
      </w:r>
      <w:r w:rsidR="00F15024" w:rsidRPr="00601171">
        <w:rPr>
          <w:highlight w:val="yellow"/>
        </w:rPr>
        <w:t>pertaining to the 2019-20 financial year to the B-BBEE Commission as required by regulation 12(2) of the B-BBEE Regulations.</w:t>
      </w:r>
    </w:p>
    <w:p w:rsidR="00426511" w:rsidRPr="00601171" w:rsidRDefault="00F15024" w:rsidP="001E06E1">
      <w:pPr>
        <w:pStyle w:val="ListParagraph"/>
        <w:numPr>
          <w:ilvl w:val="0"/>
          <w:numId w:val="19"/>
        </w:numPr>
        <w:tabs>
          <w:tab w:val="left" w:pos="567"/>
        </w:tabs>
        <w:autoSpaceDE/>
        <w:autoSpaceDN/>
        <w:adjustRightInd/>
        <w:jc w:val="both"/>
        <w:rPr>
          <w:highlight w:val="yellow"/>
        </w:rPr>
      </w:pPr>
      <w:r w:rsidRPr="00601171">
        <w:rPr>
          <w:highlight w:val="yellow"/>
        </w:rPr>
        <w:t xml:space="preserve">The annual report of </w:t>
      </w:r>
      <w:r w:rsidR="00373646" w:rsidRPr="00601171">
        <w:rPr>
          <w:highlight w:val="yellow"/>
        </w:rPr>
        <w:t>the department</w:t>
      </w:r>
      <w:r w:rsidRPr="00601171">
        <w:rPr>
          <w:highlight w:val="yellow"/>
        </w:rPr>
        <w:t xml:space="preserve"> did not include a report on compliance with broad-based black economic empowerment</w:t>
      </w:r>
      <w:r w:rsidRPr="00601171">
        <w:rPr>
          <w:rStyle w:val="CommentReference"/>
          <w:rFonts w:ascii="Times New Roman" w:hAnsi="Times New Roman" w:cs="Times New Roman"/>
          <w:highlight w:val="yellow"/>
        </w:rPr>
        <w:t xml:space="preserve"> </w:t>
      </w:r>
      <w:r w:rsidRPr="00601171">
        <w:rPr>
          <w:highlight w:val="yellow"/>
        </w:rPr>
        <w:t>as required by section </w:t>
      </w:r>
      <w:proofErr w:type="gramStart"/>
      <w:r w:rsidRPr="00601171">
        <w:rPr>
          <w:highlight w:val="yellow"/>
        </w:rPr>
        <w:t>13G(</w:t>
      </w:r>
      <w:proofErr w:type="gramEnd"/>
      <w:r w:rsidRPr="00601171">
        <w:rPr>
          <w:highlight w:val="yellow"/>
        </w:rPr>
        <w:t xml:space="preserve">1) of the </w:t>
      </w:r>
      <w:r w:rsidRPr="00601171">
        <w:rPr>
          <w:rFonts w:eastAsiaTheme="minorHAnsi"/>
          <w:highlight w:val="yellow"/>
        </w:rPr>
        <w:t>B-BBEE Act.</w:t>
      </w:r>
    </w:p>
    <w:p w:rsidR="00287920" w:rsidRPr="0077659B" w:rsidRDefault="00287920" w:rsidP="001E06E1">
      <w:pPr>
        <w:pStyle w:val="Heading2"/>
        <w:jc w:val="both"/>
      </w:pPr>
      <w:bookmarkStart w:id="167" w:name="_Toc77816790"/>
      <w:r w:rsidRPr="0077659B">
        <w:t xml:space="preserve">SECTION 5. </w:t>
      </w:r>
      <w:bookmarkStart w:id="168" w:name="ICG"/>
      <w:bookmarkEnd w:id="168"/>
      <w:r w:rsidRPr="0077659B">
        <w:t>Using the work of internal audit</w:t>
      </w:r>
      <w:bookmarkEnd w:id="167"/>
    </w:p>
    <w:p w:rsidR="001B6284" w:rsidRDefault="00B4347A" w:rsidP="001E06E1">
      <w:pPr>
        <w:pStyle w:val="Numbernormal"/>
        <w:numPr>
          <w:ilvl w:val="0"/>
          <w:numId w:val="17"/>
        </w:numPr>
        <w:jc w:val="both"/>
      </w:pPr>
      <w:r w:rsidRPr="0077659B">
        <w:t>The auditing standards allow external auditors the optional use of the work of internal audit</w:t>
      </w:r>
      <w:r w:rsidR="002A588C" w:rsidRPr="0077659B">
        <w:t>ors</w:t>
      </w:r>
      <w:r w:rsidRPr="0077659B">
        <w:t xml:space="preserve"> for external audit purposes and for direct assistance. We have</w:t>
      </w:r>
      <w:bookmarkStart w:id="169" w:name="_Toc447106661"/>
      <w:bookmarkStart w:id="170" w:name="_Toc77816791"/>
      <w:r w:rsidR="001B6284">
        <w:t xml:space="preserve"> used internal audit as follows:</w:t>
      </w:r>
    </w:p>
    <w:p w:rsidR="001B6284" w:rsidRPr="001B6284" w:rsidRDefault="001B6284" w:rsidP="001E06E1">
      <w:pPr>
        <w:pStyle w:val="Numbernormal"/>
        <w:numPr>
          <w:ilvl w:val="0"/>
          <w:numId w:val="17"/>
        </w:numPr>
        <w:jc w:val="both"/>
      </w:pPr>
      <w:r>
        <w:rPr>
          <w:rFonts w:ascii="CIDFont+F4" w:hAnsi="CIDFont+F4" w:cs="CIDFont+F4"/>
          <w:sz w:val="21"/>
          <w:szCs w:val="21"/>
        </w:rPr>
        <w:t>T</w:t>
      </w:r>
      <w:r w:rsidRPr="001B6284">
        <w:rPr>
          <w:rFonts w:ascii="CIDFont+F4" w:hAnsi="CIDFont+F4" w:cs="CIDFont+F4"/>
          <w:sz w:val="21"/>
          <w:szCs w:val="21"/>
        </w:rPr>
        <w:t xml:space="preserve">he following internal audit report </w:t>
      </w:r>
      <w:proofErr w:type="gramStart"/>
      <w:r w:rsidRPr="001B6284">
        <w:rPr>
          <w:rFonts w:ascii="CIDFont+F4" w:hAnsi="CIDFont+F4" w:cs="CIDFont+F4"/>
          <w:sz w:val="21"/>
          <w:szCs w:val="21"/>
        </w:rPr>
        <w:t>was considered</w:t>
      </w:r>
      <w:proofErr w:type="gramEnd"/>
      <w:r w:rsidRPr="001B6284">
        <w:rPr>
          <w:rFonts w:ascii="CIDFont+F4" w:hAnsi="CIDFont+F4" w:cs="CIDFont+F4"/>
          <w:sz w:val="21"/>
          <w:szCs w:val="21"/>
        </w:rPr>
        <w:t xml:space="preserve"> for risk identification purposes i.e. </w:t>
      </w:r>
    </w:p>
    <w:p w:rsidR="001B6284" w:rsidRDefault="001B6284" w:rsidP="001E06E1">
      <w:pPr>
        <w:pStyle w:val="ListParagraph"/>
        <w:numPr>
          <w:ilvl w:val="0"/>
          <w:numId w:val="23"/>
        </w:numPr>
        <w:spacing w:after="0"/>
        <w:jc w:val="both"/>
        <w:rPr>
          <w:rFonts w:ascii="CIDFont+F4" w:hAnsi="CIDFont+F4" w:cs="CIDFont+F4"/>
          <w:sz w:val="21"/>
          <w:szCs w:val="21"/>
        </w:rPr>
      </w:pPr>
      <w:r>
        <w:rPr>
          <w:rFonts w:ascii="CIDFont+F4" w:hAnsi="CIDFont+F4" w:cs="CIDFont+F4"/>
          <w:sz w:val="21"/>
          <w:szCs w:val="21"/>
        </w:rPr>
        <w:t>Follow up audits</w:t>
      </w:r>
      <w:r w:rsidRPr="001B6284">
        <w:rPr>
          <w:rFonts w:ascii="CIDFont+F4" w:hAnsi="CIDFont+F4" w:cs="CIDFont+F4"/>
          <w:sz w:val="21"/>
          <w:szCs w:val="21"/>
        </w:rPr>
        <w:t xml:space="preserve"> where Internal Audit assessed management’s progress in addressing internal and external au</w:t>
      </w:r>
      <w:r>
        <w:rPr>
          <w:rFonts w:ascii="CIDFont+F4" w:hAnsi="CIDFont+F4" w:cs="CIDFont+F4"/>
          <w:sz w:val="21"/>
          <w:szCs w:val="21"/>
        </w:rPr>
        <w:t xml:space="preserve">dit findings from prior periods, procurement and contract </w:t>
      </w:r>
      <w:proofErr w:type="spellStart"/>
      <w:r>
        <w:rPr>
          <w:rFonts w:ascii="CIDFont+F4" w:hAnsi="CIDFont+F4" w:cs="CIDFont+F4"/>
          <w:sz w:val="21"/>
          <w:szCs w:val="21"/>
        </w:rPr>
        <w:t>vmanagement</w:t>
      </w:r>
      <w:proofErr w:type="spellEnd"/>
      <w:r>
        <w:rPr>
          <w:rFonts w:ascii="CIDFont+F4" w:hAnsi="CIDFont+F4" w:cs="CIDFont+F4"/>
          <w:sz w:val="21"/>
          <w:szCs w:val="21"/>
        </w:rPr>
        <w:t xml:space="preserve"> as well as a</w:t>
      </w:r>
      <w:r w:rsidRPr="001B6284">
        <w:rPr>
          <w:rFonts w:ascii="CIDFont+F4" w:hAnsi="CIDFont+F4" w:cs="CIDFont+F4"/>
          <w:sz w:val="21"/>
          <w:szCs w:val="21"/>
        </w:rPr>
        <w:t>udit of the quarterly performance report for scoped-in programme</w:t>
      </w:r>
      <w:r>
        <w:rPr>
          <w:rFonts w:ascii="CIDFont+F4" w:hAnsi="CIDFont+F4" w:cs="CIDFont+F4"/>
          <w:sz w:val="21"/>
          <w:szCs w:val="21"/>
        </w:rPr>
        <w:t xml:space="preserve"> and IT audit. </w:t>
      </w:r>
    </w:p>
    <w:p w:rsidR="00B00D61" w:rsidRDefault="00B00D61" w:rsidP="001E06E1">
      <w:pPr>
        <w:spacing w:after="0"/>
        <w:jc w:val="both"/>
        <w:rPr>
          <w:rFonts w:ascii="CIDFont+F4" w:hAnsi="CIDFont+F4" w:cs="CIDFont+F4"/>
          <w:sz w:val="21"/>
          <w:szCs w:val="21"/>
        </w:rPr>
      </w:pPr>
    </w:p>
    <w:p w:rsidR="00B00D61" w:rsidRPr="0077659B" w:rsidRDefault="00B00D61" w:rsidP="001E06E1">
      <w:pPr>
        <w:pStyle w:val="Heading2"/>
        <w:jc w:val="both"/>
      </w:pPr>
      <w:bookmarkStart w:id="171" w:name="_Toc42616128"/>
      <w:r w:rsidRPr="0077659B">
        <w:t>SECTION</w:t>
      </w:r>
      <w:r>
        <w:t xml:space="preserve"> 6: Entities controlled by the </w:t>
      </w:r>
      <w:r w:rsidRPr="0077659B">
        <w:t>department</w:t>
      </w:r>
      <w:bookmarkEnd w:id="171"/>
    </w:p>
    <w:p w:rsidR="00B00D61" w:rsidRPr="0077659B" w:rsidRDefault="00B00D61" w:rsidP="001E06E1">
      <w:pPr>
        <w:pStyle w:val="Numbernormal"/>
        <w:numPr>
          <w:ilvl w:val="0"/>
          <w:numId w:val="17"/>
        </w:numPr>
        <w:jc w:val="both"/>
      </w:pPr>
      <w:r w:rsidRPr="0077659B">
        <w:t xml:space="preserve">In terms of the PFMA, the </w:t>
      </w:r>
      <w:r>
        <w:t>department</w:t>
      </w:r>
      <w:r w:rsidRPr="0077659B">
        <w:t xml:space="preserve"> has certain oversight responsibilities regarding the entities over which it has ownership control. The audit outcomes of these entities </w:t>
      </w:r>
      <w:proofErr w:type="gramStart"/>
      <w:r w:rsidRPr="0077659B">
        <w:t>are summarised</w:t>
      </w:r>
      <w:proofErr w:type="gramEnd"/>
      <w:r w:rsidRPr="0077659B">
        <w:t xml:space="preserv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1363"/>
        <w:gridCol w:w="1512"/>
        <w:gridCol w:w="1365"/>
        <w:gridCol w:w="605"/>
        <w:gridCol w:w="607"/>
        <w:gridCol w:w="608"/>
        <w:gridCol w:w="607"/>
        <w:gridCol w:w="605"/>
        <w:gridCol w:w="545"/>
      </w:tblGrid>
      <w:tr w:rsidR="00B00D61" w:rsidRPr="0077659B" w:rsidTr="009C0B03">
        <w:trPr>
          <w:trHeight w:val="330"/>
        </w:trPr>
        <w:tc>
          <w:tcPr>
            <w:tcW w:w="941" w:type="pct"/>
            <w:vMerge w:val="restart"/>
            <w:shd w:val="clear" w:color="auto" w:fill="A6A6A6" w:themeFill="background1" w:themeFillShade="A6"/>
          </w:tcPr>
          <w:p w:rsidR="00B00D61" w:rsidRPr="0077659B" w:rsidRDefault="00B00D61" w:rsidP="001E06E1">
            <w:pPr>
              <w:pStyle w:val="NoSpacing"/>
              <w:jc w:val="both"/>
            </w:pPr>
            <w:r w:rsidRPr="0077659B">
              <w:t>Name of entity</w:t>
            </w:r>
          </w:p>
        </w:tc>
        <w:tc>
          <w:tcPr>
            <w:tcW w:w="2202" w:type="pct"/>
            <w:gridSpan w:val="3"/>
            <w:shd w:val="clear" w:color="auto" w:fill="A6A6A6" w:themeFill="background1" w:themeFillShade="A6"/>
          </w:tcPr>
          <w:p w:rsidR="00B00D61" w:rsidRPr="0077659B" w:rsidRDefault="00B00D61" w:rsidP="001E06E1">
            <w:pPr>
              <w:pStyle w:val="NoSpacing"/>
              <w:jc w:val="both"/>
            </w:pPr>
            <w:r w:rsidRPr="0077659B">
              <w:t>Audit outcome</w:t>
            </w:r>
          </w:p>
        </w:tc>
        <w:tc>
          <w:tcPr>
            <w:tcW w:w="1857" w:type="pct"/>
            <w:gridSpan w:val="6"/>
            <w:shd w:val="clear" w:color="auto" w:fill="A6A6A6" w:themeFill="background1" w:themeFillShade="A6"/>
          </w:tcPr>
          <w:p w:rsidR="00B00D61" w:rsidRPr="0077659B" w:rsidRDefault="00B00D61" w:rsidP="001E06E1">
            <w:pPr>
              <w:pStyle w:val="NoSpacing"/>
              <w:jc w:val="both"/>
            </w:pPr>
            <w:r w:rsidRPr="0077659B">
              <w:t>Significant deficiencies in internal control</w:t>
            </w:r>
          </w:p>
        </w:tc>
      </w:tr>
      <w:tr w:rsidR="00B00D61" w:rsidRPr="0077659B" w:rsidTr="009C0B03">
        <w:trPr>
          <w:trHeight w:val="922"/>
        </w:trPr>
        <w:tc>
          <w:tcPr>
            <w:tcW w:w="941" w:type="pct"/>
            <w:vMerge/>
            <w:shd w:val="clear" w:color="auto" w:fill="A6A6A6" w:themeFill="background1" w:themeFillShade="A6"/>
          </w:tcPr>
          <w:p w:rsidR="00B00D61" w:rsidRPr="0077659B" w:rsidRDefault="00B00D61" w:rsidP="001E06E1">
            <w:pPr>
              <w:pStyle w:val="NoSpacing"/>
              <w:jc w:val="both"/>
            </w:pPr>
          </w:p>
        </w:tc>
        <w:tc>
          <w:tcPr>
            <w:tcW w:w="708" w:type="pct"/>
            <w:vMerge w:val="restart"/>
            <w:shd w:val="clear" w:color="auto" w:fill="BFBFBF" w:themeFill="background1" w:themeFillShade="BF"/>
          </w:tcPr>
          <w:p w:rsidR="00B00D61" w:rsidRPr="0077659B" w:rsidRDefault="00B00D61" w:rsidP="001E06E1">
            <w:pPr>
              <w:pStyle w:val="NoSpacing"/>
              <w:jc w:val="both"/>
            </w:pPr>
            <w:r w:rsidRPr="0077659B">
              <w:t>Financial statement opinion</w:t>
            </w:r>
          </w:p>
        </w:tc>
        <w:tc>
          <w:tcPr>
            <w:tcW w:w="785" w:type="pct"/>
            <w:vMerge w:val="restart"/>
            <w:shd w:val="clear" w:color="auto" w:fill="BFBFBF" w:themeFill="background1" w:themeFillShade="BF"/>
          </w:tcPr>
          <w:p w:rsidR="00B00D61" w:rsidRPr="0077659B" w:rsidDel="00820DCD" w:rsidRDefault="00B00D61" w:rsidP="001E06E1">
            <w:pPr>
              <w:pStyle w:val="NoSpacing"/>
              <w:jc w:val="both"/>
            </w:pPr>
            <w:r w:rsidRPr="0077659B">
              <w:t>Findings on the performance report</w:t>
            </w:r>
          </w:p>
        </w:tc>
        <w:tc>
          <w:tcPr>
            <w:tcW w:w="709" w:type="pct"/>
            <w:vMerge w:val="restart"/>
            <w:shd w:val="clear" w:color="auto" w:fill="BFBFBF" w:themeFill="background1" w:themeFillShade="BF"/>
          </w:tcPr>
          <w:p w:rsidR="00B00D61" w:rsidRPr="0077659B" w:rsidRDefault="00B00D61" w:rsidP="001E06E1">
            <w:pPr>
              <w:pStyle w:val="NoSpacing"/>
              <w:jc w:val="both"/>
            </w:pPr>
            <w:r w:rsidRPr="0077659B">
              <w:t>Findings on compliance</w:t>
            </w:r>
          </w:p>
        </w:tc>
        <w:tc>
          <w:tcPr>
            <w:tcW w:w="629" w:type="pct"/>
            <w:gridSpan w:val="2"/>
            <w:shd w:val="clear" w:color="auto" w:fill="BFBFBF" w:themeFill="background1" w:themeFillShade="BF"/>
          </w:tcPr>
          <w:p w:rsidR="00B00D61" w:rsidRPr="0077659B" w:rsidRDefault="00B00D61" w:rsidP="001E06E1">
            <w:pPr>
              <w:pStyle w:val="NoSpacing"/>
              <w:jc w:val="both"/>
            </w:pPr>
            <w:r w:rsidRPr="0077659B">
              <w:t>Leadership</w:t>
            </w:r>
          </w:p>
        </w:tc>
        <w:tc>
          <w:tcPr>
            <w:tcW w:w="631" w:type="pct"/>
            <w:gridSpan w:val="2"/>
            <w:shd w:val="clear" w:color="auto" w:fill="BFBFBF" w:themeFill="background1" w:themeFillShade="BF"/>
          </w:tcPr>
          <w:p w:rsidR="00B00D61" w:rsidRPr="0077659B" w:rsidRDefault="00B00D61" w:rsidP="001E06E1">
            <w:pPr>
              <w:pStyle w:val="NoSpacing"/>
              <w:jc w:val="both"/>
            </w:pPr>
            <w:r w:rsidRPr="0077659B">
              <w:t>Financial and performance management</w:t>
            </w:r>
          </w:p>
        </w:tc>
        <w:tc>
          <w:tcPr>
            <w:tcW w:w="597" w:type="pct"/>
            <w:gridSpan w:val="2"/>
            <w:shd w:val="clear" w:color="auto" w:fill="BFBFBF" w:themeFill="background1" w:themeFillShade="BF"/>
          </w:tcPr>
          <w:p w:rsidR="00B00D61" w:rsidRPr="0077659B" w:rsidRDefault="00B00D61" w:rsidP="001E06E1">
            <w:pPr>
              <w:pStyle w:val="NoSpacing"/>
              <w:jc w:val="both"/>
            </w:pPr>
            <w:r w:rsidRPr="0077659B">
              <w:t>Governance</w:t>
            </w:r>
          </w:p>
        </w:tc>
      </w:tr>
      <w:tr w:rsidR="00B00D61" w:rsidRPr="0077659B" w:rsidTr="009C0B03">
        <w:trPr>
          <w:cantSplit/>
          <w:trHeight w:val="1339"/>
        </w:trPr>
        <w:tc>
          <w:tcPr>
            <w:tcW w:w="941" w:type="pct"/>
            <w:vMerge/>
            <w:shd w:val="clear" w:color="auto" w:fill="A6A6A6" w:themeFill="background1" w:themeFillShade="A6"/>
          </w:tcPr>
          <w:p w:rsidR="00B00D61" w:rsidRPr="0077659B" w:rsidRDefault="00B00D61" w:rsidP="001E06E1">
            <w:pPr>
              <w:pStyle w:val="NoSpacing"/>
              <w:jc w:val="both"/>
            </w:pPr>
          </w:p>
        </w:tc>
        <w:tc>
          <w:tcPr>
            <w:tcW w:w="708" w:type="pct"/>
            <w:vMerge/>
          </w:tcPr>
          <w:p w:rsidR="00B00D61" w:rsidRPr="0077659B" w:rsidRDefault="00B00D61" w:rsidP="001E06E1">
            <w:pPr>
              <w:pStyle w:val="NoSpacing"/>
              <w:jc w:val="both"/>
            </w:pPr>
          </w:p>
        </w:tc>
        <w:tc>
          <w:tcPr>
            <w:tcW w:w="785" w:type="pct"/>
            <w:vMerge/>
          </w:tcPr>
          <w:p w:rsidR="00B00D61" w:rsidRPr="0077659B" w:rsidRDefault="00B00D61" w:rsidP="001E06E1">
            <w:pPr>
              <w:pStyle w:val="NoSpacing"/>
              <w:jc w:val="both"/>
            </w:pPr>
          </w:p>
        </w:tc>
        <w:tc>
          <w:tcPr>
            <w:tcW w:w="709" w:type="pct"/>
            <w:vMerge/>
          </w:tcPr>
          <w:p w:rsidR="00B00D61" w:rsidRPr="0077659B" w:rsidRDefault="00B00D61" w:rsidP="001E06E1">
            <w:pPr>
              <w:pStyle w:val="NoSpacing"/>
              <w:jc w:val="both"/>
            </w:pPr>
          </w:p>
        </w:tc>
        <w:tc>
          <w:tcPr>
            <w:tcW w:w="314" w:type="pct"/>
            <w:shd w:val="clear" w:color="auto" w:fill="D9D9D9" w:themeFill="background1" w:themeFillShade="D9"/>
            <w:textDirection w:val="btLr"/>
            <w:vAlign w:val="center"/>
          </w:tcPr>
          <w:p w:rsidR="00B00D61" w:rsidRPr="0077659B" w:rsidRDefault="00B00D61" w:rsidP="001E06E1">
            <w:pPr>
              <w:pStyle w:val="NoSpacing"/>
              <w:jc w:val="both"/>
            </w:pPr>
            <w:r w:rsidRPr="0077659B">
              <w:t>Assessment</w:t>
            </w:r>
          </w:p>
        </w:tc>
        <w:tc>
          <w:tcPr>
            <w:tcW w:w="315" w:type="pct"/>
            <w:shd w:val="clear" w:color="auto" w:fill="D9D9D9" w:themeFill="background1" w:themeFillShade="D9"/>
            <w:textDirection w:val="btLr"/>
            <w:vAlign w:val="center"/>
          </w:tcPr>
          <w:p w:rsidR="00B00D61" w:rsidRPr="0077659B" w:rsidRDefault="00B00D61" w:rsidP="001E06E1">
            <w:pPr>
              <w:pStyle w:val="NoSpacing"/>
              <w:jc w:val="both"/>
            </w:pPr>
            <w:r w:rsidRPr="0077659B">
              <w:t>Movement</w:t>
            </w:r>
          </w:p>
        </w:tc>
        <w:tc>
          <w:tcPr>
            <w:tcW w:w="316" w:type="pct"/>
            <w:shd w:val="clear" w:color="auto" w:fill="D9D9D9" w:themeFill="background1" w:themeFillShade="D9"/>
            <w:textDirection w:val="btLr"/>
          </w:tcPr>
          <w:p w:rsidR="00B00D61" w:rsidRPr="0077659B" w:rsidRDefault="00B00D61" w:rsidP="001E06E1">
            <w:pPr>
              <w:pStyle w:val="NoSpacing"/>
              <w:jc w:val="both"/>
              <w:rPr>
                <w:kern w:val="8"/>
                <w:lang w:bidi="he-IL"/>
              </w:rPr>
            </w:pPr>
            <w:r w:rsidRPr="0077659B">
              <w:t>Assessment</w:t>
            </w:r>
          </w:p>
        </w:tc>
        <w:tc>
          <w:tcPr>
            <w:tcW w:w="315" w:type="pct"/>
            <w:shd w:val="clear" w:color="auto" w:fill="D9D9D9" w:themeFill="background1" w:themeFillShade="D9"/>
            <w:textDirection w:val="btLr"/>
          </w:tcPr>
          <w:p w:rsidR="00B00D61" w:rsidRPr="0077659B" w:rsidRDefault="00B00D61" w:rsidP="001E06E1">
            <w:pPr>
              <w:pStyle w:val="NoSpacing"/>
              <w:jc w:val="both"/>
              <w:rPr>
                <w:kern w:val="8"/>
                <w:lang w:bidi="he-IL"/>
              </w:rPr>
            </w:pPr>
            <w:r w:rsidRPr="0077659B">
              <w:t>Movement</w:t>
            </w:r>
          </w:p>
        </w:tc>
        <w:tc>
          <w:tcPr>
            <w:tcW w:w="314" w:type="pct"/>
            <w:shd w:val="clear" w:color="auto" w:fill="D9D9D9" w:themeFill="background1" w:themeFillShade="D9"/>
            <w:textDirection w:val="btLr"/>
          </w:tcPr>
          <w:p w:rsidR="00B00D61" w:rsidRPr="0077659B" w:rsidRDefault="00B00D61" w:rsidP="001E06E1">
            <w:pPr>
              <w:pStyle w:val="NoSpacing"/>
              <w:jc w:val="both"/>
            </w:pPr>
            <w:r w:rsidRPr="0077659B">
              <w:t>Assessment</w:t>
            </w:r>
          </w:p>
        </w:tc>
        <w:tc>
          <w:tcPr>
            <w:tcW w:w="283" w:type="pct"/>
            <w:shd w:val="clear" w:color="auto" w:fill="D9D9D9" w:themeFill="background1" w:themeFillShade="D9"/>
            <w:textDirection w:val="btLr"/>
          </w:tcPr>
          <w:p w:rsidR="00B00D61" w:rsidRPr="0077659B" w:rsidRDefault="00B00D61" w:rsidP="001E06E1">
            <w:pPr>
              <w:pStyle w:val="NoSpacing"/>
              <w:jc w:val="both"/>
            </w:pPr>
            <w:r w:rsidRPr="0077659B">
              <w:t>Movement</w:t>
            </w:r>
          </w:p>
        </w:tc>
      </w:tr>
      <w:tr w:rsidR="00B00D61" w:rsidRPr="0077659B" w:rsidTr="009C0B03">
        <w:tc>
          <w:tcPr>
            <w:tcW w:w="941" w:type="pct"/>
          </w:tcPr>
          <w:p w:rsidR="00B00D61" w:rsidRDefault="00B00D61" w:rsidP="001E06E1">
            <w:pPr>
              <w:pStyle w:val="Tabletext"/>
              <w:jc w:val="both"/>
            </w:pPr>
            <w:r>
              <w:t>Property</w:t>
            </w:r>
          </w:p>
          <w:p w:rsidR="00B00D61" w:rsidRDefault="00B00D61" w:rsidP="001E06E1">
            <w:pPr>
              <w:pStyle w:val="Tabletext"/>
              <w:jc w:val="both"/>
            </w:pPr>
            <w:r>
              <w:t>Management</w:t>
            </w:r>
          </w:p>
          <w:p w:rsidR="00B00D61" w:rsidRDefault="00B00D61" w:rsidP="001E06E1">
            <w:pPr>
              <w:pStyle w:val="Tabletext"/>
              <w:jc w:val="both"/>
            </w:pPr>
            <w:r>
              <w:t>Trading</w:t>
            </w:r>
          </w:p>
          <w:p w:rsidR="00B00D61" w:rsidRPr="0077659B" w:rsidRDefault="00B00D61" w:rsidP="001E06E1">
            <w:pPr>
              <w:pStyle w:val="Tabletext"/>
              <w:jc w:val="both"/>
            </w:pPr>
            <w:r>
              <w:t>Entity</w:t>
            </w:r>
          </w:p>
        </w:tc>
        <w:tc>
          <w:tcPr>
            <w:tcW w:w="708" w:type="pct"/>
          </w:tcPr>
          <w:p w:rsidR="00B00D61" w:rsidRPr="0077659B" w:rsidRDefault="00B00D61" w:rsidP="001E06E1">
            <w:pPr>
              <w:pStyle w:val="Tabletext"/>
              <w:jc w:val="both"/>
            </w:pPr>
            <w:r>
              <w:t>In progress</w:t>
            </w:r>
          </w:p>
        </w:tc>
        <w:tc>
          <w:tcPr>
            <w:tcW w:w="785" w:type="pct"/>
          </w:tcPr>
          <w:p w:rsidR="00B00D61" w:rsidRPr="0077659B" w:rsidRDefault="00B00D61" w:rsidP="001E06E1">
            <w:pPr>
              <w:pStyle w:val="Tabletext"/>
              <w:jc w:val="both"/>
            </w:pPr>
            <w:r>
              <w:t>In progress</w:t>
            </w:r>
          </w:p>
        </w:tc>
        <w:tc>
          <w:tcPr>
            <w:tcW w:w="709" w:type="pct"/>
          </w:tcPr>
          <w:p w:rsidR="00B00D61" w:rsidRPr="0077659B" w:rsidRDefault="00B00D61" w:rsidP="001E06E1">
            <w:pPr>
              <w:pStyle w:val="Tabletext"/>
              <w:jc w:val="both"/>
            </w:pPr>
            <w:r>
              <w:t>In progress</w:t>
            </w:r>
          </w:p>
        </w:tc>
        <w:tc>
          <w:tcPr>
            <w:tcW w:w="314" w:type="pct"/>
          </w:tcPr>
          <w:p w:rsidR="00B00D61" w:rsidRPr="0077659B" w:rsidRDefault="00B00D61" w:rsidP="001E06E1">
            <w:pPr>
              <w:pStyle w:val="Tabletext"/>
              <w:jc w:val="both"/>
            </w:pPr>
          </w:p>
        </w:tc>
        <w:tc>
          <w:tcPr>
            <w:tcW w:w="315" w:type="pct"/>
            <w:shd w:val="clear" w:color="auto" w:fill="auto"/>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6" w:type="pct"/>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5" w:type="pct"/>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4" w:type="pct"/>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283" w:type="pct"/>
            <w:shd w:val="clear" w:color="auto" w:fill="auto"/>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r>
      <w:tr w:rsidR="00B00D61" w:rsidRPr="0077659B" w:rsidTr="009C0B03">
        <w:tc>
          <w:tcPr>
            <w:tcW w:w="941" w:type="pct"/>
          </w:tcPr>
          <w:p w:rsidR="00B00D61" w:rsidRDefault="00B00D61" w:rsidP="001E06E1">
            <w:pPr>
              <w:pStyle w:val="Tabletext"/>
              <w:jc w:val="both"/>
            </w:pPr>
            <w:r>
              <w:t>Independent</w:t>
            </w:r>
          </w:p>
          <w:p w:rsidR="00B00D61" w:rsidRDefault="00B00D61" w:rsidP="001E06E1">
            <w:pPr>
              <w:pStyle w:val="Tabletext"/>
              <w:jc w:val="both"/>
            </w:pPr>
            <w:r>
              <w:t>Development</w:t>
            </w:r>
          </w:p>
          <w:p w:rsidR="00B00D61" w:rsidRPr="0077659B" w:rsidRDefault="00B00D61" w:rsidP="001E06E1">
            <w:pPr>
              <w:pStyle w:val="Tabletext"/>
              <w:jc w:val="both"/>
            </w:pPr>
            <w:r>
              <w:t>Trust (IDT)</w:t>
            </w:r>
          </w:p>
        </w:tc>
        <w:tc>
          <w:tcPr>
            <w:tcW w:w="708" w:type="pct"/>
          </w:tcPr>
          <w:p w:rsidR="00B00D61" w:rsidRPr="0077659B" w:rsidRDefault="00B00D61" w:rsidP="001E06E1">
            <w:pPr>
              <w:pStyle w:val="Tabletext"/>
              <w:jc w:val="both"/>
            </w:pPr>
            <w:r>
              <w:t>Did not submit AFS</w:t>
            </w:r>
          </w:p>
        </w:tc>
        <w:tc>
          <w:tcPr>
            <w:tcW w:w="785" w:type="pct"/>
          </w:tcPr>
          <w:p w:rsidR="00B00D61" w:rsidRPr="0077659B" w:rsidRDefault="00B00D61" w:rsidP="001E06E1">
            <w:pPr>
              <w:pStyle w:val="Tabletext"/>
              <w:jc w:val="both"/>
            </w:pPr>
            <w:r>
              <w:t>Did not submit APR and does not have approved APP</w:t>
            </w:r>
          </w:p>
        </w:tc>
        <w:tc>
          <w:tcPr>
            <w:tcW w:w="709" w:type="pct"/>
          </w:tcPr>
          <w:p w:rsidR="00B00D61" w:rsidRPr="0077659B" w:rsidRDefault="00B00D61" w:rsidP="001E06E1">
            <w:pPr>
              <w:pStyle w:val="Tabletext"/>
              <w:jc w:val="both"/>
            </w:pPr>
            <w:r>
              <w:t>In progress</w:t>
            </w:r>
          </w:p>
        </w:tc>
        <w:tc>
          <w:tcPr>
            <w:tcW w:w="314" w:type="pct"/>
            <w:shd w:val="clear" w:color="auto" w:fill="auto"/>
          </w:tcPr>
          <w:p w:rsidR="00B00D61" w:rsidRPr="0077659B" w:rsidRDefault="00B00D61" w:rsidP="001E06E1">
            <w:pPr>
              <w:pStyle w:val="Tabletext"/>
              <w:jc w:val="both"/>
            </w:pPr>
          </w:p>
        </w:tc>
        <w:tc>
          <w:tcPr>
            <w:tcW w:w="315" w:type="pct"/>
            <w:shd w:val="clear" w:color="auto" w:fill="auto"/>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6" w:type="pct"/>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5" w:type="pct"/>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4" w:type="pct"/>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283" w:type="pct"/>
            <w:shd w:val="clear" w:color="auto" w:fill="auto"/>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r>
      <w:tr w:rsidR="00B00D61" w:rsidRPr="0077659B" w:rsidTr="009C0B03">
        <w:tc>
          <w:tcPr>
            <w:tcW w:w="941" w:type="pct"/>
          </w:tcPr>
          <w:p w:rsidR="00B00D61" w:rsidRDefault="00B00D61" w:rsidP="001E06E1">
            <w:pPr>
              <w:pStyle w:val="Tabletext"/>
              <w:jc w:val="both"/>
            </w:pPr>
            <w:r>
              <w:t>Construction</w:t>
            </w:r>
          </w:p>
          <w:p w:rsidR="00B00D61" w:rsidRDefault="00B00D61" w:rsidP="001E06E1">
            <w:pPr>
              <w:pStyle w:val="Tabletext"/>
              <w:jc w:val="both"/>
            </w:pPr>
            <w:r>
              <w:t>Industry</w:t>
            </w:r>
          </w:p>
          <w:p w:rsidR="00B00D61" w:rsidRDefault="00B00D61" w:rsidP="001E06E1">
            <w:pPr>
              <w:pStyle w:val="Tabletext"/>
              <w:jc w:val="both"/>
            </w:pPr>
            <w:r>
              <w:t>Development</w:t>
            </w:r>
          </w:p>
          <w:p w:rsidR="00B00D61" w:rsidRPr="0077659B" w:rsidRDefault="00B00D61" w:rsidP="001E06E1">
            <w:pPr>
              <w:pStyle w:val="Tabletext"/>
              <w:jc w:val="both"/>
            </w:pPr>
            <w:r>
              <w:t>Board(CIDB)</w:t>
            </w:r>
          </w:p>
        </w:tc>
        <w:tc>
          <w:tcPr>
            <w:tcW w:w="708" w:type="pct"/>
          </w:tcPr>
          <w:p w:rsidR="00B00D61" w:rsidRPr="0077659B" w:rsidRDefault="00B00D61" w:rsidP="001E06E1">
            <w:pPr>
              <w:pStyle w:val="Tabletext"/>
              <w:jc w:val="both"/>
            </w:pPr>
            <w:r w:rsidRPr="0080507B">
              <w:t>Unqualified</w:t>
            </w:r>
          </w:p>
        </w:tc>
        <w:tc>
          <w:tcPr>
            <w:tcW w:w="785" w:type="pct"/>
          </w:tcPr>
          <w:p w:rsidR="00B00D61" w:rsidRPr="0077659B" w:rsidRDefault="00B00D61" w:rsidP="001E06E1">
            <w:pPr>
              <w:pStyle w:val="Tabletext"/>
              <w:jc w:val="both"/>
            </w:pPr>
            <w:r>
              <w:t>NO*</w:t>
            </w:r>
          </w:p>
        </w:tc>
        <w:tc>
          <w:tcPr>
            <w:tcW w:w="709" w:type="pct"/>
          </w:tcPr>
          <w:p w:rsidR="00B00D61" w:rsidRPr="0077659B" w:rsidRDefault="00B00D61" w:rsidP="001E06E1">
            <w:pPr>
              <w:pStyle w:val="Tabletext"/>
              <w:jc w:val="both"/>
            </w:pPr>
            <w:r>
              <w:t>YES</w:t>
            </w:r>
          </w:p>
        </w:tc>
        <w:tc>
          <w:tcPr>
            <w:tcW w:w="314" w:type="pct"/>
            <w:shd w:val="clear" w:color="auto" w:fill="FFE697"/>
          </w:tcPr>
          <w:p w:rsidR="00B00D61" w:rsidRPr="0077659B" w:rsidRDefault="00B00D61" w:rsidP="001E06E1">
            <w:pPr>
              <w:pStyle w:val="Tabletext"/>
              <w:jc w:val="both"/>
            </w:pPr>
          </w:p>
        </w:tc>
        <w:tc>
          <w:tcPr>
            <w:tcW w:w="315" w:type="pct"/>
            <w:shd w:val="clear" w:color="auto" w:fill="auto"/>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88448" behindDoc="0" locked="0" layoutInCell="1" allowOverlap="1" wp14:anchorId="705D21BC" wp14:editId="3FE42CB9">
                  <wp:simplePos x="0" y="0"/>
                  <wp:positionH relativeFrom="page">
                    <wp:posOffset>65405</wp:posOffset>
                  </wp:positionH>
                  <wp:positionV relativeFrom="page">
                    <wp:posOffset>2540</wp:posOffset>
                  </wp:positionV>
                  <wp:extent cx="143510" cy="143510"/>
                  <wp:effectExtent l="0" t="0" r="8890" b="8890"/>
                  <wp:wrapNone/>
                  <wp:docPr id="16204"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316" w:type="pct"/>
            <w:shd w:val="clear" w:color="auto" w:fill="FFE697"/>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5" w:type="pct"/>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89472" behindDoc="0" locked="0" layoutInCell="1" allowOverlap="1" wp14:anchorId="2F947FC3" wp14:editId="6EF62B69">
                  <wp:simplePos x="0" y="0"/>
                  <wp:positionH relativeFrom="page">
                    <wp:posOffset>63500</wp:posOffset>
                  </wp:positionH>
                  <wp:positionV relativeFrom="page">
                    <wp:posOffset>2540</wp:posOffset>
                  </wp:positionV>
                  <wp:extent cx="143510" cy="143510"/>
                  <wp:effectExtent l="0" t="0" r="8890" b="8890"/>
                  <wp:wrapNone/>
                  <wp:docPr id="3"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314" w:type="pct"/>
            <w:shd w:val="clear" w:color="auto" w:fill="FFE697"/>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283" w:type="pct"/>
            <w:shd w:val="clear" w:color="auto" w:fill="auto"/>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90496" behindDoc="0" locked="0" layoutInCell="1" allowOverlap="1" wp14:anchorId="74EC5799" wp14:editId="29E97D8C">
                  <wp:simplePos x="0" y="0"/>
                  <wp:positionH relativeFrom="page">
                    <wp:posOffset>60960</wp:posOffset>
                  </wp:positionH>
                  <wp:positionV relativeFrom="page">
                    <wp:posOffset>2540</wp:posOffset>
                  </wp:positionV>
                  <wp:extent cx="143510" cy="143510"/>
                  <wp:effectExtent l="0" t="0" r="8890" b="8890"/>
                  <wp:wrapNone/>
                  <wp:docPr id="16211"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r>
      <w:tr w:rsidR="00B00D61" w:rsidRPr="0077659B" w:rsidTr="009C0B03">
        <w:tc>
          <w:tcPr>
            <w:tcW w:w="941" w:type="pct"/>
            <w:shd w:val="clear" w:color="auto" w:fill="auto"/>
          </w:tcPr>
          <w:p w:rsidR="00B00D61" w:rsidRDefault="00B00D61" w:rsidP="001E06E1">
            <w:pPr>
              <w:pStyle w:val="Tabletext"/>
              <w:jc w:val="both"/>
            </w:pPr>
            <w:r>
              <w:t>Council for</w:t>
            </w:r>
          </w:p>
          <w:p w:rsidR="00B00D61" w:rsidRDefault="00B00D61" w:rsidP="001E06E1">
            <w:pPr>
              <w:pStyle w:val="Tabletext"/>
              <w:jc w:val="both"/>
            </w:pPr>
            <w:r>
              <w:t>the Built</w:t>
            </w:r>
          </w:p>
          <w:p w:rsidR="00B00D61" w:rsidRDefault="00B00D61" w:rsidP="001E06E1">
            <w:pPr>
              <w:pStyle w:val="Tabletext"/>
              <w:jc w:val="both"/>
            </w:pPr>
            <w:r>
              <w:t>Environment</w:t>
            </w:r>
          </w:p>
          <w:p w:rsidR="00B00D61" w:rsidRPr="0077659B" w:rsidRDefault="00B00D61" w:rsidP="001E06E1">
            <w:pPr>
              <w:pStyle w:val="Tabletext"/>
              <w:jc w:val="both"/>
            </w:pPr>
            <w:r>
              <w:t>(CBE)</w:t>
            </w:r>
          </w:p>
        </w:tc>
        <w:tc>
          <w:tcPr>
            <w:tcW w:w="708" w:type="pct"/>
          </w:tcPr>
          <w:p w:rsidR="00B00D61" w:rsidRPr="0077659B" w:rsidRDefault="00B00D61" w:rsidP="001E06E1">
            <w:pPr>
              <w:pStyle w:val="Tabletext"/>
              <w:jc w:val="both"/>
            </w:pPr>
            <w:r w:rsidRPr="0080507B">
              <w:t>Unqualified</w:t>
            </w:r>
          </w:p>
        </w:tc>
        <w:tc>
          <w:tcPr>
            <w:tcW w:w="785" w:type="pct"/>
          </w:tcPr>
          <w:p w:rsidR="00B00D61" w:rsidRPr="0077659B" w:rsidRDefault="00B00D61" w:rsidP="001E06E1">
            <w:pPr>
              <w:pStyle w:val="Tabletext"/>
              <w:jc w:val="both"/>
            </w:pPr>
            <w:r>
              <w:t>NO</w:t>
            </w:r>
          </w:p>
        </w:tc>
        <w:tc>
          <w:tcPr>
            <w:tcW w:w="709" w:type="pct"/>
          </w:tcPr>
          <w:p w:rsidR="00B00D61" w:rsidRPr="0077659B" w:rsidRDefault="00B00D61" w:rsidP="001E06E1">
            <w:pPr>
              <w:pStyle w:val="Tabletext"/>
              <w:jc w:val="both"/>
            </w:pPr>
            <w:r>
              <w:t>NO</w:t>
            </w:r>
          </w:p>
        </w:tc>
        <w:tc>
          <w:tcPr>
            <w:tcW w:w="314" w:type="pct"/>
            <w:shd w:val="clear" w:color="auto" w:fill="97E59E"/>
          </w:tcPr>
          <w:p w:rsidR="00B00D61" w:rsidRPr="0077659B" w:rsidRDefault="00B00D61" w:rsidP="001E06E1">
            <w:pPr>
              <w:pStyle w:val="Tabletext"/>
              <w:jc w:val="both"/>
            </w:pPr>
          </w:p>
        </w:tc>
        <w:tc>
          <w:tcPr>
            <w:tcW w:w="315" w:type="pct"/>
            <w:shd w:val="clear" w:color="auto" w:fill="auto"/>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91520" behindDoc="0" locked="0" layoutInCell="1" allowOverlap="1" wp14:anchorId="7D822C29" wp14:editId="05E52BF7">
                  <wp:simplePos x="0" y="0"/>
                  <wp:positionH relativeFrom="page">
                    <wp:posOffset>65405</wp:posOffset>
                  </wp:positionH>
                  <wp:positionV relativeFrom="page">
                    <wp:posOffset>332740</wp:posOffset>
                  </wp:positionV>
                  <wp:extent cx="143510" cy="143510"/>
                  <wp:effectExtent l="0" t="0" r="8890" b="8890"/>
                  <wp:wrapNone/>
                  <wp:docPr id="16219"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316" w:type="pct"/>
            <w:shd w:val="clear" w:color="auto" w:fill="97E59E"/>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5" w:type="pct"/>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92544" behindDoc="0" locked="0" layoutInCell="1" allowOverlap="1" wp14:anchorId="43D45B00" wp14:editId="44B3F8A6">
                  <wp:simplePos x="0" y="0"/>
                  <wp:positionH relativeFrom="page">
                    <wp:posOffset>63500</wp:posOffset>
                  </wp:positionH>
                  <wp:positionV relativeFrom="page">
                    <wp:posOffset>332740</wp:posOffset>
                  </wp:positionV>
                  <wp:extent cx="143510" cy="143510"/>
                  <wp:effectExtent l="0" t="0" r="8890" b="8890"/>
                  <wp:wrapNone/>
                  <wp:docPr id="11720"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314" w:type="pct"/>
            <w:shd w:val="clear" w:color="auto" w:fill="97E59E"/>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283" w:type="pct"/>
            <w:shd w:val="clear" w:color="auto" w:fill="auto"/>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93568" behindDoc="0" locked="0" layoutInCell="1" allowOverlap="1" wp14:anchorId="4756D67D" wp14:editId="696F5F9C">
                  <wp:simplePos x="0" y="0"/>
                  <wp:positionH relativeFrom="page">
                    <wp:posOffset>60960</wp:posOffset>
                  </wp:positionH>
                  <wp:positionV relativeFrom="page">
                    <wp:posOffset>332740</wp:posOffset>
                  </wp:positionV>
                  <wp:extent cx="143510" cy="143510"/>
                  <wp:effectExtent l="0" t="0" r="8890" b="8890"/>
                  <wp:wrapNone/>
                  <wp:docPr id="11727"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r>
      <w:tr w:rsidR="00B00D61" w:rsidRPr="0077659B" w:rsidTr="00B00D61">
        <w:tc>
          <w:tcPr>
            <w:tcW w:w="941" w:type="pct"/>
          </w:tcPr>
          <w:p w:rsidR="00B00D61" w:rsidRDefault="00B00D61" w:rsidP="001E06E1">
            <w:pPr>
              <w:pStyle w:val="Tabletext"/>
              <w:jc w:val="both"/>
            </w:pPr>
            <w:proofErr w:type="spellStart"/>
            <w:r>
              <w:t>Agrément</w:t>
            </w:r>
            <w:proofErr w:type="spellEnd"/>
          </w:p>
          <w:p w:rsidR="00B00D61" w:rsidRDefault="00B00D61" w:rsidP="001E06E1">
            <w:pPr>
              <w:pStyle w:val="Tabletext"/>
              <w:jc w:val="both"/>
            </w:pPr>
            <w:r>
              <w:t>South Africa</w:t>
            </w:r>
          </w:p>
          <w:p w:rsidR="00B00D61" w:rsidRPr="0077659B" w:rsidRDefault="00B00D61" w:rsidP="001E06E1">
            <w:pPr>
              <w:pStyle w:val="Tabletext"/>
              <w:jc w:val="both"/>
            </w:pPr>
            <w:r>
              <w:t>(ASA)</w:t>
            </w:r>
          </w:p>
        </w:tc>
        <w:tc>
          <w:tcPr>
            <w:tcW w:w="708" w:type="pct"/>
          </w:tcPr>
          <w:p w:rsidR="00B00D61" w:rsidRPr="0077659B" w:rsidRDefault="00B00D61" w:rsidP="001E06E1">
            <w:pPr>
              <w:pStyle w:val="Tabletext"/>
              <w:jc w:val="both"/>
            </w:pPr>
            <w:r w:rsidRPr="0080507B">
              <w:t>Unqualified</w:t>
            </w:r>
            <w:r>
              <w:t>*</w:t>
            </w:r>
          </w:p>
        </w:tc>
        <w:tc>
          <w:tcPr>
            <w:tcW w:w="785" w:type="pct"/>
          </w:tcPr>
          <w:p w:rsidR="00B00D61" w:rsidRPr="0077659B" w:rsidRDefault="00B00D61" w:rsidP="001E06E1">
            <w:pPr>
              <w:pStyle w:val="Tabletext"/>
              <w:jc w:val="both"/>
            </w:pPr>
            <w:r>
              <w:t>NO*</w:t>
            </w:r>
          </w:p>
        </w:tc>
        <w:tc>
          <w:tcPr>
            <w:tcW w:w="709" w:type="pct"/>
          </w:tcPr>
          <w:p w:rsidR="00B00D61" w:rsidRPr="0077659B" w:rsidRDefault="00B00D61" w:rsidP="001E06E1">
            <w:pPr>
              <w:pStyle w:val="Tabletext"/>
              <w:jc w:val="both"/>
            </w:pPr>
            <w:r>
              <w:t>YES</w:t>
            </w:r>
          </w:p>
        </w:tc>
        <w:tc>
          <w:tcPr>
            <w:tcW w:w="314" w:type="pct"/>
            <w:shd w:val="clear" w:color="auto" w:fill="FFE697"/>
          </w:tcPr>
          <w:p w:rsidR="00B00D61" w:rsidRPr="0077659B" w:rsidRDefault="00B00D61" w:rsidP="001E06E1">
            <w:pPr>
              <w:pStyle w:val="Tabletext"/>
              <w:jc w:val="both"/>
            </w:pPr>
          </w:p>
        </w:tc>
        <w:tc>
          <w:tcPr>
            <w:tcW w:w="315" w:type="pct"/>
            <w:shd w:val="clear" w:color="auto" w:fill="auto"/>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97664" behindDoc="0" locked="0" layoutInCell="1" allowOverlap="1" wp14:anchorId="70B3DA95" wp14:editId="3ED56A15">
                  <wp:simplePos x="0" y="0"/>
                  <wp:positionH relativeFrom="page">
                    <wp:posOffset>65405</wp:posOffset>
                  </wp:positionH>
                  <wp:positionV relativeFrom="page">
                    <wp:posOffset>244475</wp:posOffset>
                  </wp:positionV>
                  <wp:extent cx="143510" cy="143510"/>
                  <wp:effectExtent l="0" t="0" r="8890" b="8890"/>
                  <wp:wrapNone/>
                  <wp:docPr id="11732"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316" w:type="pct"/>
            <w:shd w:val="clear" w:color="auto" w:fill="F9A1A1"/>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315" w:type="pct"/>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96640" behindDoc="0" locked="0" layoutInCell="1" allowOverlap="1" wp14:anchorId="1C538D75" wp14:editId="4C669593">
                  <wp:simplePos x="0" y="0"/>
                  <wp:positionH relativeFrom="page">
                    <wp:posOffset>63500</wp:posOffset>
                  </wp:positionH>
                  <wp:positionV relativeFrom="page">
                    <wp:posOffset>244475</wp:posOffset>
                  </wp:positionV>
                  <wp:extent cx="143510" cy="143510"/>
                  <wp:effectExtent l="0" t="0" r="8890" b="8890"/>
                  <wp:wrapNone/>
                  <wp:docPr id="11738"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314" w:type="pct"/>
            <w:shd w:val="clear" w:color="auto" w:fill="97E59E"/>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p>
        </w:tc>
        <w:tc>
          <w:tcPr>
            <w:tcW w:w="283" w:type="pct"/>
            <w:shd w:val="clear" w:color="auto" w:fill="auto"/>
            <w:vAlign w:val="center"/>
          </w:tcPr>
          <w:p w:rsidR="00B00D61" w:rsidRPr="0077659B" w:rsidRDefault="00B00D61" w:rsidP="001E06E1">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val="en-GB" w:eastAsia="en-GB"/>
              </w:rPr>
              <w:drawing>
                <wp:anchor distT="0" distB="0" distL="114300" distR="114300" simplePos="0" relativeHeight="251694592" behindDoc="0" locked="0" layoutInCell="1" allowOverlap="1" wp14:anchorId="1684FA9A" wp14:editId="068EA364">
                  <wp:simplePos x="0" y="0"/>
                  <wp:positionH relativeFrom="page">
                    <wp:posOffset>60960</wp:posOffset>
                  </wp:positionH>
                  <wp:positionV relativeFrom="page">
                    <wp:posOffset>244475</wp:posOffset>
                  </wp:positionV>
                  <wp:extent cx="143510" cy="143510"/>
                  <wp:effectExtent l="0" t="0" r="8890" b="8890"/>
                  <wp:wrapNone/>
                  <wp:docPr id="11740"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r>
      <w:tr w:rsidR="00B00D61" w:rsidRPr="008854F4" w:rsidTr="009C0B03">
        <w:tc>
          <w:tcPr>
            <w:tcW w:w="5000" w:type="pct"/>
            <w:gridSpan w:val="10"/>
          </w:tcPr>
          <w:p w:rsidR="00B00D61" w:rsidRPr="008854F4" w:rsidRDefault="00B00D61" w:rsidP="001E06E1">
            <w:pPr>
              <w:spacing w:after="0" w:line="240" w:lineRule="auto"/>
              <w:jc w:val="both"/>
              <w:rPr>
                <w:rFonts w:eastAsia="Times New Roman" w:cs="Arial"/>
                <w:bCs/>
                <w:color w:val="000000"/>
                <w:sz w:val="18"/>
                <w:szCs w:val="18"/>
              </w:rPr>
            </w:pPr>
            <w:r>
              <w:rPr>
                <w:rFonts w:eastAsia="Times New Roman" w:cs="Arial"/>
                <w:bCs/>
                <w:color w:val="000000"/>
                <w:sz w:val="18"/>
                <w:szCs w:val="18"/>
              </w:rPr>
              <w:t>* M</w:t>
            </w:r>
            <w:r w:rsidRPr="008854F4">
              <w:rPr>
                <w:rFonts w:eastAsia="Times New Roman" w:cs="Arial"/>
                <w:bCs/>
                <w:color w:val="000000"/>
                <w:sz w:val="18"/>
                <w:szCs w:val="18"/>
              </w:rPr>
              <w:t>ater</w:t>
            </w:r>
            <w:r>
              <w:rPr>
                <w:rFonts w:eastAsia="Times New Roman" w:cs="Arial"/>
                <w:bCs/>
                <w:color w:val="000000"/>
                <w:sz w:val="18"/>
                <w:szCs w:val="18"/>
              </w:rPr>
              <w:t>ial adjustments were made</w:t>
            </w:r>
          </w:p>
        </w:tc>
      </w:tr>
    </w:tbl>
    <w:p w:rsidR="00B00D61" w:rsidRPr="0077659B" w:rsidRDefault="00B00D61" w:rsidP="001E06E1">
      <w:pPr>
        <w:shd w:val="clear" w:color="auto" w:fill="FFFFFF"/>
        <w:spacing w:after="0" w:line="240" w:lineRule="auto"/>
        <w:jc w:val="both"/>
        <w:rPr>
          <w:rFonts w:eastAsia="Times New Roman" w:cs="Arial"/>
          <w:sz w:val="16"/>
          <w:szCs w:val="16"/>
        </w:rPr>
      </w:pPr>
    </w:p>
    <w:p w:rsidR="00B00D61" w:rsidRPr="0077659B" w:rsidRDefault="00B00D61" w:rsidP="001E06E1">
      <w:pPr>
        <w:shd w:val="clear" w:color="auto" w:fill="FFFFFF"/>
        <w:spacing w:after="0" w:line="240" w:lineRule="auto"/>
        <w:jc w:val="both"/>
        <w:rPr>
          <w:rFonts w:eastAsia="Times New Roman"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2117"/>
        <w:gridCol w:w="282"/>
        <w:gridCol w:w="2370"/>
        <w:gridCol w:w="237"/>
        <w:gridCol w:w="2717"/>
        <w:gridCol w:w="371"/>
      </w:tblGrid>
      <w:tr w:rsidR="00B00D61" w:rsidRPr="0077659B" w:rsidTr="009C0B03">
        <w:tc>
          <w:tcPr>
            <w:tcW w:w="236" w:type="dxa"/>
            <w:vMerge w:val="restart"/>
          </w:tcPr>
          <w:p w:rsidR="00B00D61" w:rsidRPr="0077659B" w:rsidRDefault="00B00D61" w:rsidP="001E06E1">
            <w:pPr>
              <w:jc w:val="both"/>
              <w:rPr>
                <w:rFonts w:ascii="Tahoma" w:hAnsi="Tahoma" w:cs="Arial"/>
                <w:sz w:val="16"/>
                <w:szCs w:val="16"/>
              </w:rPr>
            </w:pPr>
          </w:p>
        </w:tc>
        <w:tc>
          <w:tcPr>
            <w:tcW w:w="2117" w:type="dxa"/>
            <w:tcBorders>
              <w:bottom w:val="single" w:sz="4" w:space="0" w:color="auto"/>
            </w:tcBorders>
          </w:tcPr>
          <w:p w:rsidR="00B00D61" w:rsidRPr="0077659B" w:rsidRDefault="00B00D61" w:rsidP="001E06E1">
            <w:pPr>
              <w:jc w:val="both"/>
              <w:rPr>
                <w:sz w:val="16"/>
                <w:szCs w:val="16"/>
              </w:rPr>
            </w:pPr>
          </w:p>
        </w:tc>
        <w:tc>
          <w:tcPr>
            <w:tcW w:w="282" w:type="dxa"/>
            <w:tcBorders>
              <w:bottom w:val="single" w:sz="4" w:space="0" w:color="auto"/>
            </w:tcBorders>
          </w:tcPr>
          <w:p w:rsidR="00B00D61" w:rsidRPr="0077659B" w:rsidRDefault="00B00D61" w:rsidP="001E06E1">
            <w:pPr>
              <w:jc w:val="both"/>
              <w:rPr>
                <w:rFonts w:cs="Arial"/>
                <w:sz w:val="16"/>
                <w:szCs w:val="16"/>
              </w:rPr>
            </w:pPr>
          </w:p>
        </w:tc>
        <w:tc>
          <w:tcPr>
            <w:tcW w:w="2370" w:type="dxa"/>
            <w:tcBorders>
              <w:bottom w:val="single" w:sz="4" w:space="0" w:color="auto"/>
            </w:tcBorders>
          </w:tcPr>
          <w:p w:rsidR="00B00D61" w:rsidRPr="0077659B" w:rsidRDefault="00B00D61" w:rsidP="001E06E1">
            <w:pPr>
              <w:jc w:val="both"/>
              <w:rPr>
                <w:sz w:val="16"/>
                <w:szCs w:val="16"/>
              </w:rPr>
            </w:pPr>
          </w:p>
        </w:tc>
        <w:tc>
          <w:tcPr>
            <w:tcW w:w="237" w:type="dxa"/>
            <w:tcBorders>
              <w:bottom w:val="single" w:sz="4" w:space="0" w:color="auto"/>
            </w:tcBorders>
          </w:tcPr>
          <w:p w:rsidR="00B00D61" w:rsidRPr="0077659B" w:rsidRDefault="00B00D61" w:rsidP="001E06E1">
            <w:pPr>
              <w:jc w:val="both"/>
              <w:rPr>
                <w:rFonts w:cs="Arial"/>
                <w:sz w:val="16"/>
                <w:szCs w:val="16"/>
              </w:rPr>
            </w:pPr>
          </w:p>
        </w:tc>
        <w:tc>
          <w:tcPr>
            <w:tcW w:w="2717" w:type="dxa"/>
            <w:tcBorders>
              <w:bottom w:val="single" w:sz="4" w:space="0" w:color="auto"/>
            </w:tcBorders>
          </w:tcPr>
          <w:p w:rsidR="00B00D61" w:rsidRPr="0077659B" w:rsidRDefault="00B00D61" w:rsidP="001E06E1">
            <w:pPr>
              <w:jc w:val="both"/>
              <w:rPr>
                <w:sz w:val="16"/>
                <w:szCs w:val="16"/>
              </w:rPr>
            </w:pPr>
          </w:p>
        </w:tc>
        <w:tc>
          <w:tcPr>
            <w:tcW w:w="371" w:type="dxa"/>
            <w:vMerge w:val="restart"/>
          </w:tcPr>
          <w:p w:rsidR="00B00D61" w:rsidRPr="0077659B" w:rsidRDefault="00B00D61" w:rsidP="001E06E1">
            <w:pPr>
              <w:jc w:val="both"/>
              <w:rPr>
                <w:rFonts w:cs="Arial"/>
                <w:sz w:val="16"/>
                <w:szCs w:val="16"/>
              </w:rPr>
            </w:pPr>
          </w:p>
        </w:tc>
      </w:tr>
      <w:tr w:rsidR="00B00D61" w:rsidRPr="0077659B" w:rsidTr="009C0B03">
        <w:trPr>
          <w:trHeight w:val="491"/>
        </w:trPr>
        <w:tc>
          <w:tcPr>
            <w:tcW w:w="236" w:type="dxa"/>
            <w:vMerge/>
            <w:tcBorders>
              <w:right w:val="single" w:sz="4" w:space="0" w:color="auto"/>
            </w:tcBorders>
            <w:vAlign w:val="center"/>
          </w:tcPr>
          <w:p w:rsidR="00B00D61" w:rsidRPr="0077659B" w:rsidRDefault="00B00D61" w:rsidP="001E06E1">
            <w:pPr>
              <w:spacing w:after="240"/>
              <w:jc w:val="both"/>
              <w:rPr>
                <w:rFonts w:cs="Arial"/>
              </w:rPr>
            </w:pPr>
          </w:p>
        </w:tc>
        <w:tc>
          <w:tcPr>
            <w:tcW w:w="2117" w:type="dxa"/>
            <w:tcBorders>
              <w:top w:val="single" w:sz="4" w:space="0" w:color="auto"/>
              <w:left w:val="single" w:sz="4" w:space="0" w:color="auto"/>
              <w:bottom w:val="single" w:sz="4" w:space="0" w:color="auto"/>
            </w:tcBorders>
            <w:vAlign w:val="center"/>
          </w:tcPr>
          <w:p w:rsidR="00B00D61" w:rsidRPr="0077659B" w:rsidRDefault="00B00D61" w:rsidP="001E06E1">
            <w:pPr>
              <w:jc w:val="both"/>
            </w:pPr>
            <w:r w:rsidRPr="0077659B">
              <w:rPr>
                <w:rFonts w:cs="Arial"/>
                <w:b/>
                <w:bCs/>
                <w:noProof/>
                <w:color w:val="000000"/>
                <w:sz w:val="18"/>
                <w:szCs w:val="18"/>
                <w:lang w:val="en-GB" w:eastAsia="en-GB"/>
              </w:rPr>
              <w:drawing>
                <wp:anchor distT="0" distB="0" distL="114300" distR="114300" simplePos="0" relativeHeight="251699712" behindDoc="0" locked="0" layoutInCell="1" allowOverlap="1" wp14:anchorId="291EE4B5" wp14:editId="2138C222">
                  <wp:simplePos x="0" y="0"/>
                  <wp:positionH relativeFrom="page">
                    <wp:posOffset>49530</wp:posOffset>
                  </wp:positionH>
                  <wp:positionV relativeFrom="page">
                    <wp:posOffset>-2540</wp:posOffset>
                  </wp:positionV>
                  <wp:extent cx="179705" cy="179705"/>
                  <wp:effectExtent l="0" t="0" r="0" b="0"/>
                  <wp:wrapNone/>
                  <wp:docPr id="28"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Pr="0077659B">
              <w:t xml:space="preserve">      </w:t>
            </w:r>
            <w:r w:rsidRPr="0077659B">
              <w:rPr>
                <w:rFonts w:cs="Arial"/>
              </w:rPr>
              <w:t>Improved</w:t>
            </w:r>
          </w:p>
        </w:tc>
        <w:tc>
          <w:tcPr>
            <w:tcW w:w="282" w:type="dxa"/>
            <w:tcBorders>
              <w:top w:val="single" w:sz="4" w:space="0" w:color="auto"/>
              <w:bottom w:val="single" w:sz="4" w:space="0" w:color="auto"/>
            </w:tcBorders>
            <w:vAlign w:val="center"/>
          </w:tcPr>
          <w:p w:rsidR="00B00D61" w:rsidRPr="0077659B" w:rsidRDefault="00B00D61" w:rsidP="001E06E1">
            <w:pPr>
              <w:jc w:val="both"/>
              <w:rPr>
                <w:rFonts w:cs="Arial"/>
              </w:rPr>
            </w:pPr>
          </w:p>
        </w:tc>
        <w:tc>
          <w:tcPr>
            <w:tcW w:w="2370" w:type="dxa"/>
            <w:tcBorders>
              <w:top w:val="single" w:sz="4" w:space="0" w:color="auto"/>
              <w:bottom w:val="single" w:sz="4" w:space="0" w:color="auto"/>
            </w:tcBorders>
            <w:vAlign w:val="center"/>
          </w:tcPr>
          <w:p w:rsidR="00B00D61" w:rsidRPr="0077659B" w:rsidRDefault="00B00D61" w:rsidP="001E06E1">
            <w:pPr>
              <w:jc w:val="both"/>
            </w:pPr>
            <w:r w:rsidRPr="0077659B">
              <w:rPr>
                <w:rFonts w:cs="Arial"/>
                <w:b/>
                <w:bCs/>
                <w:noProof/>
                <w:color w:val="000000"/>
                <w:sz w:val="18"/>
                <w:szCs w:val="18"/>
                <w:lang w:val="en-GB" w:eastAsia="en-GB"/>
              </w:rPr>
              <w:drawing>
                <wp:anchor distT="0" distB="0" distL="114300" distR="114300" simplePos="0" relativeHeight="251698688" behindDoc="0" locked="0" layoutInCell="1" allowOverlap="1" wp14:anchorId="197C45AE" wp14:editId="4F89E7F2">
                  <wp:simplePos x="0" y="0"/>
                  <wp:positionH relativeFrom="page">
                    <wp:posOffset>32385</wp:posOffset>
                  </wp:positionH>
                  <wp:positionV relativeFrom="page">
                    <wp:posOffset>-21590</wp:posOffset>
                  </wp:positionV>
                  <wp:extent cx="179705" cy="179705"/>
                  <wp:effectExtent l="0" t="0" r="0" b="0"/>
                  <wp:wrapNone/>
                  <wp:docPr id="27"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4"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Pr="0077659B">
              <w:t xml:space="preserve">     </w:t>
            </w:r>
            <w:r w:rsidRPr="0077659B">
              <w:rPr>
                <w:rFonts w:cs="Arial"/>
              </w:rPr>
              <w:t>Unchanged</w:t>
            </w:r>
          </w:p>
        </w:tc>
        <w:tc>
          <w:tcPr>
            <w:tcW w:w="237" w:type="dxa"/>
            <w:tcBorders>
              <w:top w:val="single" w:sz="4" w:space="0" w:color="auto"/>
              <w:bottom w:val="single" w:sz="4" w:space="0" w:color="auto"/>
            </w:tcBorders>
            <w:vAlign w:val="center"/>
          </w:tcPr>
          <w:p w:rsidR="00B00D61" w:rsidRPr="0077659B" w:rsidRDefault="00B00D61" w:rsidP="001E06E1">
            <w:pPr>
              <w:jc w:val="both"/>
              <w:rPr>
                <w:rFonts w:cs="Arial"/>
              </w:rPr>
            </w:pPr>
          </w:p>
        </w:tc>
        <w:tc>
          <w:tcPr>
            <w:tcW w:w="2717" w:type="dxa"/>
            <w:tcBorders>
              <w:top w:val="single" w:sz="4" w:space="0" w:color="auto"/>
              <w:bottom w:val="single" w:sz="4" w:space="0" w:color="auto"/>
              <w:right w:val="single" w:sz="4" w:space="0" w:color="auto"/>
            </w:tcBorders>
            <w:vAlign w:val="center"/>
          </w:tcPr>
          <w:p w:rsidR="00B00D61" w:rsidRPr="0077659B" w:rsidRDefault="00B00D61" w:rsidP="001E06E1">
            <w:pPr>
              <w:jc w:val="both"/>
            </w:pPr>
            <w:r w:rsidRPr="0077659B">
              <w:rPr>
                <w:rFonts w:cs="Arial"/>
                <w:b/>
                <w:bCs/>
                <w:noProof/>
                <w:color w:val="000000"/>
                <w:sz w:val="18"/>
                <w:szCs w:val="18"/>
                <w:lang w:val="en-GB" w:eastAsia="en-GB"/>
              </w:rPr>
              <w:drawing>
                <wp:anchor distT="0" distB="0" distL="114300" distR="114300" simplePos="0" relativeHeight="251695616" behindDoc="0" locked="0" layoutInCell="1" allowOverlap="1" wp14:anchorId="7894108B" wp14:editId="634B9855">
                  <wp:simplePos x="0" y="0"/>
                  <wp:positionH relativeFrom="page">
                    <wp:posOffset>-42545</wp:posOffset>
                  </wp:positionH>
                  <wp:positionV relativeFrom="page">
                    <wp:posOffset>-10160</wp:posOffset>
                  </wp:positionV>
                  <wp:extent cx="179705" cy="179705"/>
                  <wp:effectExtent l="0" t="0" r="0" b="0"/>
                  <wp:wrapNone/>
                  <wp:docPr id="24"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Pr="0077659B">
              <w:t xml:space="preserve">    </w:t>
            </w:r>
            <w:r w:rsidRPr="0077659B">
              <w:rPr>
                <w:rFonts w:cs="Arial"/>
              </w:rPr>
              <w:t>Regressed</w:t>
            </w:r>
          </w:p>
        </w:tc>
        <w:tc>
          <w:tcPr>
            <w:tcW w:w="371" w:type="dxa"/>
            <w:vMerge/>
            <w:vAlign w:val="center"/>
          </w:tcPr>
          <w:p w:rsidR="00B00D61" w:rsidRPr="0077659B" w:rsidRDefault="00B00D61" w:rsidP="001E06E1">
            <w:pPr>
              <w:spacing w:after="240"/>
              <w:jc w:val="both"/>
              <w:rPr>
                <w:rFonts w:cs="Arial"/>
              </w:rPr>
            </w:pPr>
          </w:p>
        </w:tc>
      </w:tr>
      <w:tr w:rsidR="00B00D61" w:rsidRPr="0077659B" w:rsidTr="009C0B03">
        <w:tc>
          <w:tcPr>
            <w:tcW w:w="236" w:type="dxa"/>
            <w:vMerge/>
          </w:tcPr>
          <w:p w:rsidR="00B00D61" w:rsidRPr="0077659B" w:rsidRDefault="00B00D61" w:rsidP="001E06E1">
            <w:pPr>
              <w:spacing w:after="240"/>
              <w:jc w:val="both"/>
              <w:rPr>
                <w:rFonts w:cs="Arial"/>
                <w:sz w:val="16"/>
                <w:szCs w:val="16"/>
              </w:rPr>
            </w:pPr>
          </w:p>
        </w:tc>
        <w:tc>
          <w:tcPr>
            <w:tcW w:w="2117" w:type="dxa"/>
            <w:tcBorders>
              <w:bottom w:val="single" w:sz="4" w:space="0" w:color="auto"/>
            </w:tcBorders>
          </w:tcPr>
          <w:p w:rsidR="00B00D61" w:rsidRPr="0077659B" w:rsidRDefault="00B00D61" w:rsidP="001E06E1">
            <w:pPr>
              <w:jc w:val="both"/>
              <w:rPr>
                <w:sz w:val="16"/>
                <w:szCs w:val="16"/>
              </w:rPr>
            </w:pPr>
          </w:p>
        </w:tc>
        <w:tc>
          <w:tcPr>
            <w:tcW w:w="282" w:type="dxa"/>
            <w:tcBorders>
              <w:bottom w:val="single" w:sz="4" w:space="0" w:color="auto"/>
            </w:tcBorders>
          </w:tcPr>
          <w:p w:rsidR="00B00D61" w:rsidRPr="0077659B" w:rsidRDefault="00B00D61" w:rsidP="001E06E1">
            <w:pPr>
              <w:jc w:val="both"/>
              <w:rPr>
                <w:rFonts w:cs="Arial"/>
                <w:sz w:val="16"/>
                <w:szCs w:val="16"/>
              </w:rPr>
            </w:pPr>
          </w:p>
        </w:tc>
        <w:tc>
          <w:tcPr>
            <w:tcW w:w="2370" w:type="dxa"/>
            <w:tcBorders>
              <w:bottom w:val="single" w:sz="4" w:space="0" w:color="auto"/>
            </w:tcBorders>
          </w:tcPr>
          <w:p w:rsidR="00B00D61" w:rsidRPr="0077659B" w:rsidRDefault="00B00D61" w:rsidP="001E06E1">
            <w:pPr>
              <w:jc w:val="both"/>
              <w:rPr>
                <w:sz w:val="16"/>
                <w:szCs w:val="16"/>
              </w:rPr>
            </w:pPr>
          </w:p>
        </w:tc>
        <w:tc>
          <w:tcPr>
            <w:tcW w:w="237" w:type="dxa"/>
            <w:tcBorders>
              <w:bottom w:val="single" w:sz="4" w:space="0" w:color="auto"/>
            </w:tcBorders>
          </w:tcPr>
          <w:p w:rsidR="00B00D61" w:rsidRPr="0077659B" w:rsidRDefault="00B00D61" w:rsidP="001E06E1">
            <w:pPr>
              <w:jc w:val="both"/>
              <w:rPr>
                <w:rFonts w:cs="Arial"/>
                <w:sz w:val="16"/>
                <w:szCs w:val="16"/>
              </w:rPr>
            </w:pPr>
          </w:p>
        </w:tc>
        <w:tc>
          <w:tcPr>
            <w:tcW w:w="2717" w:type="dxa"/>
            <w:tcBorders>
              <w:bottom w:val="single" w:sz="4" w:space="0" w:color="auto"/>
            </w:tcBorders>
          </w:tcPr>
          <w:p w:rsidR="00B00D61" w:rsidRPr="0077659B" w:rsidRDefault="00B00D61" w:rsidP="001E06E1">
            <w:pPr>
              <w:jc w:val="both"/>
              <w:rPr>
                <w:sz w:val="16"/>
                <w:szCs w:val="16"/>
              </w:rPr>
            </w:pPr>
          </w:p>
        </w:tc>
        <w:tc>
          <w:tcPr>
            <w:tcW w:w="371" w:type="dxa"/>
            <w:vMerge/>
          </w:tcPr>
          <w:p w:rsidR="00B00D61" w:rsidRPr="0077659B" w:rsidRDefault="00B00D61" w:rsidP="001E06E1">
            <w:pPr>
              <w:spacing w:after="240"/>
              <w:jc w:val="both"/>
              <w:rPr>
                <w:rFonts w:cs="Arial"/>
                <w:sz w:val="16"/>
                <w:szCs w:val="16"/>
              </w:rPr>
            </w:pPr>
          </w:p>
        </w:tc>
      </w:tr>
      <w:tr w:rsidR="00B00D61" w:rsidRPr="0077659B" w:rsidTr="009C0B03">
        <w:trPr>
          <w:trHeight w:val="404"/>
        </w:trPr>
        <w:tc>
          <w:tcPr>
            <w:tcW w:w="236" w:type="dxa"/>
            <w:vMerge/>
            <w:tcBorders>
              <w:right w:val="single" w:sz="4" w:space="0" w:color="auto"/>
            </w:tcBorders>
          </w:tcPr>
          <w:p w:rsidR="00B00D61" w:rsidRPr="0077659B" w:rsidRDefault="00B00D61" w:rsidP="001E06E1">
            <w:pPr>
              <w:spacing w:after="240"/>
              <w:jc w:val="both"/>
              <w:rPr>
                <w:rFonts w:cs="Arial"/>
              </w:rPr>
            </w:pPr>
          </w:p>
        </w:tc>
        <w:tc>
          <w:tcPr>
            <w:tcW w:w="2117" w:type="dxa"/>
            <w:tcBorders>
              <w:top w:val="single" w:sz="4" w:space="0" w:color="auto"/>
              <w:left w:val="single" w:sz="4" w:space="0" w:color="auto"/>
              <w:bottom w:val="single" w:sz="4" w:space="0" w:color="auto"/>
            </w:tcBorders>
            <w:shd w:val="clear" w:color="auto" w:fill="97E59E"/>
            <w:vAlign w:val="center"/>
          </w:tcPr>
          <w:p w:rsidR="00B00D61" w:rsidRPr="0077659B" w:rsidRDefault="00B00D61" w:rsidP="001E06E1">
            <w:pPr>
              <w:jc w:val="both"/>
              <w:rPr>
                <w:rFonts w:cs="Arial"/>
              </w:rPr>
            </w:pPr>
            <w:r w:rsidRPr="0077659B">
              <w:rPr>
                <w:rFonts w:cs="Arial"/>
              </w:rPr>
              <w:t>Good</w:t>
            </w:r>
          </w:p>
        </w:tc>
        <w:tc>
          <w:tcPr>
            <w:tcW w:w="282" w:type="dxa"/>
            <w:tcBorders>
              <w:top w:val="single" w:sz="4" w:space="0" w:color="auto"/>
              <w:bottom w:val="single" w:sz="4" w:space="0" w:color="auto"/>
            </w:tcBorders>
            <w:vAlign w:val="center"/>
          </w:tcPr>
          <w:p w:rsidR="00B00D61" w:rsidRPr="0077659B" w:rsidRDefault="00B00D61" w:rsidP="001E06E1">
            <w:pPr>
              <w:jc w:val="both"/>
              <w:rPr>
                <w:rFonts w:cs="Arial"/>
              </w:rPr>
            </w:pPr>
          </w:p>
        </w:tc>
        <w:tc>
          <w:tcPr>
            <w:tcW w:w="2370" w:type="dxa"/>
            <w:tcBorders>
              <w:top w:val="single" w:sz="4" w:space="0" w:color="auto"/>
              <w:bottom w:val="single" w:sz="4" w:space="0" w:color="auto"/>
            </w:tcBorders>
            <w:shd w:val="clear" w:color="auto" w:fill="FFE697"/>
            <w:vAlign w:val="center"/>
          </w:tcPr>
          <w:p w:rsidR="00B00D61" w:rsidRPr="0077659B" w:rsidRDefault="00B00D61" w:rsidP="001E06E1">
            <w:pPr>
              <w:jc w:val="both"/>
              <w:rPr>
                <w:rFonts w:cs="Arial"/>
              </w:rPr>
            </w:pPr>
            <w:r w:rsidRPr="0077659B">
              <w:rPr>
                <w:rFonts w:cs="Arial"/>
              </w:rPr>
              <w:t>Concerning</w:t>
            </w:r>
          </w:p>
        </w:tc>
        <w:tc>
          <w:tcPr>
            <w:tcW w:w="237" w:type="dxa"/>
            <w:tcBorders>
              <w:top w:val="single" w:sz="4" w:space="0" w:color="auto"/>
              <w:bottom w:val="single" w:sz="4" w:space="0" w:color="auto"/>
            </w:tcBorders>
            <w:vAlign w:val="center"/>
          </w:tcPr>
          <w:p w:rsidR="00B00D61" w:rsidRPr="0077659B" w:rsidRDefault="00B00D61" w:rsidP="001E06E1">
            <w:pPr>
              <w:jc w:val="both"/>
              <w:rPr>
                <w:rFonts w:cs="Arial"/>
              </w:rPr>
            </w:pPr>
          </w:p>
        </w:tc>
        <w:tc>
          <w:tcPr>
            <w:tcW w:w="2717" w:type="dxa"/>
            <w:tcBorders>
              <w:top w:val="single" w:sz="4" w:space="0" w:color="auto"/>
              <w:bottom w:val="single" w:sz="4" w:space="0" w:color="auto"/>
              <w:right w:val="single" w:sz="4" w:space="0" w:color="auto"/>
            </w:tcBorders>
            <w:shd w:val="clear" w:color="auto" w:fill="F9A1A1"/>
            <w:vAlign w:val="center"/>
          </w:tcPr>
          <w:p w:rsidR="00B00D61" w:rsidRPr="0077659B" w:rsidRDefault="00B00D61" w:rsidP="001E06E1">
            <w:pPr>
              <w:jc w:val="both"/>
              <w:rPr>
                <w:rFonts w:cs="Arial"/>
              </w:rPr>
            </w:pPr>
            <w:r w:rsidRPr="0077659B">
              <w:rPr>
                <w:rFonts w:cs="Arial"/>
              </w:rPr>
              <w:t>Intervention required</w:t>
            </w:r>
          </w:p>
        </w:tc>
        <w:tc>
          <w:tcPr>
            <w:tcW w:w="371" w:type="dxa"/>
            <w:vMerge/>
            <w:tcBorders>
              <w:left w:val="nil"/>
            </w:tcBorders>
          </w:tcPr>
          <w:p w:rsidR="00B00D61" w:rsidRPr="0077659B" w:rsidRDefault="00B00D61" w:rsidP="001E06E1">
            <w:pPr>
              <w:spacing w:after="240"/>
              <w:jc w:val="both"/>
              <w:rPr>
                <w:rFonts w:cs="Arial"/>
              </w:rPr>
            </w:pPr>
          </w:p>
        </w:tc>
      </w:tr>
    </w:tbl>
    <w:p w:rsidR="00B00D61" w:rsidRDefault="00B00D61" w:rsidP="001E06E1">
      <w:pPr>
        <w:jc w:val="both"/>
      </w:pPr>
    </w:p>
    <w:p w:rsidR="00B00D61" w:rsidRPr="00B00D61" w:rsidRDefault="00B00D61" w:rsidP="001E06E1">
      <w:pPr>
        <w:spacing w:after="0"/>
        <w:jc w:val="both"/>
        <w:rPr>
          <w:rFonts w:ascii="CIDFont+F4" w:hAnsi="CIDFont+F4" w:cs="CIDFont+F4"/>
          <w:sz w:val="21"/>
          <w:szCs w:val="21"/>
        </w:rPr>
      </w:pPr>
    </w:p>
    <w:p w:rsidR="00287920" w:rsidRPr="0077659B" w:rsidRDefault="00287920" w:rsidP="001E06E1">
      <w:pPr>
        <w:pStyle w:val="Heading2"/>
        <w:jc w:val="both"/>
      </w:pPr>
      <w:r w:rsidRPr="0077659B">
        <w:t>S</w:t>
      </w:r>
      <w:r w:rsidR="00B00D61">
        <w:t>ECTION 7</w:t>
      </w:r>
      <w:r w:rsidRPr="0077659B">
        <w:t>: Emerging risks</w:t>
      </w:r>
      <w:bookmarkEnd w:id="169"/>
      <w:bookmarkEnd w:id="170"/>
    </w:p>
    <w:p w:rsidR="00C22F2B" w:rsidRPr="0077659B" w:rsidRDefault="00C22F2B" w:rsidP="001E06E1">
      <w:pPr>
        <w:pStyle w:val="Heading4"/>
        <w:jc w:val="both"/>
      </w:pPr>
      <w:bookmarkStart w:id="172" w:name="S5E38"/>
      <w:bookmarkStart w:id="173" w:name="PartC"/>
      <w:bookmarkStart w:id="174" w:name="PartD"/>
      <w:bookmarkStart w:id="175" w:name="Account"/>
      <w:bookmarkStart w:id="176" w:name="_Toc447106662"/>
      <w:bookmarkStart w:id="177" w:name="OLE_LINK8"/>
      <w:bookmarkStart w:id="178" w:name="OLE_LINK9"/>
      <w:bookmarkEnd w:id="172"/>
      <w:bookmarkEnd w:id="173"/>
      <w:bookmarkEnd w:id="174"/>
      <w:bookmarkEnd w:id="175"/>
      <w:r w:rsidRPr="0077659B">
        <w:t>Accounting, performance management/reporting and compliance matters</w:t>
      </w:r>
      <w:bookmarkEnd w:id="176"/>
    </w:p>
    <w:p w:rsidR="00307684" w:rsidRPr="0077659B" w:rsidRDefault="00C22F2B" w:rsidP="001E06E1">
      <w:pPr>
        <w:pStyle w:val="Heading6"/>
        <w:jc w:val="both"/>
      </w:pPr>
      <w:bookmarkStart w:id="179" w:name="_Toc447106663"/>
      <w:r w:rsidRPr="0077659B">
        <w:t>New pronouncements</w:t>
      </w:r>
      <w:bookmarkEnd w:id="179"/>
    </w:p>
    <w:p w:rsidR="00C22F2B" w:rsidRPr="0077659B" w:rsidRDefault="00C22F2B" w:rsidP="001E06E1">
      <w:pPr>
        <w:pStyle w:val="Heading6"/>
        <w:jc w:val="both"/>
      </w:pPr>
      <w:r w:rsidRPr="0077659B">
        <w:t>Modified cash standard</w:t>
      </w:r>
    </w:p>
    <w:p w:rsidR="00DE0FE4" w:rsidRPr="0077659B" w:rsidRDefault="00DE0FE4" w:rsidP="001E06E1">
      <w:pPr>
        <w:pStyle w:val="Numbernormal"/>
        <w:numPr>
          <w:ilvl w:val="0"/>
          <w:numId w:val="28"/>
        </w:numPr>
        <w:jc w:val="both"/>
      </w:pPr>
      <w:r w:rsidRPr="0077659B">
        <w:t>The following emerging risks are relevant for the 20</w:t>
      </w:r>
      <w:r w:rsidR="00B70B94">
        <w:t>20</w:t>
      </w:r>
      <w:r w:rsidR="00A51E01" w:rsidRPr="0077659B">
        <w:t>-</w:t>
      </w:r>
      <w:r w:rsidRPr="0077659B">
        <w:t>2</w:t>
      </w:r>
      <w:r w:rsidR="00B70B94">
        <w:t>1</w:t>
      </w:r>
      <w:r w:rsidRPr="0077659B">
        <w:t xml:space="preserve"> audit cycle.</w:t>
      </w:r>
    </w:p>
    <w:p w:rsidR="00C22F2B" w:rsidRPr="00871C3E" w:rsidRDefault="00C22F2B" w:rsidP="001E06E1">
      <w:pPr>
        <w:pStyle w:val="NumberedARs"/>
        <w:numPr>
          <w:ilvl w:val="0"/>
          <w:numId w:val="0"/>
        </w:numPr>
        <w:ind w:left="360" w:firstLine="1"/>
        <w:jc w:val="both"/>
        <w:rPr>
          <w:rStyle w:val="SubtleEmphasis"/>
        </w:rPr>
      </w:pPr>
      <w:r w:rsidRPr="00871C3E">
        <w:rPr>
          <w:rStyle w:val="SubtleEmphasis"/>
        </w:rPr>
        <w:t>Componentisation of assets</w:t>
      </w:r>
    </w:p>
    <w:p w:rsidR="00A001AA" w:rsidRPr="00450B29" w:rsidRDefault="00C22F2B" w:rsidP="001E06E1">
      <w:pPr>
        <w:pStyle w:val="Bulletedlist"/>
        <w:ind w:left="644" w:hanging="283"/>
        <w:jc w:val="both"/>
        <w:rPr>
          <w:b/>
        </w:rPr>
      </w:pPr>
      <w:r w:rsidRPr="0077659B">
        <w:t xml:space="preserve">Departments are encouraged to componentise assets in their asset </w:t>
      </w:r>
      <w:proofErr w:type="gramStart"/>
      <w:r w:rsidRPr="0077659B">
        <w:t>registers</w:t>
      </w:r>
      <w:proofErr w:type="gramEnd"/>
      <w:r w:rsidRPr="0077659B">
        <w:t xml:space="preserve"> as it will become a requirement in future. The effective date to componentise assets has not been determined yet.</w:t>
      </w:r>
      <w:r w:rsidR="00C00269" w:rsidRPr="0077659B" w:rsidDel="00C00269">
        <w:t xml:space="preserve"> </w:t>
      </w:r>
      <w:bookmarkStart w:id="180" w:name="Subs"/>
      <w:bookmarkStart w:id="181" w:name="_Toc447106664"/>
      <w:bookmarkEnd w:id="180"/>
    </w:p>
    <w:p w:rsidR="00C22F2B" w:rsidRPr="0077659B" w:rsidRDefault="00C22F2B" w:rsidP="001E06E1">
      <w:pPr>
        <w:pStyle w:val="Heading4"/>
        <w:jc w:val="both"/>
      </w:pPr>
      <w:bookmarkStart w:id="182" w:name="Inventory"/>
      <w:bookmarkStart w:id="183" w:name="Subseq"/>
      <w:bookmarkStart w:id="184" w:name="_Toc447106665"/>
      <w:bookmarkEnd w:id="181"/>
      <w:bookmarkEnd w:id="182"/>
      <w:bookmarkEnd w:id="183"/>
      <w:r w:rsidRPr="0077659B">
        <w:t>Subsequent events</w:t>
      </w:r>
      <w:bookmarkEnd w:id="184"/>
    </w:p>
    <w:p w:rsidR="00C22F2B" w:rsidRPr="00F15024" w:rsidRDefault="001B6284" w:rsidP="001E06E1">
      <w:pPr>
        <w:pStyle w:val="Numbernormal"/>
        <w:numPr>
          <w:ilvl w:val="0"/>
          <w:numId w:val="28"/>
        </w:numPr>
        <w:jc w:val="both"/>
      </w:pPr>
      <w:r>
        <w:t>Management should consider the following sources to identify subsequent events and adequately account for the in accordance with the reporting framework</w:t>
      </w:r>
    </w:p>
    <w:p w:rsidR="00C22F2B" w:rsidRPr="0077659B" w:rsidRDefault="00C22F2B" w:rsidP="001E06E1">
      <w:pPr>
        <w:pStyle w:val="ListParagraph"/>
        <w:jc w:val="both"/>
      </w:pPr>
      <w:r w:rsidRPr="0077659B">
        <w:t>Media reports</w:t>
      </w:r>
    </w:p>
    <w:p w:rsidR="00C22F2B" w:rsidRPr="0077659B" w:rsidRDefault="00C22F2B" w:rsidP="001E06E1">
      <w:pPr>
        <w:pStyle w:val="ListParagraph"/>
        <w:jc w:val="both"/>
      </w:pPr>
      <w:r w:rsidRPr="0077659B">
        <w:t>Political initiatives</w:t>
      </w:r>
    </w:p>
    <w:p w:rsidR="00C22F2B" w:rsidRPr="0077659B" w:rsidRDefault="00C22F2B" w:rsidP="001E06E1">
      <w:pPr>
        <w:pStyle w:val="ListParagraph"/>
        <w:jc w:val="both"/>
      </w:pPr>
      <w:r w:rsidRPr="0077659B">
        <w:t>Changes in oversight</w:t>
      </w:r>
    </w:p>
    <w:p w:rsidR="00C22F2B" w:rsidRPr="0077659B" w:rsidRDefault="00C22F2B" w:rsidP="001E06E1">
      <w:pPr>
        <w:pStyle w:val="ListParagraph"/>
        <w:jc w:val="both"/>
      </w:pPr>
      <w:r w:rsidRPr="0077659B">
        <w:t>Transfer of functions</w:t>
      </w:r>
    </w:p>
    <w:p w:rsidR="00A001AA" w:rsidRPr="0077659B" w:rsidRDefault="00A001AA" w:rsidP="001E06E1">
      <w:pPr>
        <w:jc w:val="both"/>
      </w:pPr>
    </w:p>
    <w:p w:rsidR="0019368D" w:rsidRPr="0077659B" w:rsidRDefault="0019368D" w:rsidP="001E06E1">
      <w:pPr>
        <w:pStyle w:val="Heading4"/>
        <w:jc w:val="both"/>
      </w:pPr>
      <w:r w:rsidRPr="0077659B">
        <w:t>Audit findings on the annual performance report that may have an impact on the audit opinion in future</w:t>
      </w:r>
    </w:p>
    <w:p w:rsidR="0019368D" w:rsidRPr="0077659B" w:rsidRDefault="003E20F7" w:rsidP="001E06E1">
      <w:pPr>
        <w:pStyle w:val="Numbernormal"/>
        <w:numPr>
          <w:ilvl w:val="0"/>
          <w:numId w:val="28"/>
        </w:numPr>
        <w:jc w:val="both"/>
      </w:pPr>
      <w:r w:rsidRPr="0077659B">
        <w:t>T</w:t>
      </w:r>
      <w:r w:rsidR="00582A5A" w:rsidRPr="0077659B">
        <w:t>h</w:t>
      </w:r>
      <w:r w:rsidR="0019368D" w:rsidRPr="0077659B">
        <w:t xml:space="preserve">e planned and reported performance information of selected programmes was audited against </w:t>
      </w:r>
      <w:r w:rsidRPr="0077659B">
        <w:t xml:space="preserve">the following </w:t>
      </w:r>
      <w:r w:rsidR="0019368D" w:rsidRPr="0077659B">
        <w:t xml:space="preserve">additional criteria as developed from the </w:t>
      </w:r>
      <w:r w:rsidR="00CC0E59" w:rsidRPr="0077659B">
        <w:t>p</w:t>
      </w:r>
      <w:r w:rsidR="0019368D" w:rsidRPr="0077659B">
        <w:t xml:space="preserve">erformance </w:t>
      </w:r>
      <w:r w:rsidR="00CC0E59" w:rsidRPr="0077659B">
        <w:t>m</w:t>
      </w:r>
      <w:r w:rsidR="0019368D" w:rsidRPr="0077659B">
        <w:t xml:space="preserve">anagement </w:t>
      </w:r>
      <w:r w:rsidR="00010856" w:rsidRPr="0077659B">
        <w:t xml:space="preserve">and </w:t>
      </w:r>
      <w:r w:rsidR="00CC0E59" w:rsidRPr="0077659B">
        <w:t>r</w:t>
      </w:r>
      <w:r w:rsidR="0019368D" w:rsidRPr="0077659B">
        <w:t xml:space="preserve">eporting </w:t>
      </w:r>
      <w:r w:rsidR="00CC0E59" w:rsidRPr="0077659B">
        <w:t>f</w:t>
      </w:r>
      <w:r w:rsidR="0019368D" w:rsidRPr="0077659B">
        <w:t>ramework</w:t>
      </w:r>
      <w:r w:rsidRPr="0077659B">
        <w:t>:</w:t>
      </w:r>
    </w:p>
    <w:p w:rsidR="003E20F7" w:rsidRPr="00A941ED" w:rsidRDefault="003E20F7" w:rsidP="001E06E1">
      <w:pPr>
        <w:pStyle w:val="Bulletedlist"/>
        <w:ind w:left="851" w:hanging="283"/>
        <w:jc w:val="both"/>
      </w:pPr>
      <w:r w:rsidRPr="001B4871">
        <w:t xml:space="preserve">Presentation and disclosure – </w:t>
      </w:r>
      <w:r w:rsidR="0091433A" w:rsidRPr="001B4871">
        <w:t>o</w:t>
      </w:r>
      <w:r w:rsidRPr="001B4871">
        <w:t>verall presentation</w:t>
      </w:r>
    </w:p>
    <w:p w:rsidR="003E20F7" w:rsidRPr="0077659B" w:rsidRDefault="003E20F7" w:rsidP="001E06E1">
      <w:pPr>
        <w:pStyle w:val="Bulletedlist"/>
        <w:numPr>
          <w:ilvl w:val="1"/>
          <w:numId w:val="7"/>
        </w:numPr>
        <w:jc w:val="both"/>
      </w:pPr>
      <w:r w:rsidRPr="0077659B">
        <w:t>Overall presentation of the performance information in the annual performance report is comparable and understandable</w:t>
      </w:r>
    </w:p>
    <w:p w:rsidR="003E20F7" w:rsidRPr="0077659B" w:rsidRDefault="003E20F7" w:rsidP="001E06E1">
      <w:pPr>
        <w:pStyle w:val="Bulletedlist"/>
        <w:jc w:val="both"/>
        <w:rPr>
          <w:b/>
        </w:rPr>
      </w:pPr>
      <w:r w:rsidRPr="00E412E3">
        <w:t xml:space="preserve">Relevance </w:t>
      </w:r>
      <w:r w:rsidR="00CC0E59" w:rsidRPr="00E412E3">
        <w:t>–</w:t>
      </w:r>
      <w:r w:rsidRPr="00E412E3">
        <w:t xml:space="preserve"> </w:t>
      </w:r>
      <w:r w:rsidR="0091433A" w:rsidRPr="00E412E3">
        <w:t>c</w:t>
      </w:r>
      <w:r w:rsidRPr="00E412E3">
        <w:t xml:space="preserve">ompleteness of relevant indicators </w:t>
      </w:r>
    </w:p>
    <w:p w:rsidR="003E20F7" w:rsidRPr="0077659B" w:rsidRDefault="003E20F7" w:rsidP="001E06E1">
      <w:pPr>
        <w:pStyle w:val="Bulletedlist"/>
        <w:numPr>
          <w:ilvl w:val="1"/>
          <w:numId w:val="7"/>
        </w:numPr>
        <w:ind w:left="1560" w:hanging="426"/>
        <w:jc w:val="both"/>
      </w:pPr>
      <w:r w:rsidRPr="0077659B">
        <w:t>Completeness of relevant indicators in terms of the mandate of the auditee, including:</w:t>
      </w:r>
    </w:p>
    <w:p w:rsidR="003E20F7" w:rsidRPr="0077659B" w:rsidRDefault="00A94EDD" w:rsidP="001E06E1">
      <w:pPr>
        <w:pStyle w:val="Bulletedlist"/>
        <w:numPr>
          <w:ilvl w:val="2"/>
          <w:numId w:val="7"/>
        </w:numPr>
        <w:ind w:left="1985" w:hanging="425"/>
        <w:jc w:val="both"/>
      </w:pPr>
      <w:r w:rsidRPr="0077659B">
        <w:lastRenderedPageBreak/>
        <w:t>r</w:t>
      </w:r>
      <w:r w:rsidR="003E20F7" w:rsidRPr="0077659B">
        <w:t>elevant core functions are prioritised in the period under review</w:t>
      </w:r>
    </w:p>
    <w:p w:rsidR="003E20F7" w:rsidRPr="0077659B" w:rsidRDefault="00A94EDD" w:rsidP="001E06E1">
      <w:pPr>
        <w:pStyle w:val="Bulletedlist"/>
        <w:numPr>
          <w:ilvl w:val="2"/>
          <w:numId w:val="7"/>
        </w:numPr>
        <w:ind w:left="1985" w:hanging="425"/>
        <w:jc w:val="both"/>
      </w:pPr>
      <w:r w:rsidRPr="0077659B">
        <w:t>r</w:t>
      </w:r>
      <w:r w:rsidR="003E20F7" w:rsidRPr="0077659B">
        <w:t>elevant performance indicators are included for the core functions prioritised in the period under review</w:t>
      </w:r>
    </w:p>
    <w:p w:rsidR="00B81D26" w:rsidRPr="0077659B" w:rsidRDefault="0058433F" w:rsidP="001E06E1">
      <w:pPr>
        <w:pStyle w:val="Bulletedlist"/>
        <w:numPr>
          <w:ilvl w:val="2"/>
          <w:numId w:val="7"/>
        </w:numPr>
        <w:ind w:left="1985" w:hanging="425"/>
        <w:jc w:val="both"/>
      </w:pPr>
      <w:proofErr w:type="gramStart"/>
      <w:r>
        <w:t>standardised</w:t>
      </w:r>
      <w:proofErr w:type="gramEnd"/>
      <w:r w:rsidR="003E20F7" w:rsidRPr="0077659B">
        <w:t xml:space="preserve"> indicators related to the core functions prioritised for the year under review are included in planning documents (provincial departments</w:t>
      </w:r>
      <w:r w:rsidR="00587B75">
        <w:t xml:space="preserve"> and provincial public entities</w:t>
      </w:r>
      <w:r w:rsidR="003E20F7" w:rsidRPr="0077659B">
        <w:t xml:space="preserve"> only)</w:t>
      </w:r>
      <w:r w:rsidR="0091433A" w:rsidRPr="0077659B">
        <w:t>.</w:t>
      </w:r>
    </w:p>
    <w:p w:rsidR="0019368D" w:rsidRPr="0077659B" w:rsidRDefault="00582A5A" w:rsidP="001E06E1">
      <w:pPr>
        <w:pStyle w:val="Numbernormal"/>
        <w:numPr>
          <w:ilvl w:val="0"/>
          <w:numId w:val="28"/>
        </w:numPr>
        <w:jc w:val="both"/>
      </w:pPr>
      <w:r w:rsidRPr="0077659B">
        <w:t>Material a</w:t>
      </w:r>
      <w:r w:rsidR="0019368D" w:rsidRPr="0077659B">
        <w:t xml:space="preserve">udit findings </w:t>
      </w:r>
      <w:r w:rsidRPr="0077659B">
        <w:t xml:space="preserve">arising from the audit against the additional criteria do not have an impact </w:t>
      </w:r>
      <w:r w:rsidR="0019368D" w:rsidRPr="0077659B">
        <w:t xml:space="preserve">on the audit </w:t>
      </w:r>
      <w:r w:rsidR="00D2457B" w:rsidRPr="0077659B">
        <w:t xml:space="preserve">opinion(s) of the selected programmes </w:t>
      </w:r>
      <w:r w:rsidRPr="0077659B">
        <w:t>in th</w:t>
      </w:r>
      <w:r w:rsidR="00D2457B" w:rsidRPr="0077659B">
        <w:t>is</w:t>
      </w:r>
      <w:r w:rsidRPr="0077659B">
        <w:t xml:space="preserve"> report. </w:t>
      </w:r>
      <w:r w:rsidR="00A94EDD" w:rsidRPr="0077659B">
        <w:t xml:space="preserve">However, it </w:t>
      </w:r>
      <w:r w:rsidRPr="0077659B">
        <w:t xml:space="preserve">may </w:t>
      </w:r>
      <w:proofErr w:type="gramStart"/>
      <w:r w:rsidRPr="0077659B">
        <w:t>impact</w:t>
      </w:r>
      <w:r w:rsidR="0019368D" w:rsidRPr="0077659B">
        <w:t xml:space="preserve"> </w:t>
      </w:r>
      <w:r w:rsidR="00A94EDD" w:rsidRPr="0077659B">
        <w:t>on</w:t>
      </w:r>
      <w:proofErr w:type="gramEnd"/>
      <w:r w:rsidR="00A94EDD" w:rsidRPr="0077659B">
        <w:t xml:space="preserve"> </w:t>
      </w:r>
      <w:r w:rsidR="0019368D" w:rsidRPr="0077659B">
        <w:t>the audit opinion</w:t>
      </w:r>
      <w:r w:rsidRPr="0077659B">
        <w:t xml:space="preserve"> in future</w:t>
      </w:r>
      <w:r w:rsidR="0019368D" w:rsidRPr="0077659B">
        <w:t>.</w:t>
      </w:r>
      <w:r w:rsidR="0019368D" w:rsidRPr="0077659B" w:rsidDel="00EB3C8F">
        <w:t xml:space="preserve"> </w:t>
      </w:r>
    </w:p>
    <w:p w:rsidR="007A45CB" w:rsidRPr="0077659B" w:rsidRDefault="007A45CB" w:rsidP="001E06E1">
      <w:pPr>
        <w:jc w:val="both"/>
        <w:rPr>
          <w:rFonts w:ascii="Century Gothic" w:eastAsia="MS Mincho" w:hAnsi="Century Gothic" w:cs="Arial"/>
          <w:b/>
          <w:bCs/>
          <w:color w:val="365F91"/>
          <w:sz w:val="28"/>
          <w:szCs w:val="28"/>
        </w:rPr>
      </w:pPr>
      <w:bookmarkStart w:id="185" w:name="_Toc447106666"/>
      <w:r w:rsidRPr="0077659B">
        <w:rPr>
          <w:rFonts w:ascii="Century Gothic" w:eastAsia="MS Mincho" w:hAnsi="Century Gothic" w:cs="Arial"/>
          <w:b/>
          <w:bCs/>
          <w:color w:val="365F91"/>
          <w:sz w:val="28"/>
          <w:szCs w:val="28"/>
        </w:rPr>
        <w:br w:type="page"/>
      </w:r>
    </w:p>
    <w:p w:rsidR="00F94CA3" w:rsidRPr="0077659B" w:rsidRDefault="00B00D61" w:rsidP="001E06E1">
      <w:pPr>
        <w:pStyle w:val="Heading2"/>
        <w:jc w:val="both"/>
        <w:rPr>
          <w:rFonts w:ascii="Arial" w:eastAsia="Calibri" w:hAnsi="Arial"/>
          <w:lang w:eastAsia="en-ZA"/>
        </w:rPr>
      </w:pPr>
      <w:bookmarkStart w:id="186" w:name="S5E43"/>
      <w:bookmarkStart w:id="187" w:name="Para81"/>
      <w:bookmarkStart w:id="188" w:name="Section6"/>
      <w:bookmarkStart w:id="189" w:name="_Toc447106668"/>
      <w:bookmarkStart w:id="190" w:name="_Toc77816792"/>
      <w:bookmarkEnd w:id="177"/>
      <w:bookmarkEnd w:id="178"/>
      <w:bookmarkEnd w:id="185"/>
      <w:bookmarkEnd w:id="186"/>
      <w:bookmarkEnd w:id="187"/>
      <w:bookmarkEnd w:id="188"/>
      <w:r>
        <w:lastRenderedPageBreak/>
        <w:t>SECTION 8</w:t>
      </w:r>
      <w:r w:rsidR="002D6CC1" w:rsidRPr="0077659B">
        <w:t>: Conclusion</w:t>
      </w:r>
      <w:bookmarkEnd w:id="189"/>
      <w:bookmarkEnd w:id="190"/>
    </w:p>
    <w:p w:rsidR="00C22F2B" w:rsidRPr="0077659B" w:rsidRDefault="00C22F2B" w:rsidP="001E06E1">
      <w:pPr>
        <w:pStyle w:val="Numbernormal"/>
        <w:numPr>
          <w:ilvl w:val="0"/>
          <w:numId w:val="28"/>
        </w:numPr>
        <w:jc w:val="both"/>
      </w:pPr>
      <w:bookmarkStart w:id="191" w:name="Conclusion"/>
      <w:bookmarkEnd w:id="191"/>
      <w:r w:rsidRPr="0077659B">
        <w:t xml:space="preserve">The matters communicated throughout this report relate to the three fundamentals of internal control that </w:t>
      </w:r>
      <w:proofErr w:type="gramStart"/>
      <w:r w:rsidRPr="0077659B">
        <w:t>should be addressed</w:t>
      </w:r>
      <w:proofErr w:type="gramEnd"/>
      <w:r w:rsidRPr="0077659B">
        <w:t xml:space="preserve"> to </w:t>
      </w:r>
      <w:r w:rsidR="00D55037">
        <w:t>improve the internal control environment and ultimately the audit opinion</w:t>
      </w:r>
      <w:r w:rsidRPr="0077659B">
        <w:t xml:space="preserve">. Our staff </w:t>
      </w:r>
      <w:r w:rsidR="0091433A" w:rsidRPr="0077659B">
        <w:t xml:space="preserve">remain </w:t>
      </w:r>
      <w:r w:rsidRPr="0077659B">
        <w:t xml:space="preserve">committed to </w:t>
      </w:r>
      <w:r w:rsidR="0091433A" w:rsidRPr="0077659B">
        <w:t xml:space="preserve">assist </w:t>
      </w:r>
      <w:r w:rsidRPr="0077659B">
        <w:t>in identifying and communicating good practices to improve governance and accountability and to build public confidence in government’s ability to account for public resources in a transparent manner</w:t>
      </w:r>
    </w:p>
    <w:p w:rsidR="00205B73" w:rsidRDefault="00205B73" w:rsidP="001E06E1">
      <w:pPr>
        <w:spacing w:after="240" w:line="240" w:lineRule="auto"/>
        <w:jc w:val="both"/>
        <w:rPr>
          <w:rFonts w:eastAsia="Calibri" w:cs="Arial"/>
        </w:rPr>
      </w:pPr>
    </w:p>
    <w:p w:rsidR="00C22F2B" w:rsidRPr="0077659B" w:rsidRDefault="00C22F2B" w:rsidP="001E06E1">
      <w:pPr>
        <w:spacing w:after="240" w:line="240" w:lineRule="auto"/>
        <w:jc w:val="both"/>
        <w:rPr>
          <w:rFonts w:eastAsia="Calibri" w:cs="Arial"/>
        </w:rPr>
      </w:pPr>
      <w:r w:rsidRPr="0077659B">
        <w:rPr>
          <w:rFonts w:eastAsia="Calibri" w:cs="Arial"/>
        </w:rPr>
        <w:t>Yours faithfully</w:t>
      </w:r>
    </w:p>
    <w:p w:rsidR="00C22F2B" w:rsidRPr="0077659B" w:rsidRDefault="00C22F2B" w:rsidP="001E06E1">
      <w:pPr>
        <w:spacing w:after="0" w:line="240" w:lineRule="auto"/>
        <w:jc w:val="both"/>
        <w:rPr>
          <w:rFonts w:eastAsia="Times New Roman" w:cs="Arial"/>
        </w:rPr>
      </w:pPr>
    </w:p>
    <w:p w:rsidR="00C22F2B" w:rsidRPr="0077659B" w:rsidRDefault="00C22F2B" w:rsidP="001E06E1">
      <w:pPr>
        <w:spacing w:after="0" w:line="240" w:lineRule="auto"/>
        <w:jc w:val="both"/>
        <w:rPr>
          <w:rFonts w:eastAsia="Times New Roman" w:cs="Arial"/>
        </w:rPr>
      </w:pPr>
    </w:p>
    <w:p w:rsidR="00C22F2B" w:rsidRPr="0077659B" w:rsidRDefault="00D55037" w:rsidP="001E06E1">
      <w:pPr>
        <w:spacing w:after="0" w:line="240" w:lineRule="auto"/>
        <w:jc w:val="both"/>
        <w:rPr>
          <w:rFonts w:eastAsia="Times New Roman" w:cs="Arial"/>
        </w:rPr>
      </w:pPr>
      <w:r>
        <w:rPr>
          <w:rFonts w:eastAsia="Times New Roman" w:cs="Arial"/>
        </w:rPr>
        <w:t>Tintswalo Masia</w:t>
      </w:r>
    </w:p>
    <w:p w:rsidR="00C22F2B" w:rsidRPr="0077659B" w:rsidRDefault="00C22F2B" w:rsidP="001E06E1">
      <w:pPr>
        <w:spacing w:after="240" w:line="240" w:lineRule="auto"/>
        <w:jc w:val="both"/>
        <w:rPr>
          <w:rFonts w:eastAsia="Times New Roman" w:cs="Arial"/>
        </w:rPr>
      </w:pPr>
      <w:r w:rsidRPr="0077659B">
        <w:rPr>
          <w:rFonts w:eastAsia="Calibri" w:cs="Arial"/>
        </w:rPr>
        <w:t xml:space="preserve">Senior Manager: </w:t>
      </w:r>
      <w:r w:rsidR="00D55037">
        <w:rPr>
          <w:rFonts w:eastAsia="Calibri" w:cs="Arial"/>
        </w:rPr>
        <w:t>National A</w:t>
      </w:r>
    </w:p>
    <w:p w:rsidR="00C22F2B" w:rsidRPr="0077659B" w:rsidRDefault="00D55037" w:rsidP="001E06E1">
      <w:pPr>
        <w:spacing w:after="240" w:line="240" w:lineRule="auto"/>
        <w:jc w:val="both"/>
        <w:rPr>
          <w:rFonts w:eastAsia="Calibri" w:cs="Arial"/>
        </w:rPr>
      </w:pPr>
      <w:r>
        <w:rPr>
          <w:rFonts w:eastAsia="Calibri" w:cs="Arial"/>
        </w:rPr>
        <w:t>2021/07/22</w:t>
      </w:r>
    </w:p>
    <w:p w:rsidR="00D55037" w:rsidRPr="00D55037" w:rsidRDefault="00D55037" w:rsidP="001E06E1">
      <w:pPr>
        <w:tabs>
          <w:tab w:val="left" w:pos="1440"/>
        </w:tabs>
        <w:spacing w:after="0" w:line="240" w:lineRule="auto"/>
        <w:jc w:val="both"/>
        <w:rPr>
          <w:rFonts w:eastAsia="Times New Roman" w:cs="Arial"/>
          <w:sz w:val="16"/>
          <w:szCs w:val="16"/>
        </w:rPr>
      </w:pPr>
      <w:r>
        <w:rPr>
          <w:rFonts w:eastAsia="Times New Roman" w:cs="Arial"/>
          <w:sz w:val="16"/>
          <w:szCs w:val="16"/>
        </w:rPr>
        <w:t>Enquiries:</w:t>
      </w:r>
      <w:r>
        <w:rPr>
          <w:rFonts w:eastAsia="Times New Roman" w:cs="Arial"/>
          <w:sz w:val="16"/>
          <w:szCs w:val="16"/>
        </w:rPr>
        <w:tab/>
      </w:r>
      <w:r w:rsidRPr="00D55037">
        <w:rPr>
          <w:rFonts w:eastAsia="Times New Roman" w:cs="Arial"/>
          <w:sz w:val="16"/>
          <w:szCs w:val="16"/>
        </w:rPr>
        <w:t>Tintswalo Masia</w:t>
      </w:r>
    </w:p>
    <w:p w:rsidR="00D55037" w:rsidRPr="00D55037" w:rsidRDefault="00D55037" w:rsidP="001E06E1">
      <w:pPr>
        <w:tabs>
          <w:tab w:val="left" w:pos="1440"/>
        </w:tabs>
        <w:spacing w:after="0" w:line="240" w:lineRule="auto"/>
        <w:jc w:val="both"/>
        <w:rPr>
          <w:rFonts w:eastAsia="Times New Roman" w:cs="Arial"/>
          <w:sz w:val="16"/>
          <w:szCs w:val="16"/>
        </w:rPr>
      </w:pPr>
      <w:r>
        <w:rPr>
          <w:rFonts w:eastAsia="Times New Roman" w:cs="Arial"/>
          <w:sz w:val="16"/>
          <w:szCs w:val="16"/>
        </w:rPr>
        <w:t>Telephone:</w:t>
      </w:r>
      <w:r>
        <w:rPr>
          <w:rFonts w:eastAsia="Times New Roman" w:cs="Arial"/>
          <w:sz w:val="16"/>
          <w:szCs w:val="16"/>
        </w:rPr>
        <w:tab/>
      </w:r>
      <w:r w:rsidRPr="00D55037">
        <w:rPr>
          <w:rFonts w:eastAsia="Times New Roman" w:cs="Arial"/>
          <w:sz w:val="16"/>
          <w:szCs w:val="16"/>
        </w:rPr>
        <w:t>012 426 8178</w:t>
      </w:r>
    </w:p>
    <w:p w:rsidR="00D55037" w:rsidRPr="00D55037" w:rsidRDefault="00D55037" w:rsidP="001E06E1">
      <w:pPr>
        <w:tabs>
          <w:tab w:val="left" w:pos="1440"/>
        </w:tabs>
        <w:spacing w:after="0" w:line="240" w:lineRule="auto"/>
        <w:jc w:val="both"/>
        <w:rPr>
          <w:rFonts w:eastAsia="Times New Roman" w:cs="Arial"/>
          <w:sz w:val="16"/>
          <w:szCs w:val="16"/>
        </w:rPr>
      </w:pPr>
      <w:r>
        <w:rPr>
          <w:rFonts w:eastAsia="Times New Roman" w:cs="Arial"/>
          <w:sz w:val="16"/>
          <w:szCs w:val="16"/>
        </w:rPr>
        <w:t>Fax:</w:t>
      </w:r>
      <w:r>
        <w:rPr>
          <w:rFonts w:eastAsia="Times New Roman" w:cs="Arial"/>
          <w:sz w:val="16"/>
          <w:szCs w:val="16"/>
        </w:rPr>
        <w:tab/>
      </w:r>
      <w:r w:rsidRPr="00D55037">
        <w:rPr>
          <w:rFonts w:eastAsia="Times New Roman" w:cs="Arial"/>
          <w:sz w:val="16"/>
          <w:szCs w:val="16"/>
        </w:rPr>
        <w:t>012 422 9619</w:t>
      </w:r>
    </w:p>
    <w:p w:rsidR="00D55037" w:rsidRDefault="00D55037" w:rsidP="001E06E1">
      <w:pPr>
        <w:tabs>
          <w:tab w:val="left" w:pos="1440"/>
        </w:tabs>
        <w:spacing w:after="0" w:line="240" w:lineRule="auto"/>
        <w:jc w:val="both"/>
        <w:rPr>
          <w:rFonts w:eastAsia="Times New Roman" w:cs="Arial"/>
          <w:sz w:val="16"/>
          <w:szCs w:val="16"/>
        </w:rPr>
      </w:pPr>
      <w:r>
        <w:rPr>
          <w:rFonts w:eastAsia="Times New Roman" w:cs="Arial"/>
          <w:sz w:val="16"/>
          <w:szCs w:val="16"/>
        </w:rPr>
        <w:t>Email:</w:t>
      </w:r>
      <w:r>
        <w:rPr>
          <w:rFonts w:eastAsia="Times New Roman" w:cs="Arial"/>
          <w:sz w:val="16"/>
          <w:szCs w:val="16"/>
        </w:rPr>
        <w:tab/>
      </w:r>
      <w:hyperlink r:id="rId36" w:history="1">
        <w:r w:rsidRPr="00DA4A36">
          <w:rPr>
            <w:rStyle w:val="Hyperlink"/>
            <w:rFonts w:eastAsia="Times New Roman" w:cs="Arial"/>
            <w:sz w:val="16"/>
            <w:szCs w:val="16"/>
          </w:rPr>
          <w:t>Tintswalom2@agsa.co.za</w:t>
        </w:r>
      </w:hyperlink>
    </w:p>
    <w:p w:rsidR="00C22F2B" w:rsidRPr="0077659B" w:rsidRDefault="00C22F2B" w:rsidP="001E06E1">
      <w:pPr>
        <w:spacing w:after="0" w:line="240" w:lineRule="auto"/>
        <w:jc w:val="both"/>
        <w:rPr>
          <w:rFonts w:eastAsia="Times New Roman" w:cs="Arial"/>
          <w:b/>
          <w:sz w:val="20"/>
          <w:szCs w:val="20"/>
        </w:rPr>
      </w:pPr>
      <w:r w:rsidRPr="0077659B">
        <w:rPr>
          <w:rFonts w:eastAsia="Times New Roman" w:cs="Arial"/>
          <w:b/>
          <w:sz w:val="20"/>
          <w:szCs w:val="20"/>
        </w:rPr>
        <w:t>Distribution:</w:t>
      </w:r>
    </w:p>
    <w:p w:rsidR="00C22F2B" w:rsidRPr="0077659B" w:rsidRDefault="00C22F2B" w:rsidP="001E06E1">
      <w:pPr>
        <w:spacing w:after="0" w:line="240" w:lineRule="auto"/>
        <w:jc w:val="both"/>
        <w:rPr>
          <w:rFonts w:eastAsia="Times New Roman" w:cs="Arial"/>
          <w:sz w:val="20"/>
          <w:szCs w:val="20"/>
        </w:rPr>
      </w:pPr>
      <w:r w:rsidRPr="0077659B">
        <w:rPr>
          <w:rFonts w:eastAsia="Times New Roman" w:cs="Arial"/>
          <w:sz w:val="20"/>
          <w:szCs w:val="20"/>
        </w:rPr>
        <w:t xml:space="preserve">Audit committee </w:t>
      </w:r>
    </w:p>
    <w:p w:rsidR="005657E9" w:rsidRPr="0077659B" w:rsidRDefault="00C22F2B" w:rsidP="001E06E1">
      <w:pPr>
        <w:spacing w:after="0" w:line="240" w:lineRule="auto"/>
        <w:jc w:val="both"/>
        <w:rPr>
          <w:rFonts w:eastAsia="Times New Roman" w:cs="Arial"/>
          <w:sz w:val="20"/>
          <w:szCs w:val="20"/>
        </w:rPr>
      </w:pPr>
      <w:r w:rsidRPr="0077659B">
        <w:rPr>
          <w:rFonts w:eastAsia="Times New Roman" w:cs="Arial"/>
          <w:sz w:val="20"/>
          <w:szCs w:val="20"/>
        </w:rPr>
        <w:t>Head of internal audit unit</w:t>
      </w:r>
    </w:p>
    <w:p w:rsidR="00CC7F75" w:rsidRPr="001E06E1" w:rsidRDefault="001E06E1" w:rsidP="001E06E1">
      <w:pPr>
        <w:spacing w:after="0" w:line="240" w:lineRule="auto"/>
        <w:jc w:val="both"/>
        <w:rPr>
          <w:rFonts w:eastAsia="Times New Roman" w:cs="Arial"/>
          <w:sz w:val="20"/>
          <w:szCs w:val="20"/>
        </w:rPr>
        <w:sectPr w:rsidR="00CC7F75" w:rsidRPr="001E06E1" w:rsidSect="00C12C2B">
          <w:headerReference w:type="even" r:id="rId37"/>
          <w:headerReference w:type="default" r:id="rId38"/>
          <w:headerReference w:type="first" r:id="rId39"/>
          <w:endnotePr>
            <w:numFmt w:val="decimal"/>
          </w:endnotePr>
          <w:pgSz w:w="11906" w:h="16838" w:code="9"/>
          <w:pgMar w:top="1134" w:right="1134" w:bottom="1134" w:left="1134" w:header="1134" w:footer="709" w:gutter="0"/>
          <w:cols w:space="708"/>
          <w:docGrid w:linePitch="360"/>
        </w:sectPr>
      </w:pPr>
      <w:r>
        <w:rPr>
          <w:rFonts w:eastAsia="Times New Roman" w:cs="Arial"/>
          <w:sz w:val="20"/>
          <w:szCs w:val="20"/>
        </w:rPr>
        <w:t xml:space="preserve">Executive authority </w:t>
      </w:r>
    </w:p>
    <w:p w:rsidR="00021328" w:rsidRPr="00AE524A" w:rsidRDefault="00021328" w:rsidP="001E06E1">
      <w:pPr>
        <w:pStyle w:val="Heading2"/>
        <w:jc w:val="both"/>
        <w:rPr>
          <w:b w:val="0"/>
        </w:rPr>
      </w:pPr>
      <w:bookmarkStart w:id="192" w:name="_PART_B:_EXPLANATORY"/>
      <w:bookmarkStart w:id="193" w:name="_E1._Addressee"/>
      <w:bookmarkStart w:id="194" w:name="E0_2"/>
      <w:bookmarkStart w:id="195" w:name="E0_3"/>
      <w:bookmarkStart w:id="196" w:name="S1E1"/>
      <w:bookmarkStart w:id="197" w:name="_E2._Material_misstatements"/>
      <w:bookmarkStart w:id="198" w:name="EME1"/>
      <w:bookmarkStart w:id="199" w:name="_E3._Material_misstatements"/>
      <w:bookmarkStart w:id="200" w:name="EME2"/>
      <w:bookmarkStart w:id="201" w:name="E4"/>
      <w:bookmarkStart w:id="202" w:name="E4_1"/>
      <w:bookmarkStart w:id="203" w:name="_E4._Basis_of"/>
      <w:bookmarkStart w:id="204" w:name="EME3"/>
      <w:bookmarkStart w:id="205" w:name="_E5._Significant_uncertainties"/>
      <w:bookmarkStart w:id="206" w:name="EME4"/>
      <w:bookmarkStart w:id="207" w:name="_E6._Restatement_of"/>
      <w:bookmarkStart w:id="208" w:name="EME5"/>
      <w:bookmarkStart w:id="209" w:name="_E7._Unauthorised_/"/>
      <w:bookmarkStart w:id="210" w:name="_E7._Funding_of"/>
      <w:bookmarkStart w:id="211" w:name="EME6"/>
      <w:bookmarkStart w:id="212" w:name="_E7._Unauthorised_/_1"/>
      <w:bookmarkStart w:id="213" w:name="EME7"/>
      <w:bookmarkStart w:id="214" w:name="_E8._Material_losses"/>
      <w:bookmarkStart w:id="215" w:name="EME8"/>
      <w:bookmarkStart w:id="216" w:name="_E9._Material_under"/>
      <w:bookmarkStart w:id="217" w:name="_E10._Material_underspending"/>
      <w:bookmarkStart w:id="218" w:name="EME9"/>
      <w:bookmarkStart w:id="219" w:name="_E10._Funding_of"/>
      <w:bookmarkStart w:id="220" w:name="EME10"/>
      <w:bookmarkStart w:id="221" w:name="E5"/>
      <w:bookmarkStart w:id="222" w:name="_E11._Prior_year"/>
      <w:bookmarkStart w:id="223" w:name="EME11"/>
      <w:bookmarkStart w:id="224" w:name="_E12._Material_inconsistencies"/>
      <w:bookmarkStart w:id="225" w:name="EME12"/>
      <w:bookmarkStart w:id="226" w:name="_E13._Unaudited_supplementary"/>
      <w:bookmarkStart w:id="227" w:name="EME13"/>
      <w:bookmarkStart w:id="228" w:name="_E15._Opinion_on"/>
      <w:bookmarkStart w:id="229" w:name="EME14"/>
      <w:bookmarkStart w:id="230" w:name="_E16._Other_(please"/>
      <w:bookmarkStart w:id="231" w:name="EME15"/>
      <w:bookmarkStart w:id="232" w:name="Scope_limitation"/>
      <w:bookmarkStart w:id="233" w:name="Other"/>
      <w:bookmarkStart w:id="234" w:name="Other_reports"/>
      <w:bookmarkStart w:id="235" w:name="E17"/>
      <w:bookmarkStart w:id="236" w:name="New4E6"/>
      <w:bookmarkStart w:id="237" w:name="E8"/>
      <w:bookmarkStart w:id="238" w:name="E9"/>
      <w:bookmarkStart w:id="239" w:name="E10"/>
      <w:bookmarkStart w:id="240" w:name="AoPOa"/>
      <w:bookmarkStart w:id="241" w:name="AoPOb"/>
      <w:bookmarkStart w:id="242" w:name="E11"/>
      <w:bookmarkStart w:id="243" w:name="E12"/>
      <w:bookmarkStart w:id="244" w:name="E13"/>
      <w:bookmarkStart w:id="245" w:name="AoPOc"/>
      <w:bookmarkStart w:id="246" w:name="E14"/>
      <w:bookmarkStart w:id="247" w:name="AoPOd"/>
      <w:bookmarkStart w:id="248" w:name="E25"/>
      <w:bookmarkStart w:id="249" w:name="E25B"/>
      <w:bookmarkStart w:id="250" w:name="AoPOe"/>
      <w:bookmarkStart w:id="251" w:name="AoPOf"/>
      <w:bookmarkStart w:id="252" w:name="E26"/>
      <w:bookmarkStart w:id="253" w:name="AoPOg"/>
      <w:bookmarkStart w:id="254" w:name="E18b"/>
      <w:bookmarkStart w:id="255" w:name="E28A"/>
      <w:bookmarkStart w:id="256" w:name="E28B"/>
      <w:bookmarkStart w:id="257" w:name="AoPOh"/>
      <w:bookmarkStart w:id="258" w:name="E20b"/>
      <w:bookmarkStart w:id="259" w:name="New4E7"/>
      <w:bookmarkStart w:id="260" w:name="_E14._Internal_control"/>
      <w:bookmarkStart w:id="261" w:name="_E15._Achievement_of"/>
      <w:bookmarkStart w:id="262" w:name="_E17._Achievement_of"/>
      <w:bookmarkStart w:id="263" w:name="EME16"/>
      <w:bookmarkStart w:id="264" w:name="_E16._Remedial_action"/>
      <w:bookmarkStart w:id="265" w:name="_E18._Action_taken"/>
      <w:bookmarkStart w:id="266" w:name="_E17._Oversight_responsibility"/>
      <w:bookmarkStart w:id="267" w:name="E17_1"/>
      <w:bookmarkStart w:id="268" w:name="S5E18"/>
      <w:bookmarkStart w:id="269" w:name="S5E19"/>
      <w:bookmarkStart w:id="270" w:name="S5E20"/>
      <w:bookmarkStart w:id="271" w:name="S5E21"/>
      <w:bookmarkStart w:id="272" w:name="Develop"/>
      <w:bookmarkStart w:id="273" w:name="S5E22"/>
      <w:bookmarkStart w:id="274" w:name="S5E23"/>
      <w:bookmarkStart w:id="275" w:name="S5E24"/>
      <w:bookmarkStart w:id="276" w:name="S5E25"/>
      <w:bookmarkStart w:id="277" w:name="S5E26"/>
      <w:bookmarkStart w:id="278" w:name="Regular"/>
      <w:bookmarkStart w:id="279" w:name="Review"/>
      <w:bookmarkStart w:id="280" w:name="S5E27"/>
      <w:bookmarkStart w:id="281" w:name="S5E28"/>
      <w:bookmarkStart w:id="282" w:name="S5E29"/>
      <w:bookmarkStart w:id="283" w:name="S5E30"/>
      <w:bookmarkStart w:id="284" w:name="S5E31"/>
      <w:bookmarkStart w:id="285" w:name="S5E32"/>
      <w:bookmarkStart w:id="286" w:name="S5E33"/>
      <w:bookmarkStart w:id="287" w:name="S5E34"/>
      <w:bookmarkStart w:id="288" w:name="Risk"/>
      <w:bookmarkStart w:id="289" w:name="S5E35"/>
      <w:bookmarkStart w:id="290" w:name="Internal"/>
      <w:bookmarkStart w:id="291" w:name="S5E37"/>
      <w:bookmarkStart w:id="292" w:name="EME18"/>
      <w:bookmarkStart w:id="293" w:name="_E21._Oversight_responsibility"/>
      <w:bookmarkStart w:id="294" w:name="EME19"/>
      <w:bookmarkStart w:id="295" w:name="_E18._Availability_of"/>
      <w:bookmarkStart w:id="296" w:name="_E22._Adequacy_and"/>
      <w:bookmarkStart w:id="297" w:name="EME20"/>
      <w:bookmarkStart w:id="298" w:name="_E23._Availability_of"/>
      <w:bookmarkStart w:id="299" w:name="_E19._Adequacy_and"/>
      <w:bookmarkStart w:id="300" w:name="_E20._Integrity_and"/>
      <w:bookmarkStart w:id="301" w:name="_E21._Implementation_of"/>
      <w:bookmarkStart w:id="302" w:name="EME21"/>
      <w:bookmarkStart w:id="303" w:name="Para22"/>
      <w:bookmarkStart w:id="304" w:name="_E25._Actions_taken"/>
      <w:bookmarkStart w:id="305" w:name="_E26._Status_of"/>
      <w:bookmarkStart w:id="306" w:name="EME22"/>
      <w:bookmarkStart w:id="307" w:name="EME23"/>
      <w:bookmarkStart w:id="308" w:name="_E22._Adequacy_of"/>
      <w:bookmarkStart w:id="309" w:name="_E27._Availability_of"/>
      <w:bookmarkStart w:id="310" w:name="EME24"/>
      <w:bookmarkStart w:id="311" w:name="_E28._Late_submission"/>
      <w:bookmarkStart w:id="312" w:name="_E29._Controls_over"/>
      <w:bookmarkStart w:id="313" w:name="EME25"/>
      <w:bookmarkStart w:id="314" w:name="Para26"/>
      <w:bookmarkStart w:id="315" w:name="_E30_Adequacy_of"/>
      <w:bookmarkStart w:id="316" w:name="EME26"/>
      <w:bookmarkStart w:id="317" w:name="EME27"/>
      <w:bookmarkStart w:id="318" w:name="_E23._Accounting_discipline"/>
      <w:bookmarkStart w:id="319" w:name="_E24._Accounting_policies,"/>
      <w:bookmarkStart w:id="320" w:name="_E31._Accounting_policies,"/>
      <w:bookmarkStart w:id="321" w:name="EME28"/>
      <w:bookmarkStart w:id="322" w:name="_E32._Use_of"/>
      <w:bookmarkStart w:id="323" w:name="EME29"/>
      <w:bookmarkStart w:id="324" w:name="_E25._Budget_process"/>
      <w:bookmarkStart w:id="325" w:name="_E33._Budget_process"/>
      <w:bookmarkStart w:id="326" w:name="EME30"/>
      <w:bookmarkStart w:id="327" w:name="_E26._Availability_of"/>
      <w:bookmarkStart w:id="328" w:name="_E28._Related_party"/>
      <w:bookmarkStart w:id="329" w:name="_E34._Related_party"/>
      <w:bookmarkStart w:id="330" w:name="EME31"/>
      <w:bookmarkStart w:id="331" w:name="_E29._Use_of"/>
      <w:bookmarkStart w:id="332" w:name="_E35._Monitoring_compliance"/>
      <w:bookmarkStart w:id="333" w:name="EME32"/>
      <w:bookmarkStart w:id="334" w:name="EME33"/>
      <w:bookmarkStart w:id="335" w:name="_E29._Risk_identification"/>
      <w:bookmarkStart w:id="336" w:name="_E30._Risk_identification"/>
      <w:bookmarkStart w:id="337" w:name="_E36._Risk_identification"/>
      <w:bookmarkStart w:id="338" w:name="EME34"/>
      <w:bookmarkStart w:id="339" w:name="_E30._Fraud_prevention,"/>
      <w:bookmarkStart w:id="340" w:name="_E31._Fraud_prevention,"/>
      <w:bookmarkStart w:id="341" w:name="_E37._Fraud_prevention,"/>
      <w:bookmarkStart w:id="342" w:name="EME35"/>
      <w:bookmarkStart w:id="343" w:name="_E31._Internal_audit"/>
      <w:bookmarkStart w:id="344" w:name="_E32._Internal_audit"/>
      <w:bookmarkStart w:id="345" w:name="_E38._Internal_audit"/>
      <w:bookmarkStart w:id="346" w:name="EME36"/>
      <w:bookmarkStart w:id="347" w:name="_E32._Audit_committee"/>
      <w:bookmarkStart w:id="348" w:name="_E33._Audit_committee"/>
      <w:bookmarkStart w:id="349" w:name="_E39._Audit_committee"/>
      <w:bookmarkStart w:id="350" w:name="EME37"/>
      <w:bookmarkStart w:id="351" w:name="E32"/>
      <w:bookmarkStart w:id="352" w:name="E33"/>
      <w:bookmarkStart w:id="353" w:name="E22"/>
      <w:bookmarkStart w:id="354" w:name="New4E25"/>
      <w:bookmarkStart w:id="355" w:name="New4E26"/>
      <w:bookmarkStart w:id="356" w:name="New4E27"/>
      <w:bookmarkStart w:id="357" w:name="Accounting"/>
      <w:bookmarkStart w:id="358" w:name="subsequent"/>
      <w:bookmarkStart w:id="359" w:name="EME42"/>
      <w:bookmarkStart w:id="360" w:name="EME43"/>
      <w:bookmarkStart w:id="361" w:name="E35"/>
      <w:bookmarkStart w:id="362" w:name="_E33._Actions_taken"/>
      <w:bookmarkStart w:id="363" w:name="_E34._Actions_taken"/>
      <w:bookmarkStart w:id="364" w:name="EME38"/>
      <w:bookmarkStart w:id="365" w:name="Assesstable"/>
      <w:bookmarkStart w:id="366" w:name="Consultants"/>
      <w:bookmarkStart w:id="367" w:name="Fraud"/>
      <w:bookmarkStart w:id="368" w:name="Para35"/>
      <w:bookmarkStart w:id="369" w:name="E40"/>
      <w:bookmarkStart w:id="370" w:name="Para36"/>
      <w:bookmarkStart w:id="371" w:name="_E36._Accounting_and"/>
      <w:bookmarkStart w:id="372" w:name="_E37._Accounting_and"/>
      <w:bookmarkStart w:id="373" w:name="_E40._Accounting_and"/>
      <w:bookmarkStart w:id="374" w:name="EME39"/>
      <w:bookmarkStart w:id="375" w:name="_E37._Susceptibility_of"/>
      <w:bookmarkStart w:id="376" w:name="_E38._Susceptibility_of"/>
      <w:bookmarkStart w:id="377" w:name="_E38._Subsequent_events"/>
      <w:bookmarkStart w:id="378" w:name="_E39._Subsequent_events"/>
      <w:bookmarkStart w:id="379" w:name="_E41._Subsequent_events[Back]"/>
      <w:bookmarkStart w:id="380" w:name="EME40"/>
      <w:bookmarkStart w:id="381" w:name="EME44"/>
      <w:bookmarkStart w:id="382" w:name="Oversight"/>
      <w:bookmarkStart w:id="383" w:name="_E19._Internal_control"/>
      <w:bookmarkStart w:id="384" w:name="EME17"/>
      <w:bookmarkStart w:id="385" w:name="E45"/>
      <w:bookmarkStart w:id="386" w:name="New_E41"/>
      <w:bookmarkStart w:id="387" w:name="E_section7"/>
      <w:bookmarkStart w:id="388" w:name="EME4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sectPr w:rsidR="00021328" w:rsidRPr="00AE524A" w:rsidSect="001E06E1">
      <w:headerReference w:type="even" r:id="rId40"/>
      <w:headerReference w:type="default" r:id="rId41"/>
      <w:footerReference w:type="default" r:id="rId42"/>
      <w:headerReference w:type="first" r:id="rId43"/>
      <w:endnotePr>
        <w:numFmt w:val="decimal"/>
      </w:endnotePr>
      <w:pgSz w:w="16838" w:h="11906" w:orient="landscape" w:code="9"/>
      <w:pgMar w:top="1134" w:right="1134" w:bottom="1134" w:left="1134" w:header="161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3E3" w:rsidRDefault="009023E3">
      <w:pPr>
        <w:spacing w:after="0" w:line="240" w:lineRule="auto"/>
      </w:pPr>
      <w:r>
        <w:separator/>
      </w:r>
    </w:p>
    <w:p w:rsidR="009023E3" w:rsidRDefault="009023E3"/>
  </w:endnote>
  <w:endnote w:type="continuationSeparator" w:id="0">
    <w:p w:rsidR="009023E3" w:rsidRDefault="009023E3">
      <w:pPr>
        <w:spacing w:after="0" w:line="240" w:lineRule="auto"/>
      </w:pPr>
      <w:r>
        <w:continuationSeparator/>
      </w:r>
    </w:p>
    <w:p w:rsidR="009023E3" w:rsidRDefault="009023E3"/>
  </w:endnote>
  <w:endnote w:type="continuationNotice" w:id="1">
    <w:p w:rsidR="009023E3" w:rsidRDefault="009023E3">
      <w:pPr>
        <w:spacing w:after="0" w:line="240" w:lineRule="auto"/>
      </w:pPr>
    </w:p>
    <w:p w:rsidR="009023E3" w:rsidRDefault="00902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Bahnschrift Light"/>
    <w:charset w:val="00"/>
    <w:family w:val="swiss"/>
    <w:pitch w:val="variable"/>
    <w:sig w:usb0="00000001"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CIDFont+F6">
    <w:altName w:val="Malgun Gothic Semilight"/>
    <w:panose1 w:val="00000000000000000000"/>
    <w:charset w:val="88"/>
    <w:family w:val="auto"/>
    <w:notTrueType/>
    <w:pitch w:val="default"/>
    <w:sig w:usb0="00000001" w:usb1="08080000" w:usb2="00000010" w:usb3="00000000" w:csb0="00100000" w:csb1="00000000"/>
  </w:font>
  <w:font w:name="CIDFont+F4">
    <w:charset w:val="00"/>
    <w:family w:val="auto"/>
    <w:pitch w:val="default"/>
    <w:sig w:usb0="00000003" w:usb1="00000000" w:usb2="00000000" w:usb3="00000000" w:csb0="00000001" w:csb1="00000000"/>
  </w:font>
  <w:font w:name="CIDFont+F9">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11">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rsidP="00DC267C">
    <w:pPr>
      <w:pStyle w:val="Footer"/>
      <w:tabs>
        <w:tab w:val="clear" w:pos="4320"/>
        <w:tab w:val="center" w:pos="4111"/>
      </w:tabs>
      <w:ind w:left="-142"/>
      <w:rPr>
        <w:szCs w:val="22"/>
      </w:rPr>
    </w:pPr>
    <w:r>
      <w:rPr>
        <w:rFonts w:ascii="Arial" w:hAnsi="Arial" w:cs="Arial"/>
        <w:b/>
        <w:noProof/>
        <w:color w:val="003B79"/>
        <w:lang w:val="en-GB" w:eastAsia="en-GB"/>
      </w:rPr>
      <w:drawing>
        <wp:anchor distT="0" distB="0" distL="114300" distR="114300" simplePos="0" relativeHeight="251629568" behindDoc="1" locked="0" layoutInCell="1" allowOverlap="1" wp14:anchorId="564D470D" wp14:editId="6DAB9456">
          <wp:simplePos x="0" y="0"/>
          <wp:positionH relativeFrom="column">
            <wp:posOffset>-282575</wp:posOffset>
          </wp:positionH>
          <wp:positionV relativeFrom="paragraph">
            <wp:posOffset>135255</wp:posOffset>
          </wp:positionV>
          <wp:extent cx="6400800" cy="344170"/>
          <wp:effectExtent l="19050" t="0" r="0" b="0"/>
          <wp:wrapNone/>
          <wp:docPr id="29"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rsidR="009C0B03" w:rsidRDefault="009C0B03" w:rsidP="00DC267C">
    <w:pPr>
      <w:pStyle w:val="Footer"/>
      <w:tabs>
        <w:tab w:val="clear" w:pos="4320"/>
        <w:tab w:val="clear" w:pos="8640"/>
        <w:tab w:val="center" w:pos="4111"/>
        <w:tab w:val="right" w:pos="9923"/>
      </w:tabs>
      <w:ind w:left="-142" w:right="-285"/>
      <w:jc w:val="right"/>
      <w:rPr>
        <w:rFonts w:ascii="Arial" w:hAnsi="Arial" w:cs="Arial"/>
        <w:b/>
        <w:color w:val="003B79"/>
      </w:rPr>
    </w:pPr>
  </w:p>
  <w:p w:rsidR="009C0B03" w:rsidRPr="002D6730" w:rsidRDefault="009C0B03" w:rsidP="00DC267C">
    <w:pPr>
      <w:pStyle w:val="Footer"/>
      <w:tabs>
        <w:tab w:val="clear" w:pos="4320"/>
        <w:tab w:val="clear" w:pos="8640"/>
        <w:tab w:val="center" w:pos="4111"/>
        <w:tab w:val="right" w:pos="9923"/>
      </w:tabs>
      <w:ind w:left="-142" w:right="-285"/>
      <w:jc w:val="right"/>
      <w:rPr>
        <w:rFonts w:ascii="Arial" w:hAnsi="Arial" w:cs="Arial"/>
        <w:b/>
        <w:color w:val="003B79"/>
      </w:rPr>
    </w:pPr>
  </w:p>
  <w:p w:rsidR="009C0B03" w:rsidRDefault="009C0B03" w:rsidP="00DC267C">
    <w:pPr>
      <w:pStyle w:val="Footer"/>
      <w:tabs>
        <w:tab w:val="clear" w:pos="4320"/>
        <w:tab w:val="center" w:pos="4111"/>
        <w:tab w:val="right" w:pos="9923"/>
      </w:tabs>
      <w:ind w:left="-142"/>
      <w:jc w:val="right"/>
      <w:rPr>
        <w:szCs w:val="22"/>
      </w:rPr>
    </w:pPr>
  </w:p>
  <w:p w:rsidR="009C0B03" w:rsidRDefault="009C0B03" w:rsidP="00DC267C">
    <w:pPr>
      <w:pStyle w:val="Footer"/>
      <w:tabs>
        <w:tab w:val="clear" w:pos="4320"/>
        <w:tab w:val="center" w:pos="4111"/>
        <w:tab w:val="right" w:pos="9923"/>
      </w:tabs>
      <w:ind w:left="-142"/>
      <w:jc w:val="right"/>
      <w:rPr>
        <w:szCs w:val="22"/>
      </w:rPr>
    </w:pPr>
  </w:p>
  <w:p w:rsidR="009C0B03" w:rsidRPr="005F7D46" w:rsidRDefault="009C0B03" w:rsidP="00DC267C">
    <w:pPr>
      <w:pStyle w:val="Footer"/>
      <w:tabs>
        <w:tab w:val="clear" w:pos="4320"/>
        <w:tab w:val="center" w:pos="4111"/>
        <w:tab w:val="right" w:pos="9923"/>
      </w:tabs>
      <w:ind w:left="-142"/>
      <w:rPr>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rsidP="00475D5A">
    <w:pPr>
      <w:pStyle w:val="Footer"/>
      <w:tabs>
        <w:tab w:val="clear" w:pos="4320"/>
        <w:tab w:val="center" w:pos="4111"/>
      </w:tabs>
      <w:ind w:left="-142"/>
      <w:rPr>
        <w:szCs w:val="22"/>
      </w:rPr>
    </w:pPr>
    <w:r>
      <w:rPr>
        <w:szCs w:val="22"/>
      </w:rPr>
      <w:t>`</w:t>
    </w:r>
  </w:p>
  <w:p w:rsidR="009C0B03" w:rsidRPr="00186F2B" w:rsidRDefault="009C0B03" w:rsidP="00475D5A">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val="en-GB" w:eastAsia="en-GB"/>
      </w:rPr>
      <w:drawing>
        <wp:anchor distT="0" distB="0" distL="114300" distR="114300" simplePos="0" relativeHeight="251708416" behindDoc="1" locked="0" layoutInCell="1" allowOverlap="1" wp14:anchorId="26D11891" wp14:editId="3EA8386F">
          <wp:simplePos x="0" y="0"/>
          <wp:positionH relativeFrom="column">
            <wp:align>left</wp:align>
          </wp:positionH>
          <wp:positionV relativeFrom="paragraph">
            <wp:posOffset>-10795</wp:posOffset>
          </wp:positionV>
          <wp:extent cx="6400800" cy="344170"/>
          <wp:effectExtent l="19050" t="0" r="0" b="0"/>
          <wp:wrapNone/>
          <wp:docPr id="13"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871C3E">
      <w:rPr>
        <w:rStyle w:val="PageNumber"/>
        <w:rFonts w:ascii="Arial" w:hAnsi="Arial" w:cs="Arial"/>
        <w:b/>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b/>
        <w:color w:val="003B79"/>
      </w:rPr>
      <w:fldChar w:fldCharType="separate"/>
    </w:r>
    <w:r w:rsidR="001E06E1">
      <w:rPr>
        <w:rStyle w:val="PageNumber"/>
        <w:rFonts w:ascii="Arial" w:hAnsi="Arial" w:cs="Arial"/>
        <w:noProof/>
        <w:color w:val="003B79"/>
      </w:rPr>
      <w:t>34</w:t>
    </w:r>
    <w:r w:rsidRPr="00871C3E">
      <w:rPr>
        <w:rStyle w:val="PageNumber"/>
        <w:rFonts w:ascii="Arial" w:hAnsi="Arial" w:cs="Arial"/>
        <w:b/>
        <w:color w:val="003B79"/>
      </w:rPr>
      <w:fldChar w:fldCharType="end"/>
    </w:r>
  </w:p>
  <w:p w:rsidR="009C0B03" w:rsidRPr="0072219B" w:rsidRDefault="009C0B03" w:rsidP="00475D5A">
    <w:pPr>
      <w:pStyle w:val="Footer"/>
      <w:rPr>
        <w:szCs w:val="22"/>
      </w:rPr>
    </w:pPr>
  </w:p>
  <w:p w:rsidR="009C0B03" w:rsidRPr="005F7D46" w:rsidRDefault="009C0B03" w:rsidP="00475D5A">
    <w:pPr>
      <w:pStyle w:val="Footer"/>
      <w:tabs>
        <w:tab w:val="clear" w:pos="4320"/>
        <w:tab w:val="center" w:pos="4111"/>
        <w:tab w:val="right" w:pos="9923"/>
      </w:tabs>
      <w:ind w:left="-142"/>
      <w:rPr>
        <w:szCs w:val="22"/>
      </w:rPr>
    </w:pPr>
  </w:p>
  <w:p w:rsidR="009C0B03" w:rsidRDefault="009C0B03" w:rsidP="00475D5A"/>
  <w:p w:rsidR="009C0B03" w:rsidRDefault="009C0B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rsidP="00CB4728">
    <w:pPr>
      <w:pStyle w:val="Footer"/>
      <w:tabs>
        <w:tab w:val="clear" w:pos="4320"/>
        <w:tab w:val="center" w:pos="4111"/>
      </w:tabs>
      <w:rPr>
        <w:szCs w:val="22"/>
      </w:rPr>
    </w:pPr>
  </w:p>
  <w:p w:rsidR="009C0B03" w:rsidRPr="00871C3E" w:rsidRDefault="009C0B03" w:rsidP="00CB4728">
    <w:pPr>
      <w:pStyle w:val="Footer"/>
      <w:tabs>
        <w:tab w:val="clear" w:pos="4320"/>
        <w:tab w:val="clear" w:pos="8640"/>
        <w:tab w:val="center" w:pos="4111"/>
        <w:tab w:val="right" w:pos="9923"/>
      </w:tabs>
      <w:ind w:left="-142" w:right="-285"/>
      <w:jc w:val="right"/>
      <w:rPr>
        <w:rFonts w:ascii="Arial" w:hAnsi="Arial" w:cs="Arial"/>
        <w:color w:val="003B79"/>
      </w:rPr>
    </w:pPr>
    <w:r>
      <w:rPr>
        <w:rFonts w:ascii="Arial" w:hAnsi="Arial" w:cs="Arial"/>
        <w:b/>
        <w:noProof/>
        <w:color w:val="003B79"/>
        <w:lang w:val="en-GB" w:eastAsia="en-GB"/>
      </w:rPr>
      <w:drawing>
        <wp:anchor distT="0" distB="0" distL="114300" distR="114300" simplePos="0" relativeHeight="251706368" behindDoc="1" locked="0" layoutInCell="1" allowOverlap="1" wp14:anchorId="5825E3D6" wp14:editId="40A26B93">
          <wp:simplePos x="0" y="0"/>
          <wp:positionH relativeFrom="column">
            <wp:align>left</wp:align>
          </wp:positionH>
          <wp:positionV relativeFrom="paragraph">
            <wp:posOffset>-10795</wp:posOffset>
          </wp:positionV>
          <wp:extent cx="6400800" cy="344170"/>
          <wp:effectExtent l="19050" t="0" r="0" b="0"/>
          <wp:wrapNone/>
          <wp:docPr id="161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871C3E">
      <w:rPr>
        <w:rStyle w:val="PageNumber"/>
        <w:rFonts w:ascii="Arial" w:hAnsi="Arial" w:cs="Arial"/>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color w:val="003B79"/>
      </w:rPr>
      <w:fldChar w:fldCharType="separate"/>
    </w:r>
    <w:r w:rsidR="00894AE4">
      <w:rPr>
        <w:rStyle w:val="PageNumber"/>
        <w:rFonts w:ascii="Arial" w:hAnsi="Arial" w:cs="Arial"/>
        <w:noProof/>
        <w:color w:val="003B79"/>
      </w:rPr>
      <w:t>11</w:t>
    </w:r>
    <w:r w:rsidRPr="00871C3E">
      <w:rPr>
        <w:rStyle w:val="PageNumber"/>
        <w:rFonts w:ascii="Arial" w:hAnsi="Arial" w:cs="Arial"/>
        <w:color w:val="003B79"/>
      </w:rPr>
      <w:fldChar w:fldCharType="end"/>
    </w:r>
  </w:p>
  <w:p w:rsidR="009C0B03" w:rsidRPr="0072219B" w:rsidRDefault="009C0B03" w:rsidP="00CB4728">
    <w:pPr>
      <w:pStyle w:val="Footer"/>
      <w:rPr>
        <w:szCs w:val="22"/>
      </w:rPr>
    </w:pPr>
  </w:p>
  <w:p w:rsidR="009C0B03" w:rsidRPr="005F7D46" w:rsidRDefault="009C0B03" w:rsidP="00CB4728">
    <w:pPr>
      <w:pStyle w:val="Footer"/>
      <w:tabs>
        <w:tab w:val="clear" w:pos="4320"/>
        <w:tab w:val="center" w:pos="4111"/>
        <w:tab w:val="right" w:pos="9923"/>
      </w:tabs>
      <w:ind w:left="-142"/>
      <w:rPr>
        <w:szCs w:val="22"/>
      </w:rPr>
    </w:pPr>
  </w:p>
  <w:p w:rsidR="009C0B03" w:rsidRPr="00CB4728" w:rsidRDefault="009C0B03" w:rsidP="00CB47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rsidP="00DC267C">
    <w:pPr>
      <w:pStyle w:val="Footer"/>
      <w:tabs>
        <w:tab w:val="clear" w:pos="4320"/>
        <w:tab w:val="center" w:pos="4111"/>
      </w:tabs>
      <w:ind w:left="-142"/>
      <w:rPr>
        <w:szCs w:val="22"/>
      </w:rPr>
    </w:pPr>
    <w:r>
      <w:rPr>
        <w:szCs w:val="22"/>
      </w:rPr>
      <w:t>`</w:t>
    </w:r>
  </w:p>
  <w:p w:rsidR="009C0B03" w:rsidRPr="00FE1940" w:rsidRDefault="009C0B03"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val="en-GB" w:eastAsia="en-GB"/>
      </w:rPr>
      <w:drawing>
        <wp:anchor distT="0" distB="0" distL="114300" distR="114300" simplePos="0" relativeHeight="251658247" behindDoc="1" locked="0" layoutInCell="1" allowOverlap="1" wp14:anchorId="5FA51F8C" wp14:editId="5CB8166C">
          <wp:simplePos x="0" y="0"/>
          <wp:positionH relativeFrom="column">
            <wp:align>left</wp:align>
          </wp:positionH>
          <wp:positionV relativeFrom="paragraph">
            <wp:posOffset>-10795</wp:posOffset>
          </wp:positionV>
          <wp:extent cx="6400800" cy="344170"/>
          <wp:effectExtent l="19050" t="0" r="0" b="0"/>
          <wp:wrapNone/>
          <wp:docPr id="1620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871C3E">
      <w:rPr>
        <w:rStyle w:val="PageNumber"/>
        <w:rFonts w:ascii="Arial" w:hAnsi="Arial" w:cs="Arial"/>
        <w:b/>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b/>
        <w:color w:val="003B79"/>
      </w:rPr>
      <w:fldChar w:fldCharType="separate"/>
    </w:r>
    <w:r w:rsidR="00824CF7">
      <w:rPr>
        <w:rStyle w:val="PageNumber"/>
        <w:rFonts w:ascii="Arial" w:hAnsi="Arial" w:cs="Arial"/>
        <w:noProof/>
        <w:color w:val="003B79"/>
      </w:rPr>
      <w:t>33</w:t>
    </w:r>
    <w:r w:rsidRPr="00871C3E">
      <w:rPr>
        <w:rStyle w:val="PageNumber"/>
        <w:rFonts w:ascii="Arial" w:hAnsi="Arial" w:cs="Arial"/>
        <w:b/>
        <w:color w:val="003B79"/>
      </w:rPr>
      <w:fldChar w:fldCharType="end"/>
    </w:r>
  </w:p>
  <w:p w:rsidR="009C0B03" w:rsidRPr="0072219B" w:rsidRDefault="009C0B03" w:rsidP="00DC267C">
    <w:pPr>
      <w:pStyle w:val="Footer"/>
      <w:rPr>
        <w:szCs w:val="22"/>
      </w:rPr>
    </w:pPr>
  </w:p>
  <w:p w:rsidR="009C0B03" w:rsidRPr="005F7D46" w:rsidRDefault="009C0B03" w:rsidP="00DC267C">
    <w:pPr>
      <w:pStyle w:val="Footer"/>
      <w:tabs>
        <w:tab w:val="clear" w:pos="4320"/>
        <w:tab w:val="center" w:pos="4111"/>
        <w:tab w:val="right" w:pos="9923"/>
      </w:tabs>
      <w:ind w:left="-142"/>
      <w:rPr>
        <w:szCs w:val="22"/>
      </w:rPr>
    </w:pPr>
  </w:p>
  <w:p w:rsidR="009C0B03" w:rsidRDefault="009C0B0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3E3" w:rsidRDefault="009023E3">
      <w:pPr>
        <w:spacing w:after="0" w:line="240" w:lineRule="auto"/>
      </w:pPr>
      <w:r>
        <w:separator/>
      </w:r>
    </w:p>
    <w:p w:rsidR="009023E3" w:rsidRDefault="009023E3"/>
  </w:footnote>
  <w:footnote w:type="continuationSeparator" w:id="0">
    <w:p w:rsidR="009023E3" w:rsidRDefault="009023E3">
      <w:pPr>
        <w:spacing w:after="0" w:line="240" w:lineRule="auto"/>
      </w:pPr>
      <w:r>
        <w:continuationSeparator/>
      </w:r>
    </w:p>
    <w:p w:rsidR="009023E3" w:rsidRDefault="009023E3"/>
  </w:footnote>
  <w:footnote w:type="continuationNotice" w:id="1">
    <w:p w:rsidR="009023E3" w:rsidRDefault="009023E3">
      <w:pPr>
        <w:spacing w:after="0" w:line="240" w:lineRule="auto"/>
      </w:pPr>
    </w:p>
    <w:p w:rsidR="009023E3" w:rsidRDefault="009023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4E5F8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79" o:spid="_x0000_s2050" type="#_x0000_t136" style="position:absolute;margin-left:0;margin-top:0;width:454.5pt;height:181.8pt;rotation:315;z-index:-2516019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6D3480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8" o:spid="_x0000_s2059" type="#_x0000_t136" style="position:absolute;margin-left:0;margin-top:0;width:454.5pt;height:181.8pt;rotation:315;z-index:-2515834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Pr="00862481" w:rsidRDefault="009C0B03" w:rsidP="00DC267C">
    <w:pPr>
      <w:pStyle w:val="Header"/>
      <w:tabs>
        <w:tab w:val="clear" w:pos="8640"/>
        <w:tab w:val="right" w:pos="9923"/>
      </w:tabs>
      <w:ind w:left="-3420" w:right="-285"/>
      <w:jc w:val="right"/>
      <w:rPr>
        <w:rFonts w:ascii="Arial" w:hAnsi="Arial" w:cs="Arial"/>
        <w:b/>
        <w:color w:val="5C89BF"/>
        <w:sz w:val="18"/>
        <w:szCs w:val="18"/>
      </w:rPr>
    </w:pPr>
    <w:r>
      <w:rPr>
        <w:noProof/>
      </w:rPr>
      <w:pict w14:anchorId="57E284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9" o:spid="_x0000_s2060" type="#_x0000_t136" style="position:absolute;left:0;text-align:left;margin-left:0;margin-top:0;width:454.5pt;height:181.8pt;rotation:315;z-index:-2515814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ascii="Arial" w:hAnsi="Arial" w:cs="Arial"/>
        <w:b/>
        <w:color w:val="5C89BF"/>
        <w:sz w:val="18"/>
        <w:szCs w:val="18"/>
      </w:rPr>
      <w:t xml:space="preserve">Management report </w:t>
    </w:r>
    <w:r w:rsidRPr="0077659B">
      <w:rPr>
        <w:rFonts w:ascii="Arial" w:hAnsi="Arial" w:cs="Arial"/>
        <w:b/>
        <w:color w:val="5C89BF"/>
        <w:sz w:val="18"/>
        <w:szCs w:val="18"/>
      </w:rPr>
      <w:t xml:space="preserve">of </w:t>
    </w:r>
    <w:r>
      <w:rPr>
        <w:rFonts w:ascii="Arial" w:hAnsi="Arial" w:cs="Arial"/>
        <w:b/>
        <w:color w:val="5C89BF"/>
        <w:sz w:val="18"/>
        <w:szCs w:val="18"/>
      </w:rPr>
      <w:t>DPWI</w:t>
    </w:r>
  </w:p>
  <w:p w:rsidR="009C0B03" w:rsidRPr="008F2827" w:rsidRDefault="009C0B03"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23424" behindDoc="0" locked="0" layoutInCell="1" allowOverlap="1" wp14:anchorId="2707721E" wp14:editId="63B1A0A5">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DEF58" id="Line 9" o:spid="_x0000_s1026" style="position:absolute;z-index:251623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0A5A7C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7" o:spid="_x0000_s2058" type="#_x0000_t136" style="position:absolute;margin-left:0;margin-top:0;width:454.5pt;height:181.8pt;rotation:315;z-index:-2515855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2EDF0D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94" o:spid="_x0000_s2065" type="#_x0000_t136" style="position:absolute;margin-left:0;margin-top:0;width:454.5pt;height:181.8pt;rotation:315;z-index:-2515712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rsidP="00DC267C">
    <w:pPr>
      <w:pStyle w:val="Header"/>
      <w:ind w:left="-142" w:right="6"/>
      <w:rPr>
        <w:b/>
        <w:color w:val="022B69"/>
        <w:sz w:val="16"/>
        <w:szCs w:val="16"/>
      </w:rPr>
    </w:pPr>
    <w:r>
      <w:rPr>
        <w:noProof/>
      </w:rPr>
      <w:pict w14:anchorId="709B45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95" o:spid="_x0000_s2066" type="#_x0000_t136" style="position:absolute;left:0;text-align:left;margin-left:0;margin-top:0;width:454.5pt;height:181.8pt;rotation:315;z-index:-2515691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rsidR="009C0B03" w:rsidRPr="00862481" w:rsidRDefault="009C0B03"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rsidR="009C0B03" w:rsidRPr="008F2827" w:rsidRDefault="009C0B03"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58246" behindDoc="0" locked="0" layoutInCell="1" allowOverlap="1" wp14:anchorId="29EE2509" wp14:editId="300F8D1B">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92392"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5C039F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93" o:spid="_x0000_s2064" type="#_x0000_t136" style="position:absolute;margin-left:0;margin-top:0;width:454.5pt;height:181.8pt;rotation:315;z-index:-2515732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Pr="002D3B5F" w:rsidRDefault="009C0B03" w:rsidP="00DC267C">
    <w:pPr>
      <w:pStyle w:val="Header"/>
    </w:pPr>
    <w:r>
      <w:rPr>
        <w:noProof/>
      </w:rPr>
      <w:pict w14:anchorId="207F25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0" o:spid="_x0000_s2051" type="#_x0000_t136" style="position:absolute;margin-left:0;margin-top:0;width:454.5pt;height:181.8pt;rotation:315;z-index:-2515998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lang w:val="en-GB" w:eastAsia="en-GB"/>
      </w:rPr>
      <w:drawing>
        <wp:inline distT="0" distB="0" distL="0" distR="0" wp14:anchorId="13D15F00" wp14:editId="6236404A">
          <wp:extent cx="6283960" cy="1062990"/>
          <wp:effectExtent l="19050" t="0" r="2540" b="0"/>
          <wp:docPr id="20"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rsidP="00475D5A">
    <w:pPr>
      <w:pStyle w:val="Header"/>
      <w:ind w:left="-142" w:right="6"/>
      <w:rPr>
        <w:b/>
        <w:color w:val="022B69"/>
        <w:sz w:val="16"/>
        <w:szCs w:val="16"/>
      </w:rPr>
    </w:pPr>
    <w:r>
      <w:rPr>
        <w:noProof/>
      </w:rPr>
      <w:pict w14:anchorId="499759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78" o:spid="_x0000_s2049" type="#_x0000_t136" style="position:absolute;left:0;text-align:left;margin-left:0;margin-top:0;width:454.5pt;height:181.8pt;rotation:315;z-index:-2516039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rsidR="009C0B03" w:rsidRPr="00862481" w:rsidRDefault="009C0B03" w:rsidP="00475D5A">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rsidR="009C0B03" w:rsidRDefault="009C0B03" w:rsidP="00871C3E">
    <w:pPr>
      <w:pStyle w:val="Header"/>
      <w:ind w:left="-142" w:right="6"/>
    </w:pPr>
    <w:r>
      <w:rPr>
        <w:noProof/>
        <w:lang w:val="en-GB" w:eastAsia="en-GB"/>
      </w:rPr>
      <mc:AlternateContent>
        <mc:Choice Requires="wps">
          <w:drawing>
            <wp:anchor distT="4294967295" distB="4294967295" distL="114300" distR="114300" simplePos="0" relativeHeight="251710464" behindDoc="0" locked="0" layoutInCell="1" allowOverlap="1" wp14:anchorId="6A66A68B" wp14:editId="7F1013B6">
              <wp:simplePos x="0" y="0"/>
              <wp:positionH relativeFrom="column">
                <wp:align>left</wp:align>
              </wp:positionH>
              <wp:positionV relativeFrom="paragraph">
                <wp:posOffset>17144</wp:posOffset>
              </wp:positionV>
              <wp:extent cx="6400800" cy="0"/>
              <wp:effectExtent l="0" t="0" r="19050" b="19050"/>
              <wp:wrapNone/>
              <wp:docPr id="162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AD1F7" id="Line 12" o:spid="_x0000_s1026" style="position:absolute;z-index:25171046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qc4ZeBgCAAAuBAAADgAAAAAAAAAAAAAAAAAuAgAAZHJzL2Uyb0RvYy54bWxQSwECLQAUAAYACAAA&#10;ACEA97ynm9oAAAAFAQAADwAAAAAAAAAAAAAAAAByBAAAZHJzL2Rvd25yZXYueG1sUEsFBgAAAAAE&#10;AAQA8wAAAHkFAAAAAA==&#10;" strokecolor="#003b79"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02BE96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2" o:spid="_x0000_s2053" type="#_x0000_t136" style="position:absolute;margin-left:0;margin-top:0;width:454.5pt;height:181.8pt;rotation:315;z-index:-251595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Pr="00862481" w:rsidRDefault="009C0B03" w:rsidP="00DC267C">
    <w:pPr>
      <w:pStyle w:val="Header"/>
      <w:tabs>
        <w:tab w:val="clear" w:pos="8640"/>
        <w:tab w:val="right" w:pos="9923"/>
      </w:tabs>
      <w:ind w:left="-3420" w:right="-285"/>
      <w:jc w:val="right"/>
      <w:rPr>
        <w:rFonts w:ascii="Arial" w:hAnsi="Arial" w:cs="Arial"/>
        <w:b/>
        <w:color w:val="5C89BF"/>
        <w:sz w:val="18"/>
        <w:szCs w:val="18"/>
      </w:rPr>
    </w:pPr>
    <w:r>
      <w:rPr>
        <w:noProof/>
      </w:rPr>
      <w:pict w14:anchorId="107979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3" o:spid="_x0000_s2054" type="#_x0000_t136" style="position:absolute;left:0;text-align:left;margin-left:0;margin-top:0;width:454.5pt;height:181.8pt;rotation:315;z-index:-251593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ascii="Arial" w:hAnsi="Arial" w:cs="Arial"/>
        <w:b/>
        <w:color w:val="5C89BF"/>
        <w:sz w:val="18"/>
        <w:szCs w:val="18"/>
      </w:rPr>
      <w:t>Management report of DPWI</w:t>
    </w:r>
  </w:p>
  <w:p w:rsidR="009C0B03" w:rsidRPr="008F2827" w:rsidRDefault="009C0B03"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44928" behindDoc="0" locked="0" layoutInCell="1" allowOverlap="1" wp14:anchorId="5689D849" wp14:editId="013B39D2">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1DA8F" id="Line 9" o:spid="_x0000_s1026" style="position:absolute;z-index:2516449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5FF3F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1" o:spid="_x0000_s2052" type="#_x0000_t136" style="position:absolute;margin-left:0;margin-top:0;width:454.5pt;height:181.8pt;rotation:315;z-index:-2515978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42882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5" o:spid="_x0000_s2056" type="#_x0000_t136" style="position:absolute;margin-left:0;margin-top:0;width:454.5pt;height:181.8pt;rotation:315;z-index:-2515896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Pr="00862481" w:rsidRDefault="009C0B03" w:rsidP="00DC267C">
    <w:pPr>
      <w:pStyle w:val="Header"/>
      <w:tabs>
        <w:tab w:val="clear" w:pos="8640"/>
        <w:tab w:val="right" w:pos="9923"/>
      </w:tabs>
      <w:ind w:left="-3420" w:right="-285"/>
      <w:jc w:val="right"/>
      <w:rPr>
        <w:rFonts w:ascii="Arial" w:hAnsi="Arial" w:cs="Arial"/>
        <w:b/>
        <w:color w:val="5C89BF"/>
        <w:sz w:val="18"/>
        <w:szCs w:val="18"/>
      </w:rPr>
    </w:pPr>
    <w:r>
      <w:rPr>
        <w:noProof/>
      </w:rPr>
      <w:pict w14:anchorId="39ED41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6" o:spid="_x0000_s2057" type="#_x0000_t136" style="position:absolute;left:0;text-align:left;margin-left:0;margin-top:0;width:454.5pt;height:181.8pt;rotation:315;z-index:-2515875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ascii="Arial" w:hAnsi="Arial" w:cs="Arial"/>
        <w:b/>
        <w:color w:val="5C89BF"/>
        <w:sz w:val="18"/>
        <w:szCs w:val="18"/>
      </w:rPr>
      <w:t xml:space="preserve">Management report of </w:t>
    </w:r>
    <w:r w:rsidRPr="0077659B">
      <w:rPr>
        <w:rFonts w:ascii="Arial" w:hAnsi="Arial" w:cs="Arial"/>
        <w:b/>
        <w:color w:val="5C89BF"/>
        <w:sz w:val="18"/>
        <w:szCs w:val="18"/>
      </w:rPr>
      <w:t>[insert name of auditee]</w:t>
    </w:r>
  </w:p>
  <w:p w:rsidR="009C0B03" w:rsidRPr="008F2827" w:rsidRDefault="009C0B03"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60288" behindDoc="0" locked="0" layoutInCell="1" allowOverlap="1" wp14:anchorId="3205BBBF" wp14:editId="210063F5">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D5D76"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03" w:rsidRDefault="009C0B03">
    <w:pPr>
      <w:pStyle w:val="Header"/>
    </w:pPr>
    <w:r>
      <w:rPr>
        <w:noProof/>
      </w:rPr>
      <w:pict w14:anchorId="78A2E5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0584" o:spid="_x0000_s2055" type="#_x0000_t136" style="position:absolute;margin-left:0;margin-top:0;width:454.5pt;height:181.8pt;rotation:315;z-index:-2515916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0.2pt;height:2in" o:bullet="t">
        <v:imagedata r:id="rId1" o:title="MC900293188[1]"/>
      </v:shape>
    </w:pict>
  </w:numPicBullet>
  <w:numPicBullet w:numPicBulletId="1">
    <w:pict>
      <v:shape id="_x0000_i1049" type="#_x0000_t75" style="width:120pt;height:140.2pt" o:bullet="t">
        <v:imagedata r:id="rId2" o:title="MC900239461[1]"/>
      </v:shape>
    </w:pict>
  </w:numPicBullet>
  <w:abstractNum w:abstractNumId="0"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4" w15:restartNumberingAfterBreak="0">
    <w:nsid w:val="1ED51B2C"/>
    <w:multiLevelType w:val="hybridMultilevel"/>
    <w:tmpl w:val="2C9E314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5B9636F"/>
    <w:multiLevelType w:val="hybridMultilevel"/>
    <w:tmpl w:val="9964014E"/>
    <w:lvl w:ilvl="0" w:tplc="69CC0FDC">
      <w:start w:val="14"/>
      <w:numFmt w:val="decimal"/>
      <w:lvlText w:val="%1."/>
      <w:lvlJc w:val="left"/>
      <w:pPr>
        <w:ind w:left="1212" w:hanging="360"/>
      </w:pPr>
      <w:rPr>
        <w:rFonts w:hint="default"/>
        <w:b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96A10C4"/>
    <w:multiLevelType w:val="hybridMultilevel"/>
    <w:tmpl w:val="C6C2BB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2D2C332B"/>
    <w:multiLevelType w:val="hybridMultilevel"/>
    <w:tmpl w:val="8B2481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9D272F9"/>
    <w:multiLevelType w:val="hybridMultilevel"/>
    <w:tmpl w:val="F6629C44"/>
    <w:lvl w:ilvl="0" w:tplc="1C090001">
      <w:start w:val="1"/>
      <w:numFmt w:val="bullet"/>
      <w:lvlText w:val=""/>
      <w:lvlJc w:val="left"/>
      <w:pPr>
        <w:ind w:left="927" w:hanging="360"/>
      </w:pPr>
      <w:rPr>
        <w:rFonts w:ascii="Symbol" w:hAnsi="Symbol" w:hint="default"/>
        <w:b w:val="0"/>
        <w:color w:val="auto"/>
      </w:rPr>
    </w:lvl>
    <w:lvl w:ilvl="1" w:tplc="1C090001">
      <w:start w:val="1"/>
      <w:numFmt w:val="bullet"/>
      <w:lvlText w:val=""/>
      <w:lvlJc w:val="left"/>
      <w:pPr>
        <w:ind w:left="1155" w:hanging="360"/>
      </w:pPr>
      <w:rPr>
        <w:rFonts w:ascii="Symbol" w:hAnsi="Symbol" w:hint="default"/>
      </w:rPr>
    </w:lvl>
    <w:lvl w:ilvl="2" w:tplc="1C09001B" w:tentative="1">
      <w:start w:val="1"/>
      <w:numFmt w:val="lowerRoman"/>
      <w:lvlText w:val="%3."/>
      <w:lvlJc w:val="right"/>
      <w:pPr>
        <w:ind w:left="1875" w:hanging="180"/>
      </w:pPr>
    </w:lvl>
    <w:lvl w:ilvl="3" w:tplc="1C09000F" w:tentative="1">
      <w:start w:val="1"/>
      <w:numFmt w:val="decimal"/>
      <w:lvlText w:val="%4."/>
      <w:lvlJc w:val="left"/>
      <w:pPr>
        <w:ind w:left="2595" w:hanging="360"/>
      </w:pPr>
    </w:lvl>
    <w:lvl w:ilvl="4" w:tplc="1C090019" w:tentative="1">
      <w:start w:val="1"/>
      <w:numFmt w:val="lowerLetter"/>
      <w:lvlText w:val="%5."/>
      <w:lvlJc w:val="left"/>
      <w:pPr>
        <w:ind w:left="3315" w:hanging="360"/>
      </w:pPr>
    </w:lvl>
    <w:lvl w:ilvl="5" w:tplc="1C09001B" w:tentative="1">
      <w:start w:val="1"/>
      <w:numFmt w:val="lowerRoman"/>
      <w:lvlText w:val="%6."/>
      <w:lvlJc w:val="right"/>
      <w:pPr>
        <w:ind w:left="4035" w:hanging="180"/>
      </w:pPr>
    </w:lvl>
    <w:lvl w:ilvl="6" w:tplc="1C09000F" w:tentative="1">
      <w:start w:val="1"/>
      <w:numFmt w:val="decimal"/>
      <w:lvlText w:val="%7."/>
      <w:lvlJc w:val="left"/>
      <w:pPr>
        <w:ind w:left="4755" w:hanging="360"/>
      </w:pPr>
    </w:lvl>
    <w:lvl w:ilvl="7" w:tplc="1C090019" w:tentative="1">
      <w:start w:val="1"/>
      <w:numFmt w:val="lowerLetter"/>
      <w:lvlText w:val="%8."/>
      <w:lvlJc w:val="left"/>
      <w:pPr>
        <w:ind w:left="5475" w:hanging="360"/>
      </w:pPr>
    </w:lvl>
    <w:lvl w:ilvl="8" w:tplc="1C09001B" w:tentative="1">
      <w:start w:val="1"/>
      <w:numFmt w:val="lowerRoman"/>
      <w:lvlText w:val="%9."/>
      <w:lvlJc w:val="right"/>
      <w:pPr>
        <w:ind w:left="6195" w:hanging="180"/>
      </w:pPr>
    </w:lvl>
  </w:abstractNum>
  <w:abstractNum w:abstractNumId="13"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5480778C"/>
    <w:multiLevelType w:val="hybridMultilevel"/>
    <w:tmpl w:val="26BAF2D0"/>
    <w:lvl w:ilvl="0" w:tplc="1C090001">
      <w:start w:val="1"/>
      <w:numFmt w:val="bullet"/>
      <w:lvlText w:val=""/>
      <w:lvlJc w:val="left"/>
      <w:pPr>
        <w:ind w:left="927" w:hanging="360"/>
      </w:pPr>
      <w:rPr>
        <w:rFonts w:ascii="Symbol" w:hAnsi="Symbol" w:hint="default"/>
      </w:rPr>
    </w:lvl>
    <w:lvl w:ilvl="1" w:tplc="1C090019" w:tentative="1">
      <w:start w:val="1"/>
      <w:numFmt w:val="lowerLetter"/>
      <w:lvlText w:val="%2."/>
      <w:lvlJc w:val="left"/>
      <w:pPr>
        <w:ind w:left="1527" w:hanging="360"/>
      </w:pPr>
    </w:lvl>
    <w:lvl w:ilvl="2" w:tplc="1C09001B" w:tentative="1">
      <w:start w:val="1"/>
      <w:numFmt w:val="lowerRoman"/>
      <w:lvlText w:val="%3."/>
      <w:lvlJc w:val="right"/>
      <w:pPr>
        <w:ind w:left="2247" w:hanging="180"/>
      </w:pPr>
    </w:lvl>
    <w:lvl w:ilvl="3" w:tplc="1C09000F" w:tentative="1">
      <w:start w:val="1"/>
      <w:numFmt w:val="decimal"/>
      <w:lvlText w:val="%4."/>
      <w:lvlJc w:val="left"/>
      <w:pPr>
        <w:ind w:left="2967" w:hanging="360"/>
      </w:pPr>
    </w:lvl>
    <w:lvl w:ilvl="4" w:tplc="1C090019" w:tentative="1">
      <w:start w:val="1"/>
      <w:numFmt w:val="lowerLetter"/>
      <w:lvlText w:val="%5."/>
      <w:lvlJc w:val="left"/>
      <w:pPr>
        <w:ind w:left="3687" w:hanging="360"/>
      </w:pPr>
    </w:lvl>
    <w:lvl w:ilvl="5" w:tplc="1C09001B" w:tentative="1">
      <w:start w:val="1"/>
      <w:numFmt w:val="lowerRoman"/>
      <w:lvlText w:val="%6."/>
      <w:lvlJc w:val="right"/>
      <w:pPr>
        <w:ind w:left="4407" w:hanging="180"/>
      </w:pPr>
    </w:lvl>
    <w:lvl w:ilvl="6" w:tplc="1C09000F" w:tentative="1">
      <w:start w:val="1"/>
      <w:numFmt w:val="decimal"/>
      <w:lvlText w:val="%7."/>
      <w:lvlJc w:val="left"/>
      <w:pPr>
        <w:ind w:left="5127" w:hanging="360"/>
      </w:pPr>
    </w:lvl>
    <w:lvl w:ilvl="7" w:tplc="1C090019" w:tentative="1">
      <w:start w:val="1"/>
      <w:numFmt w:val="lowerLetter"/>
      <w:lvlText w:val="%8."/>
      <w:lvlJc w:val="left"/>
      <w:pPr>
        <w:ind w:left="5847" w:hanging="360"/>
      </w:pPr>
    </w:lvl>
    <w:lvl w:ilvl="8" w:tplc="1C09001B" w:tentative="1">
      <w:start w:val="1"/>
      <w:numFmt w:val="lowerRoman"/>
      <w:lvlText w:val="%9."/>
      <w:lvlJc w:val="right"/>
      <w:pPr>
        <w:ind w:left="6567" w:hanging="180"/>
      </w:pPr>
    </w:lvl>
  </w:abstractNum>
  <w:abstractNum w:abstractNumId="16" w15:restartNumberingAfterBreak="0">
    <w:nsid w:val="55F31092"/>
    <w:multiLevelType w:val="hybridMultilevel"/>
    <w:tmpl w:val="C34605A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61E732C6"/>
    <w:multiLevelType w:val="hybridMultilevel"/>
    <w:tmpl w:val="42F64DB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15:restartNumberingAfterBreak="0">
    <w:nsid w:val="661F7200"/>
    <w:multiLevelType w:val="hybridMultilevel"/>
    <w:tmpl w:val="088AFA76"/>
    <w:lvl w:ilvl="0" w:tplc="4BCC2EC0">
      <w:start w:val="1"/>
      <w:numFmt w:val="decimal"/>
      <w:lvlText w:val="%1."/>
      <w:lvlJc w:val="left"/>
      <w:pPr>
        <w:ind w:left="360" w:hanging="360"/>
      </w:pPr>
      <w:rPr>
        <w:rFonts w:hint="default"/>
        <w:i w:val="0"/>
      </w:rPr>
    </w:lvl>
    <w:lvl w:ilvl="1" w:tplc="1C090019">
      <w:start w:val="1"/>
      <w:numFmt w:val="lowerLetter"/>
      <w:lvlText w:val="%2."/>
      <w:lvlJc w:val="left"/>
      <w:pPr>
        <w:ind w:left="960" w:hanging="360"/>
      </w:pPr>
    </w:lvl>
    <w:lvl w:ilvl="2" w:tplc="1C09001B" w:tentative="1">
      <w:start w:val="1"/>
      <w:numFmt w:val="lowerRoman"/>
      <w:lvlText w:val="%3."/>
      <w:lvlJc w:val="right"/>
      <w:pPr>
        <w:ind w:left="1680" w:hanging="180"/>
      </w:pPr>
    </w:lvl>
    <w:lvl w:ilvl="3" w:tplc="1C09000F" w:tentative="1">
      <w:start w:val="1"/>
      <w:numFmt w:val="decimal"/>
      <w:lvlText w:val="%4."/>
      <w:lvlJc w:val="left"/>
      <w:pPr>
        <w:ind w:left="2400" w:hanging="360"/>
      </w:pPr>
    </w:lvl>
    <w:lvl w:ilvl="4" w:tplc="1C090019" w:tentative="1">
      <w:start w:val="1"/>
      <w:numFmt w:val="lowerLetter"/>
      <w:lvlText w:val="%5."/>
      <w:lvlJc w:val="left"/>
      <w:pPr>
        <w:ind w:left="3120" w:hanging="360"/>
      </w:pPr>
    </w:lvl>
    <w:lvl w:ilvl="5" w:tplc="1C09001B" w:tentative="1">
      <w:start w:val="1"/>
      <w:numFmt w:val="lowerRoman"/>
      <w:lvlText w:val="%6."/>
      <w:lvlJc w:val="right"/>
      <w:pPr>
        <w:ind w:left="3840" w:hanging="180"/>
      </w:pPr>
    </w:lvl>
    <w:lvl w:ilvl="6" w:tplc="1C09000F" w:tentative="1">
      <w:start w:val="1"/>
      <w:numFmt w:val="decimal"/>
      <w:lvlText w:val="%7."/>
      <w:lvlJc w:val="left"/>
      <w:pPr>
        <w:ind w:left="4560" w:hanging="360"/>
      </w:pPr>
    </w:lvl>
    <w:lvl w:ilvl="7" w:tplc="1C090019" w:tentative="1">
      <w:start w:val="1"/>
      <w:numFmt w:val="lowerLetter"/>
      <w:lvlText w:val="%8."/>
      <w:lvlJc w:val="left"/>
      <w:pPr>
        <w:ind w:left="5280" w:hanging="360"/>
      </w:pPr>
    </w:lvl>
    <w:lvl w:ilvl="8" w:tplc="1C09001B" w:tentative="1">
      <w:start w:val="1"/>
      <w:numFmt w:val="lowerRoman"/>
      <w:lvlText w:val="%9."/>
      <w:lvlJc w:val="right"/>
      <w:pPr>
        <w:ind w:left="6000" w:hanging="180"/>
      </w:pPr>
    </w:lvl>
  </w:abstractNum>
  <w:abstractNum w:abstractNumId="21" w15:restartNumberingAfterBreak="0">
    <w:nsid w:val="68B405AB"/>
    <w:multiLevelType w:val="hybridMultilevel"/>
    <w:tmpl w:val="546C34A6"/>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23" w15:restartNumberingAfterBreak="0">
    <w:nsid w:val="6BF74303"/>
    <w:multiLevelType w:val="hybridMultilevel"/>
    <w:tmpl w:val="D1ECEC98"/>
    <w:lvl w:ilvl="0" w:tplc="1C090001">
      <w:start w:val="1"/>
      <w:numFmt w:val="bullet"/>
      <w:lvlText w:val=""/>
      <w:lvlJc w:val="left"/>
      <w:pPr>
        <w:ind w:left="927" w:hanging="360"/>
      </w:pPr>
      <w:rPr>
        <w:rFonts w:ascii="Symbol" w:hAnsi="Symbol" w:hint="default"/>
      </w:rPr>
    </w:lvl>
    <w:lvl w:ilvl="1" w:tplc="1C090003">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24" w15:restartNumberingAfterBreak="0">
    <w:nsid w:val="6C3D3EE5"/>
    <w:multiLevelType w:val="hybridMultilevel"/>
    <w:tmpl w:val="8BE4435C"/>
    <w:lvl w:ilvl="0" w:tplc="B0AE96B2">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1DE17CD"/>
    <w:multiLevelType w:val="hybridMultilevel"/>
    <w:tmpl w:val="80BC200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7F0666F0"/>
    <w:multiLevelType w:val="hybridMultilevel"/>
    <w:tmpl w:val="088AFA76"/>
    <w:lvl w:ilvl="0" w:tplc="4BCC2EC0">
      <w:start w:val="1"/>
      <w:numFmt w:val="decimal"/>
      <w:lvlText w:val="%1."/>
      <w:lvlJc w:val="left"/>
      <w:pPr>
        <w:ind w:left="360" w:hanging="360"/>
      </w:pPr>
      <w:rPr>
        <w:rFonts w:hint="default"/>
        <w:i w:val="0"/>
      </w:rPr>
    </w:lvl>
    <w:lvl w:ilvl="1" w:tplc="1C090019">
      <w:start w:val="1"/>
      <w:numFmt w:val="lowerLetter"/>
      <w:lvlText w:val="%2."/>
      <w:lvlJc w:val="left"/>
      <w:pPr>
        <w:ind w:left="960" w:hanging="360"/>
      </w:pPr>
    </w:lvl>
    <w:lvl w:ilvl="2" w:tplc="1C09001B" w:tentative="1">
      <w:start w:val="1"/>
      <w:numFmt w:val="lowerRoman"/>
      <w:lvlText w:val="%3."/>
      <w:lvlJc w:val="right"/>
      <w:pPr>
        <w:ind w:left="1680" w:hanging="180"/>
      </w:pPr>
    </w:lvl>
    <w:lvl w:ilvl="3" w:tplc="1C09000F" w:tentative="1">
      <w:start w:val="1"/>
      <w:numFmt w:val="decimal"/>
      <w:lvlText w:val="%4."/>
      <w:lvlJc w:val="left"/>
      <w:pPr>
        <w:ind w:left="2400" w:hanging="360"/>
      </w:pPr>
    </w:lvl>
    <w:lvl w:ilvl="4" w:tplc="1C090019" w:tentative="1">
      <w:start w:val="1"/>
      <w:numFmt w:val="lowerLetter"/>
      <w:lvlText w:val="%5."/>
      <w:lvlJc w:val="left"/>
      <w:pPr>
        <w:ind w:left="3120" w:hanging="360"/>
      </w:pPr>
    </w:lvl>
    <w:lvl w:ilvl="5" w:tplc="1C09001B" w:tentative="1">
      <w:start w:val="1"/>
      <w:numFmt w:val="lowerRoman"/>
      <w:lvlText w:val="%6."/>
      <w:lvlJc w:val="right"/>
      <w:pPr>
        <w:ind w:left="3840" w:hanging="180"/>
      </w:pPr>
    </w:lvl>
    <w:lvl w:ilvl="6" w:tplc="1C09000F" w:tentative="1">
      <w:start w:val="1"/>
      <w:numFmt w:val="decimal"/>
      <w:lvlText w:val="%7."/>
      <w:lvlJc w:val="left"/>
      <w:pPr>
        <w:ind w:left="4560" w:hanging="360"/>
      </w:pPr>
    </w:lvl>
    <w:lvl w:ilvl="7" w:tplc="1C090019" w:tentative="1">
      <w:start w:val="1"/>
      <w:numFmt w:val="lowerLetter"/>
      <w:lvlText w:val="%8."/>
      <w:lvlJc w:val="left"/>
      <w:pPr>
        <w:ind w:left="5280" w:hanging="360"/>
      </w:pPr>
    </w:lvl>
    <w:lvl w:ilvl="8" w:tplc="1C09001B" w:tentative="1">
      <w:start w:val="1"/>
      <w:numFmt w:val="lowerRoman"/>
      <w:lvlText w:val="%9."/>
      <w:lvlJc w:val="right"/>
      <w:pPr>
        <w:ind w:left="6000" w:hanging="180"/>
      </w:pPr>
    </w:lvl>
  </w:abstractNum>
  <w:num w:numId="1">
    <w:abstractNumId w:val="1"/>
  </w:num>
  <w:num w:numId="2">
    <w:abstractNumId w:val="14"/>
  </w:num>
  <w:num w:numId="3">
    <w:abstractNumId w:val="2"/>
  </w:num>
  <w:num w:numId="4">
    <w:abstractNumId w:val="18"/>
  </w:num>
  <w:num w:numId="5">
    <w:abstractNumId w:val="10"/>
  </w:num>
  <w:num w:numId="6">
    <w:abstractNumId w:val="0"/>
  </w:num>
  <w:num w:numId="7">
    <w:abstractNumId w:val="3"/>
  </w:num>
  <w:num w:numId="8">
    <w:abstractNumId w:val="17"/>
  </w:num>
  <w:num w:numId="9">
    <w:abstractNumId w:val="6"/>
  </w:num>
  <w:num w:numId="10">
    <w:abstractNumId w:val="22"/>
  </w:num>
  <w:num w:numId="11">
    <w:abstractNumId w:val="13"/>
  </w:num>
  <w:num w:numId="12">
    <w:abstractNumId w:val="8"/>
  </w:num>
  <w:num w:numId="13">
    <w:abstractNumId w:val="8"/>
    <w:lvlOverride w:ilvl="0">
      <w:startOverride w:val="1"/>
    </w:lvlOverride>
  </w:num>
  <w:num w:numId="14">
    <w:abstractNumId w:val="11"/>
  </w:num>
  <w:num w:numId="15">
    <w:abstractNumId w:val="9"/>
  </w:num>
  <w:num w:numId="16">
    <w:abstractNumId w:val="24"/>
  </w:num>
  <w:num w:numId="17">
    <w:abstractNumId w:val="26"/>
  </w:num>
  <w:num w:numId="18">
    <w:abstractNumId w:val="5"/>
  </w:num>
  <w:num w:numId="19">
    <w:abstractNumId w:val="23"/>
  </w:num>
  <w:num w:numId="20">
    <w:abstractNumId w:val="21"/>
  </w:num>
  <w:num w:numId="21">
    <w:abstractNumId w:val="12"/>
  </w:num>
  <w:num w:numId="22">
    <w:abstractNumId w:val="15"/>
  </w:num>
  <w:num w:numId="23">
    <w:abstractNumId w:val="25"/>
  </w:num>
  <w:num w:numId="24">
    <w:abstractNumId w:val="4"/>
  </w:num>
  <w:num w:numId="25">
    <w:abstractNumId w:val="7"/>
  </w:num>
  <w:num w:numId="26">
    <w:abstractNumId w:val="19"/>
  </w:num>
  <w:num w:numId="27">
    <w:abstractNumId w:val="16"/>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67"/>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yMTAwNzcyM7W0MDNT0lEKTi0uzszPAykwrAUAEjgVqiwAAAA="/>
  </w:docVars>
  <w:rsids>
    <w:rsidRoot w:val="00C22F2B"/>
    <w:rsid w:val="0000076A"/>
    <w:rsid w:val="000023CC"/>
    <w:rsid w:val="00002DCE"/>
    <w:rsid w:val="00003CFC"/>
    <w:rsid w:val="00004B71"/>
    <w:rsid w:val="00004EEF"/>
    <w:rsid w:val="0000704D"/>
    <w:rsid w:val="00007349"/>
    <w:rsid w:val="0001055D"/>
    <w:rsid w:val="0001057B"/>
    <w:rsid w:val="00010856"/>
    <w:rsid w:val="000120B9"/>
    <w:rsid w:val="00012C2F"/>
    <w:rsid w:val="00013575"/>
    <w:rsid w:val="000138B2"/>
    <w:rsid w:val="000142F4"/>
    <w:rsid w:val="00014678"/>
    <w:rsid w:val="00015DC0"/>
    <w:rsid w:val="0002110E"/>
    <w:rsid w:val="00021328"/>
    <w:rsid w:val="000226DC"/>
    <w:rsid w:val="000228EA"/>
    <w:rsid w:val="0002329F"/>
    <w:rsid w:val="00024EB0"/>
    <w:rsid w:val="000262C0"/>
    <w:rsid w:val="000279C6"/>
    <w:rsid w:val="00027ACC"/>
    <w:rsid w:val="00027E46"/>
    <w:rsid w:val="00027F5A"/>
    <w:rsid w:val="00030521"/>
    <w:rsid w:val="000338C5"/>
    <w:rsid w:val="00034830"/>
    <w:rsid w:val="00034834"/>
    <w:rsid w:val="00034B01"/>
    <w:rsid w:val="000351DC"/>
    <w:rsid w:val="000359DA"/>
    <w:rsid w:val="000376A9"/>
    <w:rsid w:val="000413D7"/>
    <w:rsid w:val="00041540"/>
    <w:rsid w:val="00041838"/>
    <w:rsid w:val="00041A54"/>
    <w:rsid w:val="00043E5C"/>
    <w:rsid w:val="0004644A"/>
    <w:rsid w:val="000504B9"/>
    <w:rsid w:val="00052817"/>
    <w:rsid w:val="000550D9"/>
    <w:rsid w:val="0005546A"/>
    <w:rsid w:val="000554E4"/>
    <w:rsid w:val="00056309"/>
    <w:rsid w:val="00056395"/>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1B5F"/>
    <w:rsid w:val="000830FF"/>
    <w:rsid w:val="0008437C"/>
    <w:rsid w:val="000844C5"/>
    <w:rsid w:val="000845F8"/>
    <w:rsid w:val="000847F8"/>
    <w:rsid w:val="00086009"/>
    <w:rsid w:val="00086A8C"/>
    <w:rsid w:val="00086EF1"/>
    <w:rsid w:val="00090E6D"/>
    <w:rsid w:val="00092B19"/>
    <w:rsid w:val="0009390C"/>
    <w:rsid w:val="000945A8"/>
    <w:rsid w:val="00095C41"/>
    <w:rsid w:val="00097070"/>
    <w:rsid w:val="000A2286"/>
    <w:rsid w:val="000A2E32"/>
    <w:rsid w:val="000A4B81"/>
    <w:rsid w:val="000A4DBD"/>
    <w:rsid w:val="000B0318"/>
    <w:rsid w:val="000B0E16"/>
    <w:rsid w:val="000B29B6"/>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E07E3"/>
    <w:rsid w:val="000E0E98"/>
    <w:rsid w:val="000E1486"/>
    <w:rsid w:val="000E2027"/>
    <w:rsid w:val="000E2C06"/>
    <w:rsid w:val="000E3B91"/>
    <w:rsid w:val="000E3CB5"/>
    <w:rsid w:val="000E4C0D"/>
    <w:rsid w:val="000E67CA"/>
    <w:rsid w:val="000E69B8"/>
    <w:rsid w:val="000E78E8"/>
    <w:rsid w:val="000F1F3A"/>
    <w:rsid w:val="000F2065"/>
    <w:rsid w:val="000F234E"/>
    <w:rsid w:val="000F388F"/>
    <w:rsid w:val="000F42B4"/>
    <w:rsid w:val="000F6788"/>
    <w:rsid w:val="00100242"/>
    <w:rsid w:val="00100392"/>
    <w:rsid w:val="001021B8"/>
    <w:rsid w:val="001025B2"/>
    <w:rsid w:val="00102C04"/>
    <w:rsid w:val="00103524"/>
    <w:rsid w:val="00103D1A"/>
    <w:rsid w:val="001075CC"/>
    <w:rsid w:val="00107930"/>
    <w:rsid w:val="00110109"/>
    <w:rsid w:val="00110DA1"/>
    <w:rsid w:val="00112ECF"/>
    <w:rsid w:val="0011316F"/>
    <w:rsid w:val="001131A9"/>
    <w:rsid w:val="00114A20"/>
    <w:rsid w:val="00114A35"/>
    <w:rsid w:val="001169D2"/>
    <w:rsid w:val="001174CC"/>
    <w:rsid w:val="00117C1A"/>
    <w:rsid w:val="00120D95"/>
    <w:rsid w:val="00121060"/>
    <w:rsid w:val="00121F7C"/>
    <w:rsid w:val="00122450"/>
    <w:rsid w:val="00123CE3"/>
    <w:rsid w:val="0012667F"/>
    <w:rsid w:val="00127D0D"/>
    <w:rsid w:val="001306D1"/>
    <w:rsid w:val="001324CE"/>
    <w:rsid w:val="00133E8C"/>
    <w:rsid w:val="00134BC8"/>
    <w:rsid w:val="00137334"/>
    <w:rsid w:val="00137450"/>
    <w:rsid w:val="0014262A"/>
    <w:rsid w:val="00143CDB"/>
    <w:rsid w:val="00145924"/>
    <w:rsid w:val="00146834"/>
    <w:rsid w:val="00147697"/>
    <w:rsid w:val="001500B7"/>
    <w:rsid w:val="001516CD"/>
    <w:rsid w:val="00152099"/>
    <w:rsid w:val="0015211F"/>
    <w:rsid w:val="001528F8"/>
    <w:rsid w:val="001529AE"/>
    <w:rsid w:val="0015343C"/>
    <w:rsid w:val="00153824"/>
    <w:rsid w:val="00153FF6"/>
    <w:rsid w:val="001574FC"/>
    <w:rsid w:val="0016007C"/>
    <w:rsid w:val="001603BD"/>
    <w:rsid w:val="00161CA6"/>
    <w:rsid w:val="00164F12"/>
    <w:rsid w:val="00170952"/>
    <w:rsid w:val="00170C11"/>
    <w:rsid w:val="001719ED"/>
    <w:rsid w:val="00171F56"/>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24F"/>
    <w:rsid w:val="001A362F"/>
    <w:rsid w:val="001A367B"/>
    <w:rsid w:val="001A3789"/>
    <w:rsid w:val="001A387D"/>
    <w:rsid w:val="001A4272"/>
    <w:rsid w:val="001A57BD"/>
    <w:rsid w:val="001A69E5"/>
    <w:rsid w:val="001A771C"/>
    <w:rsid w:val="001A776D"/>
    <w:rsid w:val="001B02F2"/>
    <w:rsid w:val="001B12C6"/>
    <w:rsid w:val="001B1624"/>
    <w:rsid w:val="001B3005"/>
    <w:rsid w:val="001B4871"/>
    <w:rsid w:val="001B4941"/>
    <w:rsid w:val="001B50CE"/>
    <w:rsid w:val="001B60AA"/>
    <w:rsid w:val="001B6284"/>
    <w:rsid w:val="001B6420"/>
    <w:rsid w:val="001B6809"/>
    <w:rsid w:val="001B7737"/>
    <w:rsid w:val="001B781C"/>
    <w:rsid w:val="001C02EF"/>
    <w:rsid w:val="001C1A86"/>
    <w:rsid w:val="001C1FF3"/>
    <w:rsid w:val="001C288F"/>
    <w:rsid w:val="001C3ECB"/>
    <w:rsid w:val="001C4638"/>
    <w:rsid w:val="001C5292"/>
    <w:rsid w:val="001C5F3D"/>
    <w:rsid w:val="001C628F"/>
    <w:rsid w:val="001C6819"/>
    <w:rsid w:val="001C6B38"/>
    <w:rsid w:val="001C707A"/>
    <w:rsid w:val="001C76CF"/>
    <w:rsid w:val="001C7B67"/>
    <w:rsid w:val="001D1D6E"/>
    <w:rsid w:val="001D2D55"/>
    <w:rsid w:val="001D5CBD"/>
    <w:rsid w:val="001D6332"/>
    <w:rsid w:val="001E06E1"/>
    <w:rsid w:val="001E0928"/>
    <w:rsid w:val="001E213E"/>
    <w:rsid w:val="001E2DA9"/>
    <w:rsid w:val="001E37EE"/>
    <w:rsid w:val="001E3F4B"/>
    <w:rsid w:val="001E5BB4"/>
    <w:rsid w:val="001E6115"/>
    <w:rsid w:val="001E6959"/>
    <w:rsid w:val="001E70DB"/>
    <w:rsid w:val="001F02BE"/>
    <w:rsid w:val="001F03F7"/>
    <w:rsid w:val="001F0A88"/>
    <w:rsid w:val="001F1899"/>
    <w:rsid w:val="001F1CF5"/>
    <w:rsid w:val="001F33AF"/>
    <w:rsid w:val="001F38DA"/>
    <w:rsid w:val="001F4083"/>
    <w:rsid w:val="001F4292"/>
    <w:rsid w:val="001F4789"/>
    <w:rsid w:val="001F50D7"/>
    <w:rsid w:val="001F6C60"/>
    <w:rsid w:val="001F7DCB"/>
    <w:rsid w:val="0020027A"/>
    <w:rsid w:val="002004A3"/>
    <w:rsid w:val="00201880"/>
    <w:rsid w:val="00201CFF"/>
    <w:rsid w:val="00203E15"/>
    <w:rsid w:val="00205B73"/>
    <w:rsid w:val="0020665F"/>
    <w:rsid w:val="00207BB1"/>
    <w:rsid w:val="00207C88"/>
    <w:rsid w:val="00210D3E"/>
    <w:rsid w:val="00211B8D"/>
    <w:rsid w:val="00212547"/>
    <w:rsid w:val="00212B1A"/>
    <w:rsid w:val="00213751"/>
    <w:rsid w:val="00214936"/>
    <w:rsid w:val="0021520F"/>
    <w:rsid w:val="002156DB"/>
    <w:rsid w:val="00215B00"/>
    <w:rsid w:val="00216005"/>
    <w:rsid w:val="0021652D"/>
    <w:rsid w:val="00216893"/>
    <w:rsid w:val="0021793D"/>
    <w:rsid w:val="0022009C"/>
    <w:rsid w:val="002203FF"/>
    <w:rsid w:val="0022586F"/>
    <w:rsid w:val="00226048"/>
    <w:rsid w:val="0022746F"/>
    <w:rsid w:val="00230577"/>
    <w:rsid w:val="0023093E"/>
    <w:rsid w:val="00231CE4"/>
    <w:rsid w:val="00236884"/>
    <w:rsid w:val="00237003"/>
    <w:rsid w:val="00237F7F"/>
    <w:rsid w:val="002409AF"/>
    <w:rsid w:val="00241A04"/>
    <w:rsid w:val="00242800"/>
    <w:rsid w:val="00244164"/>
    <w:rsid w:val="00244491"/>
    <w:rsid w:val="00244512"/>
    <w:rsid w:val="0024537E"/>
    <w:rsid w:val="002456F1"/>
    <w:rsid w:val="002459C9"/>
    <w:rsid w:val="00250620"/>
    <w:rsid w:val="002514F9"/>
    <w:rsid w:val="00251554"/>
    <w:rsid w:val="00252A9C"/>
    <w:rsid w:val="00253084"/>
    <w:rsid w:val="00253FDE"/>
    <w:rsid w:val="00253FF2"/>
    <w:rsid w:val="00254191"/>
    <w:rsid w:val="00254867"/>
    <w:rsid w:val="002565BD"/>
    <w:rsid w:val="002566F1"/>
    <w:rsid w:val="0025744E"/>
    <w:rsid w:val="002579FE"/>
    <w:rsid w:val="0026061E"/>
    <w:rsid w:val="0026108A"/>
    <w:rsid w:val="00262088"/>
    <w:rsid w:val="00262A5F"/>
    <w:rsid w:val="00262BD0"/>
    <w:rsid w:val="00263413"/>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636"/>
    <w:rsid w:val="002860B6"/>
    <w:rsid w:val="00287619"/>
    <w:rsid w:val="00287710"/>
    <w:rsid w:val="00287920"/>
    <w:rsid w:val="00290FB4"/>
    <w:rsid w:val="0029101B"/>
    <w:rsid w:val="0029185D"/>
    <w:rsid w:val="00292A3F"/>
    <w:rsid w:val="00293419"/>
    <w:rsid w:val="0029504D"/>
    <w:rsid w:val="002956B8"/>
    <w:rsid w:val="00296575"/>
    <w:rsid w:val="002A0937"/>
    <w:rsid w:val="002A0B82"/>
    <w:rsid w:val="002A1F2E"/>
    <w:rsid w:val="002A22E9"/>
    <w:rsid w:val="002A26C0"/>
    <w:rsid w:val="002A2A8E"/>
    <w:rsid w:val="002A2B32"/>
    <w:rsid w:val="002A588C"/>
    <w:rsid w:val="002A7206"/>
    <w:rsid w:val="002A735C"/>
    <w:rsid w:val="002B2FC4"/>
    <w:rsid w:val="002B2FCC"/>
    <w:rsid w:val="002B42A1"/>
    <w:rsid w:val="002B7F23"/>
    <w:rsid w:val="002C07AF"/>
    <w:rsid w:val="002C13C9"/>
    <w:rsid w:val="002C3F4A"/>
    <w:rsid w:val="002D22C7"/>
    <w:rsid w:val="002D28FD"/>
    <w:rsid w:val="002D6946"/>
    <w:rsid w:val="002D6CC1"/>
    <w:rsid w:val="002D7AB0"/>
    <w:rsid w:val="002E0607"/>
    <w:rsid w:val="002E06BD"/>
    <w:rsid w:val="002E403A"/>
    <w:rsid w:val="002E48CB"/>
    <w:rsid w:val="002E72EF"/>
    <w:rsid w:val="002E76E3"/>
    <w:rsid w:val="002F06E7"/>
    <w:rsid w:val="002F14D1"/>
    <w:rsid w:val="002F1D5D"/>
    <w:rsid w:val="002F24A8"/>
    <w:rsid w:val="002F65CC"/>
    <w:rsid w:val="003008D3"/>
    <w:rsid w:val="003049A8"/>
    <w:rsid w:val="00305A60"/>
    <w:rsid w:val="00307016"/>
    <w:rsid w:val="00307661"/>
    <w:rsid w:val="00307684"/>
    <w:rsid w:val="00307DE0"/>
    <w:rsid w:val="003108DB"/>
    <w:rsid w:val="00313524"/>
    <w:rsid w:val="0031365D"/>
    <w:rsid w:val="00314B76"/>
    <w:rsid w:val="00314BBE"/>
    <w:rsid w:val="00315DC9"/>
    <w:rsid w:val="003166BB"/>
    <w:rsid w:val="0031707D"/>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2C2C"/>
    <w:rsid w:val="00344497"/>
    <w:rsid w:val="00351318"/>
    <w:rsid w:val="00351D4A"/>
    <w:rsid w:val="00355ED7"/>
    <w:rsid w:val="00355F20"/>
    <w:rsid w:val="003564C7"/>
    <w:rsid w:val="00356762"/>
    <w:rsid w:val="00356C84"/>
    <w:rsid w:val="00356ECE"/>
    <w:rsid w:val="0036018B"/>
    <w:rsid w:val="00362E11"/>
    <w:rsid w:val="00366A91"/>
    <w:rsid w:val="003706FA"/>
    <w:rsid w:val="00370BAE"/>
    <w:rsid w:val="00371DFB"/>
    <w:rsid w:val="00372127"/>
    <w:rsid w:val="00373646"/>
    <w:rsid w:val="003744D4"/>
    <w:rsid w:val="0037551A"/>
    <w:rsid w:val="00375613"/>
    <w:rsid w:val="00377D3C"/>
    <w:rsid w:val="0038078F"/>
    <w:rsid w:val="00380E12"/>
    <w:rsid w:val="00381C53"/>
    <w:rsid w:val="00382BBF"/>
    <w:rsid w:val="0038335A"/>
    <w:rsid w:val="003843A9"/>
    <w:rsid w:val="00384993"/>
    <w:rsid w:val="003855D4"/>
    <w:rsid w:val="00387349"/>
    <w:rsid w:val="00387635"/>
    <w:rsid w:val="00390BF0"/>
    <w:rsid w:val="00392DF7"/>
    <w:rsid w:val="0039364E"/>
    <w:rsid w:val="0039423B"/>
    <w:rsid w:val="0039626F"/>
    <w:rsid w:val="00397E0A"/>
    <w:rsid w:val="00397EBD"/>
    <w:rsid w:val="003A047F"/>
    <w:rsid w:val="003A5D37"/>
    <w:rsid w:val="003A68D5"/>
    <w:rsid w:val="003B0D0B"/>
    <w:rsid w:val="003B0EDA"/>
    <w:rsid w:val="003B3950"/>
    <w:rsid w:val="003B5092"/>
    <w:rsid w:val="003B5437"/>
    <w:rsid w:val="003B6814"/>
    <w:rsid w:val="003C1C8C"/>
    <w:rsid w:val="003C3749"/>
    <w:rsid w:val="003C4106"/>
    <w:rsid w:val="003C57C8"/>
    <w:rsid w:val="003C5D3B"/>
    <w:rsid w:val="003C7E81"/>
    <w:rsid w:val="003D080D"/>
    <w:rsid w:val="003D2A9B"/>
    <w:rsid w:val="003D41B4"/>
    <w:rsid w:val="003D5180"/>
    <w:rsid w:val="003D65F2"/>
    <w:rsid w:val="003D66B5"/>
    <w:rsid w:val="003D7C22"/>
    <w:rsid w:val="003D7E72"/>
    <w:rsid w:val="003E0529"/>
    <w:rsid w:val="003E20F7"/>
    <w:rsid w:val="003E26B0"/>
    <w:rsid w:val="003E3B64"/>
    <w:rsid w:val="003E3D2D"/>
    <w:rsid w:val="003E440D"/>
    <w:rsid w:val="003E45F6"/>
    <w:rsid w:val="003E4960"/>
    <w:rsid w:val="003E6ADE"/>
    <w:rsid w:val="003E71CA"/>
    <w:rsid w:val="003E7B60"/>
    <w:rsid w:val="003F25A1"/>
    <w:rsid w:val="003F25D1"/>
    <w:rsid w:val="003F2B14"/>
    <w:rsid w:val="003F2C16"/>
    <w:rsid w:val="003F3039"/>
    <w:rsid w:val="003F31A2"/>
    <w:rsid w:val="003F4C11"/>
    <w:rsid w:val="003F510C"/>
    <w:rsid w:val="003F5910"/>
    <w:rsid w:val="003F5C32"/>
    <w:rsid w:val="003F5EA4"/>
    <w:rsid w:val="003F6912"/>
    <w:rsid w:val="003F6D80"/>
    <w:rsid w:val="003F6FB2"/>
    <w:rsid w:val="003F7111"/>
    <w:rsid w:val="003F722B"/>
    <w:rsid w:val="0040240C"/>
    <w:rsid w:val="004025EE"/>
    <w:rsid w:val="00404EC6"/>
    <w:rsid w:val="004052DF"/>
    <w:rsid w:val="00405AC8"/>
    <w:rsid w:val="00406EB3"/>
    <w:rsid w:val="004127C3"/>
    <w:rsid w:val="004139CB"/>
    <w:rsid w:val="0041464E"/>
    <w:rsid w:val="0041794E"/>
    <w:rsid w:val="004210F8"/>
    <w:rsid w:val="00422903"/>
    <w:rsid w:val="004229DA"/>
    <w:rsid w:val="00424192"/>
    <w:rsid w:val="00424A73"/>
    <w:rsid w:val="004252FA"/>
    <w:rsid w:val="0042577B"/>
    <w:rsid w:val="004261A3"/>
    <w:rsid w:val="00426511"/>
    <w:rsid w:val="0042657F"/>
    <w:rsid w:val="00427380"/>
    <w:rsid w:val="00427DF3"/>
    <w:rsid w:val="004300F9"/>
    <w:rsid w:val="00430C92"/>
    <w:rsid w:val="0043131C"/>
    <w:rsid w:val="004315E1"/>
    <w:rsid w:val="0043163C"/>
    <w:rsid w:val="004317BC"/>
    <w:rsid w:val="0043232E"/>
    <w:rsid w:val="00432611"/>
    <w:rsid w:val="00432F65"/>
    <w:rsid w:val="00433864"/>
    <w:rsid w:val="00434F0F"/>
    <w:rsid w:val="00434F12"/>
    <w:rsid w:val="00437104"/>
    <w:rsid w:val="004373D5"/>
    <w:rsid w:val="004379C3"/>
    <w:rsid w:val="004405C9"/>
    <w:rsid w:val="00440928"/>
    <w:rsid w:val="00441AE6"/>
    <w:rsid w:val="004443E0"/>
    <w:rsid w:val="00444600"/>
    <w:rsid w:val="004456D7"/>
    <w:rsid w:val="00446A0A"/>
    <w:rsid w:val="00450936"/>
    <w:rsid w:val="00450B29"/>
    <w:rsid w:val="00450EC3"/>
    <w:rsid w:val="004523B1"/>
    <w:rsid w:val="004535D3"/>
    <w:rsid w:val="00453D1F"/>
    <w:rsid w:val="0045467E"/>
    <w:rsid w:val="00455ADC"/>
    <w:rsid w:val="00457304"/>
    <w:rsid w:val="00460939"/>
    <w:rsid w:val="00463D92"/>
    <w:rsid w:val="00465505"/>
    <w:rsid w:val="00465FEA"/>
    <w:rsid w:val="0046733A"/>
    <w:rsid w:val="00467A50"/>
    <w:rsid w:val="00470547"/>
    <w:rsid w:val="004705FD"/>
    <w:rsid w:val="00470C7D"/>
    <w:rsid w:val="00471780"/>
    <w:rsid w:val="00473558"/>
    <w:rsid w:val="004735FB"/>
    <w:rsid w:val="00473B4E"/>
    <w:rsid w:val="00475320"/>
    <w:rsid w:val="00475888"/>
    <w:rsid w:val="0047596D"/>
    <w:rsid w:val="00475AE1"/>
    <w:rsid w:val="00475D21"/>
    <w:rsid w:val="00475D5A"/>
    <w:rsid w:val="00475EBF"/>
    <w:rsid w:val="00475ECD"/>
    <w:rsid w:val="004764C1"/>
    <w:rsid w:val="00476A73"/>
    <w:rsid w:val="00476B67"/>
    <w:rsid w:val="00480597"/>
    <w:rsid w:val="00486054"/>
    <w:rsid w:val="004921F9"/>
    <w:rsid w:val="00492466"/>
    <w:rsid w:val="00494322"/>
    <w:rsid w:val="00495554"/>
    <w:rsid w:val="004A2CF3"/>
    <w:rsid w:val="004A30C1"/>
    <w:rsid w:val="004A33FD"/>
    <w:rsid w:val="004A34FC"/>
    <w:rsid w:val="004A3FAD"/>
    <w:rsid w:val="004A4115"/>
    <w:rsid w:val="004B0C76"/>
    <w:rsid w:val="004B1010"/>
    <w:rsid w:val="004B1CC2"/>
    <w:rsid w:val="004B2970"/>
    <w:rsid w:val="004B2AA4"/>
    <w:rsid w:val="004B4113"/>
    <w:rsid w:val="004B7740"/>
    <w:rsid w:val="004B7B93"/>
    <w:rsid w:val="004C179C"/>
    <w:rsid w:val="004C247C"/>
    <w:rsid w:val="004C2A91"/>
    <w:rsid w:val="004C3FB5"/>
    <w:rsid w:val="004C4C18"/>
    <w:rsid w:val="004C4EB1"/>
    <w:rsid w:val="004C5685"/>
    <w:rsid w:val="004C6D3B"/>
    <w:rsid w:val="004C7723"/>
    <w:rsid w:val="004C7F0D"/>
    <w:rsid w:val="004D06CB"/>
    <w:rsid w:val="004D184D"/>
    <w:rsid w:val="004D3068"/>
    <w:rsid w:val="004D3A0F"/>
    <w:rsid w:val="004D5904"/>
    <w:rsid w:val="004D635D"/>
    <w:rsid w:val="004D745D"/>
    <w:rsid w:val="004E3BC6"/>
    <w:rsid w:val="004E41F6"/>
    <w:rsid w:val="004E4C9B"/>
    <w:rsid w:val="004F2886"/>
    <w:rsid w:val="004F3317"/>
    <w:rsid w:val="004F4566"/>
    <w:rsid w:val="004F5053"/>
    <w:rsid w:val="004F5DD8"/>
    <w:rsid w:val="004F68E9"/>
    <w:rsid w:val="00501068"/>
    <w:rsid w:val="005011DC"/>
    <w:rsid w:val="00501E41"/>
    <w:rsid w:val="00502677"/>
    <w:rsid w:val="00503522"/>
    <w:rsid w:val="005050E2"/>
    <w:rsid w:val="00506B95"/>
    <w:rsid w:val="0050737A"/>
    <w:rsid w:val="00507792"/>
    <w:rsid w:val="00510C3C"/>
    <w:rsid w:val="00511F00"/>
    <w:rsid w:val="0051471C"/>
    <w:rsid w:val="00516AD1"/>
    <w:rsid w:val="00517C1F"/>
    <w:rsid w:val="00520011"/>
    <w:rsid w:val="00524274"/>
    <w:rsid w:val="00524DC7"/>
    <w:rsid w:val="00526D5A"/>
    <w:rsid w:val="005306E1"/>
    <w:rsid w:val="0053300F"/>
    <w:rsid w:val="00533040"/>
    <w:rsid w:val="0053329C"/>
    <w:rsid w:val="00536F59"/>
    <w:rsid w:val="00537F4F"/>
    <w:rsid w:val="00542313"/>
    <w:rsid w:val="00542C02"/>
    <w:rsid w:val="00543B98"/>
    <w:rsid w:val="00544A96"/>
    <w:rsid w:val="00546E69"/>
    <w:rsid w:val="00551DBD"/>
    <w:rsid w:val="005526D0"/>
    <w:rsid w:val="005528D3"/>
    <w:rsid w:val="005536CA"/>
    <w:rsid w:val="00553A29"/>
    <w:rsid w:val="005551E4"/>
    <w:rsid w:val="0055637F"/>
    <w:rsid w:val="00560DFB"/>
    <w:rsid w:val="00562311"/>
    <w:rsid w:val="005625BB"/>
    <w:rsid w:val="00563141"/>
    <w:rsid w:val="00563F3E"/>
    <w:rsid w:val="00564816"/>
    <w:rsid w:val="00564CED"/>
    <w:rsid w:val="005657E9"/>
    <w:rsid w:val="00565D01"/>
    <w:rsid w:val="0056608E"/>
    <w:rsid w:val="005674DC"/>
    <w:rsid w:val="005678FC"/>
    <w:rsid w:val="00571DA1"/>
    <w:rsid w:val="0057402F"/>
    <w:rsid w:val="00574F13"/>
    <w:rsid w:val="005750FD"/>
    <w:rsid w:val="00575983"/>
    <w:rsid w:val="00576A5E"/>
    <w:rsid w:val="00576FEB"/>
    <w:rsid w:val="00577658"/>
    <w:rsid w:val="00580EB7"/>
    <w:rsid w:val="00581DB9"/>
    <w:rsid w:val="005827DA"/>
    <w:rsid w:val="00582A5A"/>
    <w:rsid w:val="00582F2C"/>
    <w:rsid w:val="0058433F"/>
    <w:rsid w:val="005843BD"/>
    <w:rsid w:val="00585FFB"/>
    <w:rsid w:val="0058654C"/>
    <w:rsid w:val="0058770D"/>
    <w:rsid w:val="00587B75"/>
    <w:rsid w:val="00591EBA"/>
    <w:rsid w:val="00592831"/>
    <w:rsid w:val="00596AF2"/>
    <w:rsid w:val="005A003B"/>
    <w:rsid w:val="005A074F"/>
    <w:rsid w:val="005A2873"/>
    <w:rsid w:val="005A37CC"/>
    <w:rsid w:val="005A59A2"/>
    <w:rsid w:val="005A631A"/>
    <w:rsid w:val="005A6C11"/>
    <w:rsid w:val="005A73AD"/>
    <w:rsid w:val="005B0ABB"/>
    <w:rsid w:val="005B120C"/>
    <w:rsid w:val="005B2225"/>
    <w:rsid w:val="005B3113"/>
    <w:rsid w:val="005B3137"/>
    <w:rsid w:val="005B34F7"/>
    <w:rsid w:val="005B35EB"/>
    <w:rsid w:val="005B3834"/>
    <w:rsid w:val="005B4D2C"/>
    <w:rsid w:val="005B6EFB"/>
    <w:rsid w:val="005B759E"/>
    <w:rsid w:val="005C08D3"/>
    <w:rsid w:val="005C20E6"/>
    <w:rsid w:val="005C212D"/>
    <w:rsid w:val="005C3222"/>
    <w:rsid w:val="005C5113"/>
    <w:rsid w:val="005C6483"/>
    <w:rsid w:val="005C7DB2"/>
    <w:rsid w:val="005D0338"/>
    <w:rsid w:val="005D150B"/>
    <w:rsid w:val="005D183A"/>
    <w:rsid w:val="005D289B"/>
    <w:rsid w:val="005D34AA"/>
    <w:rsid w:val="005D3C78"/>
    <w:rsid w:val="005D4607"/>
    <w:rsid w:val="005D5B44"/>
    <w:rsid w:val="005D6767"/>
    <w:rsid w:val="005D6D40"/>
    <w:rsid w:val="005E0E52"/>
    <w:rsid w:val="005E12C1"/>
    <w:rsid w:val="005E24E8"/>
    <w:rsid w:val="005E31C1"/>
    <w:rsid w:val="005E3571"/>
    <w:rsid w:val="005E3880"/>
    <w:rsid w:val="005E4741"/>
    <w:rsid w:val="005E4810"/>
    <w:rsid w:val="005E4BBF"/>
    <w:rsid w:val="005E7651"/>
    <w:rsid w:val="005E7B2F"/>
    <w:rsid w:val="005F071B"/>
    <w:rsid w:val="005F1A7A"/>
    <w:rsid w:val="005F2FEA"/>
    <w:rsid w:val="005F4E3F"/>
    <w:rsid w:val="005F5AD8"/>
    <w:rsid w:val="005F7F29"/>
    <w:rsid w:val="00600B4F"/>
    <w:rsid w:val="006010AA"/>
    <w:rsid w:val="00601171"/>
    <w:rsid w:val="00601BE5"/>
    <w:rsid w:val="00602BAB"/>
    <w:rsid w:val="006035C5"/>
    <w:rsid w:val="006039CD"/>
    <w:rsid w:val="00604CEC"/>
    <w:rsid w:val="00605BCC"/>
    <w:rsid w:val="0060747D"/>
    <w:rsid w:val="00607585"/>
    <w:rsid w:val="00607800"/>
    <w:rsid w:val="0061270E"/>
    <w:rsid w:val="00613A45"/>
    <w:rsid w:val="006158BA"/>
    <w:rsid w:val="006179E4"/>
    <w:rsid w:val="00617D69"/>
    <w:rsid w:val="006219B8"/>
    <w:rsid w:val="00622AA1"/>
    <w:rsid w:val="006232C0"/>
    <w:rsid w:val="006248F0"/>
    <w:rsid w:val="00625CB1"/>
    <w:rsid w:val="00630D73"/>
    <w:rsid w:val="00631ADF"/>
    <w:rsid w:val="00632BE5"/>
    <w:rsid w:val="00633475"/>
    <w:rsid w:val="00633A95"/>
    <w:rsid w:val="00634D1A"/>
    <w:rsid w:val="006358E7"/>
    <w:rsid w:val="0063595F"/>
    <w:rsid w:val="00636999"/>
    <w:rsid w:val="006419A6"/>
    <w:rsid w:val="00641E89"/>
    <w:rsid w:val="00641F05"/>
    <w:rsid w:val="006420B5"/>
    <w:rsid w:val="0064300E"/>
    <w:rsid w:val="00644507"/>
    <w:rsid w:val="006445EA"/>
    <w:rsid w:val="00644B51"/>
    <w:rsid w:val="00646839"/>
    <w:rsid w:val="00647454"/>
    <w:rsid w:val="00651DC2"/>
    <w:rsid w:val="00651E59"/>
    <w:rsid w:val="00651F93"/>
    <w:rsid w:val="00656376"/>
    <w:rsid w:val="006563DC"/>
    <w:rsid w:val="00656A73"/>
    <w:rsid w:val="00657563"/>
    <w:rsid w:val="0066146C"/>
    <w:rsid w:val="0066203A"/>
    <w:rsid w:val="00663656"/>
    <w:rsid w:val="00667679"/>
    <w:rsid w:val="00667BE9"/>
    <w:rsid w:val="006705D5"/>
    <w:rsid w:val="00672E1D"/>
    <w:rsid w:val="00675471"/>
    <w:rsid w:val="0067694C"/>
    <w:rsid w:val="006778A4"/>
    <w:rsid w:val="0068422E"/>
    <w:rsid w:val="00684416"/>
    <w:rsid w:val="0068772F"/>
    <w:rsid w:val="0068781A"/>
    <w:rsid w:val="0069253E"/>
    <w:rsid w:val="00693FF5"/>
    <w:rsid w:val="006958A8"/>
    <w:rsid w:val="00696D56"/>
    <w:rsid w:val="006973FA"/>
    <w:rsid w:val="006975C7"/>
    <w:rsid w:val="00697CD2"/>
    <w:rsid w:val="006A0B6A"/>
    <w:rsid w:val="006A1979"/>
    <w:rsid w:val="006A28B2"/>
    <w:rsid w:val="006A3F20"/>
    <w:rsid w:val="006A4063"/>
    <w:rsid w:val="006A456C"/>
    <w:rsid w:val="006A45C0"/>
    <w:rsid w:val="006A6243"/>
    <w:rsid w:val="006A7CD8"/>
    <w:rsid w:val="006B082B"/>
    <w:rsid w:val="006B1269"/>
    <w:rsid w:val="006B1D3E"/>
    <w:rsid w:val="006B2E0D"/>
    <w:rsid w:val="006B35B3"/>
    <w:rsid w:val="006B5C4F"/>
    <w:rsid w:val="006C08BB"/>
    <w:rsid w:val="006C0DAE"/>
    <w:rsid w:val="006C1440"/>
    <w:rsid w:val="006C168B"/>
    <w:rsid w:val="006C32AD"/>
    <w:rsid w:val="006C3468"/>
    <w:rsid w:val="006C3494"/>
    <w:rsid w:val="006C4149"/>
    <w:rsid w:val="006C4646"/>
    <w:rsid w:val="006C52DC"/>
    <w:rsid w:val="006C5E31"/>
    <w:rsid w:val="006C6F2E"/>
    <w:rsid w:val="006C7B67"/>
    <w:rsid w:val="006D0DED"/>
    <w:rsid w:val="006D16D4"/>
    <w:rsid w:val="006D1B48"/>
    <w:rsid w:val="006D35DB"/>
    <w:rsid w:val="006D4869"/>
    <w:rsid w:val="006D5FBF"/>
    <w:rsid w:val="006D6CD4"/>
    <w:rsid w:val="006D7E03"/>
    <w:rsid w:val="006E3722"/>
    <w:rsid w:val="006E470D"/>
    <w:rsid w:val="006E4D52"/>
    <w:rsid w:val="006E4F8A"/>
    <w:rsid w:val="006E5DAC"/>
    <w:rsid w:val="006E6EE7"/>
    <w:rsid w:val="006F4425"/>
    <w:rsid w:val="006F5810"/>
    <w:rsid w:val="006F5AC4"/>
    <w:rsid w:val="006F7DF0"/>
    <w:rsid w:val="00703376"/>
    <w:rsid w:val="007045E3"/>
    <w:rsid w:val="00705CDC"/>
    <w:rsid w:val="007068EE"/>
    <w:rsid w:val="007071A4"/>
    <w:rsid w:val="007110C4"/>
    <w:rsid w:val="00712AAD"/>
    <w:rsid w:val="00712C86"/>
    <w:rsid w:val="00712EFC"/>
    <w:rsid w:val="007138F1"/>
    <w:rsid w:val="00717059"/>
    <w:rsid w:val="00717C0B"/>
    <w:rsid w:val="00717CFA"/>
    <w:rsid w:val="007207E7"/>
    <w:rsid w:val="0072104B"/>
    <w:rsid w:val="0072167B"/>
    <w:rsid w:val="00721694"/>
    <w:rsid w:val="00722F26"/>
    <w:rsid w:val="00723090"/>
    <w:rsid w:val="00724531"/>
    <w:rsid w:val="00725180"/>
    <w:rsid w:val="00725FEE"/>
    <w:rsid w:val="00732678"/>
    <w:rsid w:val="00732A81"/>
    <w:rsid w:val="00733586"/>
    <w:rsid w:val="007343A9"/>
    <w:rsid w:val="0073695C"/>
    <w:rsid w:val="007375C1"/>
    <w:rsid w:val="00740A6A"/>
    <w:rsid w:val="0074264D"/>
    <w:rsid w:val="00743A99"/>
    <w:rsid w:val="00744556"/>
    <w:rsid w:val="00746E34"/>
    <w:rsid w:val="00746F0A"/>
    <w:rsid w:val="00747F0B"/>
    <w:rsid w:val="007505FF"/>
    <w:rsid w:val="0075308A"/>
    <w:rsid w:val="00755B4E"/>
    <w:rsid w:val="00755F88"/>
    <w:rsid w:val="00757753"/>
    <w:rsid w:val="00757BC0"/>
    <w:rsid w:val="00760936"/>
    <w:rsid w:val="007617F4"/>
    <w:rsid w:val="00762D30"/>
    <w:rsid w:val="00764037"/>
    <w:rsid w:val="0076495E"/>
    <w:rsid w:val="0076617B"/>
    <w:rsid w:val="007717FD"/>
    <w:rsid w:val="007719E8"/>
    <w:rsid w:val="0077443B"/>
    <w:rsid w:val="00774981"/>
    <w:rsid w:val="007750A1"/>
    <w:rsid w:val="0077556A"/>
    <w:rsid w:val="00775734"/>
    <w:rsid w:val="00775DE4"/>
    <w:rsid w:val="00776161"/>
    <w:rsid w:val="0077659B"/>
    <w:rsid w:val="007802AA"/>
    <w:rsid w:val="00780727"/>
    <w:rsid w:val="00782560"/>
    <w:rsid w:val="0078383A"/>
    <w:rsid w:val="0078388D"/>
    <w:rsid w:val="00783AC2"/>
    <w:rsid w:val="007849AF"/>
    <w:rsid w:val="00784A43"/>
    <w:rsid w:val="007855D0"/>
    <w:rsid w:val="007858E8"/>
    <w:rsid w:val="0079182F"/>
    <w:rsid w:val="00791E9A"/>
    <w:rsid w:val="007931F6"/>
    <w:rsid w:val="00793236"/>
    <w:rsid w:val="00793C46"/>
    <w:rsid w:val="00793F5A"/>
    <w:rsid w:val="00794CEB"/>
    <w:rsid w:val="0079575E"/>
    <w:rsid w:val="00796600"/>
    <w:rsid w:val="00796A9F"/>
    <w:rsid w:val="0079754F"/>
    <w:rsid w:val="007A2994"/>
    <w:rsid w:val="007A45CB"/>
    <w:rsid w:val="007A4B17"/>
    <w:rsid w:val="007A594A"/>
    <w:rsid w:val="007A5D4C"/>
    <w:rsid w:val="007A6439"/>
    <w:rsid w:val="007A71F3"/>
    <w:rsid w:val="007B0A8B"/>
    <w:rsid w:val="007B0F48"/>
    <w:rsid w:val="007B14C2"/>
    <w:rsid w:val="007B1990"/>
    <w:rsid w:val="007B2DE1"/>
    <w:rsid w:val="007B329E"/>
    <w:rsid w:val="007B37DD"/>
    <w:rsid w:val="007B5E1B"/>
    <w:rsid w:val="007B67B5"/>
    <w:rsid w:val="007B6919"/>
    <w:rsid w:val="007B6AF6"/>
    <w:rsid w:val="007B7934"/>
    <w:rsid w:val="007B7C88"/>
    <w:rsid w:val="007C01B1"/>
    <w:rsid w:val="007C0410"/>
    <w:rsid w:val="007C2A1C"/>
    <w:rsid w:val="007C440B"/>
    <w:rsid w:val="007C495A"/>
    <w:rsid w:val="007C57D9"/>
    <w:rsid w:val="007C60C3"/>
    <w:rsid w:val="007C6AB7"/>
    <w:rsid w:val="007C7025"/>
    <w:rsid w:val="007C7207"/>
    <w:rsid w:val="007D0CCD"/>
    <w:rsid w:val="007D3604"/>
    <w:rsid w:val="007D37B9"/>
    <w:rsid w:val="007D3F82"/>
    <w:rsid w:val="007D4F3A"/>
    <w:rsid w:val="007D5611"/>
    <w:rsid w:val="007D5B0B"/>
    <w:rsid w:val="007D6519"/>
    <w:rsid w:val="007D6696"/>
    <w:rsid w:val="007D6AA2"/>
    <w:rsid w:val="007E181F"/>
    <w:rsid w:val="007E20D1"/>
    <w:rsid w:val="007E2BE9"/>
    <w:rsid w:val="007E3153"/>
    <w:rsid w:val="007E4163"/>
    <w:rsid w:val="007E5459"/>
    <w:rsid w:val="007E5616"/>
    <w:rsid w:val="007E5C22"/>
    <w:rsid w:val="007E5DB0"/>
    <w:rsid w:val="007E60B2"/>
    <w:rsid w:val="007E6D09"/>
    <w:rsid w:val="007F0BF1"/>
    <w:rsid w:val="007F4B70"/>
    <w:rsid w:val="007F57B6"/>
    <w:rsid w:val="007F66B9"/>
    <w:rsid w:val="007F7401"/>
    <w:rsid w:val="007F790F"/>
    <w:rsid w:val="00800D11"/>
    <w:rsid w:val="00802545"/>
    <w:rsid w:val="008028BA"/>
    <w:rsid w:val="00804922"/>
    <w:rsid w:val="00804D02"/>
    <w:rsid w:val="0080526C"/>
    <w:rsid w:val="0080602A"/>
    <w:rsid w:val="008108C5"/>
    <w:rsid w:val="00811EC5"/>
    <w:rsid w:val="008126B7"/>
    <w:rsid w:val="008145CE"/>
    <w:rsid w:val="00815BD5"/>
    <w:rsid w:val="00816DEF"/>
    <w:rsid w:val="00817CA2"/>
    <w:rsid w:val="00820378"/>
    <w:rsid w:val="00820C88"/>
    <w:rsid w:val="00823693"/>
    <w:rsid w:val="00824CF7"/>
    <w:rsid w:val="00825827"/>
    <w:rsid w:val="008258E8"/>
    <w:rsid w:val="00825B54"/>
    <w:rsid w:val="008268DA"/>
    <w:rsid w:val="00826E05"/>
    <w:rsid w:val="008270A5"/>
    <w:rsid w:val="008274F1"/>
    <w:rsid w:val="00827B59"/>
    <w:rsid w:val="008304A3"/>
    <w:rsid w:val="00832596"/>
    <w:rsid w:val="00833240"/>
    <w:rsid w:val="008341AC"/>
    <w:rsid w:val="00834855"/>
    <w:rsid w:val="0083595A"/>
    <w:rsid w:val="00836A5A"/>
    <w:rsid w:val="00836BC6"/>
    <w:rsid w:val="00836FC5"/>
    <w:rsid w:val="008407AA"/>
    <w:rsid w:val="00840A00"/>
    <w:rsid w:val="00840C35"/>
    <w:rsid w:val="00841F14"/>
    <w:rsid w:val="008427DF"/>
    <w:rsid w:val="008429BF"/>
    <w:rsid w:val="00842E5F"/>
    <w:rsid w:val="00843303"/>
    <w:rsid w:val="00845E79"/>
    <w:rsid w:val="00846AA6"/>
    <w:rsid w:val="00847337"/>
    <w:rsid w:val="00851695"/>
    <w:rsid w:val="008516E0"/>
    <w:rsid w:val="00852E50"/>
    <w:rsid w:val="00853611"/>
    <w:rsid w:val="0085383C"/>
    <w:rsid w:val="00853E06"/>
    <w:rsid w:val="00854415"/>
    <w:rsid w:val="00854619"/>
    <w:rsid w:val="00854627"/>
    <w:rsid w:val="00854739"/>
    <w:rsid w:val="00856040"/>
    <w:rsid w:val="00857320"/>
    <w:rsid w:val="00857453"/>
    <w:rsid w:val="008622CD"/>
    <w:rsid w:val="00862515"/>
    <w:rsid w:val="008638CA"/>
    <w:rsid w:val="00864298"/>
    <w:rsid w:val="00865099"/>
    <w:rsid w:val="008653A7"/>
    <w:rsid w:val="008656B1"/>
    <w:rsid w:val="008656F8"/>
    <w:rsid w:val="00866476"/>
    <w:rsid w:val="008677D8"/>
    <w:rsid w:val="0087091C"/>
    <w:rsid w:val="00871833"/>
    <w:rsid w:val="00871C3E"/>
    <w:rsid w:val="00872826"/>
    <w:rsid w:val="0087285F"/>
    <w:rsid w:val="008731F3"/>
    <w:rsid w:val="0087383F"/>
    <w:rsid w:val="0087432E"/>
    <w:rsid w:val="0087483D"/>
    <w:rsid w:val="00876453"/>
    <w:rsid w:val="008769AA"/>
    <w:rsid w:val="00877FDF"/>
    <w:rsid w:val="00880829"/>
    <w:rsid w:val="008814C8"/>
    <w:rsid w:val="008818B8"/>
    <w:rsid w:val="00881F76"/>
    <w:rsid w:val="00882544"/>
    <w:rsid w:val="00883095"/>
    <w:rsid w:val="008832B6"/>
    <w:rsid w:val="008855D3"/>
    <w:rsid w:val="008863C7"/>
    <w:rsid w:val="00886A75"/>
    <w:rsid w:val="00887EB3"/>
    <w:rsid w:val="0089115A"/>
    <w:rsid w:val="0089187B"/>
    <w:rsid w:val="00891DC3"/>
    <w:rsid w:val="00892247"/>
    <w:rsid w:val="00892F3D"/>
    <w:rsid w:val="00893466"/>
    <w:rsid w:val="00893B40"/>
    <w:rsid w:val="00894AE4"/>
    <w:rsid w:val="008952E9"/>
    <w:rsid w:val="008957BC"/>
    <w:rsid w:val="008A1751"/>
    <w:rsid w:val="008A1A13"/>
    <w:rsid w:val="008A1F2D"/>
    <w:rsid w:val="008A3441"/>
    <w:rsid w:val="008A34B7"/>
    <w:rsid w:val="008A36D6"/>
    <w:rsid w:val="008A49BF"/>
    <w:rsid w:val="008A50A7"/>
    <w:rsid w:val="008A7579"/>
    <w:rsid w:val="008A772B"/>
    <w:rsid w:val="008B0155"/>
    <w:rsid w:val="008B0595"/>
    <w:rsid w:val="008B14CD"/>
    <w:rsid w:val="008B20A3"/>
    <w:rsid w:val="008B6701"/>
    <w:rsid w:val="008B70A5"/>
    <w:rsid w:val="008C0C88"/>
    <w:rsid w:val="008C3E68"/>
    <w:rsid w:val="008D00BB"/>
    <w:rsid w:val="008D1FB0"/>
    <w:rsid w:val="008D20C7"/>
    <w:rsid w:val="008D2651"/>
    <w:rsid w:val="008D37EC"/>
    <w:rsid w:val="008D48C1"/>
    <w:rsid w:val="008D5257"/>
    <w:rsid w:val="008D53BF"/>
    <w:rsid w:val="008D611A"/>
    <w:rsid w:val="008D6136"/>
    <w:rsid w:val="008D66D7"/>
    <w:rsid w:val="008D6EC3"/>
    <w:rsid w:val="008E1830"/>
    <w:rsid w:val="008E289E"/>
    <w:rsid w:val="008E3ECC"/>
    <w:rsid w:val="008E50B3"/>
    <w:rsid w:val="008E5837"/>
    <w:rsid w:val="008E5DDD"/>
    <w:rsid w:val="008E6865"/>
    <w:rsid w:val="008F0228"/>
    <w:rsid w:val="008F0E7C"/>
    <w:rsid w:val="008F179F"/>
    <w:rsid w:val="008F47CB"/>
    <w:rsid w:val="008F55DD"/>
    <w:rsid w:val="008F5761"/>
    <w:rsid w:val="008F66AB"/>
    <w:rsid w:val="008F6C98"/>
    <w:rsid w:val="0090099F"/>
    <w:rsid w:val="0090228B"/>
    <w:rsid w:val="009023E3"/>
    <w:rsid w:val="00902952"/>
    <w:rsid w:val="00902F69"/>
    <w:rsid w:val="00904D91"/>
    <w:rsid w:val="009054F9"/>
    <w:rsid w:val="00907323"/>
    <w:rsid w:val="00907575"/>
    <w:rsid w:val="0091054D"/>
    <w:rsid w:val="00911DBE"/>
    <w:rsid w:val="00913111"/>
    <w:rsid w:val="00913379"/>
    <w:rsid w:val="009138FF"/>
    <w:rsid w:val="0091433A"/>
    <w:rsid w:val="0091434F"/>
    <w:rsid w:val="009143BF"/>
    <w:rsid w:val="00920041"/>
    <w:rsid w:val="0092184F"/>
    <w:rsid w:val="00922655"/>
    <w:rsid w:val="00926A54"/>
    <w:rsid w:val="00926E1E"/>
    <w:rsid w:val="00927248"/>
    <w:rsid w:val="00934A8F"/>
    <w:rsid w:val="00935BCB"/>
    <w:rsid w:val="009377A0"/>
    <w:rsid w:val="00937889"/>
    <w:rsid w:val="009378D9"/>
    <w:rsid w:val="0094140A"/>
    <w:rsid w:val="0094253C"/>
    <w:rsid w:val="00943E98"/>
    <w:rsid w:val="009454C9"/>
    <w:rsid w:val="00945702"/>
    <w:rsid w:val="00946C32"/>
    <w:rsid w:val="00953B4C"/>
    <w:rsid w:val="00953CBC"/>
    <w:rsid w:val="00953CD0"/>
    <w:rsid w:val="00954D36"/>
    <w:rsid w:val="009550C6"/>
    <w:rsid w:val="009560D1"/>
    <w:rsid w:val="009634E6"/>
    <w:rsid w:val="0096469C"/>
    <w:rsid w:val="00964770"/>
    <w:rsid w:val="00964B4B"/>
    <w:rsid w:val="00966B1F"/>
    <w:rsid w:val="00970525"/>
    <w:rsid w:val="00970860"/>
    <w:rsid w:val="00971682"/>
    <w:rsid w:val="00972242"/>
    <w:rsid w:val="00972A1C"/>
    <w:rsid w:val="0097338B"/>
    <w:rsid w:val="00973A62"/>
    <w:rsid w:val="00975628"/>
    <w:rsid w:val="00977339"/>
    <w:rsid w:val="00981194"/>
    <w:rsid w:val="0098215C"/>
    <w:rsid w:val="009828A2"/>
    <w:rsid w:val="0098396E"/>
    <w:rsid w:val="00983C85"/>
    <w:rsid w:val="00984BFA"/>
    <w:rsid w:val="0098579A"/>
    <w:rsid w:val="009861BB"/>
    <w:rsid w:val="00986F11"/>
    <w:rsid w:val="009913F3"/>
    <w:rsid w:val="00991876"/>
    <w:rsid w:val="00991991"/>
    <w:rsid w:val="0099203B"/>
    <w:rsid w:val="00995C4C"/>
    <w:rsid w:val="009A01CC"/>
    <w:rsid w:val="009A0402"/>
    <w:rsid w:val="009A0A2D"/>
    <w:rsid w:val="009A12AB"/>
    <w:rsid w:val="009A3EAA"/>
    <w:rsid w:val="009A4AF3"/>
    <w:rsid w:val="009A4E3D"/>
    <w:rsid w:val="009A5515"/>
    <w:rsid w:val="009A63CF"/>
    <w:rsid w:val="009B0621"/>
    <w:rsid w:val="009B2394"/>
    <w:rsid w:val="009B436F"/>
    <w:rsid w:val="009C0B03"/>
    <w:rsid w:val="009C12BF"/>
    <w:rsid w:val="009C558C"/>
    <w:rsid w:val="009C7749"/>
    <w:rsid w:val="009C7781"/>
    <w:rsid w:val="009C7849"/>
    <w:rsid w:val="009D089B"/>
    <w:rsid w:val="009D0915"/>
    <w:rsid w:val="009D21D3"/>
    <w:rsid w:val="009D2681"/>
    <w:rsid w:val="009D3270"/>
    <w:rsid w:val="009D3C85"/>
    <w:rsid w:val="009D3CE7"/>
    <w:rsid w:val="009E1290"/>
    <w:rsid w:val="009E2385"/>
    <w:rsid w:val="009E33A1"/>
    <w:rsid w:val="009E4049"/>
    <w:rsid w:val="009E6697"/>
    <w:rsid w:val="009F2DC4"/>
    <w:rsid w:val="009F387C"/>
    <w:rsid w:val="009F38E7"/>
    <w:rsid w:val="009F3B37"/>
    <w:rsid w:val="009F3EA9"/>
    <w:rsid w:val="009F6E46"/>
    <w:rsid w:val="00A001AA"/>
    <w:rsid w:val="00A002ED"/>
    <w:rsid w:val="00A01037"/>
    <w:rsid w:val="00A03372"/>
    <w:rsid w:val="00A03476"/>
    <w:rsid w:val="00A036DE"/>
    <w:rsid w:val="00A0400D"/>
    <w:rsid w:val="00A055FC"/>
    <w:rsid w:val="00A10A07"/>
    <w:rsid w:val="00A14CAB"/>
    <w:rsid w:val="00A15FE8"/>
    <w:rsid w:val="00A211E9"/>
    <w:rsid w:val="00A213F8"/>
    <w:rsid w:val="00A21A21"/>
    <w:rsid w:val="00A22C95"/>
    <w:rsid w:val="00A24D91"/>
    <w:rsid w:val="00A266A2"/>
    <w:rsid w:val="00A2673E"/>
    <w:rsid w:val="00A31236"/>
    <w:rsid w:val="00A32B98"/>
    <w:rsid w:val="00A33DEB"/>
    <w:rsid w:val="00A3483C"/>
    <w:rsid w:val="00A3735E"/>
    <w:rsid w:val="00A37568"/>
    <w:rsid w:val="00A41DC6"/>
    <w:rsid w:val="00A429C3"/>
    <w:rsid w:val="00A4391A"/>
    <w:rsid w:val="00A43F6F"/>
    <w:rsid w:val="00A445B0"/>
    <w:rsid w:val="00A4682B"/>
    <w:rsid w:val="00A479A3"/>
    <w:rsid w:val="00A50559"/>
    <w:rsid w:val="00A51E01"/>
    <w:rsid w:val="00A520E1"/>
    <w:rsid w:val="00A5215A"/>
    <w:rsid w:val="00A52771"/>
    <w:rsid w:val="00A54806"/>
    <w:rsid w:val="00A574C4"/>
    <w:rsid w:val="00A60154"/>
    <w:rsid w:val="00A61A68"/>
    <w:rsid w:val="00A6241C"/>
    <w:rsid w:val="00A629E2"/>
    <w:rsid w:val="00A63128"/>
    <w:rsid w:val="00A65171"/>
    <w:rsid w:val="00A654E9"/>
    <w:rsid w:val="00A6722A"/>
    <w:rsid w:val="00A67A30"/>
    <w:rsid w:val="00A7446F"/>
    <w:rsid w:val="00A765B1"/>
    <w:rsid w:val="00A77775"/>
    <w:rsid w:val="00A77E61"/>
    <w:rsid w:val="00A80305"/>
    <w:rsid w:val="00A8138F"/>
    <w:rsid w:val="00A81D04"/>
    <w:rsid w:val="00A8373B"/>
    <w:rsid w:val="00A85D5D"/>
    <w:rsid w:val="00A86566"/>
    <w:rsid w:val="00A86FA2"/>
    <w:rsid w:val="00A875A0"/>
    <w:rsid w:val="00A908D3"/>
    <w:rsid w:val="00A90E27"/>
    <w:rsid w:val="00A91773"/>
    <w:rsid w:val="00A91ECC"/>
    <w:rsid w:val="00A91FFC"/>
    <w:rsid w:val="00A924D6"/>
    <w:rsid w:val="00A92937"/>
    <w:rsid w:val="00A941ED"/>
    <w:rsid w:val="00A94381"/>
    <w:rsid w:val="00A94834"/>
    <w:rsid w:val="00A94EDD"/>
    <w:rsid w:val="00A96A84"/>
    <w:rsid w:val="00AA0927"/>
    <w:rsid w:val="00AA344F"/>
    <w:rsid w:val="00AA3B58"/>
    <w:rsid w:val="00AA3E91"/>
    <w:rsid w:val="00AA639A"/>
    <w:rsid w:val="00AA7E06"/>
    <w:rsid w:val="00AB361A"/>
    <w:rsid w:val="00AB3A91"/>
    <w:rsid w:val="00AB62A5"/>
    <w:rsid w:val="00AB6B4B"/>
    <w:rsid w:val="00AB7817"/>
    <w:rsid w:val="00AC1DE3"/>
    <w:rsid w:val="00AC2910"/>
    <w:rsid w:val="00AC3976"/>
    <w:rsid w:val="00AC3AE3"/>
    <w:rsid w:val="00AC5245"/>
    <w:rsid w:val="00AC526A"/>
    <w:rsid w:val="00AC5890"/>
    <w:rsid w:val="00AC59AA"/>
    <w:rsid w:val="00AC695E"/>
    <w:rsid w:val="00AC6FD4"/>
    <w:rsid w:val="00AC7882"/>
    <w:rsid w:val="00AD14AB"/>
    <w:rsid w:val="00AD2CC9"/>
    <w:rsid w:val="00AD399A"/>
    <w:rsid w:val="00AD4A37"/>
    <w:rsid w:val="00AD50FB"/>
    <w:rsid w:val="00AD5129"/>
    <w:rsid w:val="00AD6C24"/>
    <w:rsid w:val="00AD77F7"/>
    <w:rsid w:val="00AE0AAB"/>
    <w:rsid w:val="00AE0E10"/>
    <w:rsid w:val="00AE20D9"/>
    <w:rsid w:val="00AE3982"/>
    <w:rsid w:val="00AE3B0A"/>
    <w:rsid w:val="00AE524A"/>
    <w:rsid w:val="00AE5951"/>
    <w:rsid w:val="00AE626F"/>
    <w:rsid w:val="00AF0069"/>
    <w:rsid w:val="00AF0D0E"/>
    <w:rsid w:val="00AF2986"/>
    <w:rsid w:val="00AF3F29"/>
    <w:rsid w:val="00AF4CA8"/>
    <w:rsid w:val="00AF5095"/>
    <w:rsid w:val="00AF5FBB"/>
    <w:rsid w:val="00AF7C27"/>
    <w:rsid w:val="00B00D61"/>
    <w:rsid w:val="00B02276"/>
    <w:rsid w:val="00B0235B"/>
    <w:rsid w:val="00B050E6"/>
    <w:rsid w:val="00B05512"/>
    <w:rsid w:val="00B05D9A"/>
    <w:rsid w:val="00B06116"/>
    <w:rsid w:val="00B062B5"/>
    <w:rsid w:val="00B066D5"/>
    <w:rsid w:val="00B06774"/>
    <w:rsid w:val="00B06ED9"/>
    <w:rsid w:val="00B11D3F"/>
    <w:rsid w:val="00B127A6"/>
    <w:rsid w:val="00B130D0"/>
    <w:rsid w:val="00B14C0F"/>
    <w:rsid w:val="00B14EC5"/>
    <w:rsid w:val="00B15702"/>
    <w:rsid w:val="00B17D58"/>
    <w:rsid w:val="00B20A19"/>
    <w:rsid w:val="00B211B6"/>
    <w:rsid w:val="00B25E09"/>
    <w:rsid w:val="00B30E6F"/>
    <w:rsid w:val="00B32927"/>
    <w:rsid w:val="00B333C2"/>
    <w:rsid w:val="00B34CA0"/>
    <w:rsid w:val="00B35F12"/>
    <w:rsid w:val="00B376C1"/>
    <w:rsid w:val="00B41944"/>
    <w:rsid w:val="00B41F93"/>
    <w:rsid w:val="00B43203"/>
    <w:rsid w:val="00B4347A"/>
    <w:rsid w:val="00B44A46"/>
    <w:rsid w:val="00B47C68"/>
    <w:rsid w:val="00B5013F"/>
    <w:rsid w:val="00B51678"/>
    <w:rsid w:val="00B527C9"/>
    <w:rsid w:val="00B53DEA"/>
    <w:rsid w:val="00B550C6"/>
    <w:rsid w:val="00B55A46"/>
    <w:rsid w:val="00B56475"/>
    <w:rsid w:val="00B56A14"/>
    <w:rsid w:val="00B56BF7"/>
    <w:rsid w:val="00B623FC"/>
    <w:rsid w:val="00B62D43"/>
    <w:rsid w:val="00B633C2"/>
    <w:rsid w:val="00B63904"/>
    <w:rsid w:val="00B641B4"/>
    <w:rsid w:val="00B65109"/>
    <w:rsid w:val="00B65242"/>
    <w:rsid w:val="00B65508"/>
    <w:rsid w:val="00B6581F"/>
    <w:rsid w:val="00B65C2A"/>
    <w:rsid w:val="00B664A7"/>
    <w:rsid w:val="00B6770F"/>
    <w:rsid w:val="00B67A91"/>
    <w:rsid w:val="00B70699"/>
    <w:rsid w:val="00B70B94"/>
    <w:rsid w:val="00B72C1D"/>
    <w:rsid w:val="00B72C69"/>
    <w:rsid w:val="00B73D55"/>
    <w:rsid w:val="00B75402"/>
    <w:rsid w:val="00B75567"/>
    <w:rsid w:val="00B763A2"/>
    <w:rsid w:val="00B7676E"/>
    <w:rsid w:val="00B815D5"/>
    <w:rsid w:val="00B81A5C"/>
    <w:rsid w:val="00B81D26"/>
    <w:rsid w:val="00B82012"/>
    <w:rsid w:val="00B84E80"/>
    <w:rsid w:val="00B86881"/>
    <w:rsid w:val="00B927CF"/>
    <w:rsid w:val="00B944EE"/>
    <w:rsid w:val="00B94B81"/>
    <w:rsid w:val="00B96493"/>
    <w:rsid w:val="00B976E4"/>
    <w:rsid w:val="00BA00DE"/>
    <w:rsid w:val="00BA0206"/>
    <w:rsid w:val="00BA0709"/>
    <w:rsid w:val="00BA07F3"/>
    <w:rsid w:val="00BA352E"/>
    <w:rsid w:val="00BA6BF4"/>
    <w:rsid w:val="00BA71FA"/>
    <w:rsid w:val="00BB08AB"/>
    <w:rsid w:val="00BB16F1"/>
    <w:rsid w:val="00BB27EB"/>
    <w:rsid w:val="00BB4BB2"/>
    <w:rsid w:val="00BB5D1F"/>
    <w:rsid w:val="00BB5E0F"/>
    <w:rsid w:val="00BB6377"/>
    <w:rsid w:val="00BB6EEC"/>
    <w:rsid w:val="00BB74B8"/>
    <w:rsid w:val="00BC04B7"/>
    <w:rsid w:val="00BC2AB2"/>
    <w:rsid w:val="00BC45C6"/>
    <w:rsid w:val="00BC546C"/>
    <w:rsid w:val="00BC6479"/>
    <w:rsid w:val="00BC73DA"/>
    <w:rsid w:val="00BD09F0"/>
    <w:rsid w:val="00BD20ED"/>
    <w:rsid w:val="00BD341A"/>
    <w:rsid w:val="00BD3E8D"/>
    <w:rsid w:val="00BD5B2B"/>
    <w:rsid w:val="00BD642F"/>
    <w:rsid w:val="00BD7E4F"/>
    <w:rsid w:val="00BE0AE1"/>
    <w:rsid w:val="00BE2C22"/>
    <w:rsid w:val="00BE2E8D"/>
    <w:rsid w:val="00BE4001"/>
    <w:rsid w:val="00BF2809"/>
    <w:rsid w:val="00BF5223"/>
    <w:rsid w:val="00BF52CE"/>
    <w:rsid w:val="00BF5E83"/>
    <w:rsid w:val="00BF7C1E"/>
    <w:rsid w:val="00BF7DD4"/>
    <w:rsid w:val="00C00269"/>
    <w:rsid w:val="00C00934"/>
    <w:rsid w:val="00C01D76"/>
    <w:rsid w:val="00C02B24"/>
    <w:rsid w:val="00C04C9F"/>
    <w:rsid w:val="00C04F74"/>
    <w:rsid w:val="00C05754"/>
    <w:rsid w:val="00C059A5"/>
    <w:rsid w:val="00C05EA5"/>
    <w:rsid w:val="00C061E7"/>
    <w:rsid w:val="00C062D7"/>
    <w:rsid w:val="00C063BC"/>
    <w:rsid w:val="00C06859"/>
    <w:rsid w:val="00C07FA6"/>
    <w:rsid w:val="00C10500"/>
    <w:rsid w:val="00C109AA"/>
    <w:rsid w:val="00C1267D"/>
    <w:rsid w:val="00C12C2B"/>
    <w:rsid w:val="00C13497"/>
    <w:rsid w:val="00C14072"/>
    <w:rsid w:val="00C140A3"/>
    <w:rsid w:val="00C14D83"/>
    <w:rsid w:val="00C154FA"/>
    <w:rsid w:val="00C158B3"/>
    <w:rsid w:val="00C15ECA"/>
    <w:rsid w:val="00C172C3"/>
    <w:rsid w:val="00C2176E"/>
    <w:rsid w:val="00C21A2A"/>
    <w:rsid w:val="00C21D9C"/>
    <w:rsid w:val="00C21DAF"/>
    <w:rsid w:val="00C22528"/>
    <w:rsid w:val="00C22843"/>
    <w:rsid w:val="00C22F2B"/>
    <w:rsid w:val="00C27464"/>
    <w:rsid w:val="00C27AEF"/>
    <w:rsid w:val="00C3174F"/>
    <w:rsid w:val="00C31A34"/>
    <w:rsid w:val="00C34378"/>
    <w:rsid w:val="00C346EC"/>
    <w:rsid w:val="00C41EEE"/>
    <w:rsid w:val="00C4529B"/>
    <w:rsid w:val="00C45BD3"/>
    <w:rsid w:val="00C46788"/>
    <w:rsid w:val="00C47242"/>
    <w:rsid w:val="00C478DC"/>
    <w:rsid w:val="00C50C6C"/>
    <w:rsid w:val="00C51479"/>
    <w:rsid w:val="00C516E8"/>
    <w:rsid w:val="00C54705"/>
    <w:rsid w:val="00C5636A"/>
    <w:rsid w:val="00C563FF"/>
    <w:rsid w:val="00C56BED"/>
    <w:rsid w:val="00C570B5"/>
    <w:rsid w:val="00C60969"/>
    <w:rsid w:val="00C62427"/>
    <w:rsid w:val="00C631D6"/>
    <w:rsid w:val="00C638D5"/>
    <w:rsid w:val="00C64231"/>
    <w:rsid w:val="00C64B6F"/>
    <w:rsid w:val="00C64BE6"/>
    <w:rsid w:val="00C64E1A"/>
    <w:rsid w:val="00C656F8"/>
    <w:rsid w:val="00C6632E"/>
    <w:rsid w:val="00C7056F"/>
    <w:rsid w:val="00C70E16"/>
    <w:rsid w:val="00C71E23"/>
    <w:rsid w:val="00C7238D"/>
    <w:rsid w:val="00C73795"/>
    <w:rsid w:val="00C751F4"/>
    <w:rsid w:val="00C80248"/>
    <w:rsid w:val="00C80777"/>
    <w:rsid w:val="00C81BD1"/>
    <w:rsid w:val="00C81BDE"/>
    <w:rsid w:val="00C821A8"/>
    <w:rsid w:val="00C82242"/>
    <w:rsid w:val="00C825E9"/>
    <w:rsid w:val="00C82CCB"/>
    <w:rsid w:val="00C83FDB"/>
    <w:rsid w:val="00C84036"/>
    <w:rsid w:val="00C86C0F"/>
    <w:rsid w:val="00C86FCF"/>
    <w:rsid w:val="00C90A6E"/>
    <w:rsid w:val="00C90DEB"/>
    <w:rsid w:val="00C9375C"/>
    <w:rsid w:val="00C93A2C"/>
    <w:rsid w:val="00C95A74"/>
    <w:rsid w:val="00C97463"/>
    <w:rsid w:val="00C976E6"/>
    <w:rsid w:val="00C979FB"/>
    <w:rsid w:val="00C97B5F"/>
    <w:rsid w:val="00CA25B2"/>
    <w:rsid w:val="00CA489F"/>
    <w:rsid w:val="00CA493D"/>
    <w:rsid w:val="00CA5AAE"/>
    <w:rsid w:val="00CA5B55"/>
    <w:rsid w:val="00CB1471"/>
    <w:rsid w:val="00CB1735"/>
    <w:rsid w:val="00CB2AD3"/>
    <w:rsid w:val="00CB372C"/>
    <w:rsid w:val="00CB37D5"/>
    <w:rsid w:val="00CB4728"/>
    <w:rsid w:val="00CB4918"/>
    <w:rsid w:val="00CB603E"/>
    <w:rsid w:val="00CB67EE"/>
    <w:rsid w:val="00CC051F"/>
    <w:rsid w:val="00CC058D"/>
    <w:rsid w:val="00CC0E59"/>
    <w:rsid w:val="00CC19AF"/>
    <w:rsid w:val="00CC1B8C"/>
    <w:rsid w:val="00CC32C1"/>
    <w:rsid w:val="00CC577C"/>
    <w:rsid w:val="00CC6281"/>
    <w:rsid w:val="00CC762D"/>
    <w:rsid w:val="00CC7F75"/>
    <w:rsid w:val="00CD2D4C"/>
    <w:rsid w:val="00CD3FC0"/>
    <w:rsid w:val="00CD5969"/>
    <w:rsid w:val="00CD5C29"/>
    <w:rsid w:val="00CD5FC1"/>
    <w:rsid w:val="00CE043C"/>
    <w:rsid w:val="00CE0ECA"/>
    <w:rsid w:val="00CE3840"/>
    <w:rsid w:val="00CE3AF3"/>
    <w:rsid w:val="00CE4645"/>
    <w:rsid w:val="00CE4DF3"/>
    <w:rsid w:val="00CE6896"/>
    <w:rsid w:val="00CE7F0E"/>
    <w:rsid w:val="00CF0398"/>
    <w:rsid w:val="00CF1D87"/>
    <w:rsid w:val="00CF258F"/>
    <w:rsid w:val="00CF4A77"/>
    <w:rsid w:val="00CF7EFE"/>
    <w:rsid w:val="00D01DBC"/>
    <w:rsid w:val="00D0232C"/>
    <w:rsid w:val="00D0412C"/>
    <w:rsid w:val="00D04D6F"/>
    <w:rsid w:val="00D05097"/>
    <w:rsid w:val="00D06B0C"/>
    <w:rsid w:val="00D07D46"/>
    <w:rsid w:val="00D103D0"/>
    <w:rsid w:val="00D10FE1"/>
    <w:rsid w:val="00D13F3B"/>
    <w:rsid w:val="00D14B0D"/>
    <w:rsid w:val="00D1550F"/>
    <w:rsid w:val="00D15FCC"/>
    <w:rsid w:val="00D16AD1"/>
    <w:rsid w:val="00D16F30"/>
    <w:rsid w:val="00D1706F"/>
    <w:rsid w:val="00D17342"/>
    <w:rsid w:val="00D200FE"/>
    <w:rsid w:val="00D21955"/>
    <w:rsid w:val="00D22014"/>
    <w:rsid w:val="00D22D7E"/>
    <w:rsid w:val="00D2457B"/>
    <w:rsid w:val="00D26232"/>
    <w:rsid w:val="00D3038D"/>
    <w:rsid w:val="00D310C7"/>
    <w:rsid w:val="00D32742"/>
    <w:rsid w:val="00D339DC"/>
    <w:rsid w:val="00D33B7E"/>
    <w:rsid w:val="00D34029"/>
    <w:rsid w:val="00D34B9A"/>
    <w:rsid w:val="00D357A7"/>
    <w:rsid w:val="00D35BBA"/>
    <w:rsid w:val="00D3610B"/>
    <w:rsid w:val="00D4011C"/>
    <w:rsid w:val="00D40BD3"/>
    <w:rsid w:val="00D4169B"/>
    <w:rsid w:val="00D41D3B"/>
    <w:rsid w:val="00D43891"/>
    <w:rsid w:val="00D43C78"/>
    <w:rsid w:val="00D450F6"/>
    <w:rsid w:val="00D45288"/>
    <w:rsid w:val="00D45FF3"/>
    <w:rsid w:val="00D4710B"/>
    <w:rsid w:val="00D47AF6"/>
    <w:rsid w:val="00D501E8"/>
    <w:rsid w:val="00D505CC"/>
    <w:rsid w:val="00D506EC"/>
    <w:rsid w:val="00D51768"/>
    <w:rsid w:val="00D53937"/>
    <w:rsid w:val="00D55037"/>
    <w:rsid w:val="00D56231"/>
    <w:rsid w:val="00D62848"/>
    <w:rsid w:val="00D62AD2"/>
    <w:rsid w:val="00D64668"/>
    <w:rsid w:val="00D646CE"/>
    <w:rsid w:val="00D653AE"/>
    <w:rsid w:val="00D66619"/>
    <w:rsid w:val="00D66779"/>
    <w:rsid w:val="00D66C13"/>
    <w:rsid w:val="00D66C45"/>
    <w:rsid w:val="00D66D4A"/>
    <w:rsid w:val="00D678D8"/>
    <w:rsid w:val="00D7078D"/>
    <w:rsid w:val="00D7197D"/>
    <w:rsid w:val="00D71D3C"/>
    <w:rsid w:val="00D720CC"/>
    <w:rsid w:val="00D72BD5"/>
    <w:rsid w:val="00D73CF7"/>
    <w:rsid w:val="00D77F36"/>
    <w:rsid w:val="00D80111"/>
    <w:rsid w:val="00D80CB9"/>
    <w:rsid w:val="00D817C7"/>
    <w:rsid w:val="00D824CB"/>
    <w:rsid w:val="00D82FB7"/>
    <w:rsid w:val="00D836EC"/>
    <w:rsid w:val="00D86A45"/>
    <w:rsid w:val="00D87EC2"/>
    <w:rsid w:val="00D92042"/>
    <w:rsid w:val="00D93104"/>
    <w:rsid w:val="00D93620"/>
    <w:rsid w:val="00D9456C"/>
    <w:rsid w:val="00D945AD"/>
    <w:rsid w:val="00D94F0E"/>
    <w:rsid w:val="00D96921"/>
    <w:rsid w:val="00DA0174"/>
    <w:rsid w:val="00DA1F74"/>
    <w:rsid w:val="00DA2704"/>
    <w:rsid w:val="00DA2EEB"/>
    <w:rsid w:val="00DA701A"/>
    <w:rsid w:val="00DB0A16"/>
    <w:rsid w:val="00DB19A0"/>
    <w:rsid w:val="00DB1D27"/>
    <w:rsid w:val="00DB2251"/>
    <w:rsid w:val="00DB34B9"/>
    <w:rsid w:val="00DB3740"/>
    <w:rsid w:val="00DB4670"/>
    <w:rsid w:val="00DB5C9B"/>
    <w:rsid w:val="00DB5EBA"/>
    <w:rsid w:val="00DB7CC5"/>
    <w:rsid w:val="00DC0BC9"/>
    <w:rsid w:val="00DC1FAE"/>
    <w:rsid w:val="00DC229B"/>
    <w:rsid w:val="00DC23B3"/>
    <w:rsid w:val="00DC267C"/>
    <w:rsid w:val="00DC29CA"/>
    <w:rsid w:val="00DC4313"/>
    <w:rsid w:val="00DC6719"/>
    <w:rsid w:val="00DC7863"/>
    <w:rsid w:val="00DD1161"/>
    <w:rsid w:val="00DD1780"/>
    <w:rsid w:val="00DD22D3"/>
    <w:rsid w:val="00DD3181"/>
    <w:rsid w:val="00DD47E8"/>
    <w:rsid w:val="00DD4C18"/>
    <w:rsid w:val="00DD4CD7"/>
    <w:rsid w:val="00DD6891"/>
    <w:rsid w:val="00DD6EE1"/>
    <w:rsid w:val="00DE022A"/>
    <w:rsid w:val="00DE02F6"/>
    <w:rsid w:val="00DE0FDD"/>
    <w:rsid w:val="00DE0FE4"/>
    <w:rsid w:val="00DE1410"/>
    <w:rsid w:val="00DE40CF"/>
    <w:rsid w:val="00DE4643"/>
    <w:rsid w:val="00DE5806"/>
    <w:rsid w:val="00DE7551"/>
    <w:rsid w:val="00DF1C67"/>
    <w:rsid w:val="00DF2791"/>
    <w:rsid w:val="00DF2C4B"/>
    <w:rsid w:val="00DF4928"/>
    <w:rsid w:val="00DF7420"/>
    <w:rsid w:val="00E02C68"/>
    <w:rsid w:val="00E04260"/>
    <w:rsid w:val="00E04E4E"/>
    <w:rsid w:val="00E04F72"/>
    <w:rsid w:val="00E0540A"/>
    <w:rsid w:val="00E105DA"/>
    <w:rsid w:val="00E133F9"/>
    <w:rsid w:val="00E14DA8"/>
    <w:rsid w:val="00E15443"/>
    <w:rsid w:val="00E16E76"/>
    <w:rsid w:val="00E217C3"/>
    <w:rsid w:val="00E24E95"/>
    <w:rsid w:val="00E24FE9"/>
    <w:rsid w:val="00E25A21"/>
    <w:rsid w:val="00E25D4F"/>
    <w:rsid w:val="00E31072"/>
    <w:rsid w:val="00E33CE1"/>
    <w:rsid w:val="00E33D00"/>
    <w:rsid w:val="00E342A8"/>
    <w:rsid w:val="00E40BC8"/>
    <w:rsid w:val="00E412E3"/>
    <w:rsid w:val="00E4186C"/>
    <w:rsid w:val="00E42CA2"/>
    <w:rsid w:val="00E43E4E"/>
    <w:rsid w:val="00E4469E"/>
    <w:rsid w:val="00E45CF6"/>
    <w:rsid w:val="00E47840"/>
    <w:rsid w:val="00E47D00"/>
    <w:rsid w:val="00E55F45"/>
    <w:rsid w:val="00E62724"/>
    <w:rsid w:val="00E627A0"/>
    <w:rsid w:val="00E62948"/>
    <w:rsid w:val="00E649C1"/>
    <w:rsid w:val="00E64A9F"/>
    <w:rsid w:val="00E650A5"/>
    <w:rsid w:val="00E65533"/>
    <w:rsid w:val="00E673D8"/>
    <w:rsid w:val="00E67EAA"/>
    <w:rsid w:val="00E70963"/>
    <w:rsid w:val="00E709BE"/>
    <w:rsid w:val="00E712DA"/>
    <w:rsid w:val="00E724DF"/>
    <w:rsid w:val="00E730B7"/>
    <w:rsid w:val="00E73AE1"/>
    <w:rsid w:val="00E748EB"/>
    <w:rsid w:val="00E74E0D"/>
    <w:rsid w:val="00E7509A"/>
    <w:rsid w:val="00E757C3"/>
    <w:rsid w:val="00E75E40"/>
    <w:rsid w:val="00E81C11"/>
    <w:rsid w:val="00E82694"/>
    <w:rsid w:val="00E83192"/>
    <w:rsid w:val="00E84BA3"/>
    <w:rsid w:val="00E852E7"/>
    <w:rsid w:val="00E85458"/>
    <w:rsid w:val="00E85BB7"/>
    <w:rsid w:val="00E85E34"/>
    <w:rsid w:val="00E92DF5"/>
    <w:rsid w:val="00E92FF5"/>
    <w:rsid w:val="00E95B41"/>
    <w:rsid w:val="00E964A2"/>
    <w:rsid w:val="00E9681D"/>
    <w:rsid w:val="00E972CA"/>
    <w:rsid w:val="00E97801"/>
    <w:rsid w:val="00E97AC4"/>
    <w:rsid w:val="00EA006D"/>
    <w:rsid w:val="00EA5BC8"/>
    <w:rsid w:val="00EA74D3"/>
    <w:rsid w:val="00EB22B1"/>
    <w:rsid w:val="00EB3BE0"/>
    <w:rsid w:val="00EB6BF4"/>
    <w:rsid w:val="00EB7571"/>
    <w:rsid w:val="00EC0B78"/>
    <w:rsid w:val="00EC1BC5"/>
    <w:rsid w:val="00EC47F6"/>
    <w:rsid w:val="00EC6CB3"/>
    <w:rsid w:val="00EC6E6F"/>
    <w:rsid w:val="00ED00AF"/>
    <w:rsid w:val="00ED059D"/>
    <w:rsid w:val="00ED0779"/>
    <w:rsid w:val="00ED1C34"/>
    <w:rsid w:val="00ED3015"/>
    <w:rsid w:val="00ED428B"/>
    <w:rsid w:val="00ED6B02"/>
    <w:rsid w:val="00ED6BFC"/>
    <w:rsid w:val="00EE2C82"/>
    <w:rsid w:val="00EE3BE1"/>
    <w:rsid w:val="00EE474F"/>
    <w:rsid w:val="00EE4ADB"/>
    <w:rsid w:val="00EE51FE"/>
    <w:rsid w:val="00EE59F6"/>
    <w:rsid w:val="00EE7DB9"/>
    <w:rsid w:val="00EF072C"/>
    <w:rsid w:val="00EF13F6"/>
    <w:rsid w:val="00EF1BC5"/>
    <w:rsid w:val="00EF1FE2"/>
    <w:rsid w:val="00EF710B"/>
    <w:rsid w:val="00EF75DD"/>
    <w:rsid w:val="00F00952"/>
    <w:rsid w:val="00F05DB8"/>
    <w:rsid w:val="00F05E35"/>
    <w:rsid w:val="00F07AB0"/>
    <w:rsid w:val="00F07B02"/>
    <w:rsid w:val="00F110DC"/>
    <w:rsid w:val="00F124FE"/>
    <w:rsid w:val="00F12BC9"/>
    <w:rsid w:val="00F13402"/>
    <w:rsid w:val="00F14B17"/>
    <w:rsid w:val="00F14B3C"/>
    <w:rsid w:val="00F15024"/>
    <w:rsid w:val="00F16DC8"/>
    <w:rsid w:val="00F174F8"/>
    <w:rsid w:val="00F17F27"/>
    <w:rsid w:val="00F231C3"/>
    <w:rsid w:val="00F2457B"/>
    <w:rsid w:val="00F2549E"/>
    <w:rsid w:val="00F257D1"/>
    <w:rsid w:val="00F257F1"/>
    <w:rsid w:val="00F25B50"/>
    <w:rsid w:val="00F266D0"/>
    <w:rsid w:val="00F2694A"/>
    <w:rsid w:val="00F27445"/>
    <w:rsid w:val="00F27652"/>
    <w:rsid w:val="00F301F7"/>
    <w:rsid w:val="00F3055B"/>
    <w:rsid w:val="00F31C20"/>
    <w:rsid w:val="00F31C8A"/>
    <w:rsid w:val="00F3238C"/>
    <w:rsid w:val="00F32697"/>
    <w:rsid w:val="00F32CD3"/>
    <w:rsid w:val="00F3458E"/>
    <w:rsid w:val="00F350F0"/>
    <w:rsid w:val="00F3526D"/>
    <w:rsid w:val="00F352A5"/>
    <w:rsid w:val="00F370BD"/>
    <w:rsid w:val="00F40F44"/>
    <w:rsid w:val="00F431D9"/>
    <w:rsid w:val="00F43EF6"/>
    <w:rsid w:val="00F44349"/>
    <w:rsid w:val="00F44659"/>
    <w:rsid w:val="00F45A67"/>
    <w:rsid w:val="00F47952"/>
    <w:rsid w:val="00F51CDA"/>
    <w:rsid w:val="00F52458"/>
    <w:rsid w:val="00F55D70"/>
    <w:rsid w:val="00F56641"/>
    <w:rsid w:val="00F571CE"/>
    <w:rsid w:val="00F576DC"/>
    <w:rsid w:val="00F60066"/>
    <w:rsid w:val="00F628AA"/>
    <w:rsid w:val="00F66D09"/>
    <w:rsid w:val="00F71623"/>
    <w:rsid w:val="00F71ABC"/>
    <w:rsid w:val="00F723D7"/>
    <w:rsid w:val="00F72F3E"/>
    <w:rsid w:val="00F73648"/>
    <w:rsid w:val="00F746B1"/>
    <w:rsid w:val="00F74C2B"/>
    <w:rsid w:val="00F7503B"/>
    <w:rsid w:val="00F7587A"/>
    <w:rsid w:val="00F75C1D"/>
    <w:rsid w:val="00F76280"/>
    <w:rsid w:val="00F7660B"/>
    <w:rsid w:val="00F767FA"/>
    <w:rsid w:val="00F7702F"/>
    <w:rsid w:val="00F8056E"/>
    <w:rsid w:val="00F80742"/>
    <w:rsid w:val="00F80D89"/>
    <w:rsid w:val="00F84538"/>
    <w:rsid w:val="00F84CA5"/>
    <w:rsid w:val="00F85B09"/>
    <w:rsid w:val="00F87E1E"/>
    <w:rsid w:val="00F91520"/>
    <w:rsid w:val="00F91E72"/>
    <w:rsid w:val="00F9384F"/>
    <w:rsid w:val="00F93C4B"/>
    <w:rsid w:val="00F93FDC"/>
    <w:rsid w:val="00F94CA3"/>
    <w:rsid w:val="00F96DAA"/>
    <w:rsid w:val="00F97211"/>
    <w:rsid w:val="00FA06D7"/>
    <w:rsid w:val="00FA12D8"/>
    <w:rsid w:val="00FA19FA"/>
    <w:rsid w:val="00FA1EF6"/>
    <w:rsid w:val="00FA3429"/>
    <w:rsid w:val="00FA37FC"/>
    <w:rsid w:val="00FA57F1"/>
    <w:rsid w:val="00FA5B7A"/>
    <w:rsid w:val="00FA6FB2"/>
    <w:rsid w:val="00FA77B4"/>
    <w:rsid w:val="00FB0333"/>
    <w:rsid w:val="00FB08A8"/>
    <w:rsid w:val="00FB0EA3"/>
    <w:rsid w:val="00FB1846"/>
    <w:rsid w:val="00FB2F67"/>
    <w:rsid w:val="00FB363C"/>
    <w:rsid w:val="00FB37DA"/>
    <w:rsid w:val="00FB3AF3"/>
    <w:rsid w:val="00FB4083"/>
    <w:rsid w:val="00FB429C"/>
    <w:rsid w:val="00FB5745"/>
    <w:rsid w:val="00FB584B"/>
    <w:rsid w:val="00FB6017"/>
    <w:rsid w:val="00FC16A3"/>
    <w:rsid w:val="00FC3B2B"/>
    <w:rsid w:val="00FC5490"/>
    <w:rsid w:val="00FC5AB7"/>
    <w:rsid w:val="00FC637E"/>
    <w:rsid w:val="00FD1522"/>
    <w:rsid w:val="00FD1BEB"/>
    <w:rsid w:val="00FD2337"/>
    <w:rsid w:val="00FD4093"/>
    <w:rsid w:val="00FD44D5"/>
    <w:rsid w:val="00FD54C1"/>
    <w:rsid w:val="00FD737E"/>
    <w:rsid w:val="00FE1940"/>
    <w:rsid w:val="00FE1EB3"/>
    <w:rsid w:val="00FE3D62"/>
    <w:rsid w:val="00FE4F85"/>
    <w:rsid w:val="00FE57D6"/>
    <w:rsid w:val="00FE6ACA"/>
    <w:rsid w:val="00FE6B42"/>
    <w:rsid w:val="00FE70FA"/>
    <w:rsid w:val="00FF0E18"/>
    <w:rsid w:val="00FF3F4F"/>
    <w:rsid w:val="00FF44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1AE3265A"/>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uiPriority w:val="9"/>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basedOn w:val="Normal"/>
    <w:next w:val="Normal"/>
    <w:link w:val="Heading3Char"/>
    <w:uiPriority w:val="9"/>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iPriority w:val="9"/>
    <w:unhideWhenUsed/>
    <w:qFormat/>
    <w:rsid w:val="006B1D3E"/>
    <w:pPr>
      <w:outlineLvl w:val="4"/>
    </w:pPr>
    <w:rPr>
      <w:rFonts w:eastAsia="Times New Roman"/>
      <w:b w:val="0"/>
    </w:rPr>
  </w:style>
  <w:style w:type="paragraph" w:styleId="Heading6">
    <w:name w:val="heading 6"/>
    <w:basedOn w:val="Heading5"/>
    <w:next w:val="Normal"/>
    <w:link w:val="Heading6Char"/>
    <w:uiPriority w:val="9"/>
    <w:unhideWhenUsed/>
    <w:qFormat/>
    <w:rsid w:val="008638CA"/>
    <w:pPr>
      <w:outlineLvl w:val="5"/>
    </w:pPr>
    <w:rPr>
      <w:sz w:val="22"/>
    </w:rPr>
  </w:style>
  <w:style w:type="paragraph" w:styleId="Heading7">
    <w:name w:val="heading 7"/>
    <w:aliases w:val="Finding Heading"/>
    <w:basedOn w:val="Normal"/>
    <w:next w:val="Numbernormal"/>
    <w:link w:val="Heading7Char"/>
    <w:uiPriority w:val="9"/>
    <w:unhideWhenUsed/>
    <w:qFormat/>
    <w:rsid w:val="002D6CC1"/>
    <w:pPr>
      <w:numPr>
        <w:numId w:val="16"/>
      </w:numPr>
      <w:ind w:left="284"/>
      <w:outlineLvl w:val="6"/>
    </w:pPr>
    <w:rPr>
      <w:rFonts w:eastAsia="Calibri" w:cs="Arial"/>
      <w:b/>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8341AC"/>
    <w:rPr>
      <w:rFonts w:ascii="Arial" w:hAnsi="Arial" w:cs="Arial"/>
      <w:b/>
      <w:bCs/>
      <w:color w:val="4F81BD"/>
      <w:sz w:val="24"/>
    </w:rPr>
  </w:style>
  <w:style w:type="character" w:customStyle="1" w:styleId="Heading5Char">
    <w:name w:val="Heading 5 Char"/>
    <w:basedOn w:val="DefaultParagraphFont"/>
    <w:link w:val="Heading5"/>
    <w:uiPriority w:val="9"/>
    <w:rsid w:val="006B1D3E"/>
    <w:rPr>
      <w:rFonts w:ascii="Arial" w:eastAsia="Times New Roman" w:hAnsi="Arial" w:cs="Arial"/>
      <w:bCs/>
      <w:color w:val="4F81BD"/>
      <w:sz w:val="24"/>
    </w:rPr>
  </w:style>
  <w:style w:type="character" w:customStyle="1" w:styleId="Heading6Char">
    <w:name w:val="Heading 6 Char"/>
    <w:basedOn w:val="DefaultParagraphFont"/>
    <w:link w:val="Heading6"/>
    <w:uiPriority w:val="9"/>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14"/>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6"/>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uiPriority w:val="9"/>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uiPriority w:val="99"/>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qFormat/>
    <w:rsid w:val="00C22F2B"/>
    <w:pPr>
      <w:numPr>
        <w:numId w:val="9"/>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10"/>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11"/>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7"/>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uiPriority w:val="10"/>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uiPriority w:val="10"/>
    <w:rsid w:val="00FA5B7A"/>
    <w:rPr>
      <w:rFonts w:ascii="Arial" w:eastAsia="Times New Roman" w:hAnsi="Arial" w:cs="Arial"/>
      <w:b/>
      <w:color w:val="5C89BF"/>
      <w:sz w:val="42"/>
      <w:szCs w:val="42"/>
    </w:rPr>
  </w:style>
  <w:style w:type="table" w:customStyle="1" w:styleId="TableGrid24">
    <w:name w:val="Table Grid24"/>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034B0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230770349">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513810324">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058629288">
      <w:bodyDiv w:val="1"/>
      <w:marLeft w:val="0"/>
      <w:marRight w:val="0"/>
      <w:marTop w:val="0"/>
      <w:marBottom w:val="0"/>
      <w:divBdr>
        <w:top w:val="none" w:sz="0" w:space="0" w:color="auto"/>
        <w:left w:val="none" w:sz="0" w:space="0" w:color="auto"/>
        <w:bottom w:val="none" w:sz="0" w:space="0" w:color="auto"/>
        <w:right w:val="none" w:sz="0" w:space="0" w:color="auto"/>
      </w:divBdr>
    </w:div>
    <w:div w:id="1240751344">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263756934">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01117302">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199945496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 w:id="213852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oter" Target="footer4.xml"/><Relationship Id="rId39"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image" Target="media/image13.png"/><Relationship Id="rId38"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header" Target="header7.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image" Target="media/image12.png"/><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hyperlink" Target="mailto:Tintswalom2@agsa.co.za"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9.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image" Target="media/image15.png"/><Relationship Id="rId43" Type="http://schemas.openxmlformats.org/officeDocument/2006/relationships/header" Target="header15.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footer4.xml.rels><?xml version="1.0" encoding="UTF-8" standalone="yes"?>
<Relationships xmlns="http://schemas.openxmlformats.org/package/2006/relationships"><Relationship Id="rId1" Type="http://schemas.openxmlformats.org/officeDocument/2006/relationships/image" Target="media/image4.emf"/></Relationships>
</file>

<file path=word/_rels/footer5.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6" ma:contentTypeDescription="Create a new document." ma:contentTypeScope="" ma:versionID="c30ef120bac402839e9d659d92ad4370">
  <xsd:schema xmlns:xsd="http://www.w3.org/2001/XMLSchema" xmlns:xs="http://www.w3.org/2001/XMLSchema" xmlns:p="http://schemas.microsoft.com/office/2006/metadata/properties" xmlns:ns1="http://schemas.microsoft.com/sharepoint/v3" xmlns:ns2="db9a61e7-e58b-4a0f-a1f0-f0fe15068406" xmlns:ns3="a02d2d02-4cb9-496e-be02-a2ef08ff614e" targetNamespace="http://schemas.microsoft.com/office/2006/metadata/properties" ma:root="true" ma:fieldsID="5c19bf6bf9985affc3989f3b339fb1ec" ns1:_="" ns2:_="" ns3:_="">
    <xsd:import namespace="http://schemas.microsoft.com/sharepoint/v3"/>
    <xsd:import namespace="db9a61e7-e58b-4a0f-a1f0-f0fe15068406"/>
    <xsd:import namespace="a02d2d02-4cb9-496e-be02-a2ef08ff614e"/>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2d2d02-4cb9-496e-be02-a2ef08ff614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7F4A6-D886-456B-9A5C-EE7BA1BC5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a02d2d02-4cb9-496e-be02-a2ef08ff6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3.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5.xml><?xml version="1.0" encoding="utf-8"?>
<ds:datastoreItem xmlns:ds="http://schemas.openxmlformats.org/officeDocument/2006/customXml" ds:itemID="{A7C4D831-85B1-4F15-8AD0-62C904C4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33</Pages>
  <Words>9670</Words>
  <Characters>55121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64662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Masia,Tintswalo (SM)</cp:lastModifiedBy>
  <cp:revision>8</cp:revision>
  <cp:lastPrinted>2020-05-28T11:32:00Z</cp:lastPrinted>
  <dcterms:created xsi:type="dcterms:W3CDTF">2021-07-22T17:40:00Z</dcterms:created>
  <dcterms:modified xsi:type="dcterms:W3CDTF">2021-07-22T18:59:00Z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0x010100ACC49524D098E14FA6EB8D1196D58558</vt:lpwstr>
  </property>
</Properties>
</file>