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219AC" w14:textId="3BC87B23" w:rsidR="00EB1B49" w:rsidRPr="00F74376" w:rsidRDefault="0024062B" w:rsidP="00D2356E">
      <w:pPr>
        <w:pStyle w:val="Heading1"/>
      </w:pPr>
      <w:bookmarkStart w:id="0" w:name="Back1"/>
      <w:bookmarkEnd w:id="0"/>
      <w:r w:rsidRPr="00F74376">
        <w:t>Report of the auditor-genera</w:t>
      </w:r>
      <w:r w:rsidR="00B16DC9">
        <w:t xml:space="preserve">l to </w:t>
      </w:r>
      <w:r w:rsidR="00B16DC9" w:rsidRPr="6B60DE45">
        <w:rPr>
          <w:rFonts w:eastAsia="Calibri"/>
        </w:rPr>
        <w:t>Parliament</w:t>
      </w:r>
      <w:r w:rsidR="00B16DC9" w:rsidRPr="00F74376">
        <w:rPr>
          <w:rStyle w:val="EndnoteReference"/>
          <w:color w:val="FF0000"/>
          <w:sz w:val="22"/>
          <w:szCs w:val="22"/>
        </w:rPr>
        <w:t xml:space="preserve"> </w:t>
      </w:r>
      <w:r w:rsidR="00D931A6" w:rsidRPr="00F74376">
        <w:t xml:space="preserve"> </w:t>
      </w:r>
      <w:r w:rsidR="00B16DC9">
        <w:t>on vote no. 13:</w:t>
      </w:r>
      <w:r w:rsidRPr="00F74376">
        <w:t xml:space="preserve"> </w:t>
      </w:r>
      <w:r w:rsidR="00B16DC9">
        <w:t>Property Management Trading Entity</w:t>
      </w:r>
    </w:p>
    <w:p w14:paraId="34EE70E3" w14:textId="6F47C49D" w:rsidR="0052594D" w:rsidRPr="00F74376" w:rsidRDefault="0052594D" w:rsidP="00B317E9">
      <w:pPr>
        <w:pStyle w:val="Heading2"/>
      </w:pPr>
      <w:bookmarkStart w:id="1" w:name="Back2"/>
      <w:bookmarkEnd w:id="1"/>
      <w:r w:rsidRPr="00F74376">
        <w:t xml:space="preserve">Report on the </w:t>
      </w:r>
      <w:r w:rsidR="007938E4" w:rsidRPr="00F74376">
        <w:t>a</w:t>
      </w:r>
      <w:r w:rsidRPr="00F74376">
        <w:t>udit of the</w:t>
      </w:r>
      <w:r w:rsidR="00B16DC9">
        <w:t xml:space="preserve"> </w:t>
      </w:r>
      <w:r w:rsidR="007938E4" w:rsidRPr="00F74376">
        <w:t>f</w:t>
      </w:r>
      <w:r w:rsidRPr="00F74376">
        <w:t xml:space="preserve">inancial </w:t>
      </w:r>
      <w:r w:rsidR="007938E4" w:rsidRPr="00F74376">
        <w:t>s</w:t>
      </w:r>
      <w:r w:rsidRPr="00F74376">
        <w:t>tatements</w:t>
      </w:r>
    </w:p>
    <w:p w14:paraId="14C8BCBD" w14:textId="19085671" w:rsidR="0052594D" w:rsidRPr="00F74376" w:rsidRDefault="00E15684" w:rsidP="00B317E9">
      <w:pPr>
        <w:pStyle w:val="Heading3"/>
      </w:pPr>
      <w:bookmarkStart w:id="2" w:name="Back3"/>
      <w:bookmarkEnd w:id="2"/>
      <w:r w:rsidRPr="00F74376">
        <w:t xml:space="preserve">Qualified </w:t>
      </w:r>
      <w:r w:rsidR="007938E4" w:rsidRPr="00F74376">
        <w:t>o</w:t>
      </w:r>
      <w:r w:rsidR="0052594D" w:rsidRPr="00F74376">
        <w:t>pinion</w:t>
      </w:r>
    </w:p>
    <w:p w14:paraId="5B1EF989" w14:textId="488DF069" w:rsidR="0052594D" w:rsidRDefault="00BD2D16" w:rsidP="00AB5D84">
      <w:pPr>
        <w:pStyle w:val="NumberedARs"/>
        <w:numPr>
          <w:ilvl w:val="0"/>
          <w:numId w:val="14"/>
        </w:numPr>
      </w:pPr>
      <w:r w:rsidRPr="00F74376">
        <w:t>I</w:t>
      </w:r>
      <w:r w:rsidR="0052594D" w:rsidRPr="00F74376">
        <w:t xml:space="preserve"> have audited the</w:t>
      </w:r>
      <w:r w:rsidR="000929F9" w:rsidRPr="00F74376">
        <w:t xml:space="preserve"> </w:t>
      </w:r>
      <w:r w:rsidR="0052594D" w:rsidRPr="00F74376">
        <w:t xml:space="preserve"> financial statements of</w:t>
      </w:r>
      <w:r w:rsidR="00FA0586" w:rsidRPr="00F74376">
        <w:t xml:space="preserve"> the</w:t>
      </w:r>
      <w:r w:rsidR="0052594D" w:rsidRPr="00F74376">
        <w:t xml:space="preserve"> </w:t>
      </w:r>
      <w:r w:rsidR="00713D14">
        <w:t xml:space="preserve">Property Management Trading Entity </w:t>
      </w:r>
      <w:r w:rsidR="000929F9" w:rsidRPr="00F74376">
        <w:t xml:space="preserve"> </w:t>
      </w:r>
      <w:r w:rsidRPr="00F74376">
        <w:t xml:space="preserve"> set out on pages </w:t>
      </w:r>
      <w:r w:rsidR="0096531B">
        <w:t>xx</w:t>
      </w:r>
      <w:r w:rsidRPr="00F74376">
        <w:t xml:space="preserve"> to </w:t>
      </w:r>
      <w:bookmarkStart w:id="3" w:name="Back4"/>
      <w:bookmarkEnd w:id="3"/>
      <w:r w:rsidR="0096531B">
        <w:t>xx</w:t>
      </w:r>
      <w:r w:rsidR="0052594D" w:rsidRPr="00F74376">
        <w:t>, which comprise the</w:t>
      </w:r>
      <w:r w:rsidRPr="00F74376">
        <w:t xml:space="preserve"> </w:t>
      </w:r>
      <w:r w:rsidR="00713D14">
        <w:t>Statement of Financial Performance,</w:t>
      </w:r>
      <w:r w:rsidRPr="00F74376">
        <w:t xml:space="preserve"> </w:t>
      </w:r>
      <w:r w:rsidR="0052594D" w:rsidRPr="00F74376">
        <w:t xml:space="preserve">statement of financial position as at </w:t>
      </w:r>
      <w:r w:rsidR="00713D14">
        <w:t>31 March 2023</w:t>
      </w:r>
      <w:r w:rsidR="0052594D" w:rsidRPr="00F74376">
        <w:t xml:space="preserve">,  </w:t>
      </w:r>
      <w:r w:rsidR="00D04619">
        <w:t>Statement of Financial Performance</w:t>
      </w:r>
      <w:r w:rsidR="00D04619" w:rsidRPr="00F74376" w:rsidDel="00D04619">
        <w:t xml:space="preserve"> </w:t>
      </w:r>
      <w:r w:rsidR="0052594D" w:rsidRPr="00F74376">
        <w:t>statement of changes in</w:t>
      </w:r>
      <w:r w:rsidR="005A7C84" w:rsidRPr="00F74376">
        <w:t xml:space="preserve"> net assets</w:t>
      </w:r>
      <w:r w:rsidR="00D04619">
        <w:t xml:space="preserve"> </w:t>
      </w:r>
      <w:r w:rsidR="0052594D" w:rsidRPr="00F74376">
        <w:t>and</w:t>
      </w:r>
      <w:r w:rsidR="00D04619">
        <w:t xml:space="preserve"> </w:t>
      </w:r>
      <w:r w:rsidR="005A7C84" w:rsidRPr="00F74376">
        <w:t>cash flow statement</w:t>
      </w:r>
      <w:r w:rsidR="005A7C84" w:rsidRPr="00F74376">
        <w:rPr>
          <w:rFonts w:eastAsia="MS Mincho"/>
        </w:rPr>
        <w:t xml:space="preserve"> and statement of comparison of budget </w:t>
      </w:r>
      <w:r w:rsidR="00270486">
        <w:rPr>
          <w:rFonts w:eastAsia="MS Mincho"/>
        </w:rPr>
        <w:t>and actual amounts</w:t>
      </w:r>
      <w:r w:rsidR="005A7C84" w:rsidRPr="00F74376">
        <w:rPr>
          <w:rFonts w:eastAsia="MS Mincho"/>
        </w:rPr>
        <w:t xml:space="preserve"> </w:t>
      </w:r>
      <w:bookmarkStart w:id="4" w:name="Back5"/>
      <w:bookmarkEnd w:id="4"/>
      <w:r w:rsidR="0052594D" w:rsidRPr="00F74376">
        <w:t>for the</w:t>
      </w:r>
      <w:r w:rsidR="005A7C84" w:rsidRPr="00F74376">
        <w:t xml:space="preserve"> year then ended, as well as</w:t>
      </w:r>
      <w:r w:rsidR="0052594D" w:rsidRPr="00F74376">
        <w:t xml:space="preserve"> notes to the financial statements, including a summary of significant accounting policies. </w:t>
      </w:r>
    </w:p>
    <w:p w14:paraId="5A250718" w14:textId="03128D0B" w:rsidR="00973C95" w:rsidRDefault="00973C95" w:rsidP="00973C95">
      <w:pPr>
        <w:pStyle w:val="ListParagraph"/>
        <w:numPr>
          <w:ilvl w:val="0"/>
          <w:numId w:val="14"/>
        </w:numPr>
      </w:pPr>
      <w:bookmarkStart w:id="5" w:name="Back6"/>
      <w:bookmarkStart w:id="6" w:name="Back7"/>
      <w:bookmarkEnd w:id="5"/>
      <w:bookmarkEnd w:id="6"/>
      <w:r w:rsidRPr="00B82C70">
        <w:t xml:space="preserve">In my opinion, </w:t>
      </w:r>
      <w:r w:rsidRPr="00973C95">
        <w:rPr>
          <w:b/>
        </w:rPr>
        <w:t>except for the effects</w:t>
      </w:r>
      <w:r>
        <w:t xml:space="preserve"> of the matters</w:t>
      </w:r>
      <w:r w:rsidRPr="00B82C70">
        <w:t xml:space="preserve"> described in the basis for qualified opinion section of this</w:t>
      </w:r>
      <w:r>
        <w:t xml:space="preserve"> auditor’s</w:t>
      </w:r>
      <w:r w:rsidRPr="00B82C70">
        <w:t xml:space="preserve"> report,</w:t>
      </w:r>
      <w:r>
        <w:t xml:space="preserve"> the</w:t>
      </w:r>
      <w:r w:rsidRPr="00B82C70">
        <w:t xml:space="preserve"> financial statements present fairly, in all material respects,</w:t>
      </w:r>
      <w:r>
        <w:t xml:space="preserve"> the</w:t>
      </w:r>
      <w:r w:rsidRPr="00B82C70">
        <w:t xml:space="preserve"> financial position</w:t>
      </w:r>
      <w:r>
        <w:t xml:space="preserve"> of the Property Management Trading Entity as at 31 March 2023</w:t>
      </w:r>
      <w:r w:rsidRPr="00B82C70">
        <w:t xml:space="preserve">, financial performance and cash flows for the year then ended in accordance with </w:t>
      </w:r>
      <w:r>
        <w:t xml:space="preserve">the </w:t>
      </w:r>
      <w:r w:rsidR="00BC51DE">
        <w:t xml:space="preserve">Generally Recognised Accounting Practice(Standards of </w:t>
      </w:r>
      <w:r w:rsidR="00BC51DE" w:rsidRPr="00714A74">
        <w:t>GRAP</w:t>
      </w:r>
      <w:r w:rsidR="00BC51DE">
        <w:t>)</w:t>
      </w:r>
      <w:r w:rsidR="00BC51DE" w:rsidRPr="00714A74">
        <w:t xml:space="preserve"> and the requirements of the</w:t>
      </w:r>
      <w:r w:rsidR="00BC51DE" w:rsidRPr="00714A74">
        <w:rPr>
          <w:b/>
          <w:color w:val="FF0000"/>
        </w:rPr>
        <w:t xml:space="preserve"> </w:t>
      </w:r>
      <w:r w:rsidR="00BC51DE" w:rsidRPr="002B7CEE">
        <w:t>Public Finance Management act 1 of 1999 (</w:t>
      </w:r>
      <w:r w:rsidR="00BC51DE" w:rsidRPr="00714A74">
        <w:t>PFMA</w:t>
      </w:r>
      <w:r w:rsidR="00BC51DE">
        <w:t>)</w:t>
      </w:r>
      <w:r w:rsidR="00BC51DE" w:rsidRPr="00FA4311">
        <w:t>.</w:t>
      </w:r>
    </w:p>
    <w:p w14:paraId="301E49BF" w14:textId="5712348D" w:rsidR="0052594D" w:rsidRPr="00F74376" w:rsidRDefault="0052594D" w:rsidP="007C61CF">
      <w:pPr>
        <w:pStyle w:val="Heading3"/>
      </w:pPr>
      <w:r w:rsidRPr="00F74376">
        <w:t>Basis for</w:t>
      </w:r>
      <w:r w:rsidR="006E5510" w:rsidRPr="00F74376">
        <w:t xml:space="preserve"> </w:t>
      </w:r>
      <w:r w:rsidR="002A0053" w:rsidRPr="00F74376">
        <w:t>qualified</w:t>
      </w:r>
      <w:r w:rsidR="00693517">
        <w:t xml:space="preserve"> </w:t>
      </w:r>
      <w:r w:rsidR="0030637E" w:rsidRPr="00F74376">
        <w:t>o</w:t>
      </w:r>
      <w:r w:rsidRPr="00F74376">
        <w:t>pinion</w:t>
      </w:r>
    </w:p>
    <w:p w14:paraId="3A6A2406" w14:textId="20BCED44" w:rsidR="00FD597C" w:rsidRPr="00F74376" w:rsidRDefault="00401B06" w:rsidP="007C61CF">
      <w:pPr>
        <w:pStyle w:val="Heading4"/>
        <w:rPr>
          <w:b w:val="0"/>
        </w:rPr>
      </w:pPr>
      <w:r>
        <w:t>Payables from exchange transactions</w:t>
      </w:r>
      <w:r w:rsidR="00FD597C" w:rsidRPr="00F74376">
        <w:t xml:space="preserve"> </w:t>
      </w:r>
    </w:p>
    <w:p w14:paraId="3BA1C06F" w14:textId="55A39D75" w:rsidR="00A200A7" w:rsidRPr="009A3B36" w:rsidRDefault="00A200A7" w:rsidP="00F70CCC">
      <w:pPr>
        <w:pStyle w:val="NumberedARs"/>
        <w:numPr>
          <w:ilvl w:val="0"/>
          <w:numId w:val="14"/>
        </w:numPr>
      </w:pPr>
      <w:r>
        <w:rPr>
          <w:szCs w:val="22"/>
        </w:rPr>
        <w:t xml:space="preserve">All outstanding amounts meeting the definition of a liability were not recognised in accordance with GRAP 1, </w:t>
      </w:r>
      <w:r>
        <w:rPr>
          <w:i/>
          <w:iCs/>
          <w:szCs w:val="22"/>
        </w:rPr>
        <w:t>Presentation of financial statements</w:t>
      </w:r>
      <w:r>
        <w:rPr>
          <w:szCs w:val="22"/>
        </w:rPr>
        <w:t>. Adequate records of outstanding payments for goods and services received but not yet paid at year-end were not maintained. I was unable to determine the full extent of the understatement of trade creditors and accruals, as it was impracticable to do so.</w:t>
      </w:r>
    </w:p>
    <w:p w14:paraId="00DC7949" w14:textId="2BF5BCA2" w:rsidR="009A3B36" w:rsidRPr="00E955FE" w:rsidRDefault="009A3B36" w:rsidP="009A3B36">
      <w:pPr>
        <w:pStyle w:val="Heading4"/>
      </w:pPr>
      <w:r>
        <w:t>Payables from exchange transactions</w:t>
      </w:r>
      <w:r w:rsidRPr="00F74376">
        <w:t xml:space="preserve"> </w:t>
      </w:r>
    </w:p>
    <w:p w14:paraId="2A8B661F" w14:textId="2F985748" w:rsidR="00E955FE" w:rsidRPr="00317D60" w:rsidRDefault="00E955FE" w:rsidP="00E955FE">
      <w:pPr>
        <w:pStyle w:val="Default"/>
        <w:numPr>
          <w:ilvl w:val="0"/>
          <w:numId w:val="14"/>
        </w:numPr>
        <w:jc w:val="both"/>
        <w:rPr>
          <w:sz w:val="22"/>
          <w:szCs w:val="22"/>
        </w:rPr>
      </w:pPr>
      <w:r w:rsidRPr="00317D60">
        <w:rPr>
          <w:sz w:val="22"/>
          <w:szCs w:val="22"/>
        </w:rPr>
        <w:t xml:space="preserve">Payables from exchange transactions were not classified as </w:t>
      </w:r>
      <w:r w:rsidR="004B59ED" w:rsidRPr="00317D60">
        <w:rPr>
          <w:sz w:val="22"/>
          <w:szCs w:val="22"/>
        </w:rPr>
        <w:t>payables where</w:t>
      </w:r>
      <w:r w:rsidRPr="00317D60">
        <w:rPr>
          <w:sz w:val="22"/>
          <w:szCs w:val="22"/>
        </w:rPr>
        <w:t xml:space="preserve"> services were rendered before year end and no payments have been made by the trading entity in accordance to GRAP 19, Provisions, contingent liabilities and contingent assets. The trading entity received services from the service providers before year end that meet the definition of an accrual, which were accounted for as provisions. Consequently, payables from exchange transactions Accrued expenses</w:t>
      </w:r>
      <w:r w:rsidR="004B59ED" w:rsidRPr="00317D60">
        <w:rPr>
          <w:sz w:val="22"/>
          <w:szCs w:val="22"/>
        </w:rPr>
        <w:t>:</w:t>
      </w:r>
      <w:r w:rsidRPr="00317D60">
        <w:rPr>
          <w:sz w:val="22"/>
          <w:szCs w:val="22"/>
        </w:rPr>
        <w:t xml:space="preserve"> Opex projects </w:t>
      </w:r>
      <w:r w:rsidR="00E5562D" w:rsidRPr="00317D60">
        <w:rPr>
          <w:sz w:val="22"/>
          <w:szCs w:val="22"/>
        </w:rPr>
        <w:t>was</w:t>
      </w:r>
      <w:r w:rsidRPr="00317D60">
        <w:rPr>
          <w:sz w:val="22"/>
          <w:szCs w:val="22"/>
        </w:rPr>
        <w:t xml:space="preserve"> understated by </w:t>
      </w:r>
      <w:r w:rsidR="00A72CBB" w:rsidRPr="00317D60">
        <w:rPr>
          <w:sz w:val="22"/>
          <w:szCs w:val="22"/>
        </w:rPr>
        <w:t>1</w:t>
      </w:r>
      <w:r w:rsidR="0087016C" w:rsidRPr="00317D60">
        <w:rPr>
          <w:sz w:val="22"/>
          <w:szCs w:val="22"/>
        </w:rPr>
        <w:t>99</w:t>
      </w:r>
      <w:r w:rsidR="00A72CBB" w:rsidRPr="00317D60">
        <w:rPr>
          <w:sz w:val="22"/>
          <w:szCs w:val="22"/>
        </w:rPr>
        <w:t xml:space="preserve"> </w:t>
      </w:r>
      <w:r w:rsidR="00B82E62" w:rsidRPr="00317D60">
        <w:rPr>
          <w:sz w:val="22"/>
          <w:szCs w:val="22"/>
        </w:rPr>
        <w:t xml:space="preserve">million, provisions </w:t>
      </w:r>
      <w:r w:rsidR="00BF71CB" w:rsidRPr="00317D60">
        <w:rPr>
          <w:sz w:val="22"/>
          <w:szCs w:val="22"/>
        </w:rPr>
        <w:t>was</w:t>
      </w:r>
      <w:r w:rsidR="00B82E62" w:rsidRPr="00317D60">
        <w:rPr>
          <w:sz w:val="22"/>
          <w:szCs w:val="22"/>
        </w:rPr>
        <w:t xml:space="preserve"> overstated by</w:t>
      </w:r>
      <w:r w:rsidRPr="00317D60">
        <w:rPr>
          <w:sz w:val="22"/>
          <w:szCs w:val="22"/>
        </w:rPr>
        <w:t xml:space="preserve"> </w:t>
      </w:r>
      <w:r w:rsidR="0087016C" w:rsidRPr="00317D60">
        <w:rPr>
          <w:sz w:val="22"/>
          <w:szCs w:val="22"/>
        </w:rPr>
        <w:t>594</w:t>
      </w:r>
      <w:r w:rsidR="00A72CBB" w:rsidRPr="00317D60">
        <w:rPr>
          <w:sz w:val="22"/>
          <w:szCs w:val="22"/>
        </w:rPr>
        <w:t>million</w:t>
      </w:r>
      <w:r w:rsidR="00B82E62" w:rsidRPr="00317D60">
        <w:rPr>
          <w:sz w:val="22"/>
          <w:szCs w:val="22"/>
        </w:rPr>
        <w:t xml:space="preserve"> and accumulated surplus </w:t>
      </w:r>
      <w:r w:rsidR="00E5562D" w:rsidRPr="00317D60">
        <w:rPr>
          <w:sz w:val="22"/>
          <w:szCs w:val="22"/>
        </w:rPr>
        <w:t>was</w:t>
      </w:r>
      <w:r w:rsidR="00B82E62" w:rsidRPr="00317D60">
        <w:rPr>
          <w:sz w:val="22"/>
          <w:szCs w:val="22"/>
        </w:rPr>
        <w:t xml:space="preserve"> overstated by </w:t>
      </w:r>
      <w:r w:rsidR="0087016C" w:rsidRPr="00317D60">
        <w:rPr>
          <w:sz w:val="22"/>
          <w:szCs w:val="22"/>
        </w:rPr>
        <w:t>395</w:t>
      </w:r>
      <w:r w:rsidR="00B82E62" w:rsidRPr="00317D60">
        <w:rPr>
          <w:sz w:val="22"/>
          <w:szCs w:val="22"/>
        </w:rPr>
        <w:t xml:space="preserve"> million. </w:t>
      </w:r>
    </w:p>
    <w:p w14:paraId="2470C838" w14:textId="15BDCA9D" w:rsidR="006E52A7" w:rsidRDefault="006E52A7" w:rsidP="006E52A7">
      <w:pPr>
        <w:pStyle w:val="Default"/>
        <w:jc w:val="both"/>
        <w:rPr>
          <w:sz w:val="22"/>
          <w:szCs w:val="22"/>
        </w:rPr>
      </w:pPr>
    </w:p>
    <w:p w14:paraId="2D129A57" w14:textId="77777777" w:rsidR="006E52A7" w:rsidRDefault="006E52A7" w:rsidP="006E52A7">
      <w:pPr>
        <w:pStyle w:val="Default"/>
        <w:jc w:val="both"/>
        <w:rPr>
          <w:sz w:val="22"/>
          <w:szCs w:val="22"/>
        </w:rPr>
      </w:pPr>
    </w:p>
    <w:p w14:paraId="0FEDAA3D" w14:textId="77777777" w:rsidR="00ED20E6" w:rsidRPr="00D361BB" w:rsidRDefault="00ED20E6" w:rsidP="00ED20E6">
      <w:pPr>
        <w:pStyle w:val="Heading4"/>
      </w:pPr>
      <w:r>
        <w:lastRenderedPageBreak/>
        <w:t>Payables from exchange transactions</w:t>
      </w:r>
      <w:r w:rsidRPr="00F74376">
        <w:t xml:space="preserve"> </w:t>
      </w:r>
    </w:p>
    <w:p w14:paraId="5F8C7758" w14:textId="34F452FD" w:rsidR="00ED20E6" w:rsidRPr="00ED20E6" w:rsidRDefault="00ED20E6" w:rsidP="00ED20E6">
      <w:pPr>
        <w:pStyle w:val="ListParagraph"/>
        <w:numPr>
          <w:ilvl w:val="0"/>
          <w:numId w:val="14"/>
        </w:numPr>
      </w:pPr>
      <w:r>
        <w:rPr>
          <w:rStyle w:val="ui-provider"/>
        </w:rPr>
        <w:t xml:space="preserve">The trading entity derecognised a financial liability at the end of the financial year without assessing if the liability is extinguished in line with </w:t>
      </w:r>
      <w:r w:rsidRPr="00422B98">
        <w:rPr>
          <w:rStyle w:val="ui-provider"/>
          <w:b/>
        </w:rPr>
        <w:t>Prescription Act No. 68 of 1969</w:t>
      </w:r>
      <w:r>
        <w:rPr>
          <w:rStyle w:val="ui-provider"/>
        </w:rPr>
        <w:t xml:space="preserve"> and GRAP 104, financial instruments. The trading entity applied a standard formula to all lease accruals existing on 31 March 2023 as no assessment was conducted on each lease agreement with an outstanding balance to ensure that the requirements of the Prescription Act were met year end. As a result, lease accrual was understated by R899 million, revenue accrual- recoverable leases was understated by R879 million and operating lease expense was understated by R20 million.</w:t>
      </w:r>
    </w:p>
    <w:p w14:paraId="39492BE3" w14:textId="4656E3C4" w:rsidR="00D361BB" w:rsidRPr="00D361BB" w:rsidRDefault="00D361BB" w:rsidP="00D361BB">
      <w:pPr>
        <w:pStyle w:val="Heading4"/>
      </w:pPr>
      <w:r>
        <w:t>Payables from exchange transactions</w:t>
      </w:r>
      <w:r w:rsidRPr="00F74376">
        <w:t xml:space="preserve"> </w:t>
      </w:r>
    </w:p>
    <w:p w14:paraId="6A1CBAAC" w14:textId="7AC99FE1" w:rsidR="006A4528" w:rsidRPr="00317D60" w:rsidRDefault="006A4528" w:rsidP="00E955FE">
      <w:pPr>
        <w:pStyle w:val="Default"/>
        <w:numPr>
          <w:ilvl w:val="0"/>
          <w:numId w:val="14"/>
        </w:numPr>
        <w:jc w:val="both"/>
        <w:rPr>
          <w:sz w:val="22"/>
          <w:szCs w:val="22"/>
        </w:rPr>
      </w:pPr>
      <w:r w:rsidRPr="00317D60">
        <w:rPr>
          <w:sz w:val="22"/>
          <w:szCs w:val="22"/>
        </w:rPr>
        <w:t xml:space="preserve">In addition to the individually material uncorrected misstatement on payables from exchange transaction as disclosed in note 12, total payables from exchange transaction was materially misstated by </w:t>
      </w:r>
      <w:r w:rsidR="00B21BD7" w:rsidRPr="00317D60">
        <w:rPr>
          <w:sz w:val="22"/>
          <w:szCs w:val="22"/>
        </w:rPr>
        <w:t>211</w:t>
      </w:r>
      <w:r w:rsidRPr="00317D60">
        <w:rPr>
          <w:sz w:val="22"/>
          <w:szCs w:val="22"/>
        </w:rPr>
        <w:t xml:space="preserve"> million due to cumulative effect of individually immaterial uncorrected misstatements in payables from exchange transactions</w:t>
      </w:r>
    </w:p>
    <w:p w14:paraId="27575324" w14:textId="5C5E34A1" w:rsidR="00CC7962" w:rsidRPr="00317D60" w:rsidRDefault="00CC7962" w:rsidP="00CC7962">
      <w:pPr>
        <w:pStyle w:val="Default"/>
        <w:numPr>
          <w:ilvl w:val="0"/>
          <w:numId w:val="46"/>
        </w:numPr>
        <w:jc w:val="both"/>
        <w:rPr>
          <w:sz w:val="22"/>
          <w:szCs w:val="22"/>
        </w:rPr>
      </w:pPr>
      <w:r w:rsidRPr="00317D60">
        <w:rPr>
          <w:sz w:val="22"/>
          <w:szCs w:val="22"/>
        </w:rPr>
        <w:t xml:space="preserve">Debtors with credit balance was overstated by 38 million </w:t>
      </w:r>
    </w:p>
    <w:p w14:paraId="699C08C9" w14:textId="6BBCCAB2" w:rsidR="003C5248" w:rsidRPr="00317D60" w:rsidRDefault="00CC7962" w:rsidP="003C5248">
      <w:pPr>
        <w:pStyle w:val="Default"/>
        <w:numPr>
          <w:ilvl w:val="0"/>
          <w:numId w:val="46"/>
        </w:numPr>
        <w:jc w:val="both"/>
        <w:rPr>
          <w:sz w:val="22"/>
          <w:szCs w:val="22"/>
        </w:rPr>
      </w:pPr>
      <w:r w:rsidRPr="00317D60">
        <w:rPr>
          <w:sz w:val="22"/>
          <w:szCs w:val="22"/>
        </w:rPr>
        <w:t>Trade payables was overstated by 91 million</w:t>
      </w:r>
    </w:p>
    <w:p w14:paraId="44B90786" w14:textId="3886110F" w:rsidR="00B21BD7" w:rsidRPr="00D218C7" w:rsidRDefault="00B21BD7" w:rsidP="003C5248">
      <w:pPr>
        <w:pStyle w:val="Default"/>
        <w:numPr>
          <w:ilvl w:val="0"/>
          <w:numId w:val="46"/>
        </w:numPr>
        <w:jc w:val="both"/>
        <w:rPr>
          <w:sz w:val="22"/>
          <w:szCs w:val="22"/>
          <w:highlight w:val="green"/>
        </w:rPr>
      </w:pPr>
      <w:r w:rsidRPr="00317D60">
        <w:rPr>
          <w:sz w:val="22"/>
          <w:szCs w:val="22"/>
        </w:rPr>
        <w:t>Revenue claimed in advance</w:t>
      </w:r>
    </w:p>
    <w:p w14:paraId="4B86772C" w14:textId="77777777" w:rsidR="000530D3" w:rsidRPr="005067A4" w:rsidRDefault="000530D3" w:rsidP="005067A4">
      <w:pPr>
        <w:pStyle w:val="Heading4"/>
      </w:pPr>
      <w:r w:rsidRPr="005067A4">
        <w:t xml:space="preserve">Accommodation charges – freehold inter-governmental revenue and receivables from exchange transactions </w:t>
      </w:r>
    </w:p>
    <w:p w14:paraId="2E372535" w14:textId="3DB7C303" w:rsidR="00D41BDF" w:rsidRPr="006E52A7" w:rsidRDefault="000530D3" w:rsidP="008F5240">
      <w:pPr>
        <w:pStyle w:val="ListParagraph"/>
        <w:numPr>
          <w:ilvl w:val="0"/>
          <w:numId w:val="14"/>
        </w:numPr>
      </w:pPr>
      <w:r w:rsidRPr="000530D3">
        <w:rPr>
          <w:rFonts w:cs="Arial"/>
        </w:rPr>
        <w:t xml:space="preserve">Items that did not meet the definition of revenue in accordance with GRAP 9, </w:t>
      </w:r>
      <w:r w:rsidRPr="000530D3">
        <w:rPr>
          <w:rFonts w:cs="Arial"/>
          <w:i/>
          <w:iCs/>
        </w:rPr>
        <w:t xml:space="preserve">Revenue from exchange transactions </w:t>
      </w:r>
      <w:r w:rsidRPr="000530D3">
        <w:rPr>
          <w:rFonts w:cs="Arial"/>
        </w:rPr>
        <w:t>were recognised in the financial statements</w:t>
      </w:r>
      <w:r w:rsidRPr="000530D3">
        <w:rPr>
          <w:rFonts w:cs="Arial"/>
          <w:color w:val="000000"/>
        </w:rPr>
        <w:t xml:space="preserve">.  The National Treasury approved tariffs for properties in accordance with the itemised billing, however when these properties were removed from the asset register of the trading entity, the user departments were still billed for these properties.  I was </w:t>
      </w:r>
      <w:r w:rsidRPr="00422B98">
        <w:rPr>
          <w:rFonts w:cs="Arial"/>
          <w:b/>
          <w:color w:val="000000"/>
        </w:rPr>
        <w:t>unable to determine the full extent</w:t>
      </w:r>
      <w:r w:rsidRPr="000530D3">
        <w:rPr>
          <w:rFonts w:cs="Arial"/>
          <w:color w:val="000000"/>
        </w:rPr>
        <w:t xml:space="preserve"> of the overstatement of accommodation charges- freehold inter-governmental, stated at R6 336 608 000 (2022: R6 888 081 000) in note 17 to the financial statements, and related receivable from exchange transaction, stated at R297 664 000 (2022: R648 845 000) in note 3 of the financial statements, as it was impracticable to do so.  Consequently this also has an impact on the related parties’ disclosure in note 34 of the financial statements. </w:t>
      </w:r>
    </w:p>
    <w:p w14:paraId="4DC127E6" w14:textId="77777777" w:rsidR="006E52A7" w:rsidRPr="00E51B41" w:rsidRDefault="006E52A7" w:rsidP="006E52A7"/>
    <w:p w14:paraId="0D065180" w14:textId="5561B65E" w:rsidR="00E51B41" w:rsidRPr="00E51B41" w:rsidRDefault="00E51B41" w:rsidP="00E51B41">
      <w:pPr>
        <w:pStyle w:val="Heading4"/>
      </w:pPr>
      <w:r w:rsidRPr="00E51B41">
        <w:t>Total minimum lease receipts- PMTE as lessor: straight</w:t>
      </w:r>
      <w:r>
        <w:t xml:space="preserve"> </w:t>
      </w:r>
      <w:r w:rsidRPr="00E51B41">
        <w:t xml:space="preserve">line Freehold Accommodation charges </w:t>
      </w:r>
    </w:p>
    <w:p w14:paraId="46715FE9" w14:textId="589877E0" w:rsidR="00E51B41" w:rsidRPr="00317D60" w:rsidRDefault="00E51B41" w:rsidP="00E51B41">
      <w:pPr>
        <w:pStyle w:val="ListParagraph"/>
        <w:numPr>
          <w:ilvl w:val="0"/>
          <w:numId w:val="14"/>
        </w:numPr>
        <w:rPr>
          <w:rFonts w:cs="Arial"/>
        </w:rPr>
      </w:pPr>
      <w:r w:rsidRPr="00317D60">
        <w:rPr>
          <w:rFonts w:cs="Arial"/>
        </w:rPr>
        <w:t xml:space="preserve">Commitments were not accounted for in terms of GRAP 13, </w:t>
      </w:r>
      <w:r w:rsidRPr="00317D60">
        <w:rPr>
          <w:rFonts w:cs="Arial"/>
          <w:i/>
          <w:iCs/>
        </w:rPr>
        <w:t xml:space="preserve">Leases. </w:t>
      </w:r>
      <w:r w:rsidRPr="00317D60">
        <w:rPr>
          <w:rFonts w:cs="Arial"/>
        </w:rPr>
        <w:t>The trading entity did not disclose the future lease payments under non-cancellable operating lease contracts for accommodation charges. I was unable to determine the full extent of the understatement of operating lease commitments, stated at R549 217 000 (2022: R589 492 000) in note 5 to the financial statements, as it was impracticable to do so.</w:t>
      </w:r>
    </w:p>
    <w:p w14:paraId="46D1C43F" w14:textId="3357D0D8" w:rsidR="003C5248" w:rsidRPr="0012337C" w:rsidRDefault="003C5248" w:rsidP="003C5248">
      <w:pPr>
        <w:pStyle w:val="Default"/>
        <w:jc w:val="both"/>
        <w:rPr>
          <w:b/>
          <w:color w:val="2883C2" w:themeColor="accent5" w:themeShade="BF"/>
          <w:sz w:val="22"/>
          <w:szCs w:val="20"/>
        </w:rPr>
      </w:pPr>
      <w:r w:rsidRPr="0012337C">
        <w:rPr>
          <w:b/>
          <w:color w:val="2883C2" w:themeColor="accent5" w:themeShade="BF"/>
          <w:sz w:val="22"/>
          <w:szCs w:val="20"/>
        </w:rPr>
        <w:t>PPE Commitments</w:t>
      </w:r>
    </w:p>
    <w:p w14:paraId="6C3BA264" w14:textId="36E444FC" w:rsidR="003C5248" w:rsidRPr="0046662D" w:rsidRDefault="003C5248" w:rsidP="003C5248">
      <w:pPr>
        <w:pStyle w:val="Default"/>
        <w:numPr>
          <w:ilvl w:val="0"/>
          <w:numId w:val="14"/>
        </w:numPr>
        <w:jc w:val="both"/>
        <w:rPr>
          <w:color w:val="auto"/>
          <w:sz w:val="22"/>
          <w:szCs w:val="22"/>
        </w:rPr>
      </w:pPr>
      <w:r w:rsidRPr="0008261A">
        <w:rPr>
          <w:sz w:val="22"/>
          <w:szCs w:val="22"/>
        </w:rPr>
        <w:lastRenderedPageBreak/>
        <w:t xml:space="preserve">Contractual commitments for the acquisition of property, plant and equipment were not disclosed in accordance with the Standards of Generally Recognised Accounting Practice </w:t>
      </w:r>
      <w:r w:rsidRPr="0008261A">
        <w:rPr>
          <w:color w:val="auto"/>
          <w:sz w:val="22"/>
          <w:szCs w:val="22"/>
        </w:rPr>
        <w:t>(GRAP) 17, Property plant and equipment.</w:t>
      </w:r>
      <w:r>
        <w:rPr>
          <w:color w:val="auto"/>
          <w:sz w:val="22"/>
          <w:szCs w:val="22"/>
        </w:rPr>
        <w:t xml:space="preserve"> </w:t>
      </w:r>
      <w:r w:rsidRPr="0008261A">
        <w:rPr>
          <w:color w:val="auto"/>
          <w:sz w:val="22"/>
          <w:szCs w:val="22"/>
        </w:rPr>
        <w:t xml:space="preserve">The </w:t>
      </w:r>
      <w:r>
        <w:rPr>
          <w:color w:val="auto"/>
          <w:sz w:val="22"/>
          <w:szCs w:val="22"/>
        </w:rPr>
        <w:t>trading entity</w:t>
      </w:r>
      <w:r w:rsidRPr="0008261A">
        <w:rPr>
          <w:color w:val="auto"/>
          <w:sz w:val="22"/>
          <w:szCs w:val="22"/>
        </w:rPr>
        <w:t xml:space="preserve"> </w:t>
      </w:r>
      <w:r>
        <w:rPr>
          <w:color w:val="auto"/>
          <w:sz w:val="22"/>
          <w:szCs w:val="22"/>
        </w:rPr>
        <w:t xml:space="preserve">included cancelled projects as part of the disclosed contractual commitments on the AFS. </w:t>
      </w:r>
      <w:r>
        <w:rPr>
          <w:sz w:val="22"/>
          <w:szCs w:val="22"/>
        </w:rPr>
        <w:t>Consequently, the c</w:t>
      </w:r>
      <w:r w:rsidRPr="0008261A">
        <w:rPr>
          <w:sz w:val="22"/>
          <w:szCs w:val="22"/>
        </w:rPr>
        <w:t>ontractual commitments for the acquisition of property, plant and equipment</w:t>
      </w:r>
      <w:r>
        <w:rPr>
          <w:sz w:val="22"/>
          <w:szCs w:val="22"/>
        </w:rPr>
        <w:t xml:space="preserve"> as disclosed in Note 7 of the AFS is overstated by R</w:t>
      </w:r>
      <w:r w:rsidRPr="00884836">
        <w:t xml:space="preserve"> </w:t>
      </w:r>
      <w:r w:rsidRPr="00884836">
        <w:rPr>
          <w:sz w:val="22"/>
          <w:szCs w:val="22"/>
        </w:rPr>
        <w:t>2 725 984 915</w:t>
      </w:r>
      <w:r>
        <w:rPr>
          <w:sz w:val="22"/>
          <w:szCs w:val="22"/>
        </w:rPr>
        <w:t>. This also has an impact on Note 33 of the AFS (Risk Management) for the current financial year period.</w:t>
      </w:r>
    </w:p>
    <w:p w14:paraId="2E39DEBE" w14:textId="663606E3" w:rsidR="0046662D" w:rsidRPr="0012337C" w:rsidRDefault="0046662D" w:rsidP="0046662D">
      <w:pPr>
        <w:pStyle w:val="Default"/>
        <w:jc w:val="both"/>
        <w:rPr>
          <w:b/>
          <w:color w:val="2883C2" w:themeColor="accent5" w:themeShade="BF"/>
          <w:sz w:val="22"/>
          <w:szCs w:val="20"/>
        </w:rPr>
      </w:pPr>
      <w:r>
        <w:rPr>
          <w:b/>
          <w:color w:val="2883C2" w:themeColor="accent5" w:themeShade="BF"/>
          <w:sz w:val="22"/>
          <w:szCs w:val="20"/>
        </w:rPr>
        <w:t>Bank overdraft</w:t>
      </w:r>
    </w:p>
    <w:p w14:paraId="4DD2D4FB" w14:textId="77777777" w:rsidR="0046662D" w:rsidRPr="0046662D" w:rsidRDefault="0046662D" w:rsidP="0046662D">
      <w:pPr>
        <w:pStyle w:val="Default"/>
        <w:numPr>
          <w:ilvl w:val="0"/>
          <w:numId w:val="14"/>
        </w:numPr>
        <w:jc w:val="both"/>
        <w:rPr>
          <w:sz w:val="22"/>
          <w:szCs w:val="22"/>
        </w:rPr>
      </w:pPr>
      <w:r>
        <w:rPr>
          <w:sz w:val="22"/>
          <w:szCs w:val="22"/>
        </w:rPr>
        <w:t xml:space="preserve">Included in bank overdraft balance is </w:t>
      </w:r>
      <w:r w:rsidRPr="0046662D">
        <w:rPr>
          <w:sz w:val="22"/>
          <w:szCs w:val="22"/>
        </w:rPr>
        <w:t>R433 400 360 relating to outstanding payments. Adequate internal controls were not in place to maintain records of outstanding payments.  I was unable to obtain sufficient appropriate audit evidence to substantiate the overdraft disclosed in Note 6 to the financial statements. Consequently, I was unable to determine whether any further adjustments to the financial statements were required.</w:t>
      </w:r>
    </w:p>
    <w:p w14:paraId="68708202" w14:textId="2AF2F7D5" w:rsidR="003C4843" w:rsidRPr="003C5248" w:rsidRDefault="0046662D" w:rsidP="0046662D">
      <w:pPr>
        <w:pStyle w:val="Default"/>
        <w:numPr>
          <w:ilvl w:val="0"/>
          <w:numId w:val="14"/>
        </w:numPr>
        <w:jc w:val="both"/>
        <w:rPr>
          <w:color w:val="auto"/>
          <w:sz w:val="22"/>
          <w:szCs w:val="22"/>
        </w:rPr>
      </w:pPr>
      <w:r w:rsidRPr="0046662D">
        <w:rPr>
          <w:sz w:val="22"/>
          <w:szCs w:val="22"/>
        </w:rPr>
        <w:t>Since overdraft is included in the determination of cash and cash equivalents reported in the statement of cash flows. I was unable to determine whether any adjustments were necessary in the cash and cash equivalents stated at R1 820 471</w:t>
      </w:r>
      <w:r w:rsidR="002631C5">
        <w:rPr>
          <w:sz w:val="22"/>
          <w:szCs w:val="22"/>
        </w:rPr>
        <w:t> </w:t>
      </w:r>
      <w:r w:rsidRPr="0046662D">
        <w:rPr>
          <w:sz w:val="22"/>
          <w:szCs w:val="22"/>
        </w:rPr>
        <w:t>000</w:t>
      </w:r>
      <w:r w:rsidR="002631C5">
        <w:rPr>
          <w:sz w:val="22"/>
          <w:szCs w:val="22"/>
        </w:rPr>
        <w:t>.</w:t>
      </w:r>
    </w:p>
    <w:p w14:paraId="0C72C841" w14:textId="236021A6" w:rsidR="00FD597C" w:rsidRPr="00F74376" w:rsidRDefault="00342D03" w:rsidP="007C61CF">
      <w:pPr>
        <w:pStyle w:val="Heading3"/>
      </w:pPr>
      <w:r w:rsidRPr="00F74376">
        <w:t xml:space="preserve">Context for </w:t>
      </w:r>
      <w:r w:rsidR="00FD597C" w:rsidRPr="00F74376">
        <w:t>opinion</w:t>
      </w:r>
    </w:p>
    <w:p w14:paraId="02515E34" w14:textId="5B6F138E" w:rsidR="0069667F" w:rsidRPr="00F74376" w:rsidRDefault="006E5510" w:rsidP="00AB5D84">
      <w:pPr>
        <w:pStyle w:val="NumberedARs"/>
        <w:numPr>
          <w:ilvl w:val="0"/>
          <w:numId w:val="14"/>
        </w:numPr>
      </w:pPr>
      <w:bookmarkStart w:id="7" w:name="Back8"/>
      <w:bookmarkEnd w:id="7"/>
      <w:r w:rsidRPr="00F74376">
        <w:t>I</w:t>
      </w:r>
      <w:r w:rsidR="0052594D" w:rsidRPr="00F74376">
        <w:t xml:space="preserve"> conducted </w:t>
      </w:r>
      <w:r w:rsidRPr="00F74376">
        <w:t>my</w:t>
      </w:r>
      <w:r w:rsidR="0052594D" w:rsidRPr="00F74376">
        <w:t xml:space="preserve"> audit in accordance </w:t>
      </w:r>
      <w:r w:rsidR="00D404FD" w:rsidRPr="00F74376">
        <w:t>with the</w:t>
      </w:r>
      <w:r w:rsidR="00A1243B" w:rsidRPr="00F74376">
        <w:t xml:space="preserve"> </w:t>
      </w:r>
      <w:r w:rsidR="0052594D" w:rsidRPr="00F74376">
        <w:t xml:space="preserve">International Standards on Auditing (ISAs). </w:t>
      </w:r>
      <w:r w:rsidRPr="00F74376">
        <w:t>My</w:t>
      </w:r>
      <w:r w:rsidR="0052594D" w:rsidRPr="00F74376">
        <w:t xml:space="preserve"> responsibilities under those standards are further described in the </w:t>
      </w:r>
      <w:r w:rsidR="00E144AC" w:rsidRPr="00F74376">
        <w:t xml:space="preserve">responsibilities </w:t>
      </w:r>
      <w:r w:rsidR="00E144AC">
        <w:t xml:space="preserve">of the </w:t>
      </w:r>
      <w:r w:rsidR="00A1243B" w:rsidRPr="00F74376">
        <w:t>a</w:t>
      </w:r>
      <w:r w:rsidR="0052594D" w:rsidRPr="00F74376">
        <w:t>uditor</w:t>
      </w:r>
      <w:r w:rsidR="00A1243B" w:rsidRPr="00F74376">
        <w:t>-g</w:t>
      </w:r>
      <w:r w:rsidR="00D734C7" w:rsidRPr="00F74376">
        <w:t>eneral</w:t>
      </w:r>
      <w:r w:rsidR="0052594D" w:rsidRPr="00F74376">
        <w:t xml:space="preserve"> for the </w:t>
      </w:r>
      <w:r w:rsidR="00A1243B" w:rsidRPr="00F74376">
        <w:t>a</w:t>
      </w:r>
      <w:r w:rsidR="0052594D" w:rsidRPr="00F74376">
        <w:t xml:space="preserve">udit of the </w:t>
      </w:r>
      <w:r w:rsidR="00A1243B" w:rsidRPr="00F74376">
        <w:t>f</w:t>
      </w:r>
      <w:r w:rsidR="0052594D" w:rsidRPr="00F74376">
        <w:t xml:space="preserve">inancial </w:t>
      </w:r>
      <w:r w:rsidR="00A1243B" w:rsidRPr="00F74376">
        <w:t>s</w:t>
      </w:r>
      <w:r w:rsidR="0052594D" w:rsidRPr="00F74376">
        <w:t xml:space="preserve">tatements </w:t>
      </w:r>
      <w:r w:rsidR="007004CE" w:rsidRPr="00F74376">
        <w:t xml:space="preserve">section of </w:t>
      </w:r>
      <w:r w:rsidR="00164F09" w:rsidRPr="00F74376">
        <w:t>my</w:t>
      </w:r>
      <w:r w:rsidR="000C0C29" w:rsidRPr="00F74376">
        <w:t xml:space="preserve"> </w:t>
      </w:r>
      <w:r w:rsidR="007004CE" w:rsidRPr="00F74376">
        <w:t>report.</w:t>
      </w:r>
      <w:r w:rsidR="00D82FC6" w:rsidRPr="00F74376">
        <w:t xml:space="preserve"> </w:t>
      </w:r>
    </w:p>
    <w:p w14:paraId="0697AF4F" w14:textId="2CE70029" w:rsidR="00093C59" w:rsidRPr="00F74376" w:rsidRDefault="00093C59" w:rsidP="00AB5D84">
      <w:pPr>
        <w:pStyle w:val="NumberedARs"/>
        <w:numPr>
          <w:ilvl w:val="0"/>
          <w:numId w:val="14"/>
        </w:numPr>
      </w:pPr>
      <w:r w:rsidRPr="00F74376">
        <w:t xml:space="preserve">I am independent of the </w:t>
      </w:r>
      <w:r w:rsidR="004C04A1">
        <w:t>trading entity</w:t>
      </w:r>
      <w:r w:rsidRPr="00F74376">
        <w:t xml:space="preserve"> in accordance with the</w:t>
      </w:r>
      <w:r w:rsidR="00F93E9B" w:rsidRPr="00F74376">
        <w:t xml:space="preserve"> International Ethics Standards Board for Accountants’ </w:t>
      </w:r>
      <w:r w:rsidR="00964149" w:rsidRPr="007464FE">
        <w:rPr>
          <w:i/>
        </w:rPr>
        <w:t xml:space="preserve">International </w:t>
      </w:r>
      <w:r w:rsidR="000615D0" w:rsidRPr="007464FE">
        <w:rPr>
          <w:i/>
        </w:rPr>
        <w:t>c</w:t>
      </w:r>
      <w:r w:rsidR="00964149" w:rsidRPr="007464FE">
        <w:rPr>
          <w:i/>
        </w:rPr>
        <w:t xml:space="preserve">ode of </w:t>
      </w:r>
      <w:r w:rsidR="000615D0" w:rsidRPr="007464FE">
        <w:rPr>
          <w:i/>
        </w:rPr>
        <w:t>e</w:t>
      </w:r>
      <w:r w:rsidR="00964149" w:rsidRPr="007464FE">
        <w:rPr>
          <w:i/>
        </w:rPr>
        <w:t xml:space="preserve">thics for </w:t>
      </w:r>
      <w:r w:rsidR="000615D0" w:rsidRPr="007464FE">
        <w:rPr>
          <w:i/>
        </w:rPr>
        <w:t>p</w:t>
      </w:r>
      <w:r w:rsidR="00964149" w:rsidRPr="007464FE">
        <w:rPr>
          <w:i/>
        </w:rPr>
        <w:t xml:space="preserve">rofessional </w:t>
      </w:r>
      <w:r w:rsidR="000615D0" w:rsidRPr="007464FE">
        <w:rPr>
          <w:i/>
        </w:rPr>
        <w:t>a</w:t>
      </w:r>
      <w:r w:rsidR="00964149" w:rsidRPr="007464FE">
        <w:rPr>
          <w:i/>
        </w:rPr>
        <w:t>ccountants (including International Independence Standards)</w:t>
      </w:r>
      <w:r w:rsidR="00964149" w:rsidRPr="00F74376">
        <w:t xml:space="preserve"> </w:t>
      </w:r>
      <w:r w:rsidR="00F93E9B" w:rsidRPr="00F74376">
        <w:t>(IESBA code)</w:t>
      </w:r>
      <w:r w:rsidR="00033CD7" w:rsidRPr="00F74376">
        <w:t xml:space="preserve"> as well as </w:t>
      </w:r>
      <w:r w:rsidR="00A56B14" w:rsidRPr="00F74376">
        <w:t>o</w:t>
      </w:r>
      <w:r w:rsidRPr="00F74376">
        <w:t>the</w:t>
      </w:r>
      <w:r w:rsidR="00A56B14" w:rsidRPr="00F74376">
        <w:t>r</w:t>
      </w:r>
      <w:r w:rsidRPr="00F74376">
        <w:t xml:space="preserve"> ethical requirements that are relevant to my audit in South Africa. I have fulfilled my other ethical responsibilities in accordance with th</w:t>
      </w:r>
      <w:r w:rsidR="00246E48" w:rsidRPr="00F74376">
        <w:t>ese requirements and the IESBA c</w:t>
      </w:r>
      <w:r w:rsidRPr="00F74376">
        <w:t>ode.</w:t>
      </w:r>
      <w:r w:rsidR="00033CD7" w:rsidRPr="00F74376">
        <w:t xml:space="preserve"> </w:t>
      </w:r>
    </w:p>
    <w:p w14:paraId="042D28F2" w14:textId="065094B3" w:rsidR="0033130B" w:rsidRPr="00F74376" w:rsidRDefault="00D734C7" w:rsidP="00AB5D84">
      <w:pPr>
        <w:pStyle w:val="NumberedARs"/>
        <w:numPr>
          <w:ilvl w:val="0"/>
          <w:numId w:val="14"/>
        </w:numPr>
      </w:pPr>
      <w:r w:rsidRPr="00F74376">
        <w:t>I</w:t>
      </w:r>
      <w:r w:rsidR="0052594D" w:rsidRPr="00F74376">
        <w:t xml:space="preserve"> believe that the audit evidence </w:t>
      </w:r>
      <w:r w:rsidRPr="00F74376">
        <w:t>I</w:t>
      </w:r>
      <w:r w:rsidR="0052594D" w:rsidRPr="00F74376">
        <w:t xml:space="preserve"> have obtained is sufficient and appropriate to provide a basis for </w:t>
      </w:r>
      <w:r w:rsidR="007C03BF" w:rsidRPr="00F74376">
        <w:t>my</w:t>
      </w:r>
      <w:r w:rsidR="009E79D0" w:rsidRPr="00F74376">
        <w:t xml:space="preserve"> qualified</w:t>
      </w:r>
      <w:r w:rsidR="0052594D" w:rsidRPr="00F74376">
        <w:t xml:space="preserve"> opinion</w:t>
      </w:r>
      <w:r w:rsidR="00361178" w:rsidRPr="00F74376">
        <w:t>.</w:t>
      </w:r>
    </w:p>
    <w:p w14:paraId="0C5BEA70" w14:textId="56EB45A3" w:rsidR="003231DA" w:rsidRPr="00F74376" w:rsidRDefault="003231DA" w:rsidP="00172234">
      <w:pPr>
        <w:pStyle w:val="Heading3"/>
      </w:pPr>
      <w:bookmarkStart w:id="8" w:name="Back9"/>
      <w:bookmarkEnd w:id="8"/>
      <w:r w:rsidRPr="00F74376">
        <w:t>Emphasis of matter</w:t>
      </w:r>
      <w:bookmarkStart w:id="9" w:name="Back10"/>
      <w:bookmarkEnd w:id="9"/>
      <w:r w:rsidR="007537F8">
        <w:t>s</w:t>
      </w:r>
    </w:p>
    <w:p w14:paraId="61845DF9" w14:textId="1A74BDDE" w:rsidR="0017260D" w:rsidRPr="002F487D" w:rsidRDefault="00433630" w:rsidP="0017260D">
      <w:pPr>
        <w:pStyle w:val="NumberedARs"/>
        <w:numPr>
          <w:ilvl w:val="0"/>
          <w:numId w:val="14"/>
        </w:numPr>
        <w:rPr>
          <w:b/>
          <w:bCs/>
          <w:sz w:val="20"/>
        </w:rPr>
      </w:pPr>
      <w:r w:rsidRPr="00F74376">
        <w:t xml:space="preserve">I </w:t>
      </w:r>
      <w:r w:rsidR="00A745BD" w:rsidRPr="00F74376">
        <w:t>draw attention to the matter</w:t>
      </w:r>
      <w:r w:rsidRPr="00F74376">
        <w:t>s below. My opinion is not modified in respect of these matters.</w:t>
      </w:r>
    </w:p>
    <w:p w14:paraId="78971122" w14:textId="56794973" w:rsidR="007537F8" w:rsidRDefault="007537F8" w:rsidP="002F487D">
      <w:pPr>
        <w:pStyle w:val="Heading4"/>
      </w:pPr>
      <w:r>
        <w:t>Going concern</w:t>
      </w:r>
    </w:p>
    <w:p w14:paraId="0603A39D" w14:textId="15476EF1" w:rsidR="007537F8" w:rsidRPr="007537F8" w:rsidRDefault="007537F8" w:rsidP="007537F8">
      <w:pPr>
        <w:pStyle w:val="ListParagraph"/>
        <w:numPr>
          <w:ilvl w:val="0"/>
          <w:numId w:val="14"/>
        </w:numPr>
      </w:pPr>
      <w:r>
        <w:t xml:space="preserve">As disclosed in note 36 to the </w:t>
      </w:r>
      <w:r w:rsidRPr="007537F8">
        <w:t>financial statements, which indicate that the trading entity as of 31 March 2023, bank overdraft of R1.843 billion (2022: R851 million) and the current liabilities exceed the current assets by R7.739 billion (2022: R7.213 billion).</w:t>
      </w:r>
      <w:r>
        <w:t xml:space="preserve"> </w:t>
      </w:r>
    </w:p>
    <w:p w14:paraId="4E7CF43C" w14:textId="6BDC2C29" w:rsidR="002F487D" w:rsidRPr="00A0129F" w:rsidRDefault="002F487D" w:rsidP="002F487D">
      <w:pPr>
        <w:pStyle w:val="Heading4"/>
        <w:rPr>
          <w:b w:val="0"/>
        </w:rPr>
      </w:pPr>
      <w:r>
        <w:lastRenderedPageBreak/>
        <w:t>Receivables from exchange transactions- Impairments</w:t>
      </w:r>
    </w:p>
    <w:p w14:paraId="2AB27305" w14:textId="0DCADFC9" w:rsidR="002F487D" w:rsidRPr="00A0129F" w:rsidRDefault="002F487D" w:rsidP="002F487D">
      <w:pPr>
        <w:pStyle w:val="NumberedARs"/>
        <w:numPr>
          <w:ilvl w:val="0"/>
          <w:numId w:val="14"/>
        </w:numPr>
        <w:jc w:val="both"/>
      </w:pPr>
      <w:r w:rsidRPr="007503BD">
        <w:t xml:space="preserve">As disclosed in note </w:t>
      </w:r>
      <w:r>
        <w:t>22</w:t>
      </w:r>
      <w:r w:rsidRPr="007503BD">
        <w:t xml:space="preserve"> to the financial statements</w:t>
      </w:r>
      <w:r>
        <w:t xml:space="preserve">, </w:t>
      </w:r>
      <w:r w:rsidRPr="00495F96">
        <w:t>material losses of R</w:t>
      </w:r>
      <w:r>
        <w:t xml:space="preserve">1 672 610 000 </w:t>
      </w:r>
      <w:r w:rsidRPr="00495F96">
        <w:t>were</w:t>
      </w:r>
      <w:r>
        <w:t xml:space="preserve"> </w:t>
      </w:r>
      <w:r w:rsidRPr="00495F96">
        <w:t>incurred as a result of a lack of recoverability in long outstanding receivables</w:t>
      </w:r>
      <w:r>
        <w:t>.</w:t>
      </w:r>
    </w:p>
    <w:p w14:paraId="5A045B66" w14:textId="47ED982F" w:rsidR="006A7DA6" w:rsidRPr="00A0129F" w:rsidRDefault="002D1223" w:rsidP="006A7DA6">
      <w:pPr>
        <w:pStyle w:val="Heading4"/>
        <w:rPr>
          <w:b w:val="0"/>
        </w:rPr>
      </w:pPr>
      <w:r>
        <w:t>Restatement</w:t>
      </w:r>
      <w:r w:rsidR="008E2EE4">
        <w:t xml:space="preserve"> of corresponding figures</w:t>
      </w:r>
    </w:p>
    <w:p w14:paraId="0C31FD91" w14:textId="62FA815C" w:rsidR="006A7DA6" w:rsidRPr="00FA4311" w:rsidRDefault="006A7DA6" w:rsidP="006A7DA6">
      <w:pPr>
        <w:pStyle w:val="NumberedARs"/>
        <w:numPr>
          <w:ilvl w:val="0"/>
          <w:numId w:val="14"/>
        </w:numPr>
      </w:pPr>
      <w:r>
        <w:t>As disclosed in  note 35 to the financial statements, the corresponding figures for 31 March 2022 were restated as a result of an error in the financial statements of the trading entity at, and for the year ended, 31 March 2023</w:t>
      </w:r>
    </w:p>
    <w:p w14:paraId="242E8E9C" w14:textId="470E43DF" w:rsidR="00433630" w:rsidRPr="00F74376" w:rsidRDefault="004630E4" w:rsidP="006E1C03">
      <w:pPr>
        <w:pStyle w:val="Heading3"/>
      </w:pPr>
      <w:r w:rsidRPr="00F74376">
        <w:t>Other</w:t>
      </w:r>
      <w:r w:rsidR="00433630" w:rsidRPr="00F74376">
        <w:t xml:space="preserve"> matter</w:t>
      </w:r>
      <w:bookmarkStart w:id="10" w:name="Back11"/>
      <w:bookmarkEnd w:id="10"/>
    </w:p>
    <w:p w14:paraId="14CBF911" w14:textId="7D1D874F" w:rsidR="00E8393D" w:rsidRPr="00FA4311" w:rsidRDefault="00E8393D" w:rsidP="00E8393D">
      <w:pPr>
        <w:pStyle w:val="Heading4"/>
        <w:rPr>
          <w:b w:val="0"/>
        </w:rPr>
      </w:pPr>
      <w:r>
        <w:t>National Treasury Instruction Note No.4 of 2022-23: FPMA compliance and reporting framework</w:t>
      </w:r>
    </w:p>
    <w:p w14:paraId="1DF2C75C" w14:textId="52263FA1" w:rsidR="009315F9" w:rsidRPr="00F74376" w:rsidRDefault="00E8393D" w:rsidP="00D97FBA">
      <w:pPr>
        <w:pStyle w:val="NumberedARs"/>
        <w:numPr>
          <w:ilvl w:val="0"/>
          <w:numId w:val="14"/>
        </w:numPr>
      </w:pPr>
      <w:r w:rsidRPr="006B62A8">
        <w:t xml:space="preserve">On 23 December 2022 National Treasury issued Instruction Note No. 4: PFMA Compliance and Reporting Framework of 2022-23 in terms of section 76(1)(b), (e) and (f), 2(e) and (4)(a) and (c) of the PFMA, which came into effect on 3 January 2023. The PFMA Compliance and Reporting Framework also addresses the disclosure of unauthorised expenditure, irregular expenditure and fruitless and wasteful expenditure. Among the effects of this framework is that irregular and fruitless and wasteful expenditure incurred in previous financial years and not addressed is no longer disclosed in the disclosure notes of the annual financial statements, only the current year and prior year figures are disclosed in </w:t>
      </w:r>
      <w:r w:rsidRPr="00874D77">
        <w:t>note 3</w:t>
      </w:r>
      <w:r w:rsidR="00874D77" w:rsidRPr="00874D77">
        <w:t>1</w:t>
      </w:r>
      <w:r w:rsidRPr="006B62A8">
        <w:t xml:space="preserve"> to the financial statements. The movements in respect of irregular expenditure and fruitless and wasteful expenditure are no longer disclosed in the notes to the annual financial statements of </w:t>
      </w:r>
      <w:r>
        <w:t>Property Management Trading Entity (PMTE).</w:t>
      </w:r>
      <w:r w:rsidRPr="006B62A8">
        <w:t>The disclosure of these movements (e.g. condoned, recoverable, removed, written off, under assessment, under determination and under investigation) are now required to be included as part of other information in the annual report of the auditees.</w:t>
      </w:r>
      <w:r w:rsidRPr="00536764">
        <w:t xml:space="preserve">I do not express an opinion on the disclosure of irregular expenditure and fruitless and wasteful expenditure in the annual report. </w:t>
      </w:r>
    </w:p>
    <w:p w14:paraId="05D6D4B7" w14:textId="78ACE7F6" w:rsidR="0052594D" w:rsidRPr="00F74376" w:rsidRDefault="0052594D" w:rsidP="006E1C03">
      <w:pPr>
        <w:pStyle w:val="Heading3"/>
      </w:pPr>
      <w:r w:rsidRPr="00F74376">
        <w:t xml:space="preserve">Responsibilities of </w:t>
      </w:r>
      <w:r w:rsidR="006E1C03" w:rsidRPr="00F74376">
        <w:t>the</w:t>
      </w:r>
      <w:r w:rsidR="002175C2">
        <w:t xml:space="preserve"> Accounting Officer </w:t>
      </w:r>
      <w:r w:rsidR="007004CE" w:rsidRPr="00F74376">
        <w:t>for th</w:t>
      </w:r>
      <w:r w:rsidR="002175C2">
        <w:t>e</w:t>
      </w:r>
      <w:r w:rsidR="007004CE" w:rsidRPr="00F74376">
        <w:t xml:space="preserve"> financial statements</w:t>
      </w:r>
      <w:bookmarkStart w:id="11" w:name="Back12"/>
      <w:bookmarkEnd w:id="11"/>
    </w:p>
    <w:p w14:paraId="48AF09C3" w14:textId="5639695E" w:rsidR="0052594D" w:rsidRDefault="002464CE" w:rsidP="00AB5D84">
      <w:pPr>
        <w:pStyle w:val="NumberedARs"/>
        <w:numPr>
          <w:ilvl w:val="0"/>
          <w:numId w:val="14"/>
        </w:numPr>
      </w:pPr>
      <w:r w:rsidRPr="00F74376">
        <w:t>T</w:t>
      </w:r>
      <w:r w:rsidR="007004CE" w:rsidRPr="00F74376">
        <w:t>he</w:t>
      </w:r>
      <w:r w:rsidR="0052594D" w:rsidRPr="00F74376">
        <w:t xml:space="preserve"> </w:t>
      </w:r>
      <w:r w:rsidR="002175C2">
        <w:t>accounting officer</w:t>
      </w:r>
      <w:r w:rsidR="0052594D" w:rsidRPr="00F74376">
        <w:t xml:space="preserve"> is responsible for</w:t>
      </w:r>
      <w:r w:rsidRPr="00F74376">
        <w:t xml:space="preserve"> t</w:t>
      </w:r>
      <w:r w:rsidR="0052594D" w:rsidRPr="00F74376">
        <w:t>he preparation and fair prese</w:t>
      </w:r>
      <w:r w:rsidR="007004CE" w:rsidRPr="00F74376">
        <w:t xml:space="preserve">ntation </w:t>
      </w:r>
      <w:r w:rsidR="007C03BF" w:rsidRPr="00F74376">
        <w:t xml:space="preserve">of </w:t>
      </w:r>
      <w:r w:rsidR="002175C2" w:rsidRPr="00F74376">
        <w:t>the financial</w:t>
      </w:r>
      <w:r w:rsidR="007C03BF" w:rsidRPr="00F74376">
        <w:t xml:space="preserve"> statements </w:t>
      </w:r>
      <w:r w:rsidR="007004CE" w:rsidRPr="00F74376">
        <w:t xml:space="preserve">in accordance with </w:t>
      </w:r>
      <w:r w:rsidR="0042059B" w:rsidRPr="00F74376">
        <w:t xml:space="preserve">the </w:t>
      </w:r>
      <w:r w:rsidR="002175C2">
        <w:t>standards of GRAP</w:t>
      </w:r>
      <w:r w:rsidR="002175C2" w:rsidRPr="00FA4311">
        <w:t xml:space="preserve"> and the requirements of the</w:t>
      </w:r>
      <w:r w:rsidR="002175C2">
        <w:t xml:space="preserve"> </w:t>
      </w:r>
      <w:bookmarkStart w:id="12" w:name="E6a"/>
      <w:bookmarkStart w:id="13" w:name="Back22"/>
      <w:bookmarkStart w:id="14" w:name="Back23"/>
      <w:bookmarkEnd w:id="12"/>
      <w:bookmarkEnd w:id="13"/>
      <w:bookmarkEnd w:id="14"/>
      <w:r w:rsidR="002175C2">
        <w:t>PFMA</w:t>
      </w:r>
      <w:r w:rsidR="002175C2" w:rsidRPr="00F74376" w:rsidDel="002175C2">
        <w:t xml:space="preserve"> </w:t>
      </w:r>
      <w:r w:rsidR="002175C2" w:rsidRPr="00F74376">
        <w:t>and</w:t>
      </w:r>
      <w:r w:rsidRPr="00F74376">
        <w:t xml:space="preserve"> for s</w:t>
      </w:r>
      <w:r w:rsidR="0052594D" w:rsidRPr="00F74376">
        <w:t>uch internal control as</w:t>
      </w:r>
      <w:r w:rsidR="007004CE" w:rsidRPr="00F74376">
        <w:t xml:space="preserve"> the</w:t>
      </w:r>
      <w:r w:rsidR="0052594D" w:rsidRPr="00F74376">
        <w:t xml:space="preserve"> </w:t>
      </w:r>
      <w:r w:rsidR="002175C2">
        <w:t>accounting officer</w:t>
      </w:r>
      <w:r w:rsidR="0052594D" w:rsidRPr="00F74376">
        <w:t xml:space="preserve"> determines is necessary to enable the preparation </w:t>
      </w:r>
      <w:r w:rsidR="002175C2" w:rsidRPr="00F74376">
        <w:t>of financial</w:t>
      </w:r>
      <w:r w:rsidR="0052594D" w:rsidRPr="00F74376">
        <w:t xml:space="preserve"> statements that are free from material misstatement,</w:t>
      </w:r>
      <w:r w:rsidR="007004CE" w:rsidRPr="00F74376">
        <w:t xml:space="preserve"> whether due to fraud or error.</w:t>
      </w:r>
    </w:p>
    <w:p w14:paraId="08CE8823" w14:textId="242B0FD0" w:rsidR="0052594D" w:rsidRPr="00F74376" w:rsidRDefault="00584C07" w:rsidP="00AB5D84">
      <w:pPr>
        <w:pStyle w:val="NumberedARs"/>
        <w:numPr>
          <w:ilvl w:val="0"/>
          <w:numId w:val="14"/>
        </w:numPr>
      </w:pPr>
      <w:r w:rsidRPr="00F74376">
        <w:t>In</w:t>
      </w:r>
      <w:r w:rsidR="002464CE" w:rsidRPr="00F74376">
        <w:t xml:space="preserve"> prepa</w:t>
      </w:r>
      <w:r w:rsidR="00AB32F8" w:rsidRPr="00F74376">
        <w:t>r</w:t>
      </w:r>
      <w:r w:rsidRPr="00F74376">
        <w:t>ing</w:t>
      </w:r>
      <w:r w:rsidR="00AB32F8" w:rsidRPr="00F74376">
        <w:t xml:space="preserve"> </w:t>
      </w:r>
      <w:r w:rsidR="002175C2" w:rsidRPr="00F74376">
        <w:t>the financial</w:t>
      </w:r>
      <w:r w:rsidR="00AB32F8" w:rsidRPr="00F74376">
        <w:t xml:space="preserve"> stateme</w:t>
      </w:r>
      <w:r w:rsidR="002464CE" w:rsidRPr="00F74376">
        <w:t>nts</w:t>
      </w:r>
      <w:r w:rsidR="00AB32F8" w:rsidRPr="00F74376">
        <w:t xml:space="preserve">, </w:t>
      </w:r>
      <w:r w:rsidR="00AE2AEF" w:rsidRPr="00F74376">
        <w:t xml:space="preserve">the </w:t>
      </w:r>
      <w:r w:rsidR="002175C2">
        <w:t xml:space="preserve">accounting officer </w:t>
      </w:r>
      <w:r w:rsidR="00AE2AEF" w:rsidRPr="00F74376">
        <w:t xml:space="preserve">is responsible for </w:t>
      </w:r>
      <w:r w:rsidR="00AB32F8" w:rsidRPr="00F74376">
        <w:t>a</w:t>
      </w:r>
      <w:r w:rsidR="007004CE" w:rsidRPr="00F74376">
        <w:t xml:space="preserve">ssessing the </w:t>
      </w:r>
      <w:r w:rsidR="002175C2">
        <w:t>trading entity</w:t>
      </w:r>
      <w:r w:rsidR="0052594D" w:rsidRPr="00F74376">
        <w:t>’s ability to continue as a going concern</w:t>
      </w:r>
      <w:r w:rsidR="00FD2D18" w:rsidRPr="00F74376">
        <w:t>;</w:t>
      </w:r>
      <w:r w:rsidR="00AE2AEF" w:rsidRPr="00F74376">
        <w:t xml:space="preserve"> disclosing</w:t>
      </w:r>
      <w:r w:rsidR="00AE2414" w:rsidRPr="00F74376">
        <w:t>, as applicable,</w:t>
      </w:r>
      <w:r w:rsidR="00AE2AEF" w:rsidRPr="00F74376">
        <w:t xml:space="preserve"> matters relating to going concern</w:t>
      </w:r>
      <w:r w:rsidR="0021157A">
        <w:t>;</w:t>
      </w:r>
      <w:r w:rsidR="00AE2414" w:rsidRPr="00F74376">
        <w:t xml:space="preserve"> and</w:t>
      </w:r>
      <w:r w:rsidR="0052594D" w:rsidRPr="00F74376">
        <w:t xml:space="preserve"> us</w:t>
      </w:r>
      <w:r w:rsidR="00AE2414" w:rsidRPr="00F74376">
        <w:t>ing</w:t>
      </w:r>
      <w:r w:rsidR="0052594D" w:rsidRPr="00F74376">
        <w:t xml:space="preserve"> the going concern basis of accounting unless</w:t>
      </w:r>
      <w:r w:rsidR="00E264E9" w:rsidRPr="00F74376">
        <w:t xml:space="preserve"> the</w:t>
      </w:r>
      <w:r w:rsidR="0052594D" w:rsidRPr="00F74376">
        <w:t xml:space="preserve"> </w:t>
      </w:r>
      <w:r w:rsidR="007451B7" w:rsidRPr="00F74376">
        <w:t>appropriate governance structure</w:t>
      </w:r>
      <w:r w:rsidR="00E264E9" w:rsidRPr="00F74376">
        <w:t xml:space="preserve"> </w:t>
      </w:r>
      <w:r w:rsidR="0052594D" w:rsidRPr="00F74376">
        <w:t xml:space="preserve">either </w:t>
      </w:r>
      <w:r w:rsidR="00E264E9" w:rsidRPr="00F74376">
        <w:t xml:space="preserve">intends to liquidate the </w:t>
      </w:r>
      <w:r w:rsidR="002175C2">
        <w:t xml:space="preserve">trading </w:t>
      </w:r>
      <w:r w:rsidR="00E85112">
        <w:t xml:space="preserve">entity </w:t>
      </w:r>
      <w:r w:rsidR="00E85112" w:rsidRPr="00F74376">
        <w:t>or</w:t>
      </w:r>
      <w:r w:rsidR="0052594D" w:rsidRPr="00F74376">
        <w:t xml:space="preserve"> to cease operations, or has no realistic alternative but to do so. </w:t>
      </w:r>
    </w:p>
    <w:p w14:paraId="199787DD" w14:textId="111FD902" w:rsidR="0052594D" w:rsidRPr="00F74376" w:rsidRDefault="00266FF3" w:rsidP="0042059B">
      <w:pPr>
        <w:pStyle w:val="Heading3"/>
      </w:pPr>
      <w:r w:rsidRPr="00F74376">
        <w:lastRenderedPageBreak/>
        <w:t>Responsibilities of the a</w:t>
      </w:r>
      <w:r w:rsidR="0052594D" w:rsidRPr="00F74376">
        <w:t>uditor</w:t>
      </w:r>
      <w:r w:rsidR="00E264E9" w:rsidRPr="00F74376">
        <w:t>-general</w:t>
      </w:r>
      <w:r w:rsidR="0052594D" w:rsidRPr="00F74376">
        <w:t xml:space="preserve"> for the </w:t>
      </w:r>
      <w:r w:rsidR="0030637E" w:rsidRPr="00F74376">
        <w:t>a</w:t>
      </w:r>
      <w:r w:rsidR="0052594D" w:rsidRPr="00F74376">
        <w:t xml:space="preserve">udit of </w:t>
      </w:r>
      <w:r w:rsidR="00E85112" w:rsidRPr="00F74376">
        <w:t>the financial</w:t>
      </w:r>
      <w:r w:rsidR="0052594D" w:rsidRPr="00F74376">
        <w:t xml:space="preserve"> </w:t>
      </w:r>
      <w:r w:rsidR="0030637E" w:rsidRPr="00F74376">
        <w:t>s</w:t>
      </w:r>
      <w:r w:rsidR="0052594D" w:rsidRPr="00F74376">
        <w:t>tatements</w:t>
      </w:r>
      <w:bookmarkStart w:id="15" w:name="Back13"/>
      <w:bookmarkEnd w:id="15"/>
    </w:p>
    <w:p w14:paraId="7864ABE7" w14:textId="427881D8" w:rsidR="0052594D" w:rsidRDefault="00E264E9" w:rsidP="00AB5D84">
      <w:pPr>
        <w:pStyle w:val="NumberedARs"/>
        <w:numPr>
          <w:ilvl w:val="0"/>
          <w:numId w:val="14"/>
        </w:numPr>
      </w:pPr>
      <w:r w:rsidRPr="00F74376">
        <w:t>My</w:t>
      </w:r>
      <w:r w:rsidR="0052594D" w:rsidRPr="00F74376">
        <w:t xml:space="preserve"> objectives are to obtain reasonable assurance about whether </w:t>
      </w:r>
      <w:r w:rsidR="00E85112" w:rsidRPr="00F74376">
        <w:t>the financial</w:t>
      </w:r>
      <w:r w:rsidR="0052594D" w:rsidRPr="00F74376">
        <w:t xml:space="preserve"> statements as a whole are free from material misstatement, whether due to fraud or error</w:t>
      </w:r>
      <w:r w:rsidR="00D23898">
        <w:t>;</w:t>
      </w:r>
      <w:r w:rsidR="0052594D" w:rsidRPr="00F74376">
        <w:t xml:space="preserve"> and to issue an auditor’s report t</w:t>
      </w:r>
      <w:r w:rsidRPr="00F74376">
        <w:t>hat includes my</w:t>
      </w:r>
      <w:r w:rsidR="0052594D" w:rsidRPr="00F74376">
        <w:t xml:space="preserve"> opinion. Reasonable assurance is a high level of assurance but is not a guarantee that an audit conducted in accordance with</w:t>
      </w:r>
      <w:r w:rsidR="009A124D" w:rsidRPr="00F74376">
        <w:t xml:space="preserve"> the</w:t>
      </w:r>
      <w:r w:rsidR="0052594D" w:rsidRPr="00F74376">
        <w:t xml:space="preserve"> ISAs will always detect a material misstatement when it exists. Misstatements can arise from fraud or error and are considered material if, individually or in aggregate, they could reasonably be expected to influence the economic decisions of users taken on the basis of </w:t>
      </w:r>
      <w:r w:rsidR="00E85112" w:rsidRPr="00F74376">
        <w:t>these financial</w:t>
      </w:r>
      <w:r w:rsidR="0052594D" w:rsidRPr="00F74376">
        <w:t xml:space="preserve"> statements.</w:t>
      </w:r>
    </w:p>
    <w:p w14:paraId="4923C403" w14:textId="666E62DB" w:rsidR="00D54DED" w:rsidRPr="00F74376" w:rsidRDefault="00646E5C" w:rsidP="00AB5D84">
      <w:pPr>
        <w:pStyle w:val="NumberedARs"/>
        <w:numPr>
          <w:ilvl w:val="0"/>
          <w:numId w:val="14"/>
        </w:numPr>
      </w:pPr>
      <w:r w:rsidRPr="00F74376">
        <w:t xml:space="preserve">A further description of </w:t>
      </w:r>
      <w:r w:rsidR="00810BC8" w:rsidRPr="00F74376">
        <w:t xml:space="preserve">my </w:t>
      </w:r>
      <w:r w:rsidRPr="00F74376">
        <w:t>responsibilities for the audit of the financial statements</w:t>
      </w:r>
      <w:r w:rsidR="00CC21A3" w:rsidRPr="00F74376">
        <w:t xml:space="preserve"> </w:t>
      </w:r>
      <w:r w:rsidR="00954698" w:rsidRPr="00F74376">
        <w:t>is included</w:t>
      </w:r>
      <w:r w:rsidR="00CC21A3" w:rsidRPr="00F74376">
        <w:t xml:space="preserve"> in</w:t>
      </w:r>
      <w:r w:rsidRPr="00F74376">
        <w:t xml:space="preserve"> </w:t>
      </w:r>
      <w:r w:rsidR="00B4792D" w:rsidRPr="00F74376">
        <w:t xml:space="preserve">the </w:t>
      </w:r>
      <w:r w:rsidRPr="00F74376">
        <w:t xml:space="preserve">annexure </w:t>
      </w:r>
      <w:r w:rsidR="00810BC8" w:rsidRPr="00F74376">
        <w:t>to th</w:t>
      </w:r>
      <w:r w:rsidR="00E31854" w:rsidRPr="00F74376">
        <w:t>is</w:t>
      </w:r>
      <w:r w:rsidR="00810BC8" w:rsidRPr="00F74376">
        <w:t xml:space="preserve"> auditor’s report</w:t>
      </w:r>
      <w:r w:rsidRPr="00F74376">
        <w:t>.</w:t>
      </w:r>
    </w:p>
    <w:p w14:paraId="1094BB29" w14:textId="14A18B6F" w:rsidR="00075BBA" w:rsidRPr="00075BBA" w:rsidRDefault="00DA478A" w:rsidP="008F44CD">
      <w:pPr>
        <w:pStyle w:val="Heading2"/>
      </w:pPr>
      <w:bookmarkStart w:id="16" w:name="Back14A"/>
      <w:bookmarkEnd w:id="16"/>
      <w:r w:rsidRPr="00013D5A">
        <w:t>R</w:t>
      </w:r>
      <w:r w:rsidR="00183D45" w:rsidRPr="00013D5A">
        <w:t>eport</w:t>
      </w:r>
      <w:r w:rsidR="00183D45" w:rsidRPr="00F74376">
        <w:t xml:space="preserve"> on</w:t>
      </w:r>
      <w:r w:rsidR="002C5755" w:rsidRPr="00F74376">
        <w:t xml:space="preserve"> </w:t>
      </w:r>
      <w:r w:rsidR="003B4E42" w:rsidRPr="00F74376">
        <w:t>the audit of the annual performance report</w:t>
      </w:r>
      <w:bookmarkStart w:id="17" w:name="APR"/>
      <w:bookmarkStart w:id="18" w:name="Back14B"/>
      <w:bookmarkStart w:id="19" w:name="Back14C"/>
      <w:bookmarkStart w:id="20" w:name="Introduction_scope"/>
      <w:bookmarkStart w:id="21" w:name="Back14D"/>
      <w:bookmarkEnd w:id="17"/>
      <w:bookmarkEnd w:id="18"/>
      <w:bookmarkEnd w:id="19"/>
      <w:bookmarkEnd w:id="20"/>
      <w:bookmarkEnd w:id="21"/>
    </w:p>
    <w:p w14:paraId="136B60C1" w14:textId="383F06BF" w:rsidR="00F64937" w:rsidRPr="00F74376" w:rsidRDefault="0032654B" w:rsidP="0032654B">
      <w:pPr>
        <w:pStyle w:val="NumberedARs"/>
        <w:numPr>
          <w:ilvl w:val="0"/>
          <w:numId w:val="14"/>
        </w:numPr>
      </w:pPr>
      <w:r>
        <w:t>S</w:t>
      </w:r>
      <w:r w:rsidRPr="00A0129F">
        <w:t xml:space="preserve">ection 40(3)(a) of the PFMA, </w:t>
      </w:r>
      <w:r>
        <w:t xml:space="preserve">requires </w:t>
      </w:r>
      <w:r w:rsidRPr="00A0129F">
        <w:t xml:space="preserve">the </w:t>
      </w:r>
      <w:r>
        <w:t>trading entity</w:t>
      </w:r>
      <w:r w:rsidRPr="00A0129F">
        <w:t xml:space="preserve"> to prepare an annual performance report. The </w:t>
      </w:r>
      <w:r>
        <w:t>trading entity’s</w:t>
      </w:r>
      <w:r w:rsidRPr="00A0129F">
        <w:t xml:space="preserve"> performance information was reported in the annual performance report of </w:t>
      </w:r>
      <w:r>
        <w:t>Department of Public Works and Infrastructure</w:t>
      </w:r>
      <w:r w:rsidRPr="00A0129F">
        <w:t>. The usefulness and reliability of the reported performance information w</w:t>
      </w:r>
      <w:r>
        <w:t>as</w:t>
      </w:r>
      <w:r w:rsidRPr="00A0129F">
        <w:t xml:space="preserve"> tested as part of the audit of </w:t>
      </w:r>
      <w:r>
        <w:t>Department of Public Works and Infrastructure</w:t>
      </w:r>
      <w:r w:rsidRPr="00A0129F">
        <w:t xml:space="preserve"> and any audit findings are included in the management and auditor’s reports of </w:t>
      </w:r>
      <w:r>
        <w:t>Department of Public Works and Infrastructure (DPWI)</w:t>
      </w:r>
      <w:r w:rsidRPr="00A0129F">
        <w:t>.</w:t>
      </w:r>
    </w:p>
    <w:p w14:paraId="7CC9E106" w14:textId="770AE422" w:rsidR="00F64937" w:rsidRPr="00F74376" w:rsidRDefault="00E85112" w:rsidP="00C81B08">
      <w:pPr>
        <w:pStyle w:val="Heading2"/>
      </w:pPr>
      <w:r w:rsidRPr="00C6362E" w:rsidDel="00E85112">
        <w:t xml:space="preserve"> </w:t>
      </w:r>
      <w:bookmarkStart w:id="22" w:name="Properly_presented"/>
      <w:bookmarkStart w:id="23" w:name="Back14E"/>
      <w:bookmarkStart w:id="24" w:name="Back14"/>
      <w:bookmarkStart w:id="25" w:name="Insert_programme"/>
      <w:bookmarkStart w:id="26" w:name="Back14F"/>
      <w:bookmarkStart w:id="27" w:name="Other_matter"/>
      <w:bookmarkStart w:id="28" w:name="Back14G"/>
      <w:bookmarkStart w:id="29" w:name="Back24"/>
      <w:bookmarkEnd w:id="22"/>
      <w:bookmarkEnd w:id="23"/>
      <w:bookmarkEnd w:id="24"/>
      <w:bookmarkEnd w:id="25"/>
      <w:bookmarkEnd w:id="26"/>
      <w:bookmarkEnd w:id="27"/>
      <w:bookmarkEnd w:id="28"/>
      <w:bookmarkEnd w:id="29"/>
      <w:r w:rsidRPr="00F74376" w:rsidDel="00E85112">
        <w:t xml:space="preserve"> </w:t>
      </w:r>
      <w:r w:rsidR="00DA478A" w:rsidRPr="00F74376">
        <w:t>R</w:t>
      </w:r>
      <w:r w:rsidR="00693F90" w:rsidRPr="00F74376">
        <w:t>eport on</w:t>
      </w:r>
      <w:r w:rsidR="007A6A38" w:rsidRPr="00F74376">
        <w:t xml:space="preserve"> </w:t>
      </w:r>
      <w:r w:rsidR="00693F90" w:rsidRPr="00F74376">
        <w:t>compliance</w:t>
      </w:r>
      <w:r w:rsidR="00643748" w:rsidRPr="00F74376">
        <w:t xml:space="preserve"> with legislation</w:t>
      </w:r>
    </w:p>
    <w:p w14:paraId="7B976C3D" w14:textId="1E6868C6" w:rsidR="007A6A38" w:rsidRPr="00F74376" w:rsidRDefault="007A6A38" w:rsidP="00575BCB">
      <w:pPr>
        <w:pStyle w:val="NumberedARs"/>
        <w:numPr>
          <w:ilvl w:val="0"/>
          <w:numId w:val="14"/>
        </w:numPr>
      </w:pPr>
      <w:bookmarkStart w:id="30" w:name="Back15"/>
      <w:bookmarkEnd w:id="30"/>
      <w:r>
        <w:t xml:space="preserve">In accordance with the PAA and the general notice issued in terms thereof, I </w:t>
      </w:r>
      <w:r w:rsidR="007803D2">
        <w:t>must audit and report</w:t>
      </w:r>
      <w:r>
        <w:t xml:space="preserve"> on compliance with applicable legislation relating to financial matters, financial management and other related matters. The </w:t>
      </w:r>
      <w:r w:rsidR="00052230">
        <w:t>accounting officer</w:t>
      </w:r>
      <w:r>
        <w:t xml:space="preserve"> is responsible for the </w:t>
      </w:r>
      <w:r w:rsidR="00052230">
        <w:t>trading entity</w:t>
      </w:r>
      <w:r>
        <w:t>’s compliance with legislation.</w:t>
      </w:r>
    </w:p>
    <w:p w14:paraId="7B205E7C" w14:textId="53006205" w:rsidR="007A6A38" w:rsidRPr="00F74376" w:rsidRDefault="007A6A38" w:rsidP="00575BCB">
      <w:pPr>
        <w:pStyle w:val="NumberedARs"/>
        <w:numPr>
          <w:ilvl w:val="0"/>
          <w:numId w:val="14"/>
        </w:numPr>
      </w:pPr>
      <w:r w:rsidRPr="00F74376">
        <w:t xml:space="preserve">I performed procedures to test compliance with selected requirements in key legislation in accordance with the </w:t>
      </w:r>
      <w:r w:rsidR="00C263E0">
        <w:t xml:space="preserve">findings engagement </w:t>
      </w:r>
      <w:r w:rsidRPr="00F74376">
        <w:t>methodology</w:t>
      </w:r>
      <w:r w:rsidR="00D45E3A" w:rsidRPr="00D45E3A">
        <w:t xml:space="preserve"> </w:t>
      </w:r>
      <w:r w:rsidR="00D45E3A">
        <w:t>of the Auditor-General of South Africa (</w:t>
      </w:r>
      <w:r w:rsidR="00D45E3A" w:rsidRPr="00F74376">
        <w:t>AGSA</w:t>
      </w:r>
      <w:r w:rsidR="00D45E3A">
        <w:t>)</w:t>
      </w:r>
      <w:r w:rsidRPr="00F74376">
        <w:t xml:space="preserve">. </w:t>
      </w:r>
      <w:r w:rsidRPr="00F74376" w:rsidDel="0098056B">
        <w:t>This engagement is not an assurance engagement. Accordingly, I</w:t>
      </w:r>
      <w:r w:rsidRPr="00F74376">
        <w:t xml:space="preserve"> </w:t>
      </w:r>
      <w:r w:rsidRPr="00F74376" w:rsidDel="0098056B">
        <w:t>do not express an assurance opinion or conclusion.</w:t>
      </w:r>
    </w:p>
    <w:p w14:paraId="23D5C4D8" w14:textId="29212C42" w:rsidR="007A6A38" w:rsidRPr="00F74376" w:rsidRDefault="0050570C" w:rsidP="00575BCB">
      <w:pPr>
        <w:pStyle w:val="NumberedARs"/>
        <w:numPr>
          <w:ilvl w:val="0"/>
          <w:numId w:val="14"/>
        </w:numPr>
      </w:pPr>
      <w:r>
        <w:t xml:space="preserve">Through an established AGSA process, </w:t>
      </w:r>
      <w:r w:rsidR="007A6A38">
        <w:t>I selected requirements in key legislation for compliance testing</w:t>
      </w:r>
      <w:r w:rsidR="0036451D">
        <w:t xml:space="preserve"> that are</w:t>
      </w:r>
      <w:r w:rsidR="007A6A38">
        <w:t xml:space="preserve"> relevant to the financial and performance management of the </w:t>
      </w:r>
      <w:r w:rsidR="00F30525">
        <w:t xml:space="preserve">trading entity </w:t>
      </w:r>
      <w:r w:rsidR="007A6A38">
        <w:t xml:space="preserve">, clear to allow consistent measurement and evaluation, while also sufficiently detailed and </w:t>
      </w:r>
      <w:r w:rsidR="0015009A">
        <w:t>readily</w:t>
      </w:r>
      <w:r w:rsidR="007A6A38">
        <w:t xml:space="preserve"> available to report in an understandable manner. The selected legislative requirements are included in the annexure to this auditor’s report. </w:t>
      </w:r>
    </w:p>
    <w:p w14:paraId="5AED4771" w14:textId="0B346326" w:rsidR="007A6A38" w:rsidRPr="00F74376" w:rsidRDefault="00052230" w:rsidP="00575BCB">
      <w:pPr>
        <w:pStyle w:val="NumberedARs"/>
        <w:numPr>
          <w:ilvl w:val="0"/>
          <w:numId w:val="14"/>
        </w:numPr>
        <w:rPr>
          <w:b/>
          <w:bCs/>
        </w:rPr>
      </w:pPr>
      <w:r w:rsidDel="00052230">
        <w:t xml:space="preserve"> </w:t>
      </w:r>
      <w:r w:rsidR="007A6A38" w:rsidRPr="00F74376">
        <w:t xml:space="preserve">The material findings on compliance with </w:t>
      </w:r>
      <w:r w:rsidR="008C7D38">
        <w:t xml:space="preserve">the </w:t>
      </w:r>
      <w:r w:rsidR="007A6A38" w:rsidRPr="00F74376">
        <w:t>selected legislative requirements, presented per compliance theme, are as follows:</w:t>
      </w:r>
    </w:p>
    <w:p w14:paraId="6DD267B1" w14:textId="093693B5" w:rsidR="007A6A38" w:rsidRDefault="007A6A38" w:rsidP="006545E4">
      <w:pPr>
        <w:pStyle w:val="Heading4"/>
        <w:spacing w:line="276" w:lineRule="auto"/>
      </w:pPr>
      <w:r>
        <w:t>Expenditure management</w:t>
      </w:r>
    </w:p>
    <w:p w14:paraId="5DF975FA" w14:textId="21FFBDF8" w:rsidR="006545E4" w:rsidRDefault="006545E4" w:rsidP="006545E4">
      <w:pPr>
        <w:pStyle w:val="NumberedARs"/>
        <w:numPr>
          <w:ilvl w:val="0"/>
          <w:numId w:val="14"/>
        </w:numPr>
        <w:jc w:val="both"/>
      </w:pPr>
      <w:r w:rsidRPr="00DA3DEE">
        <w:t xml:space="preserve">Effective and appropriate steps were not taken to prevent irregular expenditure amounting to </w:t>
      </w:r>
      <w:r>
        <w:t>R</w:t>
      </w:r>
      <w:r w:rsidR="00067A24">
        <w:t>57 million</w:t>
      </w:r>
      <w:r w:rsidRPr="00DA3DEE">
        <w:t>, as disclosed in note 3</w:t>
      </w:r>
      <w:r w:rsidR="00874D77">
        <w:t>1</w:t>
      </w:r>
      <w:r w:rsidRPr="00DA3DEE">
        <w:t xml:space="preserve"> to the financial statements, as required by section 38(1)(c)(ii) </w:t>
      </w:r>
      <w:r w:rsidRPr="00DA3DEE">
        <w:lastRenderedPageBreak/>
        <w:t xml:space="preserve">of the PFMA and treasury regulation 9.1.1. The majority of the irregular expenditure disclosed in the financial statements was caused by </w:t>
      </w:r>
      <w:r>
        <w:t>incorrect procurement processes followed by management</w:t>
      </w:r>
      <w:r w:rsidR="000333D2">
        <w:t>.</w:t>
      </w:r>
    </w:p>
    <w:p w14:paraId="7216564B" w14:textId="3B20ECBA" w:rsidR="006545E4" w:rsidRDefault="006545E4" w:rsidP="006545E4">
      <w:pPr>
        <w:pStyle w:val="NumberedARs"/>
        <w:numPr>
          <w:ilvl w:val="0"/>
          <w:numId w:val="14"/>
        </w:numPr>
        <w:jc w:val="both"/>
      </w:pPr>
      <w:r w:rsidRPr="008C70D4">
        <w:t xml:space="preserve">Effective internal controls were not in place for approval and processing of payments, as required by treasury regulation 8.1.1. </w:t>
      </w:r>
    </w:p>
    <w:p w14:paraId="532B320C" w14:textId="28975EAD" w:rsidR="00641090" w:rsidRDefault="00641090" w:rsidP="00641090">
      <w:pPr>
        <w:pStyle w:val="Heading4"/>
        <w:spacing w:line="276" w:lineRule="auto"/>
      </w:pPr>
      <w:r>
        <w:t>Consequence management</w:t>
      </w:r>
    </w:p>
    <w:p w14:paraId="79267388" w14:textId="2A8A192F" w:rsidR="00641090" w:rsidRDefault="00641090" w:rsidP="00641090">
      <w:pPr>
        <w:pStyle w:val="NumberedARs"/>
        <w:numPr>
          <w:ilvl w:val="0"/>
          <w:numId w:val="14"/>
        </w:numPr>
        <w:jc w:val="both"/>
      </w:pPr>
      <w:r w:rsidRPr="00641090">
        <w:t xml:space="preserve">I was unable to obtain sufficient appropriate audit evidence that disciplinary steps were taken against officials who had incurred irregular expenditure as required by section 38(1)(h)(iii) of the PFMA. </w:t>
      </w:r>
    </w:p>
    <w:p w14:paraId="64DB61FF" w14:textId="18CD2D50" w:rsidR="00641090" w:rsidRDefault="00641090" w:rsidP="00641090">
      <w:pPr>
        <w:pStyle w:val="Heading4"/>
        <w:spacing w:line="276" w:lineRule="auto"/>
      </w:pPr>
      <w:r>
        <w:t>Asset management</w:t>
      </w:r>
    </w:p>
    <w:p w14:paraId="0EF4EAAB" w14:textId="2165598A" w:rsidR="00641090" w:rsidRDefault="00641090" w:rsidP="00641090">
      <w:pPr>
        <w:pStyle w:val="NumberedARs"/>
        <w:numPr>
          <w:ilvl w:val="0"/>
          <w:numId w:val="14"/>
        </w:numPr>
        <w:jc w:val="both"/>
      </w:pPr>
      <w:r w:rsidRPr="00641090">
        <w:t>Preventative mechanisms were not in place to eliminate misuse of assets, as required by treasury regulation 10.1.1(a).</w:t>
      </w:r>
    </w:p>
    <w:p w14:paraId="5D7C4A22" w14:textId="59386F8A" w:rsidR="00BA5028" w:rsidRDefault="00BA5028" w:rsidP="00BA5028">
      <w:pPr>
        <w:pStyle w:val="Heading4"/>
        <w:spacing w:line="276" w:lineRule="auto"/>
      </w:pPr>
      <w:r>
        <w:t>Revenue management</w:t>
      </w:r>
    </w:p>
    <w:p w14:paraId="4828BA34" w14:textId="3A663E61" w:rsidR="00BA5028" w:rsidRDefault="00BA5028" w:rsidP="00BA5028">
      <w:pPr>
        <w:pStyle w:val="NumberedARs"/>
        <w:numPr>
          <w:ilvl w:val="0"/>
          <w:numId w:val="14"/>
        </w:numPr>
        <w:jc w:val="both"/>
      </w:pPr>
      <w:r w:rsidRPr="00BA5028">
        <w:t>Effective and appropriate steps were not taken to collect all money due, as required by section 38(1)(c)(i) of the PFMA</w:t>
      </w:r>
    </w:p>
    <w:p w14:paraId="117DAC7A" w14:textId="577B336A" w:rsidR="00416137" w:rsidRPr="00DC72C5" w:rsidRDefault="00416137" w:rsidP="00416137">
      <w:pPr>
        <w:pStyle w:val="Heading4"/>
        <w:jc w:val="both"/>
      </w:pPr>
      <w:r w:rsidRPr="00DC72C5">
        <w:t>Annual Financial Statement, Performance and Annual Report</w:t>
      </w:r>
    </w:p>
    <w:p w14:paraId="7A0587A1" w14:textId="022348A2" w:rsidR="00B36070" w:rsidRDefault="00B36070" w:rsidP="00B36070">
      <w:pPr>
        <w:pStyle w:val="Heading4"/>
        <w:numPr>
          <w:ilvl w:val="0"/>
          <w:numId w:val="14"/>
        </w:numPr>
        <w:spacing w:line="276" w:lineRule="auto"/>
        <w:rPr>
          <w:rFonts w:eastAsiaTheme="minorHAnsi" w:cstheme="minorBidi"/>
          <w:b w:val="0"/>
          <w:bCs w:val="0"/>
          <w:iCs w:val="0"/>
          <w:color w:val="auto"/>
          <w:lang w:eastAsia="ja-JP"/>
        </w:rPr>
      </w:pPr>
      <w:r w:rsidRPr="00B36070">
        <w:rPr>
          <w:rFonts w:eastAsiaTheme="minorHAnsi" w:cstheme="minorBidi"/>
          <w:b w:val="0"/>
          <w:bCs w:val="0"/>
          <w:iCs w:val="0"/>
          <w:color w:val="auto"/>
          <w:lang w:eastAsia="ja-JP"/>
        </w:rPr>
        <w:t>The financial statements submitted for auditing were not prepared in accordance with the prescribed financial reporting framework, as required by section 40(1) (b) of the PFMA.</w:t>
      </w:r>
    </w:p>
    <w:p w14:paraId="7F73DB36" w14:textId="1435EE1B" w:rsidR="00EE572E" w:rsidRDefault="00B36070" w:rsidP="00B36070">
      <w:pPr>
        <w:pStyle w:val="Heading4"/>
        <w:spacing w:line="276" w:lineRule="auto"/>
        <w:ind w:left="360"/>
        <w:rPr>
          <w:rFonts w:eastAsiaTheme="minorHAnsi" w:cstheme="minorBidi"/>
          <w:b w:val="0"/>
          <w:bCs w:val="0"/>
          <w:iCs w:val="0"/>
          <w:color w:val="auto"/>
          <w:lang w:eastAsia="ja-JP"/>
        </w:rPr>
      </w:pPr>
      <w:r w:rsidRPr="00B36070">
        <w:rPr>
          <w:rFonts w:eastAsiaTheme="minorHAnsi" w:cstheme="minorBidi"/>
          <w:b w:val="0"/>
          <w:bCs w:val="0"/>
          <w:iCs w:val="0"/>
          <w:color w:val="auto"/>
          <w:lang w:eastAsia="ja-JP"/>
        </w:rPr>
        <w:t xml:space="preserve">Material misstatements of </w:t>
      </w:r>
      <w:r w:rsidR="00D0581F">
        <w:rPr>
          <w:rFonts w:eastAsiaTheme="minorHAnsi" w:cstheme="minorBidi"/>
          <w:b w:val="0"/>
          <w:bCs w:val="0"/>
          <w:iCs w:val="0"/>
          <w:color w:val="auto"/>
          <w:lang w:eastAsia="ja-JP"/>
        </w:rPr>
        <w:t xml:space="preserve">non- </w:t>
      </w:r>
      <w:r w:rsidRPr="00B36070">
        <w:rPr>
          <w:rFonts w:eastAsiaTheme="minorHAnsi" w:cstheme="minorBidi"/>
          <w:b w:val="0"/>
          <w:bCs w:val="0"/>
          <w:iCs w:val="0"/>
          <w:color w:val="auto"/>
          <w:lang w:eastAsia="ja-JP"/>
        </w:rPr>
        <w:t>current assets identified by the auditors in the submitted financial statements were corrected</w:t>
      </w:r>
      <w:r w:rsidR="00067A24">
        <w:rPr>
          <w:rFonts w:eastAsiaTheme="minorHAnsi" w:cstheme="minorBidi"/>
          <w:b w:val="0"/>
          <w:bCs w:val="0"/>
          <w:iCs w:val="0"/>
          <w:color w:val="auto"/>
          <w:lang w:eastAsia="ja-JP"/>
        </w:rPr>
        <w:t xml:space="preserve">, but </w:t>
      </w:r>
      <w:r w:rsidRPr="00B36070">
        <w:rPr>
          <w:rFonts w:eastAsiaTheme="minorHAnsi" w:cstheme="minorBidi"/>
          <w:b w:val="0"/>
          <w:bCs w:val="0"/>
          <w:iCs w:val="0"/>
          <w:color w:val="auto"/>
          <w:lang w:eastAsia="ja-JP"/>
        </w:rPr>
        <w:t>the uncorrected material misstatements resulted in the financial statements receiving a qualified opinion.</w:t>
      </w:r>
    </w:p>
    <w:p w14:paraId="08E36741" w14:textId="28C1189E" w:rsidR="00361B3A" w:rsidRPr="00F74376" w:rsidRDefault="0030637E" w:rsidP="00C81B08">
      <w:pPr>
        <w:pStyle w:val="Heading2"/>
      </w:pPr>
      <w:bookmarkStart w:id="31" w:name="Back16"/>
      <w:bookmarkEnd w:id="31"/>
      <w:r w:rsidRPr="00F74376">
        <w:t>Other i</w:t>
      </w:r>
      <w:r w:rsidR="00361B3A" w:rsidRPr="00F74376">
        <w:t>nformation</w:t>
      </w:r>
      <w:r w:rsidR="00ED7E0A">
        <w:t xml:space="preserve"> in the annual report</w:t>
      </w:r>
    </w:p>
    <w:p w14:paraId="7E29A94D" w14:textId="3BAA99A9" w:rsidR="00361B3A" w:rsidRPr="00F74376" w:rsidRDefault="00484474" w:rsidP="00575BCB">
      <w:pPr>
        <w:pStyle w:val="NumberedARs"/>
        <w:numPr>
          <w:ilvl w:val="0"/>
          <w:numId w:val="14"/>
        </w:numPr>
      </w:pPr>
      <w:r w:rsidRPr="00F74376">
        <w:t>The</w:t>
      </w:r>
      <w:r w:rsidR="00691855" w:rsidRPr="00F74376">
        <w:t xml:space="preserve"> </w:t>
      </w:r>
      <w:r w:rsidR="00392835">
        <w:t>accounting officer</w:t>
      </w:r>
      <w:r w:rsidR="005D0A61" w:rsidRPr="00F74376">
        <w:t xml:space="preserve"> </w:t>
      </w:r>
      <w:r w:rsidR="00691855" w:rsidRPr="00F74376">
        <w:t>is</w:t>
      </w:r>
      <w:r w:rsidR="005D0A61" w:rsidRPr="00F74376">
        <w:t xml:space="preserve"> responsible for the other information</w:t>
      </w:r>
      <w:r w:rsidR="00C509F3" w:rsidRPr="00F74376">
        <w:t xml:space="preserve"> included in the annual</w:t>
      </w:r>
      <w:r w:rsidR="00361B3A" w:rsidRPr="00F74376">
        <w:t xml:space="preserve"> report</w:t>
      </w:r>
      <w:bookmarkStart w:id="32" w:name="Companies_Act"/>
      <w:bookmarkEnd w:id="32"/>
      <w:r w:rsidR="00755A62">
        <w:t xml:space="preserve"> </w:t>
      </w:r>
      <w:r w:rsidR="00691855" w:rsidRPr="00F74376">
        <w:t xml:space="preserve">which includes the </w:t>
      </w:r>
      <w:r w:rsidR="00AD6F7C">
        <w:t xml:space="preserve">accounting officers </w:t>
      </w:r>
      <w:r w:rsidR="00691855" w:rsidRPr="00F74376">
        <w:t xml:space="preserve">the audit committee’s </w:t>
      </w:r>
      <w:r w:rsidR="00AD6F7C" w:rsidRPr="00F74376">
        <w:t>report</w:t>
      </w:r>
      <w:r w:rsidR="00075D35" w:rsidRPr="00F74376">
        <w:t>.</w:t>
      </w:r>
      <w:r w:rsidR="00882F42" w:rsidRPr="00F74376">
        <w:t xml:space="preserve"> The</w:t>
      </w:r>
      <w:r w:rsidR="00361B3A" w:rsidRPr="00F74376">
        <w:t xml:space="preserve"> other</w:t>
      </w:r>
      <w:r w:rsidR="00882F42" w:rsidRPr="00F74376">
        <w:t xml:space="preserve"> information</w:t>
      </w:r>
      <w:r w:rsidR="79803E48" w:rsidRPr="00F74376">
        <w:t xml:space="preserve"> referred to</w:t>
      </w:r>
      <w:r w:rsidR="00882F42" w:rsidRPr="00F74376">
        <w:t xml:space="preserve"> does not include</w:t>
      </w:r>
      <w:r w:rsidR="00361B3A" w:rsidRPr="00F74376">
        <w:t xml:space="preserve"> </w:t>
      </w:r>
      <w:r w:rsidR="00AD6F7C" w:rsidRPr="00F74376">
        <w:t>th</w:t>
      </w:r>
      <w:r w:rsidR="00AD6F7C">
        <w:t>e financial</w:t>
      </w:r>
      <w:r w:rsidR="00361B3A" w:rsidRPr="00F74376">
        <w:t xml:space="preserve"> statements</w:t>
      </w:r>
      <w:r w:rsidR="00882F42" w:rsidRPr="00F74376">
        <w:t>,</w:t>
      </w:r>
      <w:r w:rsidR="00C509F3" w:rsidRPr="00F74376">
        <w:t xml:space="preserve"> the auditor’s report</w:t>
      </w:r>
      <w:r w:rsidR="00882F42" w:rsidRPr="00F74376">
        <w:t xml:space="preserve"> </w:t>
      </w:r>
      <w:r w:rsidR="00BB2845" w:rsidRPr="00F74376">
        <w:t xml:space="preserve">that </w:t>
      </w:r>
      <w:r w:rsidR="00882F42" w:rsidRPr="00F74376">
        <w:t xml:space="preserve">have been specifically reported </w:t>
      </w:r>
      <w:r w:rsidR="00646B54" w:rsidRPr="00F74376">
        <w:t xml:space="preserve">on </w:t>
      </w:r>
      <w:r w:rsidR="00882F42" w:rsidRPr="00F74376">
        <w:t>in</w:t>
      </w:r>
      <w:r w:rsidR="001870B6" w:rsidRPr="00F74376">
        <w:t xml:space="preserve"> th</w:t>
      </w:r>
      <w:r w:rsidR="00E31854" w:rsidRPr="00F74376">
        <w:t>is</w:t>
      </w:r>
      <w:r w:rsidR="001870B6" w:rsidRPr="00F74376">
        <w:t xml:space="preserve"> auditor’s report</w:t>
      </w:r>
      <w:r w:rsidR="00C509F3" w:rsidRPr="00F74376">
        <w:t>.</w:t>
      </w:r>
      <w:r w:rsidR="00361B3A" w:rsidRPr="00F74376">
        <w:t xml:space="preserve"> </w:t>
      </w:r>
    </w:p>
    <w:p w14:paraId="305FDD89" w14:textId="2BDA9D54" w:rsidR="00361B3A" w:rsidRPr="00F74376" w:rsidRDefault="00C977AA" w:rsidP="00575BCB">
      <w:pPr>
        <w:pStyle w:val="NumberedARs"/>
        <w:numPr>
          <w:ilvl w:val="0"/>
          <w:numId w:val="14"/>
        </w:numPr>
      </w:pPr>
      <w:r w:rsidRPr="00F74376">
        <w:t>My opinion</w:t>
      </w:r>
      <w:r w:rsidR="00057ECA" w:rsidRPr="00F74376">
        <w:t xml:space="preserve"> on </w:t>
      </w:r>
      <w:r w:rsidR="004D539C" w:rsidRPr="00F74376">
        <w:t>the</w:t>
      </w:r>
      <w:r w:rsidR="004D539C">
        <w:t xml:space="preserve"> </w:t>
      </w:r>
      <w:r w:rsidR="004D539C" w:rsidRPr="00F74376">
        <w:t>financial</w:t>
      </w:r>
      <w:r w:rsidR="00057ECA" w:rsidRPr="00F74376">
        <w:t xml:space="preserve"> statements and </w:t>
      </w:r>
      <w:r w:rsidR="00FC28E5">
        <w:t xml:space="preserve">the report on </w:t>
      </w:r>
      <w:r w:rsidR="00057ECA" w:rsidRPr="00F74376">
        <w:t>compliance with legislation</w:t>
      </w:r>
      <w:r w:rsidR="00755A62">
        <w:t>,</w:t>
      </w:r>
      <w:r w:rsidR="00057ECA" w:rsidRPr="00F74376">
        <w:t xml:space="preserve"> </w:t>
      </w:r>
      <w:r w:rsidR="005D0A61" w:rsidRPr="00F74376">
        <w:t>do</w:t>
      </w:r>
      <w:r w:rsidR="00361B3A" w:rsidRPr="00F74376">
        <w:t xml:space="preserve"> not</w:t>
      </w:r>
      <w:r w:rsidR="005D0A61" w:rsidRPr="00F74376">
        <w:t xml:space="preserve"> cover</w:t>
      </w:r>
      <w:r w:rsidR="00361B3A" w:rsidRPr="00F74376">
        <w:t xml:space="preserve"> the other information </w:t>
      </w:r>
      <w:r w:rsidR="003110CA">
        <w:t xml:space="preserve">included in the annual report </w:t>
      </w:r>
      <w:r w:rsidR="00361B3A" w:rsidRPr="00F74376">
        <w:t>and</w:t>
      </w:r>
      <w:r w:rsidR="005D0A61" w:rsidRPr="00F74376">
        <w:t xml:space="preserve"> I</w:t>
      </w:r>
      <w:r w:rsidR="00361B3A" w:rsidRPr="00F74376">
        <w:t xml:space="preserve"> do not express </w:t>
      </w:r>
      <w:r w:rsidR="00C751EE" w:rsidRPr="00F74376">
        <w:t xml:space="preserve">an audit opinion or </w:t>
      </w:r>
      <w:r w:rsidR="00361B3A" w:rsidRPr="00F74376">
        <w:t>any form of assurance conclusion on</w:t>
      </w:r>
      <w:r w:rsidR="006037C6" w:rsidRPr="00F74376">
        <w:t xml:space="preserve"> it</w:t>
      </w:r>
      <w:r w:rsidR="00361B3A" w:rsidRPr="00F74376">
        <w:t>.</w:t>
      </w:r>
    </w:p>
    <w:p w14:paraId="0CCD8EBB" w14:textId="17533873" w:rsidR="003A52DE" w:rsidRDefault="7B0EE961" w:rsidP="00575BCB">
      <w:pPr>
        <w:pStyle w:val="NumberedARs"/>
        <w:numPr>
          <w:ilvl w:val="0"/>
          <w:numId w:val="14"/>
        </w:numPr>
      </w:pPr>
      <w:r>
        <w:t>M</w:t>
      </w:r>
      <w:r w:rsidR="116FFF6F" w:rsidRPr="00F74376">
        <w:t>y</w:t>
      </w:r>
      <w:r w:rsidR="00361B3A" w:rsidRPr="00F74376">
        <w:t xml:space="preserve"> responsibility is to read th</w:t>
      </w:r>
      <w:r w:rsidR="003110CA">
        <w:t>is</w:t>
      </w:r>
      <w:r w:rsidR="00361B3A" w:rsidRPr="00F74376">
        <w:t xml:space="preserve"> other information and</w:t>
      </w:r>
      <w:r w:rsidR="005D0A61" w:rsidRPr="00F74376">
        <w:t>, in doing so,</w:t>
      </w:r>
      <w:r w:rsidR="00361B3A" w:rsidRPr="00F74376">
        <w:t xml:space="preserve"> consider whether </w:t>
      </w:r>
      <w:r w:rsidR="003110CA">
        <w:t xml:space="preserve">it </w:t>
      </w:r>
      <w:r w:rsidR="00361B3A" w:rsidRPr="00F74376">
        <w:t>is material</w:t>
      </w:r>
      <w:r w:rsidR="00396062" w:rsidRPr="00F74376">
        <w:t>ly</w:t>
      </w:r>
      <w:r w:rsidR="00361B3A" w:rsidRPr="00F74376">
        <w:t xml:space="preserve"> inconsisten</w:t>
      </w:r>
      <w:r w:rsidR="00FE3A72" w:rsidRPr="00F74376">
        <w:t>t with</w:t>
      </w:r>
      <w:r w:rsidR="00361B3A" w:rsidRPr="00F74376">
        <w:t xml:space="preserve"> </w:t>
      </w:r>
      <w:r w:rsidR="004D539C" w:rsidRPr="00F74376">
        <w:t>the financial</w:t>
      </w:r>
      <w:r w:rsidR="00361B3A" w:rsidRPr="00F74376">
        <w:t xml:space="preserve"> </w:t>
      </w:r>
      <w:r w:rsidR="004D539C" w:rsidRPr="00F74376">
        <w:t>statements,</w:t>
      </w:r>
      <w:r w:rsidR="00361B3A" w:rsidRPr="00F74376">
        <w:t xml:space="preserve"> or my knowledge obtained</w:t>
      </w:r>
      <w:r w:rsidR="00FE3A72" w:rsidRPr="00F74376">
        <w:t xml:space="preserve"> in</w:t>
      </w:r>
      <w:r w:rsidR="00361B3A" w:rsidRPr="00F74376">
        <w:t xml:space="preserve"> the audit</w:t>
      </w:r>
      <w:r w:rsidR="00FE3A72" w:rsidRPr="00F74376">
        <w:t>, or otherwise</w:t>
      </w:r>
      <w:r w:rsidR="00361B3A" w:rsidRPr="00F74376">
        <w:t xml:space="preserve"> appears to be materially misstated.</w:t>
      </w:r>
      <w:r w:rsidR="003A52DE" w:rsidRPr="00F74376">
        <w:t xml:space="preserve"> </w:t>
      </w:r>
    </w:p>
    <w:p w14:paraId="28F48B0B" w14:textId="190F665F" w:rsidR="004D539C" w:rsidRPr="008B575B" w:rsidRDefault="004D539C" w:rsidP="004D539C">
      <w:pPr>
        <w:pStyle w:val="NumberedARs"/>
        <w:numPr>
          <w:ilvl w:val="0"/>
          <w:numId w:val="14"/>
        </w:numPr>
        <w:spacing w:line="276" w:lineRule="auto"/>
      </w:pPr>
      <w:r w:rsidRPr="00822400">
        <w:t xml:space="preserve">The other information I obtained prior to the date of this auditor’s report are Irregular expenditure and fruitless and wasteful expenditure register and </w:t>
      </w:r>
      <w:r w:rsidR="00A554A7">
        <w:t xml:space="preserve">Ministers foreword, Deputy </w:t>
      </w:r>
      <w:r w:rsidR="00A554A7">
        <w:lastRenderedPageBreak/>
        <w:t>Minister’s statement and governance</w:t>
      </w:r>
      <w:r w:rsidRPr="00822400">
        <w:t xml:space="preserve"> are expected to be made available to us after </w:t>
      </w:r>
      <w:r w:rsidR="00A554A7">
        <w:t>21</w:t>
      </w:r>
      <w:r w:rsidRPr="00822400">
        <w:t xml:space="preserve"> </w:t>
      </w:r>
      <w:r w:rsidR="00A554A7">
        <w:t>August</w:t>
      </w:r>
      <w:r w:rsidRPr="00822400">
        <w:t xml:space="preserve"> 2023. </w:t>
      </w:r>
    </w:p>
    <w:p w14:paraId="4886FBEA" w14:textId="77777777" w:rsidR="004D539C" w:rsidRPr="008B575B" w:rsidRDefault="004D539C" w:rsidP="004D539C">
      <w:pPr>
        <w:pStyle w:val="NumberedARs"/>
        <w:numPr>
          <w:ilvl w:val="0"/>
          <w:numId w:val="14"/>
        </w:numPr>
        <w:spacing w:line="276" w:lineRule="auto"/>
      </w:pPr>
      <w:r w:rsidRPr="00822400">
        <w:t>If, based on the work I have performed on the other information that I obtained prior to the date of this auditor’s report, I conclude that there is a material misstatement of this other information, I am required to report that fact. I have nothing to report in this regard.</w:t>
      </w:r>
    </w:p>
    <w:p w14:paraId="7D7B0E74" w14:textId="7ED70301" w:rsidR="004D539C" w:rsidRPr="008B575B" w:rsidRDefault="004D539C" w:rsidP="004D539C">
      <w:pPr>
        <w:pStyle w:val="NumberedARs"/>
        <w:numPr>
          <w:ilvl w:val="0"/>
          <w:numId w:val="14"/>
        </w:numPr>
        <w:spacing w:line="276" w:lineRule="auto"/>
      </w:pPr>
      <w:r w:rsidRPr="00822400">
        <w:t>When I do receive and read the</w:t>
      </w:r>
      <w:r>
        <w:t xml:space="preserve"> </w:t>
      </w:r>
      <w:r w:rsidR="00A554A7">
        <w:t>Ministers foreword, Deputy Minister’s statement and governance</w:t>
      </w:r>
      <w:r w:rsidRPr="00822400">
        <w:t xml:space="preserve"> if I conclude that there is a material misstatement therein, I am required to communicate the matter to those charged with governance and request that the other information be corrected. If the other information is not corrected, I may have to retract this auditor’s report and re-issue an amended report as appropriate. However, if it is corrected this will not be necessary.</w:t>
      </w:r>
    </w:p>
    <w:p w14:paraId="2F692684" w14:textId="2063DA68" w:rsidR="00CB4D59" w:rsidRPr="00F74376" w:rsidRDefault="00CB4D59" w:rsidP="006037C6">
      <w:pPr>
        <w:pStyle w:val="Heading2"/>
      </w:pPr>
      <w:bookmarkStart w:id="33" w:name="Other_information"/>
      <w:bookmarkEnd w:id="33"/>
      <w:r w:rsidRPr="00F74376">
        <w:t>Inter</w:t>
      </w:r>
      <w:bookmarkStart w:id="34" w:name="Back17"/>
      <w:bookmarkEnd w:id="34"/>
      <w:r w:rsidRPr="00F74376">
        <w:t>nal control</w:t>
      </w:r>
      <w:bookmarkStart w:id="35" w:name="EE14"/>
      <w:bookmarkEnd w:id="35"/>
      <w:r w:rsidR="006525FD" w:rsidRPr="00F74376">
        <w:t xml:space="preserve"> </w:t>
      </w:r>
      <w:r w:rsidR="00987E5C" w:rsidRPr="00F74376">
        <w:t>deficiencies</w:t>
      </w:r>
    </w:p>
    <w:p w14:paraId="2CAC9E62" w14:textId="411DC7D6" w:rsidR="00646B54" w:rsidRPr="00F74376" w:rsidRDefault="00CB4D59" w:rsidP="00575BCB">
      <w:pPr>
        <w:pStyle w:val="NumberedARs"/>
        <w:numPr>
          <w:ilvl w:val="0"/>
          <w:numId w:val="14"/>
        </w:numPr>
      </w:pPr>
      <w:r w:rsidRPr="00F74376">
        <w:t>I considered internal control relevant to my audit of the</w:t>
      </w:r>
      <w:r w:rsidR="00C7012C" w:rsidRPr="00F74376">
        <w:t xml:space="preserve"> </w:t>
      </w:r>
      <w:r w:rsidRPr="00F74376">
        <w:t>financial statements,</w:t>
      </w:r>
      <w:r w:rsidR="00C7012C" w:rsidRPr="00F74376">
        <w:t xml:space="preserve"> </w:t>
      </w:r>
      <w:r w:rsidR="00AA23AA">
        <w:t>annual performance report</w:t>
      </w:r>
      <w:r w:rsidR="000C4212">
        <w:t xml:space="preserve"> and </w:t>
      </w:r>
      <w:r w:rsidRPr="00F74376">
        <w:t xml:space="preserve">compliance with </w:t>
      </w:r>
      <w:r w:rsidR="004B4227" w:rsidRPr="00F74376">
        <w:t xml:space="preserve">applicable </w:t>
      </w:r>
      <w:r w:rsidRPr="00F74376">
        <w:t>legislation</w:t>
      </w:r>
      <w:r w:rsidR="007462EB" w:rsidRPr="00F74376">
        <w:t>;</w:t>
      </w:r>
      <w:r w:rsidR="00462C27" w:rsidRPr="00F74376">
        <w:t xml:space="preserve"> however</w:t>
      </w:r>
      <w:r w:rsidR="007462EB" w:rsidRPr="00F74376">
        <w:t>,</w:t>
      </w:r>
      <w:r w:rsidR="00462C27" w:rsidRPr="00F74376">
        <w:t xml:space="preserve"> </w:t>
      </w:r>
      <w:r w:rsidR="007462EB" w:rsidRPr="00F74376">
        <w:t xml:space="preserve">my </w:t>
      </w:r>
      <w:r w:rsidR="00462C27" w:rsidRPr="00F74376">
        <w:t xml:space="preserve">objective </w:t>
      </w:r>
      <w:r w:rsidR="00506355" w:rsidRPr="00F74376">
        <w:t>wa</w:t>
      </w:r>
      <w:r w:rsidR="00462C27" w:rsidRPr="00F74376">
        <w:t xml:space="preserve">s not to express any form of assurance </w:t>
      </w:r>
      <w:r w:rsidR="001A3CC7" w:rsidRPr="00F74376">
        <w:t>on it</w:t>
      </w:r>
      <w:r w:rsidRPr="00F74376">
        <w:t xml:space="preserve">. </w:t>
      </w:r>
    </w:p>
    <w:p w14:paraId="7E1643A1" w14:textId="3EF14417" w:rsidR="00CB4D59" w:rsidRPr="00F74376" w:rsidRDefault="00CB4D59" w:rsidP="00575BCB">
      <w:pPr>
        <w:pStyle w:val="NumberedARs"/>
        <w:numPr>
          <w:ilvl w:val="0"/>
          <w:numId w:val="14"/>
        </w:numPr>
      </w:pPr>
      <w:r w:rsidRPr="00F74376">
        <w:t xml:space="preserve">The matters reported below are limited to the significant internal control deficiencies that resulted in the basis for </w:t>
      </w:r>
      <w:r w:rsidR="001B455A" w:rsidRPr="00F74376">
        <w:t xml:space="preserve">the </w:t>
      </w:r>
      <w:r w:rsidRPr="00F74376">
        <w:t>qualified</w:t>
      </w:r>
      <w:r w:rsidR="009167CA">
        <w:t xml:space="preserve"> </w:t>
      </w:r>
      <w:r w:rsidRPr="00F74376">
        <w:t>opinion</w:t>
      </w:r>
      <w:r w:rsidR="001C2921">
        <w:t xml:space="preserve"> </w:t>
      </w:r>
      <w:r w:rsidRPr="00F74376">
        <w:t xml:space="preserve">and the </w:t>
      </w:r>
      <w:r w:rsidR="008C53ED">
        <w:t xml:space="preserve">material </w:t>
      </w:r>
      <w:r w:rsidRPr="00F74376">
        <w:t>findings on compliance with legislation included in this report</w:t>
      </w:r>
    </w:p>
    <w:p w14:paraId="406DC44C" w14:textId="06670583" w:rsidR="009167CA" w:rsidRDefault="009167CA" w:rsidP="009167CA">
      <w:pPr>
        <w:pStyle w:val="NumberedARs"/>
        <w:numPr>
          <w:ilvl w:val="0"/>
          <w:numId w:val="14"/>
        </w:numPr>
        <w:rPr>
          <w:rStyle w:val="ui-provider"/>
        </w:rPr>
      </w:pPr>
      <w:r>
        <w:t>Management</w:t>
      </w:r>
      <w:r>
        <w:rPr>
          <w:rStyle w:val="ui-provider"/>
        </w:rPr>
        <w:t xml:space="preserve"> did not develop </w:t>
      </w:r>
      <w:r w:rsidR="00677B1E">
        <w:rPr>
          <w:rStyle w:val="ui-provider"/>
        </w:rPr>
        <w:t xml:space="preserve">effective </w:t>
      </w:r>
      <w:r>
        <w:rPr>
          <w:rStyle w:val="ui-provider"/>
        </w:rPr>
        <w:t xml:space="preserve">action plan to adequately address prior year findings relating to </w:t>
      </w:r>
      <w:r w:rsidR="00677B1E">
        <w:rPr>
          <w:rStyle w:val="ui-provider"/>
        </w:rPr>
        <w:t>payables from exchange transaction</w:t>
      </w:r>
      <w:r>
        <w:rPr>
          <w:rStyle w:val="ui-provider"/>
        </w:rPr>
        <w:t xml:space="preserve"> which resulted in the </w:t>
      </w:r>
      <w:r w:rsidR="00B24FC6">
        <w:rPr>
          <w:rStyle w:val="ui-provider"/>
        </w:rPr>
        <w:t>modified auditor’s opinion reported</w:t>
      </w:r>
      <w:r>
        <w:rPr>
          <w:rStyle w:val="ui-provider"/>
        </w:rPr>
        <w:t xml:space="preserve"> in the prior year. Similar </w:t>
      </w:r>
      <w:r w:rsidR="00F42E22">
        <w:rPr>
          <w:rStyle w:val="ui-provider"/>
        </w:rPr>
        <w:t xml:space="preserve">material misstatements were identified during the audit which resulted to the trading entity receiving a qualified audit opinion. </w:t>
      </w:r>
      <w:r w:rsidR="00AE67AA">
        <w:rPr>
          <w:rStyle w:val="ui-provider"/>
        </w:rPr>
        <w:t xml:space="preserve">Furthermore similar material compliance findings were identified to confirm effective action plan was not developed by management. </w:t>
      </w:r>
    </w:p>
    <w:p w14:paraId="482CB0B8" w14:textId="7CB8FAB1" w:rsidR="00A7354D" w:rsidRDefault="00A7354D" w:rsidP="00A7354D">
      <w:pPr>
        <w:pStyle w:val="NumberedARs"/>
        <w:numPr>
          <w:ilvl w:val="0"/>
          <w:numId w:val="14"/>
        </w:numPr>
        <w:rPr>
          <w:rStyle w:val="ui-provider"/>
        </w:rPr>
      </w:pPr>
      <w:r>
        <w:rPr>
          <w:rStyle w:val="ui-provider"/>
        </w:rPr>
        <w:t>Management did not p</w:t>
      </w:r>
      <w:r w:rsidRPr="00A7354D">
        <w:rPr>
          <w:rStyle w:val="ui-provider"/>
        </w:rPr>
        <w:t>repare regular, accurate and complete financial and performance reports that are supported and evidenced by reliable information</w:t>
      </w:r>
      <w:r>
        <w:rPr>
          <w:rStyle w:val="ui-provider"/>
        </w:rPr>
        <w:t xml:space="preserve"> as numerous material misstatements were identified that resulted in the modification of the auditor</w:t>
      </w:r>
      <w:r w:rsidR="00154806">
        <w:rPr>
          <w:rStyle w:val="ui-provider"/>
        </w:rPr>
        <w:t>’</w:t>
      </w:r>
      <w:r>
        <w:rPr>
          <w:rStyle w:val="ui-provider"/>
        </w:rPr>
        <w:t xml:space="preserve">s opinion. </w:t>
      </w:r>
    </w:p>
    <w:p w14:paraId="26F46F7A" w14:textId="5348EF44" w:rsidR="00B24FC6" w:rsidRDefault="00B24FC6" w:rsidP="00B24FC6">
      <w:pPr>
        <w:pStyle w:val="NumberedARs"/>
        <w:numPr>
          <w:ilvl w:val="0"/>
          <w:numId w:val="14"/>
        </w:numPr>
        <w:rPr>
          <w:rStyle w:val="ui-provider"/>
        </w:rPr>
      </w:pPr>
      <w:r>
        <w:rPr>
          <w:rStyle w:val="ui-provider"/>
        </w:rPr>
        <w:t>Management did not r</w:t>
      </w:r>
      <w:r w:rsidRPr="00B24FC6">
        <w:rPr>
          <w:rStyle w:val="ui-provider"/>
        </w:rPr>
        <w:t>eview and monitor compliance with applicable laws and regulations</w:t>
      </w:r>
      <w:r>
        <w:rPr>
          <w:rStyle w:val="ui-provider"/>
        </w:rPr>
        <w:t xml:space="preserve"> as numerous material compliance findings were </w:t>
      </w:r>
      <w:r w:rsidR="002278F2">
        <w:rPr>
          <w:rStyle w:val="ui-provider"/>
        </w:rPr>
        <w:t xml:space="preserve">identified </w:t>
      </w:r>
      <w:r w:rsidR="00AE67AA">
        <w:rPr>
          <w:rStyle w:val="ui-provider"/>
        </w:rPr>
        <w:t xml:space="preserve">in the current year that resulted in the material findings on compliance. </w:t>
      </w:r>
    </w:p>
    <w:p w14:paraId="726D687F" w14:textId="660AD31D" w:rsidR="00154806" w:rsidRPr="00EA09A4" w:rsidRDefault="00154806" w:rsidP="00154806">
      <w:pPr>
        <w:pStyle w:val="NumberedARs"/>
        <w:numPr>
          <w:ilvl w:val="0"/>
          <w:numId w:val="14"/>
        </w:numPr>
        <w:rPr>
          <w:rStyle w:val="ui-provider"/>
        </w:rPr>
      </w:pPr>
      <w:r>
        <w:rPr>
          <w:rStyle w:val="ui-provider"/>
        </w:rPr>
        <w:t>Management did not e</w:t>
      </w:r>
      <w:r w:rsidRPr="00154806">
        <w:rPr>
          <w:rStyle w:val="ui-provider"/>
        </w:rPr>
        <w:t>xercise oversight responsibility regarding financial and compliance and related internal controls</w:t>
      </w:r>
      <w:r>
        <w:rPr>
          <w:rStyle w:val="ui-provider"/>
        </w:rPr>
        <w:t xml:space="preserve"> as material misstatements and material compliance findings were identified which resulted 7in the modification of the auditor’s opinion.</w:t>
      </w:r>
    </w:p>
    <w:p w14:paraId="52C86893" w14:textId="00F85544" w:rsidR="00A90305" w:rsidRPr="00F74376" w:rsidRDefault="00A90305" w:rsidP="006037C6">
      <w:pPr>
        <w:pStyle w:val="Heading2"/>
      </w:pPr>
      <w:r w:rsidRPr="00F74376">
        <w:t xml:space="preserve">Material </w:t>
      </w:r>
      <w:r w:rsidR="005B0667" w:rsidRPr="00F74376">
        <w:t>i</w:t>
      </w:r>
      <w:r w:rsidRPr="00F74376">
        <w:t>rregularities</w:t>
      </w:r>
    </w:p>
    <w:p w14:paraId="0CDDA50C" w14:textId="1F55C6C0" w:rsidR="00A90305" w:rsidRPr="00F74376" w:rsidRDefault="00A90305" w:rsidP="00575BCB">
      <w:pPr>
        <w:pStyle w:val="NumberedARs"/>
        <w:numPr>
          <w:ilvl w:val="0"/>
          <w:numId w:val="14"/>
        </w:numPr>
      </w:pPr>
      <w:r w:rsidRPr="00F74376">
        <w:t xml:space="preserve">In accordance with the PAA and the </w:t>
      </w:r>
      <w:r w:rsidR="002F4B5E" w:rsidRPr="00F74376">
        <w:t>M</w:t>
      </w:r>
      <w:r w:rsidRPr="00F74376">
        <w:t xml:space="preserve">aterial </w:t>
      </w:r>
      <w:r w:rsidR="002F4B5E" w:rsidRPr="00F74376">
        <w:t>I</w:t>
      </w:r>
      <w:r w:rsidRPr="00F74376">
        <w:t>rregularit</w:t>
      </w:r>
      <w:r w:rsidR="00392315" w:rsidRPr="00F74376">
        <w:t>y</w:t>
      </w:r>
      <w:r w:rsidRPr="00F74376">
        <w:t xml:space="preserve"> </w:t>
      </w:r>
      <w:r w:rsidR="002F4B5E" w:rsidRPr="00F74376">
        <w:t>R</w:t>
      </w:r>
      <w:r w:rsidRPr="00F74376">
        <w:t xml:space="preserve">egulations, I have a responsibility to report on material irregularities identified during the audit </w:t>
      </w:r>
      <w:r w:rsidR="007976A6" w:rsidRPr="00F74376">
        <w:t xml:space="preserve">and </w:t>
      </w:r>
      <w:r w:rsidRPr="00F74376">
        <w:t xml:space="preserve">on the status of material irregularities </w:t>
      </w:r>
      <w:r w:rsidR="00A07AE0">
        <w:t xml:space="preserve">as previously </w:t>
      </w:r>
      <w:r w:rsidRPr="00F74376">
        <w:t xml:space="preserve">reported </w:t>
      </w:r>
      <w:r w:rsidR="00A07AE0">
        <w:t xml:space="preserve">in </w:t>
      </w:r>
      <w:r w:rsidR="006D6F98" w:rsidRPr="00F74376">
        <w:t xml:space="preserve">the </w:t>
      </w:r>
      <w:r w:rsidRPr="00F74376">
        <w:t>auditor’s report</w:t>
      </w:r>
      <w:r w:rsidR="006A5E85">
        <w:t xml:space="preserve">. </w:t>
      </w:r>
    </w:p>
    <w:p w14:paraId="188A4C8B" w14:textId="693007DB" w:rsidR="00A90305" w:rsidRPr="00F74376" w:rsidRDefault="00A90305" w:rsidP="006037C6">
      <w:pPr>
        <w:pStyle w:val="Heading3"/>
      </w:pPr>
      <w:r w:rsidRPr="00F74376">
        <w:lastRenderedPageBreak/>
        <w:t>Material irregularities identified during the audit</w:t>
      </w:r>
    </w:p>
    <w:p w14:paraId="0CA72AB8" w14:textId="757F9C74" w:rsidR="00A90305" w:rsidRDefault="00A90305" w:rsidP="00575BCB">
      <w:pPr>
        <w:pStyle w:val="NumberedARs"/>
        <w:numPr>
          <w:ilvl w:val="0"/>
          <w:numId w:val="14"/>
        </w:numPr>
      </w:pPr>
      <w:r w:rsidRPr="00F74376">
        <w:t>The material irregularities identified are as follows:</w:t>
      </w:r>
    </w:p>
    <w:p w14:paraId="3BA1FA0A" w14:textId="02B1822B" w:rsidR="00985C92" w:rsidRPr="00985C92" w:rsidRDefault="00985C92" w:rsidP="00985C92">
      <w:pPr>
        <w:pStyle w:val="Heading4"/>
        <w:rPr>
          <w:b w:val="0"/>
          <w:bCs w:val="0"/>
        </w:rPr>
      </w:pPr>
      <w:r>
        <w:t>Lease No. 139901 overpayment</w:t>
      </w:r>
    </w:p>
    <w:p w14:paraId="2461F7AC" w14:textId="51588849" w:rsidR="00985C92" w:rsidRPr="00985C92" w:rsidRDefault="00985C92" w:rsidP="00985C92">
      <w:pPr>
        <w:pStyle w:val="Default"/>
        <w:numPr>
          <w:ilvl w:val="0"/>
          <w:numId w:val="14"/>
        </w:numPr>
        <w:jc w:val="both"/>
        <w:rPr>
          <w:sz w:val="22"/>
          <w:szCs w:val="22"/>
        </w:rPr>
      </w:pPr>
      <w:r>
        <w:rPr>
          <w:sz w:val="22"/>
          <w:szCs w:val="22"/>
        </w:rPr>
        <w:t xml:space="preserve">The trading entity entered into a lease agreement with the landlord on 01 October 2012. Between June 2015 and December 2017, while the entity was still using Property Management Information System (PMIS) for lease payments, overpayments to the landlord were made due to various reasons. </w:t>
      </w:r>
    </w:p>
    <w:p w14:paraId="5C700724" w14:textId="510CC170" w:rsidR="00985C92" w:rsidRPr="00985C92" w:rsidRDefault="00985C92" w:rsidP="00985C92">
      <w:pPr>
        <w:pStyle w:val="Default"/>
        <w:numPr>
          <w:ilvl w:val="0"/>
          <w:numId w:val="14"/>
        </w:numPr>
        <w:jc w:val="both"/>
        <w:rPr>
          <w:sz w:val="22"/>
          <w:szCs w:val="22"/>
        </w:rPr>
      </w:pPr>
      <w:r>
        <w:rPr>
          <w:sz w:val="22"/>
          <w:szCs w:val="22"/>
        </w:rPr>
        <w:t xml:space="preserve">The leasing module on the Archibus system was implemented in September 2019 and all lease data was migrated from PMIS into the new system. The monthly lease obligation at the time was R 737 735, however it was captured as R 857 965 on the system. Management did not identify and rectify the error in time; this has resulted in the system escalating an incorrect amount and resulted in consistent, monthly overpayments. </w:t>
      </w:r>
    </w:p>
    <w:p w14:paraId="28C04710" w14:textId="4ACE45F1" w:rsidR="00985C92" w:rsidRPr="00985C92" w:rsidRDefault="00985C92" w:rsidP="00985C92">
      <w:pPr>
        <w:pStyle w:val="Default"/>
        <w:numPr>
          <w:ilvl w:val="0"/>
          <w:numId w:val="14"/>
        </w:numPr>
        <w:jc w:val="both"/>
        <w:rPr>
          <w:sz w:val="22"/>
          <w:szCs w:val="22"/>
        </w:rPr>
      </w:pPr>
      <w:r>
        <w:rPr>
          <w:sz w:val="22"/>
          <w:szCs w:val="22"/>
        </w:rPr>
        <w:t xml:space="preserve">As at 31 March 2022, the calculated cumulative overpayments made to the landlord, amounted to R 4 452 528. </w:t>
      </w:r>
    </w:p>
    <w:p w14:paraId="1AC0B024" w14:textId="1D748DF7" w:rsidR="00985C92" w:rsidRPr="00985C92" w:rsidRDefault="00985C92" w:rsidP="00985C92">
      <w:pPr>
        <w:pStyle w:val="Default"/>
        <w:numPr>
          <w:ilvl w:val="0"/>
          <w:numId w:val="14"/>
        </w:numPr>
        <w:jc w:val="both"/>
        <w:rPr>
          <w:sz w:val="22"/>
          <w:szCs w:val="22"/>
        </w:rPr>
      </w:pPr>
      <w:r>
        <w:rPr>
          <w:sz w:val="22"/>
          <w:szCs w:val="22"/>
        </w:rPr>
        <w:t xml:space="preserve">The overpayments stated above indicate that management did not ensure that internal procedures and internal control measures were in place for the approval and processing of rental payments. These controls would have provided management reasonable assurance that rental payments to be made were necessary for each month and appropriate. This control deficiency resulted in non-compliance with TR 8.1.1. </w:t>
      </w:r>
    </w:p>
    <w:p w14:paraId="37675441" w14:textId="6FE56BAC" w:rsidR="00985C92" w:rsidRPr="00985C92" w:rsidRDefault="00985C92" w:rsidP="00985C92">
      <w:pPr>
        <w:pStyle w:val="Default"/>
        <w:numPr>
          <w:ilvl w:val="0"/>
          <w:numId w:val="14"/>
        </w:numPr>
        <w:jc w:val="both"/>
        <w:rPr>
          <w:sz w:val="22"/>
          <w:szCs w:val="22"/>
        </w:rPr>
      </w:pPr>
      <w:r>
        <w:rPr>
          <w:sz w:val="22"/>
          <w:szCs w:val="22"/>
        </w:rPr>
        <w:t xml:space="preserve">The non-compliance is likely to result in a material financial loss for the PMTE as the overpayments can still be recovered from the landlord. </w:t>
      </w:r>
    </w:p>
    <w:p w14:paraId="12180C78" w14:textId="4F6089E3" w:rsidR="00985C92" w:rsidRDefault="00985C92" w:rsidP="00985C92">
      <w:pPr>
        <w:pStyle w:val="ListParagraph"/>
        <w:numPr>
          <w:ilvl w:val="0"/>
          <w:numId w:val="14"/>
        </w:numPr>
        <w:jc w:val="both"/>
        <w:rPr>
          <w:szCs w:val="20"/>
          <w:lang w:eastAsia="ja-JP"/>
        </w:rPr>
      </w:pPr>
      <w:r w:rsidRPr="00985C92">
        <w:rPr>
          <w:szCs w:val="20"/>
          <w:lang w:eastAsia="ja-JP"/>
        </w:rPr>
        <w:t>The Accounting Officer was notified of the material irregularity on 10 November 2022 and the following have been taken to resolve the material irregularity:</w:t>
      </w:r>
    </w:p>
    <w:p w14:paraId="4596B297" w14:textId="4C634533" w:rsidR="00985C92" w:rsidRDefault="00985C92" w:rsidP="00985C92">
      <w:pPr>
        <w:pStyle w:val="ListParagraph"/>
        <w:numPr>
          <w:ilvl w:val="0"/>
          <w:numId w:val="48"/>
        </w:numPr>
        <w:jc w:val="both"/>
        <w:rPr>
          <w:szCs w:val="20"/>
          <w:lang w:eastAsia="ja-JP"/>
        </w:rPr>
      </w:pPr>
      <w:r>
        <w:rPr>
          <w:szCs w:val="20"/>
          <w:lang w:eastAsia="ja-JP"/>
        </w:rPr>
        <w:t xml:space="preserve">Identified the parties responsible for the overpayments and issued warning letters.  </w:t>
      </w:r>
    </w:p>
    <w:p w14:paraId="053D9FDA" w14:textId="614B0CB3" w:rsidR="00985C92" w:rsidRPr="00985C92" w:rsidRDefault="00B403AE" w:rsidP="00985C92">
      <w:pPr>
        <w:pStyle w:val="ListParagraph"/>
        <w:numPr>
          <w:ilvl w:val="0"/>
          <w:numId w:val="48"/>
        </w:numPr>
        <w:jc w:val="both"/>
        <w:rPr>
          <w:szCs w:val="20"/>
          <w:lang w:eastAsia="ja-JP"/>
        </w:rPr>
      </w:pPr>
      <w:r>
        <w:rPr>
          <w:szCs w:val="20"/>
          <w:lang w:eastAsia="ja-JP"/>
        </w:rPr>
        <w:t xml:space="preserve">Management sent an email to the landlord to notify them </w:t>
      </w:r>
    </w:p>
    <w:p w14:paraId="2085E5A4" w14:textId="77777777" w:rsidR="00985C92" w:rsidRPr="00F74376" w:rsidRDefault="00985C92" w:rsidP="00575BCB">
      <w:pPr>
        <w:pStyle w:val="NumberedARs"/>
        <w:numPr>
          <w:ilvl w:val="0"/>
          <w:numId w:val="14"/>
        </w:numPr>
      </w:pPr>
    </w:p>
    <w:p w14:paraId="72B4A41A" w14:textId="3ED8DF5B" w:rsidR="00A90305" w:rsidRPr="00F74376" w:rsidRDefault="00A90305" w:rsidP="005420ED">
      <w:pPr>
        <w:pStyle w:val="Heading3"/>
      </w:pPr>
      <w:r w:rsidRPr="00F74376">
        <w:t xml:space="preserve">Status of previously reported material irregularities </w:t>
      </w:r>
    </w:p>
    <w:p w14:paraId="2600DB8D" w14:textId="77777777" w:rsidR="006A5E85" w:rsidRPr="000365DB" w:rsidRDefault="006A5E85" w:rsidP="006A5E85">
      <w:pPr>
        <w:pStyle w:val="Heading4"/>
        <w:rPr>
          <w:rFonts w:cs="Arial"/>
          <w:szCs w:val="22"/>
        </w:rPr>
      </w:pPr>
      <w:r w:rsidRPr="000365DB">
        <w:rPr>
          <w:rFonts w:cs="Arial"/>
          <w:szCs w:val="22"/>
        </w:rPr>
        <w:t>Status of previously reported material irregularities</w:t>
      </w:r>
    </w:p>
    <w:p w14:paraId="09F36460" w14:textId="77777777" w:rsidR="006A5E85" w:rsidRPr="000365DB" w:rsidRDefault="006A5E85" w:rsidP="006A5E85">
      <w:pPr>
        <w:keepNext/>
        <w:spacing w:before="120" w:after="120" w:line="276" w:lineRule="auto"/>
        <w:outlineLvl w:val="3"/>
        <w:rPr>
          <w:rFonts w:eastAsia="Calibri" w:cs="Arial"/>
          <w:color w:val="4F81BD"/>
        </w:rPr>
      </w:pPr>
      <w:r w:rsidRPr="000365DB">
        <w:rPr>
          <w:rFonts w:eastAsia="Calibri" w:cs="Arial"/>
          <w:color w:val="4F81BD"/>
        </w:rPr>
        <w:t>Unfair Procurement Process for the Beitbridge Borderline Infrastructure Project</w:t>
      </w:r>
    </w:p>
    <w:p w14:paraId="595E7A89"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 xml:space="preserve">The Accounting officer did not ensure an appropriate supply chain management process that is fair, equitable, transparent, competitive and cost effective is followed in the appointment of the contractor in order to prevent amounts charged to the trading entity for the Beitbridge Borderline Infrastructure project being overpriced. This was in contravention with National Treasury Regulation (TR) 16A3.2 (a). The Accounting Officer was notified of the MI on 13 November 2020. </w:t>
      </w:r>
    </w:p>
    <w:p w14:paraId="188FB46F"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lastRenderedPageBreak/>
        <w:t>In response to the notification, an investigation into the Beitbridge project was initiated on the 25</w:t>
      </w:r>
      <w:r w:rsidRPr="000365DB">
        <w:rPr>
          <w:rFonts w:cs="Arial"/>
          <w:szCs w:val="22"/>
          <w:vertAlign w:val="superscript"/>
        </w:rPr>
        <w:t>th</w:t>
      </w:r>
      <w:r w:rsidRPr="000365DB">
        <w:rPr>
          <w:rFonts w:cs="Arial"/>
          <w:szCs w:val="22"/>
        </w:rPr>
        <w:t xml:space="preserve"> of April 2020 and finalised on the 27</w:t>
      </w:r>
      <w:r w:rsidRPr="000365DB">
        <w:rPr>
          <w:rFonts w:cs="Arial"/>
          <w:szCs w:val="22"/>
          <w:vertAlign w:val="superscript"/>
        </w:rPr>
        <w:t>th</w:t>
      </w:r>
      <w:r w:rsidRPr="000365DB">
        <w:rPr>
          <w:rFonts w:cs="Arial"/>
          <w:szCs w:val="22"/>
        </w:rPr>
        <w:t xml:space="preserve"> of July 2020 by the Governance and Risk Committee unit with the assistance of Special Investigation Unit. The SIU also launched a legal action against the contractor and principal agent with the special tribunal (CAS no: G17/2020) on the 17</w:t>
      </w:r>
      <w:r w:rsidRPr="000365DB">
        <w:rPr>
          <w:rFonts w:cs="Arial"/>
          <w:szCs w:val="22"/>
          <w:vertAlign w:val="superscript"/>
        </w:rPr>
        <w:t>th</w:t>
      </w:r>
      <w:r w:rsidRPr="000365DB">
        <w:rPr>
          <w:rFonts w:cs="Arial"/>
          <w:szCs w:val="22"/>
        </w:rPr>
        <w:t xml:space="preserve"> of November 2020. The special tribunal down the judgement on the 9</w:t>
      </w:r>
      <w:r w:rsidRPr="000365DB">
        <w:rPr>
          <w:rFonts w:cs="Arial"/>
          <w:szCs w:val="22"/>
          <w:vertAlign w:val="superscript"/>
        </w:rPr>
        <w:t>th</w:t>
      </w:r>
      <w:r w:rsidRPr="000365DB">
        <w:rPr>
          <w:rFonts w:cs="Arial"/>
          <w:szCs w:val="22"/>
        </w:rPr>
        <w:t xml:space="preserve"> of March 2022 that stripped off the contractor and principal agent’s profits from the project. The disciplinary action against some of the employees that were involved in the cause of the MI is still in progress. Lastly a criminal case that was registered at SAPS Pretoria (Case: 359/07/2021) by SIU against the contractor is still in progress.  </w:t>
      </w:r>
    </w:p>
    <w:p w14:paraId="5C09D7EB"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Follow-ups on the progress were made with the Accounting Officer who responded on 30 June 2023 with supporting evidence that indicated that the following progress on the MI:</w:t>
      </w:r>
    </w:p>
    <w:p w14:paraId="00AD4B29" w14:textId="77777777" w:rsidR="006A5E85" w:rsidRPr="000365DB" w:rsidRDefault="006A5E85" w:rsidP="006A5E85">
      <w:pPr>
        <w:pStyle w:val="NumberedARs"/>
        <w:numPr>
          <w:ilvl w:val="0"/>
          <w:numId w:val="40"/>
        </w:numPr>
        <w:jc w:val="both"/>
        <w:rPr>
          <w:rFonts w:cs="Arial"/>
          <w:szCs w:val="22"/>
        </w:rPr>
      </w:pPr>
      <w:r w:rsidRPr="000365DB">
        <w:rPr>
          <w:rFonts w:cs="Arial"/>
          <w:szCs w:val="22"/>
        </w:rPr>
        <w:t>Eight (8) members of NBAC (3 Chief directors, 4 Directors and 1 Deputy director) received final written warnings and were suspended without pay for various periods, with effective from 01 November 2022. They have since all returned to work.</w:t>
      </w:r>
    </w:p>
    <w:p w14:paraId="13290FE1" w14:textId="77777777" w:rsidR="006A5E85" w:rsidRPr="000365DB" w:rsidRDefault="006A5E85" w:rsidP="006A5E85">
      <w:pPr>
        <w:pStyle w:val="NumberedARs"/>
        <w:numPr>
          <w:ilvl w:val="0"/>
          <w:numId w:val="40"/>
        </w:numPr>
        <w:jc w:val="both"/>
        <w:rPr>
          <w:rFonts w:cs="Arial"/>
          <w:szCs w:val="22"/>
        </w:rPr>
      </w:pPr>
      <w:r w:rsidRPr="000365DB">
        <w:rPr>
          <w:rFonts w:cs="Arial"/>
          <w:szCs w:val="22"/>
        </w:rPr>
        <w:t>One (1) of the three (3) senior officials who are implicated in the investigation report has filed a notice to oppose his answering affidavit filed on the 6</w:t>
      </w:r>
      <w:r w:rsidRPr="000365DB">
        <w:rPr>
          <w:rFonts w:cs="Arial"/>
          <w:szCs w:val="22"/>
          <w:vertAlign w:val="superscript"/>
        </w:rPr>
        <w:t>th</w:t>
      </w:r>
      <w:r w:rsidRPr="000365DB">
        <w:rPr>
          <w:rFonts w:cs="Arial"/>
          <w:szCs w:val="22"/>
        </w:rPr>
        <w:t xml:space="preserve"> of June 2022 and the state attorney has since applied for a hearing date with the Registrar of the Labour Court. The filing is underway so that the Registrar may issue a hearing date. </w:t>
      </w:r>
    </w:p>
    <w:p w14:paraId="2952F61E" w14:textId="77777777" w:rsidR="006A5E85" w:rsidRPr="000365DB" w:rsidRDefault="006A5E85" w:rsidP="006A5E85">
      <w:pPr>
        <w:pStyle w:val="NumberedARs"/>
        <w:numPr>
          <w:ilvl w:val="0"/>
          <w:numId w:val="40"/>
        </w:numPr>
        <w:jc w:val="both"/>
        <w:rPr>
          <w:rFonts w:cs="Arial"/>
          <w:szCs w:val="22"/>
        </w:rPr>
      </w:pPr>
      <w:r w:rsidRPr="000365DB">
        <w:rPr>
          <w:rFonts w:cs="Arial"/>
          <w:szCs w:val="22"/>
        </w:rPr>
        <w:t xml:space="preserve">The disciplinary action against the other two senior officials is on hold pending the finalisation of the High court application for review of the report based on the ruling made by the previous chairperson which was extended to the two officials. </w:t>
      </w:r>
    </w:p>
    <w:p w14:paraId="3B73C05F" w14:textId="41564FCD" w:rsidR="006A5E85" w:rsidRPr="000365DB" w:rsidRDefault="006A5E85" w:rsidP="001C36C0">
      <w:pPr>
        <w:pStyle w:val="NumberedARs"/>
        <w:numPr>
          <w:ilvl w:val="0"/>
          <w:numId w:val="40"/>
        </w:numPr>
        <w:jc w:val="both"/>
        <w:rPr>
          <w:rFonts w:cs="Arial"/>
          <w:szCs w:val="22"/>
          <w:highlight w:val="yellow"/>
        </w:rPr>
      </w:pPr>
      <w:r w:rsidRPr="000365DB">
        <w:rPr>
          <w:szCs w:val="22"/>
        </w:rPr>
        <w:t>On the 1st of December 2022, the Council of the Engineering Council of South Africa(ECSA) resolved to adopt the recommendations from the investigation conducted on professional engineers within and contracted or sub-contracted to the DPWI and its entities. On 14 June 2023, the ECSA extended the scope of the investigation to potential improper misconduct by registered person employed by the Department. The investigation is in progress.</w:t>
      </w:r>
    </w:p>
    <w:p w14:paraId="62A7C929" w14:textId="77777777" w:rsidR="006A5E85" w:rsidRPr="000365DB" w:rsidRDefault="006A5E85" w:rsidP="006A5E85">
      <w:pPr>
        <w:pStyle w:val="NumberedARs"/>
        <w:numPr>
          <w:ilvl w:val="0"/>
          <w:numId w:val="40"/>
        </w:numPr>
        <w:jc w:val="both"/>
        <w:rPr>
          <w:rFonts w:cs="Arial"/>
          <w:szCs w:val="22"/>
        </w:rPr>
      </w:pPr>
      <w:r w:rsidRPr="000365DB">
        <w:rPr>
          <w:rFonts w:cs="Arial"/>
          <w:szCs w:val="22"/>
        </w:rPr>
        <w:t>On the 7</w:t>
      </w:r>
      <w:r w:rsidRPr="000365DB">
        <w:rPr>
          <w:rFonts w:cs="Arial"/>
          <w:szCs w:val="22"/>
          <w:vertAlign w:val="superscript"/>
        </w:rPr>
        <w:t>th</w:t>
      </w:r>
      <w:r w:rsidRPr="000365DB">
        <w:rPr>
          <w:rFonts w:cs="Arial"/>
          <w:szCs w:val="22"/>
        </w:rPr>
        <w:t xml:space="preserve"> of September 2022, the Special Tribunal Court dismissed with costs the leave to appeal by the contractor and principal agent. SIU has since informed the Department of both parties’ intention to appeal to the High Court.</w:t>
      </w:r>
    </w:p>
    <w:p w14:paraId="59DD2321" w14:textId="77777777" w:rsidR="006A5E85" w:rsidRPr="000365DB" w:rsidRDefault="006A5E85" w:rsidP="006A5E85">
      <w:pPr>
        <w:pStyle w:val="NumberedARs"/>
        <w:numPr>
          <w:ilvl w:val="0"/>
          <w:numId w:val="40"/>
        </w:numPr>
        <w:jc w:val="both"/>
        <w:rPr>
          <w:rFonts w:cs="Arial"/>
          <w:szCs w:val="22"/>
        </w:rPr>
      </w:pPr>
      <w:r w:rsidRPr="000365DB">
        <w:rPr>
          <w:rFonts w:cs="Arial"/>
          <w:szCs w:val="22"/>
        </w:rPr>
        <w:t>The Department appointed a new restriction committee on the 31</w:t>
      </w:r>
      <w:r w:rsidRPr="000365DB">
        <w:rPr>
          <w:rFonts w:cs="Arial"/>
          <w:szCs w:val="22"/>
          <w:vertAlign w:val="superscript"/>
        </w:rPr>
        <w:t>st</w:t>
      </w:r>
      <w:r w:rsidRPr="000365DB">
        <w:rPr>
          <w:rFonts w:cs="Arial"/>
          <w:szCs w:val="22"/>
        </w:rPr>
        <w:t xml:space="preserve"> of March 2023 that will decide on whether the restriction of doing business with state by contractor and principal agent is imposed or not as recommended by National Treasury. The deliberations are in progress.</w:t>
      </w:r>
    </w:p>
    <w:p w14:paraId="13997EC9" w14:textId="77777777" w:rsidR="006A5E85" w:rsidRPr="000365DB" w:rsidRDefault="006A5E85" w:rsidP="006A5E85">
      <w:pPr>
        <w:pStyle w:val="NumberedARs"/>
        <w:numPr>
          <w:ilvl w:val="0"/>
          <w:numId w:val="40"/>
        </w:numPr>
        <w:jc w:val="both"/>
        <w:rPr>
          <w:rFonts w:cs="Arial"/>
          <w:szCs w:val="22"/>
        </w:rPr>
      </w:pPr>
      <w:r w:rsidRPr="000365DB">
        <w:rPr>
          <w:rFonts w:cs="Arial"/>
          <w:szCs w:val="22"/>
        </w:rPr>
        <w:t>The trading entity has implemented various initiatives to increase oversight on contract management for construction projects.</w:t>
      </w:r>
    </w:p>
    <w:p w14:paraId="02A197AD"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Based on the assessment of the response and evidence presented, I have determined that the Accounting Officer is taking appropriate steps to address the MI. I will follow up on the implementation of further actions taken during my next audit.</w:t>
      </w:r>
    </w:p>
    <w:p w14:paraId="0C44733C" w14:textId="77777777" w:rsidR="006A5E85" w:rsidRPr="000365DB" w:rsidRDefault="006A5E85" w:rsidP="006A5E85">
      <w:pPr>
        <w:keepNext/>
        <w:spacing w:before="120" w:after="120" w:line="276" w:lineRule="auto"/>
        <w:outlineLvl w:val="3"/>
        <w:rPr>
          <w:rFonts w:eastAsia="Calibri" w:cs="Arial"/>
          <w:color w:val="4F81BD"/>
        </w:rPr>
      </w:pPr>
      <w:r w:rsidRPr="000365DB">
        <w:rPr>
          <w:rFonts w:eastAsia="Calibri" w:cs="Arial"/>
          <w:color w:val="4F81BD"/>
        </w:rPr>
        <w:lastRenderedPageBreak/>
        <w:t>Beitbridge Borderline Infrastructure Project Establishment Cost</w:t>
      </w:r>
    </w:p>
    <w:p w14:paraId="39057ECB"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The accounting officer did not ensure that internal control measures and procedures were in place to detect that the establishment cost is not included in the BOQ and therefore that it will not be paid. This was in contravention with National Treasury Regulation (TR) 8.1.1 and is likely to result into a financial loss of R1 099 500. The Accounting Officer was notified of the MI on 13 November 2020. The Response was received on the 10 December 2020 detailing the actions already taken and the planned actions to address the MI.</w:t>
      </w:r>
    </w:p>
    <w:p w14:paraId="22DE12D9"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In response to the notification, an investigation into the Beitbridge project was initiated on the 25</w:t>
      </w:r>
      <w:r w:rsidRPr="000365DB">
        <w:rPr>
          <w:rFonts w:cs="Arial"/>
          <w:szCs w:val="22"/>
          <w:vertAlign w:val="superscript"/>
        </w:rPr>
        <w:t>th</w:t>
      </w:r>
      <w:r w:rsidRPr="000365DB">
        <w:rPr>
          <w:rFonts w:cs="Arial"/>
          <w:szCs w:val="22"/>
        </w:rPr>
        <w:t xml:space="preserve"> of April 2020 and finalised on the 27</w:t>
      </w:r>
      <w:r w:rsidRPr="000365DB">
        <w:rPr>
          <w:rFonts w:cs="Arial"/>
          <w:szCs w:val="22"/>
          <w:vertAlign w:val="superscript"/>
        </w:rPr>
        <w:t>th</w:t>
      </w:r>
      <w:r w:rsidRPr="000365DB">
        <w:rPr>
          <w:rFonts w:cs="Arial"/>
          <w:szCs w:val="22"/>
        </w:rPr>
        <w:t xml:space="preserve"> of July 2020 by the Governance and Risk Committee unit with the assistance of Special Investigation Unit. The SIU also launched a legal action against the contractor and principal agent with the special tribunal (CAS no: G17/2020) on the 17</w:t>
      </w:r>
      <w:r w:rsidRPr="000365DB">
        <w:rPr>
          <w:rFonts w:cs="Arial"/>
          <w:szCs w:val="22"/>
          <w:vertAlign w:val="superscript"/>
        </w:rPr>
        <w:t>th</w:t>
      </w:r>
      <w:r w:rsidRPr="000365DB">
        <w:rPr>
          <w:rFonts w:cs="Arial"/>
          <w:szCs w:val="22"/>
        </w:rPr>
        <w:t xml:space="preserve"> of November 2020. The special tribunal down the judgement on the 9</w:t>
      </w:r>
      <w:r w:rsidRPr="000365DB">
        <w:rPr>
          <w:rFonts w:cs="Arial"/>
          <w:szCs w:val="22"/>
          <w:vertAlign w:val="superscript"/>
        </w:rPr>
        <w:t>th</w:t>
      </w:r>
      <w:r w:rsidRPr="000365DB">
        <w:rPr>
          <w:rFonts w:cs="Arial"/>
          <w:szCs w:val="22"/>
        </w:rPr>
        <w:t xml:space="preserve"> of March 2022 that stripped off the contractor and principal agent’s profits from the project. The disciplinary action against some of the employees that were involved in the cause of the MI is still in progress. Lastly a criminal case that was registered at SAPS Pretoria (Case: 359/07/2021) by SIU against the contractor is still in progress.  </w:t>
      </w:r>
    </w:p>
    <w:p w14:paraId="3C85C29C"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Follow-ups on the progress were made with the Accounting Officer who responded on 30 June 2023 with supporting evidence that indicated that the following progress on the MI:</w:t>
      </w:r>
    </w:p>
    <w:p w14:paraId="7287A1DA" w14:textId="77777777" w:rsidR="006A5E85" w:rsidRPr="000365DB" w:rsidRDefault="006A5E85" w:rsidP="006A5E85">
      <w:pPr>
        <w:pStyle w:val="NumberedARs"/>
        <w:numPr>
          <w:ilvl w:val="0"/>
          <w:numId w:val="41"/>
        </w:numPr>
        <w:jc w:val="both"/>
        <w:rPr>
          <w:rFonts w:cs="Arial"/>
          <w:szCs w:val="22"/>
        </w:rPr>
      </w:pPr>
      <w:r w:rsidRPr="000365DB">
        <w:rPr>
          <w:rFonts w:cs="Arial"/>
          <w:szCs w:val="22"/>
        </w:rPr>
        <w:t>Eight (8) members of NBAC (3 Chief directors, 4 Directors and 1 Deputy director) received final written warnings and were suspended without pay for various periods, with effective from 01 November 2022. They have all returned to work</w:t>
      </w:r>
    </w:p>
    <w:p w14:paraId="58591776" w14:textId="77777777" w:rsidR="006A5E85" w:rsidRPr="000365DB" w:rsidRDefault="006A5E85" w:rsidP="006A5E85">
      <w:pPr>
        <w:pStyle w:val="NumberedARs"/>
        <w:numPr>
          <w:ilvl w:val="0"/>
          <w:numId w:val="41"/>
        </w:numPr>
        <w:jc w:val="both"/>
        <w:rPr>
          <w:rFonts w:cs="Arial"/>
          <w:szCs w:val="22"/>
        </w:rPr>
      </w:pPr>
      <w:r w:rsidRPr="000365DB">
        <w:rPr>
          <w:rFonts w:cs="Arial"/>
          <w:szCs w:val="22"/>
        </w:rPr>
        <w:t>One (1) of the three (3) senior officials who are implicated in the investigation report has filed a notice to oppose his answering affidavit filed on the 6</w:t>
      </w:r>
      <w:r w:rsidRPr="000365DB">
        <w:rPr>
          <w:rFonts w:cs="Arial"/>
          <w:szCs w:val="22"/>
          <w:vertAlign w:val="superscript"/>
        </w:rPr>
        <w:t>th</w:t>
      </w:r>
      <w:r w:rsidRPr="000365DB">
        <w:rPr>
          <w:rFonts w:cs="Arial"/>
          <w:szCs w:val="22"/>
        </w:rPr>
        <w:t xml:space="preserve"> of June 2022 and the state attorney has since applied for a hearing date with the Registrar of the Labour Court. The filing is underway so that the Registrar may issue a hearing date. </w:t>
      </w:r>
    </w:p>
    <w:p w14:paraId="6CE60007" w14:textId="77777777" w:rsidR="006A5E85" w:rsidRPr="000365DB" w:rsidRDefault="006A5E85" w:rsidP="006A5E85">
      <w:pPr>
        <w:pStyle w:val="NumberedARs"/>
        <w:numPr>
          <w:ilvl w:val="0"/>
          <w:numId w:val="41"/>
        </w:numPr>
        <w:jc w:val="both"/>
        <w:rPr>
          <w:rFonts w:cs="Arial"/>
          <w:szCs w:val="22"/>
        </w:rPr>
      </w:pPr>
      <w:r w:rsidRPr="000365DB">
        <w:rPr>
          <w:rFonts w:cs="Arial"/>
          <w:szCs w:val="22"/>
        </w:rPr>
        <w:t xml:space="preserve">The disciplinary action against the other two senior officials is on hold pending the finalisation of the High court application for review of the report based on the ruling made by the previous chairperson which was extended to the two officials. </w:t>
      </w:r>
    </w:p>
    <w:p w14:paraId="4E9BF78A" w14:textId="77777777" w:rsidR="006A5E85" w:rsidRPr="000365DB" w:rsidRDefault="006A5E85" w:rsidP="006A5E85">
      <w:pPr>
        <w:pStyle w:val="Default"/>
        <w:numPr>
          <w:ilvl w:val="0"/>
          <w:numId w:val="41"/>
        </w:numPr>
        <w:spacing w:line="288" w:lineRule="auto"/>
        <w:jc w:val="both"/>
        <w:rPr>
          <w:sz w:val="22"/>
          <w:szCs w:val="22"/>
        </w:rPr>
      </w:pPr>
      <w:r w:rsidRPr="000365DB">
        <w:rPr>
          <w:sz w:val="22"/>
          <w:szCs w:val="22"/>
        </w:rPr>
        <w:t>On the 1st of December 2022, the Council of the Engineering Council of South Africa resolved to adopt the recommendations from the investigation conducted on professional engineers within and contracted or sub-contracted to the DPWI and its entities. On 14 June 2023, the ECSA extended the scope of the investigation to potential improper misconduct by registered person employed by the Department. The investigation is in progress.</w:t>
      </w:r>
    </w:p>
    <w:p w14:paraId="507451A8" w14:textId="77777777" w:rsidR="006A5E85" w:rsidRPr="000365DB" w:rsidRDefault="006A5E85" w:rsidP="006A5E85">
      <w:pPr>
        <w:pStyle w:val="NumberedARs"/>
        <w:numPr>
          <w:ilvl w:val="0"/>
          <w:numId w:val="41"/>
        </w:numPr>
        <w:jc w:val="both"/>
        <w:rPr>
          <w:rFonts w:cs="Arial"/>
          <w:szCs w:val="22"/>
        </w:rPr>
      </w:pPr>
      <w:r w:rsidRPr="000365DB">
        <w:rPr>
          <w:rFonts w:cs="Arial"/>
          <w:szCs w:val="22"/>
        </w:rPr>
        <w:t>On the 7</w:t>
      </w:r>
      <w:r w:rsidRPr="000365DB">
        <w:rPr>
          <w:rFonts w:cs="Arial"/>
          <w:szCs w:val="22"/>
          <w:vertAlign w:val="superscript"/>
        </w:rPr>
        <w:t>th</w:t>
      </w:r>
      <w:r w:rsidRPr="000365DB">
        <w:rPr>
          <w:rFonts w:cs="Arial"/>
          <w:szCs w:val="22"/>
        </w:rPr>
        <w:t xml:space="preserve"> of September 2022, the Special Tribunal Court dismissed with costs the leave to appeal by the contractor and principal agent. SIU has since informed the Department of both parties’ intention to appeal to the High Court.</w:t>
      </w:r>
    </w:p>
    <w:p w14:paraId="196D82C9" w14:textId="77777777" w:rsidR="006A5E85" w:rsidRPr="000365DB" w:rsidRDefault="006A5E85" w:rsidP="006A5E85">
      <w:pPr>
        <w:pStyle w:val="NumberedARs"/>
        <w:numPr>
          <w:ilvl w:val="0"/>
          <w:numId w:val="41"/>
        </w:numPr>
        <w:jc w:val="both"/>
        <w:rPr>
          <w:rFonts w:cs="Arial"/>
          <w:szCs w:val="22"/>
        </w:rPr>
      </w:pPr>
      <w:r w:rsidRPr="000365DB">
        <w:rPr>
          <w:rFonts w:cs="Arial"/>
          <w:szCs w:val="22"/>
        </w:rPr>
        <w:t>The Department appointed a new restriction committee on the 31</w:t>
      </w:r>
      <w:r w:rsidRPr="000365DB">
        <w:rPr>
          <w:rFonts w:cs="Arial"/>
          <w:szCs w:val="22"/>
          <w:vertAlign w:val="superscript"/>
        </w:rPr>
        <w:t>st</w:t>
      </w:r>
      <w:r w:rsidRPr="000365DB">
        <w:rPr>
          <w:rFonts w:cs="Arial"/>
          <w:szCs w:val="22"/>
        </w:rPr>
        <w:t xml:space="preserve"> of March 2023 that will decide on whether the restriction of doing business with state by contractor and principal agent is imposed or not as recommended by National Treasury. The deliberations are in progress.</w:t>
      </w:r>
    </w:p>
    <w:p w14:paraId="193F09F3" w14:textId="77777777" w:rsidR="006A5E85" w:rsidRPr="000365DB" w:rsidRDefault="006A5E85" w:rsidP="006A5E85">
      <w:pPr>
        <w:pStyle w:val="NumberedARs"/>
        <w:numPr>
          <w:ilvl w:val="0"/>
          <w:numId w:val="41"/>
        </w:numPr>
        <w:jc w:val="both"/>
        <w:rPr>
          <w:rFonts w:cs="Arial"/>
          <w:szCs w:val="22"/>
        </w:rPr>
      </w:pPr>
      <w:r w:rsidRPr="000365DB">
        <w:rPr>
          <w:rFonts w:cs="Arial"/>
          <w:szCs w:val="22"/>
        </w:rPr>
        <w:lastRenderedPageBreak/>
        <w:t>The trading entity has implemented various initiatives to increase oversight on contract management for construction projects.</w:t>
      </w:r>
    </w:p>
    <w:p w14:paraId="226D7A35"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Based on the assessment of the response and evidence presented, I have determined that the Accounting Officer is taking appropriate steps to address the MI. I will follow up on the implementation of further actions taken during my next audit</w:t>
      </w:r>
    </w:p>
    <w:p w14:paraId="5CF60F4E" w14:textId="77777777" w:rsidR="006A5E85" w:rsidRPr="000365DB" w:rsidRDefault="006A5E85" w:rsidP="006A5E85">
      <w:pPr>
        <w:keepNext/>
        <w:spacing w:before="120" w:after="120" w:line="276" w:lineRule="auto"/>
        <w:outlineLvl w:val="3"/>
        <w:rPr>
          <w:rFonts w:eastAsia="Calibri" w:cs="Arial"/>
          <w:color w:val="4F81BD"/>
        </w:rPr>
      </w:pPr>
      <w:r w:rsidRPr="000365DB">
        <w:rPr>
          <w:rFonts w:eastAsia="Calibri" w:cs="Arial"/>
          <w:color w:val="4F81BD"/>
        </w:rPr>
        <w:t>Construction contract extensions approved, incorrectly included contract value adjustment</w:t>
      </w:r>
    </w:p>
    <w:p w14:paraId="66B60B2F"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PMTE has approved several contract extensions claims by the contractor with respect to the construction of the Mamelodi magistrate court due to delays in the project. The project is significantly delayed, and the expenditure paid to date exceeds the initial contract amount. The PMTE is obligated to pay a daily rate of R24 283,26 for any contract extension of time claims with adjustment to the contract value. Extension of time claims 4, 5, 8 and 9 were approved with adjustment to the contract value and the delays resulted from civil unrest, riots, strikes and lockouts.</w:t>
      </w:r>
    </w:p>
    <w:p w14:paraId="70D800D5"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 xml:space="preserve">This was a contravention of the JBCC 2000 Principal Building Agreement Clause 29.1 which stipulates that the contractor is entitled to a revision of the date of practical completion but for which the contract value should not be adjusted if it pertains to delays related to civil unrest, riots or strikes. </w:t>
      </w:r>
    </w:p>
    <w:p w14:paraId="29A4E7C3"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 xml:space="preserve">The approval of the listed claims resulted in a contravention of section 45(a) of the PFMA. The non-compliance is likely to result in a material financial loss of R3 011 124,24 as it is possible for the PMTE to recover the amount from an external party. </w:t>
      </w:r>
    </w:p>
    <w:p w14:paraId="365BEB66"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The accounting officer was notified of the material irregularity on 15 October 2021. The following action have been taken to resolve the material irregularity:</w:t>
      </w:r>
    </w:p>
    <w:p w14:paraId="7F626D6F" w14:textId="77777777" w:rsidR="006A5E85" w:rsidRPr="000365DB" w:rsidRDefault="006A5E85" w:rsidP="006A5E85">
      <w:pPr>
        <w:pStyle w:val="NumberedARs"/>
        <w:numPr>
          <w:ilvl w:val="0"/>
          <w:numId w:val="42"/>
        </w:numPr>
        <w:jc w:val="both"/>
        <w:rPr>
          <w:rFonts w:cs="Arial"/>
          <w:szCs w:val="22"/>
        </w:rPr>
      </w:pPr>
      <w:r w:rsidRPr="000365DB">
        <w:rPr>
          <w:rFonts w:cs="Arial"/>
          <w:szCs w:val="22"/>
        </w:rPr>
        <w:t xml:space="preserve">The Accounting Officer commenced with disciplinary steps against the four (4) implicated officials from 17 November 2021, by issuing letters of consequence management in order to afford the officials an opportunity to explain their actions in approving the claims and payments to the contractor. Subsequently, the matter was referred to the Labour Relations on 25 March 2022 for investigation in order to prepare charge sheets and institute disciplinary action against the identified officials. </w:t>
      </w:r>
    </w:p>
    <w:p w14:paraId="7E0D432A" w14:textId="77777777" w:rsidR="006A5E85" w:rsidRPr="000365DB" w:rsidRDefault="006A5E85" w:rsidP="006A5E85">
      <w:pPr>
        <w:pStyle w:val="NumberedARs"/>
        <w:numPr>
          <w:ilvl w:val="0"/>
          <w:numId w:val="42"/>
        </w:numPr>
        <w:jc w:val="both"/>
        <w:rPr>
          <w:rFonts w:cs="Arial"/>
          <w:szCs w:val="22"/>
        </w:rPr>
      </w:pPr>
      <w:r w:rsidRPr="000365DB">
        <w:rPr>
          <w:rFonts w:cs="Arial"/>
          <w:szCs w:val="22"/>
        </w:rPr>
        <w:t xml:space="preserve">On 17th August 2022, Labour Relations requested clarification on additional documentation and the scope of the charges.  Both the Internal Control Directorate and later the DPWI's Anti-Corruption Unit (ACU) were requested to investigate. The review of the information by the ACU concluded that the matter does not warrant a forensic investigation as the facts of the matter are already at the disposal of the Department to enable resolution of the matter' as the information required by Labour Relations can be sourced from the relevant Line Functions within the Department. </w:t>
      </w:r>
    </w:p>
    <w:p w14:paraId="5DD6AE99" w14:textId="77777777" w:rsidR="006A5E85" w:rsidRPr="000365DB" w:rsidRDefault="006A5E85" w:rsidP="006A5E85">
      <w:pPr>
        <w:pStyle w:val="NumberedARs"/>
        <w:numPr>
          <w:ilvl w:val="0"/>
          <w:numId w:val="42"/>
        </w:numPr>
        <w:jc w:val="both"/>
        <w:rPr>
          <w:rFonts w:cs="Arial"/>
          <w:szCs w:val="22"/>
        </w:rPr>
      </w:pPr>
      <w:r w:rsidRPr="000365DB">
        <w:rPr>
          <w:rFonts w:cs="Arial"/>
          <w:szCs w:val="22"/>
        </w:rPr>
        <w:t>Following the receipt of the ACU report of 16th May 2023, the Pretoria Regional Office is dispatching the additional information required for Labour Relations.</w:t>
      </w:r>
    </w:p>
    <w:p w14:paraId="0FF505AB" w14:textId="77777777" w:rsidR="006A5E85" w:rsidRPr="000365DB" w:rsidRDefault="006A5E85" w:rsidP="006A5E85">
      <w:pPr>
        <w:pStyle w:val="NumberedARs"/>
        <w:numPr>
          <w:ilvl w:val="0"/>
          <w:numId w:val="42"/>
        </w:numPr>
        <w:jc w:val="both"/>
        <w:rPr>
          <w:rFonts w:cs="Arial"/>
          <w:szCs w:val="22"/>
        </w:rPr>
      </w:pPr>
      <w:r w:rsidRPr="000365DB">
        <w:rPr>
          <w:rFonts w:cs="Arial"/>
          <w:szCs w:val="22"/>
        </w:rPr>
        <w:t xml:space="preserve">Initial activities to recover the funds through the Principal Agent, in line with the JBCC contract was not successful. This resulted in the department, issuing a letter of non-compliance to the </w:t>
      </w:r>
      <w:r w:rsidRPr="000365DB">
        <w:rPr>
          <w:rFonts w:cs="Arial"/>
          <w:szCs w:val="22"/>
        </w:rPr>
        <w:lastRenderedPageBreak/>
        <w:t>Principal Agent. On the 7th September 2022, the Principal Agent wrote to the department indicating that they are terminating their contract agreement with the department.</w:t>
      </w:r>
    </w:p>
    <w:p w14:paraId="45E71BAE" w14:textId="77777777" w:rsidR="006A5E85" w:rsidRPr="000365DB" w:rsidRDefault="006A5E85" w:rsidP="006A5E85">
      <w:pPr>
        <w:pStyle w:val="NumberedARs"/>
        <w:numPr>
          <w:ilvl w:val="0"/>
          <w:numId w:val="42"/>
        </w:numPr>
        <w:jc w:val="both"/>
        <w:rPr>
          <w:rFonts w:cs="Arial"/>
          <w:szCs w:val="22"/>
        </w:rPr>
      </w:pPr>
      <w:r w:rsidRPr="000365DB">
        <w:rPr>
          <w:rFonts w:cs="Arial"/>
          <w:szCs w:val="22"/>
        </w:rPr>
        <w:t>The Department of Public Works and Infrastructure sent a letter of demand to the service provider on 27 March 2023, requesting a refund for R 3 011 124,24(VAT exclusive) due to application for extension of contract which were erroneously approved within cost. In this regard, the service provider was requested to make such payments or arrangements for payments thereof within 14(fourteen) days of receipt of the letter. However, the service provider failed to execute any action and the Department referred the matter to the office of the state attorney for recovery.</w:t>
      </w:r>
    </w:p>
    <w:p w14:paraId="4E1DC2A5"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Based on the assessment of the actions taken, I have determined that the Accounting Officer is taking appropriate actions to address the MI. I will follow-up on the implementation of the planned actions during my next audit.</w:t>
      </w:r>
    </w:p>
    <w:p w14:paraId="66C10503" w14:textId="77777777" w:rsidR="006A5E85" w:rsidRPr="000365DB" w:rsidRDefault="006A5E85" w:rsidP="006A5E85">
      <w:pPr>
        <w:keepNext/>
        <w:spacing w:before="120" w:after="120" w:line="276" w:lineRule="auto"/>
        <w:outlineLvl w:val="3"/>
        <w:rPr>
          <w:rFonts w:eastAsia="Calibri" w:cs="Arial"/>
          <w:color w:val="4F81BD"/>
        </w:rPr>
      </w:pPr>
      <w:r w:rsidRPr="000365DB">
        <w:rPr>
          <w:rFonts w:eastAsia="Calibri" w:cs="Arial"/>
          <w:color w:val="4F81BD"/>
        </w:rPr>
        <w:t xml:space="preserve">Leeuwkop prison asset not appropriately safeguarded during construction </w:t>
      </w:r>
    </w:p>
    <w:p w14:paraId="15EA3276"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 xml:space="preserve">After termination of the initial contractor, the boilers on site were not appropriately covered as they were exposed to severe weather conditions, the plastic covering the boilers was damaged. This had an impact on ancillary equipment as they became corroded and unusable. </w:t>
      </w:r>
    </w:p>
    <w:p w14:paraId="549EA1B2"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PMTE appointed a service provider for the replacement and maintenance of boilers for a period of 24 months on 26 January 2012. Due to the service provider's continued inability to meet deadlines in relations to the supply and installation of the boilers as per the site programme of works, the contractor was first placed in mora on 18 October 2013 and then the contact was subsequently terminated with effect from 5 June 2014.</w:t>
      </w:r>
    </w:p>
    <w:p w14:paraId="64AE18C8"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 xml:space="preserve">After termination of the initial contractor, the boilers on site were not appropriately covered as they were exposed to severe weather conditions, the plastic covering the boilers was damaged. This had an impact on ancillary equipment as they became corroded and unusable. </w:t>
      </w:r>
    </w:p>
    <w:p w14:paraId="05F998CF"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 xml:space="preserve">The Accounting Officer did not take full responsibility for the safeguarding of the boilers while they were on site and after the termination date of the initial contractor, as a result, more costs will be incurred to replace and refurbish critical equipment's that have corroded. This is a contravention of TR10.1.1 (a) which requires that the Accounting Officer of an institution must take full responsibility and ensure that proper control systems exist for assets and that preventative mechanisms are in place to eliminate theft, losses, wastage and misuse. The contravention of TR10.1.1(a) is likely to result in a material financial loss. </w:t>
      </w:r>
    </w:p>
    <w:p w14:paraId="5368031B"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 xml:space="preserve">The Accounting Officer was notified of the MI on 26 August 2021 and invited to make a written submission on the actions taken and that will be taken to address the matter. The response was received on the 23 September 2021. </w:t>
      </w:r>
    </w:p>
    <w:p w14:paraId="584C0EB4"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 xml:space="preserve">Even though the Accounting Officer disagreed with the finding and the MI, in their response they agreed that there was a subsequent deterioration of the boiler cover and corrosion of boiler components. As a result, the boilers were exposed to inevitable physical weather elements. Due to the disagreement the Accounting Officer did not implement any corrective actions. </w:t>
      </w:r>
    </w:p>
    <w:p w14:paraId="78DCFECE"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 xml:space="preserve">A new Accounting Officer was appointed in April 2022 and was informed of the MI. The Accounting Officer was afforded the opportunity to respond as to whether he will uphold the view </w:t>
      </w:r>
      <w:r w:rsidRPr="000365DB">
        <w:rPr>
          <w:rFonts w:cs="Arial"/>
          <w:szCs w:val="22"/>
        </w:rPr>
        <w:lastRenderedPageBreak/>
        <w:t xml:space="preserve">on the MI as their predecessor. The Accounting Officer confirmed that he support the view his predecessor. Based on the letter no actions were implemented by the trading entity to address the MI. </w:t>
      </w:r>
    </w:p>
    <w:p w14:paraId="512828DC"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 xml:space="preserve">I recommend that the Accounting Officer should take the following actions to address the material irregularity, which should be implemented by 31 January 2023: </w:t>
      </w:r>
    </w:p>
    <w:p w14:paraId="0CB45BDD" w14:textId="77777777" w:rsidR="006A5E85" w:rsidRPr="000365DB" w:rsidRDefault="006A5E85" w:rsidP="006A5E85">
      <w:pPr>
        <w:pStyle w:val="NumberedARs"/>
        <w:numPr>
          <w:ilvl w:val="0"/>
          <w:numId w:val="43"/>
        </w:numPr>
        <w:jc w:val="both"/>
        <w:rPr>
          <w:rFonts w:cs="Arial"/>
          <w:szCs w:val="22"/>
        </w:rPr>
      </w:pPr>
      <w:r w:rsidRPr="000365DB">
        <w:rPr>
          <w:rFonts w:cs="Arial"/>
          <w:szCs w:val="22"/>
        </w:rPr>
        <w:t xml:space="preserve">Appropriate action should be taken to investigate the non-compliance in order to determine if any official should be held responsible. </w:t>
      </w:r>
    </w:p>
    <w:p w14:paraId="7E34DBE3" w14:textId="77777777" w:rsidR="006A5E85" w:rsidRPr="000365DB" w:rsidRDefault="006A5E85" w:rsidP="006A5E85">
      <w:pPr>
        <w:pStyle w:val="NumberedARs"/>
        <w:numPr>
          <w:ilvl w:val="0"/>
          <w:numId w:val="43"/>
        </w:numPr>
        <w:jc w:val="both"/>
        <w:rPr>
          <w:rFonts w:cs="Arial"/>
          <w:szCs w:val="22"/>
        </w:rPr>
      </w:pPr>
      <w:r w:rsidRPr="000365DB">
        <w:rPr>
          <w:rFonts w:cs="Arial"/>
          <w:szCs w:val="22"/>
        </w:rPr>
        <w:t xml:space="preserve">The financial loss relating to the boilers should be quantified and appropriate action should be taken to determine whether the responsible official(s) is liable by law for the losses suffered by the department for the purpose of recovery, as required by treasury regulation 12.7.1. </w:t>
      </w:r>
    </w:p>
    <w:p w14:paraId="4CE492EB" w14:textId="77777777" w:rsidR="006A5E85" w:rsidRPr="000365DB" w:rsidRDefault="006A5E85" w:rsidP="006A5E85">
      <w:pPr>
        <w:pStyle w:val="NumberedARs"/>
        <w:numPr>
          <w:ilvl w:val="0"/>
          <w:numId w:val="43"/>
        </w:numPr>
        <w:jc w:val="both"/>
        <w:rPr>
          <w:rFonts w:cs="Arial"/>
          <w:szCs w:val="22"/>
        </w:rPr>
      </w:pPr>
      <w:r w:rsidRPr="000365DB">
        <w:rPr>
          <w:rFonts w:cs="Arial"/>
          <w:szCs w:val="22"/>
        </w:rPr>
        <w:t xml:space="preserve">Effective and appropriate disciplinary steps should be initiated, without undue delay, against any official that the investigation found to be responsible, as required by section 38(1)(h) of the PFMA. </w:t>
      </w:r>
    </w:p>
    <w:p w14:paraId="77E51A28" w14:textId="77777777" w:rsidR="006A5E85" w:rsidRPr="000365DB" w:rsidRDefault="006A5E85" w:rsidP="006A5E85">
      <w:pPr>
        <w:pStyle w:val="NumberedARs"/>
        <w:numPr>
          <w:ilvl w:val="0"/>
          <w:numId w:val="39"/>
        </w:numPr>
        <w:ind w:left="360"/>
        <w:jc w:val="both"/>
        <w:rPr>
          <w:rFonts w:cs="Arial"/>
          <w:szCs w:val="22"/>
        </w:rPr>
      </w:pPr>
      <w:r w:rsidRPr="000365DB">
        <w:rPr>
          <w:rFonts w:cs="Arial"/>
          <w:szCs w:val="22"/>
        </w:rPr>
        <w:t xml:space="preserve">Reasonable steps should be taken to ensure that preventative mechanisms are in place to eliminate further losses on account of inadequate safeguarding or other damage in relation to construction site assets as required by TR section 10.1.1(a). </w:t>
      </w:r>
    </w:p>
    <w:p w14:paraId="2B297A1A" w14:textId="5EDD3054" w:rsidR="006A5E85" w:rsidRDefault="006A5E85" w:rsidP="006A5E85">
      <w:pPr>
        <w:pStyle w:val="NumberedARs"/>
        <w:numPr>
          <w:ilvl w:val="0"/>
          <w:numId w:val="39"/>
        </w:numPr>
        <w:ind w:left="360"/>
        <w:jc w:val="both"/>
        <w:rPr>
          <w:rFonts w:cs="Arial"/>
          <w:szCs w:val="22"/>
        </w:rPr>
      </w:pPr>
      <w:r w:rsidRPr="000365DB">
        <w:rPr>
          <w:rFonts w:cs="Arial"/>
          <w:szCs w:val="22"/>
        </w:rPr>
        <w:t>I will follow up on the implementation of the recommendation after the due date.</w:t>
      </w:r>
    </w:p>
    <w:p w14:paraId="53325343" w14:textId="77777777" w:rsidR="000F7B5F" w:rsidRPr="00DC7915" w:rsidRDefault="000F7B5F" w:rsidP="000F7B5F">
      <w:pPr>
        <w:autoSpaceDE w:val="0"/>
        <w:autoSpaceDN w:val="0"/>
        <w:adjustRightInd w:val="0"/>
        <w:spacing w:after="200" w:line="276" w:lineRule="auto"/>
        <w:rPr>
          <w:rFonts w:eastAsia="Calibri" w:cs="Times New Roman"/>
          <w:b/>
          <w:bCs/>
          <w:color w:val="4F81BC"/>
          <w:sz w:val="23"/>
          <w:szCs w:val="23"/>
        </w:rPr>
      </w:pPr>
      <w:r w:rsidRPr="00DC7915">
        <w:rPr>
          <w:rFonts w:eastAsia="Calibri" w:cs="Times New Roman"/>
          <w:b/>
          <w:bCs/>
          <w:color w:val="4F81BC"/>
          <w:sz w:val="23"/>
          <w:szCs w:val="23"/>
        </w:rPr>
        <w:t>Lease No. 140280 Overpayment</w:t>
      </w:r>
    </w:p>
    <w:p w14:paraId="4CB10C9A" w14:textId="541819F4" w:rsidR="000F7B5F" w:rsidRPr="000F7B5F" w:rsidRDefault="000F7B5F" w:rsidP="000F7B5F">
      <w:pPr>
        <w:pStyle w:val="NumberedARs"/>
        <w:numPr>
          <w:ilvl w:val="0"/>
          <w:numId w:val="39"/>
        </w:numPr>
        <w:ind w:left="360"/>
        <w:jc w:val="both"/>
      </w:pPr>
      <w:r w:rsidRPr="000F7B5F">
        <w:t>Duplicate payments / overpayments mainly occurred between October 2017 and March 2019 and the cumulative overpayments over this period amounted to R9 325 082.75. Furthermore, the lease agreement was renewed with effect from 01 June 2019 while the old contract was still active (4 months before it expired) and this renewal resulted in a lesser monthly rental payment as compared to the previous lease contract. Management continued to make payments based on the old lease contract which resulted in additional overpayments made since the renewal period of 01 June 2019 up to the end of 31 March 2021 amounting to R1 636 993, 88.</w:t>
      </w:r>
    </w:p>
    <w:p w14:paraId="3F3D52ED" w14:textId="77777777" w:rsidR="000F7B5F" w:rsidRPr="00DC7915" w:rsidRDefault="000F7B5F" w:rsidP="000F7B5F">
      <w:pPr>
        <w:numPr>
          <w:ilvl w:val="0"/>
          <w:numId w:val="39"/>
        </w:numPr>
        <w:ind w:left="454" w:hanging="454"/>
        <w:jc w:val="both"/>
        <w:rPr>
          <w:szCs w:val="20"/>
          <w:lang w:eastAsia="ja-JP"/>
        </w:rPr>
      </w:pPr>
      <w:r w:rsidRPr="00DC7915">
        <w:rPr>
          <w:szCs w:val="20"/>
          <w:lang w:eastAsia="ja-JP"/>
        </w:rPr>
        <w:t xml:space="preserve">Effective internal controls were not in place for approval and processing of payments, as required by TR8.1.1 to ensure that correct rental payments for a lease agreement were made and to prevent the overpayments stated above. These controls would have provided management reasonable assurance that rental payments made were necessary for each month and appropriate. The PMTE was likely to incur a material financial loss of R10 962 076,63. </w:t>
      </w:r>
    </w:p>
    <w:p w14:paraId="2EA325EA" w14:textId="77777777" w:rsidR="000F7B5F" w:rsidRDefault="000F7B5F" w:rsidP="000F7B5F">
      <w:pPr>
        <w:numPr>
          <w:ilvl w:val="0"/>
          <w:numId w:val="39"/>
        </w:numPr>
        <w:ind w:left="454" w:hanging="454"/>
        <w:jc w:val="both"/>
        <w:rPr>
          <w:szCs w:val="20"/>
          <w:lang w:eastAsia="ja-JP"/>
        </w:rPr>
      </w:pPr>
      <w:r w:rsidRPr="00DC7915">
        <w:rPr>
          <w:szCs w:val="20"/>
          <w:lang w:eastAsia="ja-JP"/>
        </w:rPr>
        <w:t xml:space="preserve">The Accounting Officer was notified of the </w:t>
      </w:r>
      <w:r>
        <w:rPr>
          <w:szCs w:val="20"/>
          <w:lang w:eastAsia="ja-JP"/>
        </w:rPr>
        <w:t xml:space="preserve">material irregularity </w:t>
      </w:r>
      <w:r w:rsidRPr="00DC7915">
        <w:rPr>
          <w:szCs w:val="20"/>
          <w:lang w:eastAsia="ja-JP"/>
        </w:rPr>
        <w:t>on 27 August 2021 and</w:t>
      </w:r>
      <w:r>
        <w:rPr>
          <w:szCs w:val="20"/>
          <w:lang w:eastAsia="ja-JP"/>
        </w:rPr>
        <w:t xml:space="preserve"> the following have been taken to resolve the material irregularity:</w:t>
      </w:r>
    </w:p>
    <w:p w14:paraId="43F2575A" w14:textId="77777777" w:rsidR="000F7B5F" w:rsidRDefault="000F7B5F" w:rsidP="000F7B5F">
      <w:pPr>
        <w:pStyle w:val="NumberedARs"/>
        <w:numPr>
          <w:ilvl w:val="0"/>
          <w:numId w:val="44"/>
        </w:numPr>
      </w:pPr>
      <w:r w:rsidRPr="00DC7915">
        <w:t>Consequence management ha</w:t>
      </w:r>
      <w:r>
        <w:t>s</w:t>
      </w:r>
      <w:r w:rsidRPr="00DC7915">
        <w:t xml:space="preserve"> been </w:t>
      </w:r>
      <w:r>
        <w:t xml:space="preserve">implemented to the </w:t>
      </w:r>
      <w:r w:rsidRPr="00DC7915">
        <w:t xml:space="preserve">lease management team </w:t>
      </w:r>
      <w:r>
        <w:t>as they explained th</w:t>
      </w:r>
      <w:r w:rsidRPr="00DC7915">
        <w:t>e lack of oversight on lease</w:t>
      </w:r>
      <w:r>
        <w:t xml:space="preserve"> payments and a</w:t>
      </w:r>
      <w:r w:rsidRPr="00DC7915">
        <w:t xml:space="preserve"> final written warning was issued </w:t>
      </w:r>
      <w:r>
        <w:t xml:space="preserve">and accepted by </w:t>
      </w:r>
      <w:r w:rsidRPr="00DC7915">
        <w:t xml:space="preserve">the </w:t>
      </w:r>
      <w:r>
        <w:t xml:space="preserve">two responsible officials </w:t>
      </w:r>
      <w:r w:rsidRPr="00DC7915">
        <w:t>in January 2022</w:t>
      </w:r>
      <w:r>
        <w:t xml:space="preserve">. </w:t>
      </w:r>
    </w:p>
    <w:p w14:paraId="430DED43" w14:textId="77777777" w:rsidR="000F7B5F" w:rsidRPr="00535FEC" w:rsidRDefault="000F7B5F" w:rsidP="000F7B5F">
      <w:pPr>
        <w:pStyle w:val="NumberedARs"/>
        <w:numPr>
          <w:ilvl w:val="0"/>
          <w:numId w:val="44"/>
        </w:numPr>
      </w:pPr>
      <w:r>
        <w:lastRenderedPageBreak/>
        <w:t>As of</w:t>
      </w:r>
      <w:r w:rsidRPr="00535FEC">
        <w:t xml:space="preserve"> February 2022, </w:t>
      </w:r>
      <w:r>
        <w:t xml:space="preserve">management </w:t>
      </w:r>
      <w:r w:rsidRPr="00535FEC">
        <w:t>captured the lease details on the system correctly for this specific lease agreement</w:t>
      </w:r>
      <w:r>
        <w:t>,</w:t>
      </w:r>
      <w:r w:rsidRPr="00535FEC">
        <w:t xml:space="preserve"> and the lease is currently paid in accordance </w:t>
      </w:r>
      <w:r>
        <w:t>with</w:t>
      </w:r>
      <w:r w:rsidRPr="00535FEC">
        <w:t xml:space="preserve"> the valid lease agreement. </w:t>
      </w:r>
    </w:p>
    <w:p w14:paraId="08540DD1" w14:textId="77777777" w:rsidR="000F7B5F" w:rsidRPr="00DC7915" w:rsidRDefault="000F7B5F" w:rsidP="000F7B5F">
      <w:pPr>
        <w:pStyle w:val="NumberedARs"/>
        <w:numPr>
          <w:ilvl w:val="0"/>
          <w:numId w:val="44"/>
        </w:numPr>
      </w:pPr>
      <w:r>
        <w:t xml:space="preserve">Management </w:t>
      </w:r>
      <w:r w:rsidRPr="00DC7915">
        <w:t>implemented the use of credit notes to deduct any overpayments from future rentals</w:t>
      </w:r>
      <w:r>
        <w:t xml:space="preserve"> to recover the overpayments. As of June 2022, the amount of</w:t>
      </w:r>
      <w:r w:rsidRPr="00535FEC">
        <w:t xml:space="preserve"> </w:t>
      </w:r>
      <w:r>
        <w:t xml:space="preserve">R10 962 076,63 was fully recovered. </w:t>
      </w:r>
      <w:r w:rsidRPr="00535FEC">
        <w:t xml:space="preserve">No further overpayments have been identified since the correction.  </w:t>
      </w:r>
    </w:p>
    <w:p w14:paraId="1BA2C2AD" w14:textId="77777777" w:rsidR="000F7B5F" w:rsidRPr="00535FEC" w:rsidRDefault="000F7B5F" w:rsidP="000F7B5F">
      <w:pPr>
        <w:pStyle w:val="ListParagraph"/>
        <w:numPr>
          <w:ilvl w:val="0"/>
          <w:numId w:val="44"/>
        </w:numPr>
        <w:shd w:val="clear" w:color="auto" w:fill="FFFFFF"/>
        <w:autoSpaceDE w:val="0"/>
        <w:autoSpaceDN w:val="0"/>
        <w:adjustRightInd w:val="0"/>
        <w:spacing w:after="27" w:line="276" w:lineRule="auto"/>
        <w:contextualSpacing/>
        <w:jc w:val="both"/>
        <w:rPr>
          <w:rFonts w:eastAsia="Calibri" w:cs="Arial"/>
          <w:color w:val="000000"/>
        </w:rPr>
      </w:pPr>
      <w:r w:rsidRPr="00535FEC">
        <w:rPr>
          <w:szCs w:val="20"/>
          <w:lang w:eastAsia="ja-JP"/>
        </w:rPr>
        <w:t xml:space="preserve">The lease clean-up process was concluded in June 2022 by an external service provider, and as of </w:t>
      </w:r>
      <w:r w:rsidRPr="00535FEC">
        <w:t>March 2023</w:t>
      </w:r>
      <w:r w:rsidRPr="003275C6">
        <w:t>, management has implemented controls to detect any lease overpayments, however, concerns in the control</w:t>
      </w:r>
      <w:r w:rsidRPr="00535FEC">
        <w:t xml:space="preserve"> environment remain due to the fact that the controls are not effective in preventing overpayments</w:t>
      </w:r>
      <w:r>
        <w:t xml:space="preserve"> as similar instances were noted on other lease contracts.</w:t>
      </w:r>
    </w:p>
    <w:p w14:paraId="4E131FB8" w14:textId="77777777" w:rsidR="000F7B5F" w:rsidRPr="00535FEC" w:rsidRDefault="000F7B5F" w:rsidP="000F7B5F">
      <w:pPr>
        <w:shd w:val="clear" w:color="auto" w:fill="FFFFFF"/>
        <w:autoSpaceDE w:val="0"/>
        <w:autoSpaceDN w:val="0"/>
        <w:adjustRightInd w:val="0"/>
        <w:spacing w:before="120" w:after="27" w:line="276" w:lineRule="auto"/>
        <w:jc w:val="both"/>
        <w:rPr>
          <w:rFonts w:eastAsia="Calibri" w:cs="Arial"/>
          <w:color w:val="000000"/>
        </w:rPr>
      </w:pPr>
    </w:p>
    <w:p w14:paraId="4EB4AA83" w14:textId="77777777" w:rsidR="000F7B5F" w:rsidRPr="00941BB2" w:rsidRDefault="000F7B5F" w:rsidP="000F7B5F">
      <w:pPr>
        <w:numPr>
          <w:ilvl w:val="0"/>
          <w:numId w:val="39"/>
        </w:numPr>
        <w:ind w:left="454" w:hanging="454"/>
        <w:jc w:val="both"/>
        <w:rPr>
          <w:szCs w:val="20"/>
          <w:highlight w:val="yellow"/>
          <w:lang w:eastAsia="ja-JP"/>
        </w:rPr>
      </w:pPr>
      <w:bookmarkStart w:id="36" w:name="_Hlk108725109"/>
      <w:r w:rsidRPr="003275C6">
        <w:rPr>
          <w:szCs w:val="20"/>
          <w:lang w:eastAsia="ja-JP"/>
        </w:rPr>
        <w:t xml:space="preserve">I will </w:t>
      </w:r>
      <w:bookmarkEnd w:id="36"/>
      <w:r w:rsidRPr="003275C6">
        <w:t>follow</w:t>
      </w:r>
      <w:r w:rsidRPr="00830A15">
        <w:t xml:space="preserve"> up on the implementation of controls, during my next audit</w:t>
      </w:r>
    </w:p>
    <w:p w14:paraId="6C1E4F7B" w14:textId="77777777" w:rsidR="00577E47" w:rsidRDefault="00577E47" w:rsidP="000F7B5F">
      <w:pPr>
        <w:keepNext/>
        <w:spacing w:before="120" w:after="120" w:line="276" w:lineRule="auto"/>
        <w:jc w:val="both"/>
        <w:outlineLvl w:val="3"/>
        <w:rPr>
          <w:rFonts w:eastAsia="Calibri" w:cs="Arial"/>
          <w:b/>
          <w:color w:val="4F81BD"/>
        </w:rPr>
      </w:pPr>
    </w:p>
    <w:p w14:paraId="03FE472C" w14:textId="4017CCF3" w:rsidR="000F7B5F" w:rsidRPr="00400CDF" w:rsidRDefault="000F7B5F" w:rsidP="000F7B5F">
      <w:pPr>
        <w:keepNext/>
        <w:spacing w:before="120" w:after="120" w:line="276" w:lineRule="auto"/>
        <w:jc w:val="both"/>
        <w:outlineLvl w:val="3"/>
        <w:rPr>
          <w:rFonts w:eastAsia="Calibri" w:cs="Arial"/>
          <w:b/>
          <w:color w:val="4F81BD"/>
        </w:rPr>
      </w:pPr>
      <w:r w:rsidRPr="00400CDF">
        <w:rPr>
          <w:rFonts w:eastAsia="Calibri" w:cs="Arial"/>
          <w:b/>
          <w:color w:val="4F81BD"/>
        </w:rPr>
        <w:t>Lease no. 140227 Overpayment</w:t>
      </w:r>
    </w:p>
    <w:p w14:paraId="4CFD25D2" w14:textId="77777777" w:rsidR="000F7B5F" w:rsidRPr="0014262C" w:rsidRDefault="000F7B5F" w:rsidP="000F7B5F">
      <w:pPr>
        <w:numPr>
          <w:ilvl w:val="0"/>
          <w:numId w:val="39"/>
        </w:numPr>
        <w:ind w:left="454" w:hanging="454"/>
        <w:jc w:val="both"/>
        <w:rPr>
          <w:szCs w:val="20"/>
          <w:lang w:eastAsia="ja-JP"/>
        </w:rPr>
      </w:pPr>
      <w:r w:rsidRPr="0014262C">
        <w:rPr>
          <w:szCs w:val="20"/>
          <w:lang w:eastAsia="ja-JP"/>
        </w:rPr>
        <w:t xml:space="preserve">Upon the implementation of the Archibus leasing system in September 2019, </w:t>
      </w:r>
      <w:r w:rsidRPr="003275C6">
        <w:rPr>
          <w:szCs w:val="20"/>
          <w:lang w:eastAsia="ja-JP"/>
        </w:rPr>
        <w:t>management commenced consistently making overpayments to the landlord.</w:t>
      </w:r>
      <w:r w:rsidRPr="0014262C">
        <w:rPr>
          <w:szCs w:val="20"/>
          <w:lang w:eastAsia="ja-JP"/>
        </w:rPr>
        <w:t xml:space="preserve"> The overpayments amounting to R14 062 727 occurred from the implementation of Archibus leasi</w:t>
      </w:r>
      <w:r>
        <w:rPr>
          <w:szCs w:val="20"/>
          <w:lang w:eastAsia="ja-JP"/>
        </w:rPr>
        <w:t xml:space="preserve">ng system up to 31 March 2021. </w:t>
      </w:r>
      <w:r w:rsidRPr="0014262C">
        <w:rPr>
          <w:szCs w:val="20"/>
          <w:lang w:eastAsia="ja-JP"/>
        </w:rPr>
        <w:t>Alt</w:t>
      </w:r>
      <w:r>
        <w:rPr>
          <w:szCs w:val="20"/>
          <w:lang w:eastAsia="ja-JP"/>
        </w:rPr>
        <w:t>h</w:t>
      </w:r>
      <w:r w:rsidRPr="0014262C">
        <w:rPr>
          <w:szCs w:val="20"/>
          <w:lang w:eastAsia="ja-JP"/>
        </w:rPr>
        <w:t>ough some of the overpayments were rec</w:t>
      </w:r>
      <w:r>
        <w:rPr>
          <w:szCs w:val="20"/>
          <w:lang w:eastAsia="ja-JP"/>
        </w:rPr>
        <w:t xml:space="preserve">overed as at February 2022 the </w:t>
      </w:r>
      <w:r w:rsidRPr="0014262C">
        <w:rPr>
          <w:szCs w:val="20"/>
          <w:lang w:eastAsia="ja-JP"/>
        </w:rPr>
        <w:t>cumulative remaining not recovered overpayments amounted to R3 802 787.</w:t>
      </w:r>
    </w:p>
    <w:p w14:paraId="26A0C407" w14:textId="77777777" w:rsidR="000F7B5F" w:rsidRPr="0014262C" w:rsidRDefault="000F7B5F" w:rsidP="000F7B5F">
      <w:pPr>
        <w:numPr>
          <w:ilvl w:val="0"/>
          <w:numId w:val="39"/>
        </w:numPr>
        <w:ind w:left="454" w:hanging="454"/>
        <w:jc w:val="both"/>
        <w:rPr>
          <w:szCs w:val="20"/>
          <w:lang w:eastAsia="ja-JP"/>
        </w:rPr>
      </w:pPr>
      <w:r w:rsidRPr="0014262C">
        <w:rPr>
          <w:szCs w:val="20"/>
          <w:lang w:eastAsia="ja-JP"/>
        </w:rPr>
        <w:t>Effective internal contr</w:t>
      </w:r>
      <w:r>
        <w:rPr>
          <w:szCs w:val="20"/>
          <w:lang w:eastAsia="ja-JP"/>
        </w:rPr>
        <w:t>ols were not in place for appro</w:t>
      </w:r>
      <w:r w:rsidRPr="0014262C">
        <w:rPr>
          <w:szCs w:val="20"/>
          <w:lang w:eastAsia="ja-JP"/>
        </w:rPr>
        <w:t xml:space="preserve">val and processing of payments, as required by TR8.1.1 to ensure that correct rental payments for a lease agreement were made and to prevent the overpayments stated above. These controls would have provided management reasonable assurance that rental payments made were necessary for each month and appropriate. The </w:t>
      </w:r>
      <w:r w:rsidRPr="003275C6">
        <w:rPr>
          <w:szCs w:val="20"/>
          <w:lang w:eastAsia="ja-JP"/>
        </w:rPr>
        <w:t>trading entity</w:t>
      </w:r>
      <w:r w:rsidRPr="0014262C">
        <w:rPr>
          <w:szCs w:val="20"/>
          <w:lang w:eastAsia="ja-JP"/>
        </w:rPr>
        <w:t xml:space="preserve"> is likely to incur a material financial loss of R3 802 787. </w:t>
      </w:r>
    </w:p>
    <w:p w14:paraId="008D191D" w14:textId="77777777" w:rsidR="000F7B5F" w:rsidRPr="00535FEC" w:rsidRDefault="000F7B5F" w:rsidP="000F7B5F">
      <w:pPr>
        <w:numPr>
          <w:ilvl w:val="0"/>
          <w:numId w:val="39"/>
        </w:numPr>
        <w:ind w:left="454" w:hanging="454"/>
        <w:jc w:val="both"/>
        <w:rPr>
          <w:szCs w:val="20"/>
          <w:lang w:eastAsia="ja-JP"/>
        </w:rPr>
      </w:pPr>
      <w:r w:rsidRPr="00535FEC">
        <w:rPr>
          <w:szCs w:val="20"/>
          <w:lang w:eastAsia="ja-JP"/>
        </w:rPr>
        <w:t xml:space="preserve">The Accounting Officer was notified of the </w:t>
      </w:r>
      <w:r>
        <w:rPr>
          <w:szCs w:val="20"/>
          <w:lang w:eastAsia="ja-JP"/>
        </w:rPr>
        <w:t xml:space="preserve">material irregularity </w:t>
      </w:r>
      <w:r w:rsidRPr="00535FEC">
        <w:rPr>
          <w:szCs w:val="20"/>
          <w:lang w:eastAsia="ja-JP"/>
        </w:rPr>
        <w:t>on 03 June 2022 and the following</w:t>
      </w:r>
      <w:r>
        <w:rPr>
          <w:szCs w:val="20"/>
          <w:lang w:eastAsia="ja-JP"/>
        </w:rPr>
        <w:t xml:space="preserve"> </w:t>
      </w:r>
      <w:r w:rsidRPr="00830A15">
        <w:rPr>
          <w:szCs w:val="20"/>
          <w:lang w:eastAsia="ja-JP"/>
        </w:rPr>
        <w:t>steps</w:t>
      </w:r>
      <w:r w:rsidRPr="00535FEC">
        <w:rPr>
          <w:szCs w:val="20"/>
          <w:lang w:eastAsia="ja-JP"/>
        </w:rPr>
        <w:t xml:space="preserve"> have been taken to resolve the material irregularity: </w:t>
      </w:r>
    </w:p>
    <w:p w14:paraId="40091579" w14:textId="77777777" w:rsidR="000F7B5F" w:rsidRDefault="000F7B5F" w:rsidP="000F7B5F">
      <w:pPr>
        <w:pStyle w:val="NumberedARs"/>
        <w:numPr>
          <w:ilvl w:val="0"/>
          <w:numId w:val="44"/>
        </w:numPr>
      </w:pPr>
      <w:r w:rsidRPr="00DC7915">
        <w:t>Consequence management ha</w:t>
      </w:r>
      <w:r>
        <w:t>s</w:t>
      </w:r>
      <w:r w:rsidRPr="00DC7915">
        <w:t xml:space="preserve"> been </w:t>
      </w:r>
      <w:r>
        <w:t xml:space="preserve">implemented to the </w:t>
      </w:r>
      <w:r w:rsidRPr="00DC7915">
        <w:t xml:space="preserve">lease management team </w:t>
      </w:r>
      <w:r>
        <w:t>as they explained th</w:t>
      </w:r>
      <w:r w:rsidRPr="00DC7915">
        <w:t>e lack of oversight on lease</w:t>
      </w:r>
      <w:r>
        <w:t xml:space="preserve"> payments and a</w:t>
      </w:r>
      <w:r w:rsidRPr="00DC7915">
        <w:t xml:space="preserve"> </w:t>
      </w:r>
      <w:r>
        <w:t xml:space="preserve">verbal warning was </w:t>
      </w:r>
      <w:r w:rsidRPr="00DC7915">
        <w:t xml:space="preserve">issued </w:t>
      </w:r>
      <w:r>
        <w:t xml:space="preserve">and accepted by </w:t>
      </w:r>
      <w:r w:rsidRPr="00DC7915">
        <w:t>the</w:t>
      </w:r>
      <w:r>
        <w:t xml:space="preserve"> portfolio manager responsible in July 2021.</w:t>
      </w:r>
    </w:p>
    <w:p w14:paraId="378995AE" w14:textId="77777777" w:rsidR="000F7B5F" w:rsidRPr="00535FEC" w:rsidRDefault="000F7B5F" w:rsidP="000F7B5F">
      <w:pPr>
        <w:pStyle w:val="NumberedARs"/>
        <w:numPr>
          <w:ilvl w:val="0"/>
          <w:numId w:val="44"/>
        </w:numPr>
      </w:pPr>
      <w:r>
        <w:t>As of</w:t>
      </w:r>
      <w:r w:rsidRPr="00535FEC">
        <w:t xml:space="preserve"> </w:t>
      </w:r>
      <w:r>
        <w:t>July 2021</w:t>
      </w:r>
      <w:r w:rsidRPr="00535FEC">
        <w:t xml:space="preserve">, </w:t>
      </w:r>
      <w:r>
        <w:t xml:space="preserve">management </w:t>
      </w:r>
      <w:r w:rsidRPr="00535FEC">
        <w:t>captured the lease details on the system correctly for this specific lease agreement</w:t>
      </w:r>
      <w:r>
        <w:t>,</w:t>
      </w:r>
      <w:r w:rsidRPr="00535FEC">
        <w:t xml:space="preserve"> and the lease is currently paid in accordance </w:t>
      </w:r>
      <w:r>
        <w:t>with</w:t>
      </w:r>
      <w:r w:rsidRPr="00535FEC">
        <w:t xml:space="preserve"> the valid lease agreement. </w:t>
      </w:r>
    </w:p>
    <w:p w14:paraId="34400788" w14:textId="77777777" w:rsidR="000F7B5F" w:rsidRPr="00DC7915" w:rsidRDefault="000F7B5F" w:rsidP="000F7B5F">
      <w:pPr>
        <w:pStyle w:val="NumberedARs"/>
        <w:numPr>
          <w:ilvl w:val="0"/>
          <w:numId w:val="44"/>
        </w:numPr>
      </w:pPr>
      <w:r>
        <w:t xml:space="preserve">Management </w:t>
      </w:r>
      <w:r w:rsidRPr="00DC7915">
        <w:t>implemented the use of credit notes to deduct any overpayments from future rentals</w:t>
      </w:r>
      <w:r>
        <w:t xml:space="preserve"> to recover the overpayments. As of February 2023, the amount of</w:t>
      </w:r>
      <w:r w:rsidRPr="00535FEC">
        <w:t xml:space="preserve"> </w:t>
      </w:r>
      <w:r>
        <w:t xml:space="preserve">R3 802 787 was fully recovered. </w:t>
      </w:r>
      <w:r w:rsidRPr="00535FEC">
        <w:t xml:space="preserve">No further overpayments have been identified since the correction.  </w:t>
      </w:r>
    </w:p>
    <w:p w14:paraId="176DC5A6" w14:textId="77777777" w:rsidR="000F7B5F" w:rsidRPr="00535FEC" w:rsidRDefault="000F7B5F" w:rsidP="000F7B5F">
      <w:pPr>
        <w:pStyle w:val="NumberedARs"/>
        <w:numPr>
          <w:ilvl w:val="0"/>
          <w:numId w:val="44"/>
        </w:numPr>
        <w:rPr>
          <w:rFonts w:eastAsia="Calibri" w:cs="Arial"/>
          <w:color w:val="000000"/>
        </w:rPr>
      </w:pPr>
      <w:r w:rsidRPr="00535FEC">
        <w:lastRenderedPageBreak/>
        <w:t>The lease clean-up process was concluded in June 2022 by an external service provider, and as of March 2023</w:t>
      </w:r>
      <w:r w:rsidRPr="003275C6">
        <w:t>, management has implemented controls to detect any lease overpayments</w:t>
      </w:r>
      <w:r w:rsidRPr="00535FEC">
        <w:t xml:space="preserve">, </w:t>
      </w:r>
      <w:r>
        <w:t>h</w:t>
      </w:r>
      <w:r w:rsidRPr="00535FEC">
        <w:t>owever, concerns in the control environment remain due to the fact that the controls are not effective in preventing overpayments</w:t>
      </w:r>
      <w:r>
        <w:t xml:space="preserve"> as similar instances were noted on other lease contracts.</w:t>
      </w:r>
    </w:p>
    <w:p w14:paraId="69443197" w14:textId="77777777" w:rsidR="000F7B5F" w:rsidRPr="00535FEC" w:rsidRDefault="000F7B5F" w:rsidP="000F7B5F">
      <w:pPr>
        <w:shd w:val="clear" w:color="auto" w:fill="FFFFFF"/>
        <w:autoSpaceDE w:val="0"/>
        <w:autoSpaceDN w:val="0"/>
        <w:adjustRightInd w:val="0"/>
        <w:spacing w:before="120" w:after="27" w:line="276" w:lineRule="auto"/>
        <w:jc w:val="both"/>
        <w:rPr>
          <w:rFonts w:eastAsia="Calibri" w:cs="Arial"/>
          <w:color w:val="000000"/>
        </w:rPr>
      </w:pPr>
    </w:p>
    <w:p w14:paraId="782F6836" w14:textId="77777777" w:rsidR="000F7B5F" w:rsidRPr="00830A15" w:rsidRDefault="000F7B5F" w:rsidP="000F7B5F">
      <w:pPr>
        <w:pStyle w:val="NumberedARs"/>
        <w:numPr>
          <w:ilvl w:val="0"/>
          <w:numId w:val="39"/>
        </w:numPr>
      </w:pPr>
      <w:r w:rsidRPr="00830A15">
        <w:t>I will follow up on the implementation of controls, during my next audit.</w:t>
      </w:r>
    </w:p>
    <w:p w14:paraId="0568F161" w14:textId="61DC0D47" w:rsidR="006A5E85" w:rsidRDefault="006A5E85" w:rsidP="001C36C0">
      <w:pPr>
        <w:pStyle w:val="NumberedARs"/>
        <w:ind w:left="0" w:firstLine="0"/>
        <w:jc w:val="both"/>
      </w:pPr>
    </w:p>
    <w:p w14:paraId="51F656B3" w14:textId="7268FF2B" w:rsidR="00577E47" w:rsidRDefault="00577E47" w:rsidP="001C36C0">
      <w:pPr>
        <w:pStyle w:val="NumberedARs"/>
        <w:ind w:left="0" w:firstLine="0"/>
        <w:jc w:val="both"/>
      </w:pPr>
    </w:p>
    <w:p w14:paraId="41121546" w14:textId="77777777" w:rsidR="00577E47" w:rsidRPr="00F74376" w:rsidRDefault="00577E47" w:rsidP="001C36C0">
      <w:pPr>
        <w:pStyle w:val="NumberedARs"/>
        <w:ind w:left="0" w:firstLine="0"/>
        <w:jc w:val="both"/>
      </w:pPr>
    </w:p>
    <w:p w14:paraId="63A3B215" w14:textId="3D15158B" w:rsidR="0040253F" w:rsidRPr="00F74376" w:rsidRDefault="0040253F" w:rsidP="005420ED">
      <w:pPr>
        <w:pStyle w:val="Heading2"/>
      </w:pPr>
      <w:r w:rsidRPr="00F74376">
        <w:t>Other rep</w:t>
      </w:r>
      <w:bookmarkStart w:id="37" w:name="Back18"/>
      <w:bookmarkEnd w:id="37"/>
      <w:r w:rsidRPr="00F74376">
        <w:t>orts</w:t>
      </w:r>
    </w:p>
    <w:p w14:paraId="2ABDA4D9" w14:textId="3372064D" w:rsidR="00CB4D59" w:rsidRDefault="00406D93" w:rsidP="00902FA0">
      <w:pPr>
        <w:pStyle w:val="NumberedARs"/>
        <w:numPr>
          <w:ilvl w:val="0"/>
          <w:numId w:val="14"/>
        </w:numPr>
      </w:pPr>
      <w:r w:rsidRPr="00F74376">
        <w:t xml:space="preserve">In addition to the investigations relating to material irregularities, </w:t>
      </w:r>
      <w:r w:rsidR="00E82DFE" w:rsidRPr="00F74376">
        <w:t>I draw attention to the following engagements</w:t>
      </w:r>
      <w:r w:rsidR="00316029" w:rsidRPr="00F74376">
        <w:t xml:space="preserve"> conducted by various parties</w:t>
      </w:r>
      <w:r w:rsidR="00987E5C" w:rsidRPr="003A38A7" w:rsidDel="009C6D41">
        <w:t>. The</w:t>
      </w:r>
      <w:r w:rsidR="00DF5A3D" w:rsidRPr="003A38A7" w:rsidDel="009C6D41">
        <w:t>se</w:t>
      </w:r>
      <w:r w:rsidR="00DD5F3E" w:rsidRPr="003A38A7" w:rsidDel="009C6D41">
        <w:t xml:space="preserve"> reports d</w:t>
      </w:r>
      <w:r w:rsidR="00506355" w:rsidRPr="003A38A7" w:rsidDel="009C6D41">
        <w:t>id</w:t>
      </w:r>
      <w:r w:rsidR="00DD5F3E" w:rsidRPr="003A38A7" w:rsidDel="009C6D41">
        <w:t xml:space="preserve"> not form part of m</w:t>
      </w:r>
      <w:r w:rsidR="00E82DFE" w:rsidRPr="003A38A7" w:rsidDel="009C6D41">
        <w:t xml:space="preserve">y opinion </w:t>
      </w:r>
      <w:r w:rsidR="00DD5F3E" w:rsidRPr="003A38A7">
        <w:t xml:space="preserve">on </w:t>
      </w:r>
      <w:r w:rsidR="001B1885" w:rsidRPr="003A38A7">
        <w:t xml:space="preserve">the </w:t>
      </w:r>
      <w:r w:rsidR="001B1885">
        <w:t>financial</w:t>
      </w:r>
      <w:r w:rsidR="00DD5F3E" w:rsidRPr="003A38A7">
        <w:t xml:space="preserve"> statements or my findings on the reported</w:t>
      </w:r>
      <w:r w:rsidR="00DD5F3E" w:rsidRPr="00F74376">
        <w:t xml:space="preserve"> performance information or compliance with legislation.</w:t>
      </w:r>
    </w:p>
    <w:p w14:paraId="0050A2F4" w14:textId="38687F3B" w:rsidR="00902FA0" w:rsidRPr="00F74376" w:rsidRDefault="00902FA0" w:rsidP="00902FA0">
      <w:pPr>
        <w:pStyle w:val="NumberedARs"/>
        <w:numPr>
          <w:ilvl w:val="0"/>
          <w:numId w:val="14"/>
        </w:numPr>
        <w:jc w:val="both"/>
      </w:pPr>
      <w:r w:rsidRPr="00AF79F6">
        <w:t>Numerous allegations, mainly relating to alleged transgressions with regard to supply chain</w:t>
      </w:r>
      <w:r>
        <w:t xml:space="preserve"> </w:t>
      </w:r>
      <w:r w:rsidRPr="00AF79F6">
        <w:t>management, potential fraud and financial misconduct</w:t>
      </w:r>
      <w:r>
        <w:t>, irregularities on day to day maintenance and leases,</w:t>
      </w:r>
      <w:r w:rsidRPr="00AF79F6">
        <w:t xml:space="preserve"> are still being investigated on an ongoing</w:t>
      </w:r>
      <w:r>
        <w:t xml:space="preserve"> </w:t>
      </w:r>
      <w:r w:rsidRPr="00AF79F6">
        <w:t>basis by Special Investigation Unit. These investigation(s) were in progress at the date of this</w:t>
      </w:r>
      <w:r>
        <w:t xml:space="preserve"> </w:t>
      </w:r>
      <w:r w:rsidRPr="00AF79F6">
        <w:t>auditor’s report.</w:t>
      </w:r>
    </w:p>
    <w:p w14:paraId="4869DDB1" w14:textId="15067904" w:rsidR="00053999" w:rsidRPr="00F74376" w:rsidRDefault="00053999" w:rsidP="005420ED">
      <w:pPr>
        <w:rPr>
          <w:lang w:eastAsia="ja-JP"/>
        </w:rPr>
      </w:pPr>
    </w:p>
    <w:p w14:paraId="345D5CD4" w14:textId="77777777" w:rsidR="00676152" w:rsidRPr="00F74376" w:rsidRDefault="00676152" w:rsidP="005420ED">
      <w:pPr>
        <w:rPr>
          <w:lang w:eastAsia="ja-JP"/>
        </w:rPr>
      </w:pPr>
    </w:p>
    <w:p w14:paraId="7E21A02E" w14:textId="037032D9" w:rsidR="00053999" w:rsidRPr="00F74376" w:rsidRDefault="005C0ACB" w:rsidP="005420ED">
      <w:pPr>
        <w:rPr>
          <w:lang w:eastAsia="ja-JP"/>
        </w:rPr>
      </w:pPr>
      <w:r w:rsidRPr="00F74376" w:rsidDel="005C0ACB">
        <w:rPr>
          <w:lang w:eastAsia="ja-JP"/>
        </w:rPr>
        <w:t xml:space="preserve"> </w:t>
      </w:r>
      <w:bookmarkStart w:id="38" w:name="Back20"/>
      <w:bookmarkStart w:id="39" w:name="Back19"/>
      <w:bookmarkEnd w:id="38"/>
      <w:bookmarkEnd w:id="39"/>
      <w:r>
        <w:rPr>
          <w:lang w:eastAsia="ja-JP"/>
        </w:rPr>
        <w:t>Pretoria</w:t>
      </w:r>
    </w:p>
    <w:p w14:paraId="6B0B11CC" w14:textId="02E2EE1E" w:rsidR="00053999" w:rsidRPr="00F74376" w:rsidRDefault="005C0ACB" w:rsidP="005420ED">
      <w:pPr>
        <w:rPr>
          <w:lang w:eastAsia="ja-JP"/>
        </w:rPr>
      </w:pPr>
      <w:r>
        <w:rPr>
          <w:lang w:eastAsia="ja-JP"/>
        </w:rPr>
        <w:t>21 August 2023</w:t>
      </w:r>
    </w:p>
    <w:p w14:paraId="22B6C083" w14:textId="4CDAA783" w:rsidR="00053999" w:rsidRPr="00F74376" w:rsidRDefault="00053999" w:rsidP="005420ED">
      <w:r w:rsidRPr="00F74376">
        <w:rPr>
          <w:noProof/>
          <w:color w:val="2B579A"/>
          <w:shd w:val="clear" w:color="auto" w:fill="E6E6E6"/>
          <w:lang w:eastAsia="en-ZA"/>
        </w:rPr>
        <w:drawing>
          <wp:inline distT="0" distB="0" distL="0" distR="0" wp14:anchorId="34D138D7" wp14:editId="597E605A">
            <wp:extent cx="1945640" cy="13608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1945640" cy="1360805"/>
                    </a:xfrm>
                    <a:prstGeom prst="rect">
                      <a:avLst/>
                    </a:prstGeom>
                    <a:noFill/>
                    <a:ln w="9525">
                      <a:noFill/>
                      <a:miter lim="800000"/>
                      <a:headEnd/>
                      <a:tailEnd/>
                    </a:ln>
                  </pic:spPr>
                </pic:pic>
              </a:graphicData>
            </a:graphic>
          </wp:inline>
        </w:drawing>
      </w:r>
    </w:p>
    <w:p w14:paraId="58042FBD" w14:textId="77777777" w:rsidR="00693042" w:rsidRPr="00F74376" w:rsidRDefault="00693042" w:rsidP="008033E3">
      <w:pPr>
        <w:rPr>
          <w:rFonts w:cs="Arial"/>
          <w:b/>
        </w:rPr>
      </w:pPr>
      <w:r w:rsidRPr="00F74376">
        <w:rPr>
          <w:rFonts w:cs="Arial"/>
          <w:b/>
        </w:rPr>
        <w:br w:type="page"/>
      </w:r>
    </w:p>
    <w:p w14:paraId="7BA53FAB" w14:textId="2A4BDC60" w:rsidR="0027488A" w:rsidRPr="00F74376" w:rsidRDefault="00F63509" w:rsidP="0027488A">
      <w:pPr>
        <w:pStyle w:val="ARheading1"/>
        <w:rPr>
          <w:rStyle w:val="Hyperlink"/>
          <w:vertAlign w:val="superscript"/>
        </w:rPr>
      </w:pPr>
      <w:bookmarkStart w:id="40" w:name="Annexure"/>
      <w:bookmarkEnd w:id="40"/>
      <w:r w:rsidRPr="00F74376">
        <w:lastRenderedPageBreak/>
        <w:t xml:space="preserve">Annexure </w:t>
      </w:r>
      <w:r w:rsidR="0027488A" w:rsidRPr="00F74376">
        <w:t>to the auditor’s report</w:t>
      </w:r>
    </w:p>
    <w:p w14:paraId="0D887FA8" w14:textId="77777777" w:rsidR="0027488A" w:rsidRPr="00F74376" w:rsidRDefault="0027488A" w:rsidP="0027488A">
      <w:r w:rsidRPr="00F74376">
        <w:t>The annexure includes the following:</w:t>
      </w:r>
    </w:p>
    <w:p w14:paraId="4895FF50" w14:textId="3DA56081" w:rsidR="0027488A" w:rsidRPr="00F74376" w:rsidRDefault="0027488A" w:rsidP="008E6722">
      <w:pPr>
        <w:pStyle w:val="NumberedARs"/>
        <w:numPr>
          <w:ilvl w:val="0"/>
          <w:numId w:val="33"/>
        </w:numPr>
      </w:pPr>
      <w:r w:rsidRPr="00F74376">
        <w:t>the auditor-general’s responsibility for the audit</w:t>
      </w:r>
    </w:p>
    <w:p w14:paraId="3D706B24" w14:textId="1ED6E68F" w:rsidR="0027488A" w:rsidRPr="00F74376" w:rsidRDefault="0027488A" w:rsidP="008E6722">
      <w:pPr>
        <w:pStyle w:val="NumberedARs"/>
        <w:numPr>
          <w:ilvl w:val="0"/>
          <w:numId w:val="33"/>
        </w:numPr>
      </w:pPr>
      <w:r w:rsidRPr="00F74376">
        <w:t xml:space="preserve">the selected </w:t>
      </w:r>
      <w:r w:rsidR="00747C90" w:rsidRPr="00F74376">
        <w:t>legislative</w:t>
      </w:r>
      <w:r w:rsidRPr="00F74376">
        <w:t xml:space="preserve"> requirements for compliance testing</w:t>
      </w:r>
      <w:r w:rsidR="00D82587" w:rsidRPr="00F74376">
        <w:t>.</w:t>
      </w:r>
    </w:p>
    <w:p w14:paraId="1CCB1E12" w14:textId="60E4ED72" w:rsidR="0027488A" w:rsidRPr="00F74376" w:rsidRDefault="0027488A" w:rsidP="00676152">
      <w:pPr>
        <w:pStyle w:val="Heading3"/>
      </w:pPr>
      <w:r w:rsidRPr="00F74376">
        <w:t>Auditor-general’s responsibility for the audit</w:t>
      </w:r>
    </w:p>
    <w:p w14:paraId="49760F39" w14:textId="471598C2" w:rsidR="00747C90" w:rsidRPr="00F74376" w:rsidRDefault="00BB6539" w:rsidP="00747C90">
      <w:pPr>
        <w:pStyle w:val="Heading4"/>
      </w:pPr>
      <w:r w:rsidRPr="00F74376">
        <w:t>Professional judgement</w:t>
      </w:r>
      <w:r w:rsidR="00BA6699">
        <w:t xml:space="preserve"> and professional scepticism</w:t>
      </w:r>
    </w:p>
    <w:p w14:paraId="7DD9751D" w14:textId="785467BB" w:rsidR="00646E5C" w:rsidRPr="00F74376" w:rsidRDefault="00646E5C" w:rsidP="00C54697">
      <w:pPr>
        <w:pStyle w:val="NumberedARs"/>
        <w:ind w:left="0" w:firstLine="0"/>
      </w:pPr>
      <w:r w:rsidRPr="00F74376">
        <w:t>As part of an audit in accordance with</w:t>
      </w:r>
      <w:r w:rsidR="00344BD6" w:rsidRPr="00F74376">
        <w:t xml:space="preserve"> the</w:t>
      </w:r>
      <w:r w:rsidRPr="00F74376">
        <w:t xml:space="preserve"> ISAs, I exercise professional judgement and maintain professional scepticism throughout my audit of the financial statements and on the </w:t>
      </w:r>
      <w:r w:rsidR="003F705B">
        <w:t>trading entity</w:t>
      </w:r>
      <w:r w:rsidRPr="00F74376">
        <w:t>’s compliance with</w:t>
      </w:r>
      <w:r w:rsidR="5364821F" w:rsidRPr="00F74376">
        <w:t xml:space="preserve"> </w:t>
      </w:r>
      <w:r w:rsidR="5364821F" w:rsidRPr="00F74376">
        <w:rPr>
          <w:rFonts w:eastAsia="Arial" w:cs="Arial"/>
          <w:szCs w:val="22"/>
        </w:rPr>
        <w:t>selected requirements in key legislation</w:t>
      </w:r>
      <w:r w:rsidRPr="00F74376">
        <w:t>.</w:t>
      </w:r>
    </w:p>
    <w:p w14:paraId="1A6ED7F1" w14:textId="77777777" w:rsidR="00646E5C" w:rsidRPr="00F74376" w:rsidRDefault="00646E5C" w:rsidP="00747C90">
      <w:pPr>
        <w:pStyle w:val="Heading4"/>
      </w:pPr>
      <w:r w:rsidRPr="00F74376">
        <w:t>Financial statements</w:t>
      </w:r>
    </w:p>
    <w:p w14:paraId="295EFC83" w14:textId="3565EAE2" w:rsidR="00646E5C" w:rsidRPr="00F74376" w:rsidRDefault="00646E5C" w:rsidP="00D274A1">
      <w:pPr>
        <w:pStyle w:val="NumberedARs"/>
        <w:ind w:left="0" w:firstLine="0"/>
      </w:pPr>
      <w:r w:rsidRPr="00F74376">
        <w:t xml:space="preserve">In addition to my responsibility for the audit of the </w:t>
      </w:r>
      <w:r w:rsidR="000C415F" w:rsidRPr="00F74376">
        <w:t xml:space="preserve"> </w:t>
      </w:r>
      <w:r w:rsidRPr="00F74376">
        <w:t>financial statements as described in th</w:t>
      </w:r>
      <w:r w:rsidR="00E31854" w:rsidRPr="00F74376">
        <w:t>is</w:t>
      </w:r>
      <w:r w:rsidRPr="00F74376">
        <w:t xml:space="preserve"> auditor’s report, I also: </w:t>
      </w:r>
    </w:p>
    <w:p w14:paraId="3C09FDC4" w14:textId="0E86E35A" w:rsidR="00646E5C" w:rsidRPr="00F74376" w:rsidRDefault="003B1C16" w:rsidP="002A7CAE">
      <w:pPr>
        <w:pStyle w:val="ListParagraph"/>
        <w:ind w:left="284"/>
      </w:pPr>
      <w:r w:rsidRPr="00F74376">
        <w:t>i</w:t>
      </w:r>
      <w:r w:rsidR="00646E5C" w:rsidRPr="00F74376">
        <w:t>dentify and assess the risks of material misstatement of the financial statements</w:t>
      </w:r>
      <w:r w:rsidR="003F396C" w:rsidRPr="00F74376">
        <w:t>,</w:t>
      </w:r>
      <w:r w:rsidR="00646E5C" w:rsidRPr="00F74376">
        <w:t xml:space="preserve"> whether due to fraud or error</w:t>
      </w:r>
      <w:r w:rsidR="003F396C" w:rsidRPr="00F74376">
        <w:t>;</w:t>
      </w:r>
      <w:r w:rsidR="00646E5C" w:rsidRPr="00F74376">
        <w:t xml:space="preserve"> design and perform audit procedures responsive to those risks</w:t>
      </w:r>
      <w:r w:rsidR="003F396C" w:rsidRPr="00F74376">
        <w:t>;</w:t>
      </w:r>
      <w:r w:rsidR="00646E5C" w:rsidRPr="00F74376">
        <w:t xml:space="preserve"> and obtain audit evidence that is sufficient and appropriate to provide a basis for my opinion. The risk of not detecting a material misstatement resulting from fraud is higher than for one resulting from error, as fraud may involve collusion, forgery, intentional omissions, misrepresentations or the override of internal control</w:t>
      </w:r>
    </w:p>
    <w:p w14:paraId="66590950" w14:textId="67CCA5D2" w:rsidR="00646E5C" w:rsidRPr="00F74376" w:rsidRDefault="003B1C16" w:rsidP="002A7CAE">
      <w:pPr>
        <w:pStyle w:val="ListParagraph"/>
        <w:ind w:left="284"/>
      </w:pPr>
      <w:r w:rsidRPr="00F74376">
        <w:t>o</w:t>
      </w:r>
      <w:r w:rsidR="00646E5C" w:rsidRPr="00F74376">
        <w:t xml:space="preserve">btain an understanding of internal control relevant to the audit in order to design audit procedures that are appropriate in the circumstances, but not for the purpose of expressing an opinion on the effectiveness of the </w:t>
      </w:r>
      <w:r w:rsidR="003F705B">
        <w:t>trading entity</w:t>
      </w:r>
      <w:r w:rsidR="00646E5C" w:rsidRPr="00F74376">
        <w:t>’s internal control</w:t>
      </w:r>
    </w:p>
    <w:p w14:paraId="00C73C5A" w14:textId="0C741A05" w:rsidR="00646E5C" w:rsidRPr="00F74376" w:rsidRDefault="003B1C16" w:rsidP="002A7CAE">
      <w:pPr>
        <w:pStyle w:val="ListParagraph"/>
        <w:ind w:left="284"/>
      </w:pPr>
      <w:r w:rsidRPr="00F74376">
        <w:t>e</w:t>
      </w:r>
      <w:r w:rsidR="00646E5C" w:rsidRPr="00F74376">
        <w:t>valuate the appropriateness of accounting policies used and the reasonableness of accounting estimates and related disclosures made</w:t>
      </w:r>
    </w:p>
    <w:p w14:paraId="7662E697" w14:textId="0818B8A4" w:rsidR="00646E5C" w:rsidRPr="00F74376" w:rsidRDefault="003B1C16" w:rsidP="002A7CAE">
      <w:pPr>
        <w:pStyle w:val="ListParagraph"/>
        <w:ind w:left="284"/>
      </w:pPr>
      <w:r w:rsidRPr="00F74376">
        <w:t>c</w:t>
      </w:r>
      <w:r w:rsidR="00646E5C" w:rsidRPr="00F74376">
        <w:t>onclude on the appropriateness of the use of the going concern basis of accounting in the preparation of the</w:t>
      </w:r>
      <w:r w:rsidR="00476A4B">
        <w:t xml:space="preserve"> </w:t>
      </w:r>
      <w:r w:rsidR="00646E5C" w:rsidRPr="00F74376">
        <w:t>financial statements. I also conclude, based on the audit evidence obtained, whether a material uncertainty exists relat</w:t>
      </w:r>
      <w:r w:rsidR="003F396C" w:rsidRPr="00F74376">
        <w:t>ing</w:t>
      </w:r>
      <w:r w:rsidR="00646E5C" w:rsidRPr="00F74376">
        <w:t xml:space="preserve"> to events or conditions that may cast significant doubt on the</w:t>
      </w:r>
      <w:r w:rsidR="003F396C" w:rsidRPr="00F74376">
        <w:t xml:space="preserve"> ability of </w:t>
      </w:r>
      <w:r w:rsidR="003F705B">
        <w:t>trading entity</w:t>
      </w:r>
      <w:r w:rsidR="009A2314" w:rsidRPr="00F74376">
        <w:t xml:space="preserve"> </w:t>
      </w:r>
      <w:r w:rsidR="00646E5C" w:rsidRPr="00F74376">
        <w:t xml:space="preserve">to continue as a going concern. If I conclude that a material uncertainty exists, I am required to draw attention in my auditor’s report to the </w:t>
      </w:r>
      <w:r w:rsidR="00FD3573" w:rsidRPr="00F74376">
        <w:t xml:space="preserve">related </w:t>
      </w:r>
      <w:r w:rsidR="00646E5C" w:rsidRPr="00F74376">
        <w:t xml:space="preserve">disclosures in the financial statements about the material uncertainty or, if such disclosures are inadequate, to modify </w:t>
      </w:r>
      <w:r w:rsidR="003F396C" w:rsidRPr="00F74376">
        <w:t>my</w:t>
      </w:r>
      <w:r w:rsidR="00646E5C" w:rsidRPr="00F74376">
        <w:t xml:space="preserve"> opinion on the financial statements. My conclusions are based on the information available to me at the date of </w:t>
      </w:r>
      <w:r w:rsidR="00E31854" w:rsidRPr="00F74376">
        <w:t xml:space="preserve">this </w:t>
      </w:r>
      <w:r w:rsidR="00646E5C" w:rsidRPr="00F74376">
        <w:t xml:space="preserve">auditor’s report. However, future events or conditions may cause a </w:t>
      </w:r>
      <w:r w:rsidR="003F705B">
        <w:t xml:space="preserve">trading entity </w:t>
      </w:r>
      <w:r w:rsidR="00646E5C" w:rsidRPr="00F74376">
        <w:t xml:space="preserve">to cease </w:t>
      </w:r>
      <w:r w:rsidR="003F396C" w:rsidRPr="00F74376">
        <w:t>operating</w:t>
      </w:r>
      <w:r w:rsidR="00646E5C" w:rsidRPr="00F74376">
        <w:t xml:space="preserve"> as a going concern</w:t>
      </w:r>
    </w:p>
    <w:p w14:paraId="4B351AE7" w14:textId="71F4D4DC" w:rsidR="00646E5C" w:rsidRPr="00F74376" w:rsidRDefault="003C72BE" w:rsidP="002A7CAE">
      <w:pPr>
        <w:pStyle w:val="ListParagraph"/>
        <w:ind w:left="284"/>
      </w:pPr>
      <w:r w:rsidRPr="00F74376">
        <w:t>e</w:t>
      </w:r>
      <w:r w:rsidR="00646E5C" w:rsidRPr="00F74376">
        <w:t xml:space="preserve">valuate the overall presentation, structure and content of the financial statements, including the disclosures, and </w:t>
      </w:r>
      <w:r w:rsidR="003F396C" w:rsidRPr="00F74376">
        <w:t xml:space="preserve">determine </w:t>
      </w:r>
      <w:r w:rsidR="00646E5C" w:rsidRPr="00F74376">
        <w:t>whether the financial statements represent the underlying transactions and events in a manner that achieves fair presentation</w:t>
      </w:r>
      <w:r w:rsidR="006F637A">
        <w:t>.</w:t>
      </w:r>
    </w:p>
    <w:p w14:paraId="4F55F273" w14:textId="2E073201" w:rsidR="005273F4" w:rsidRPr="00F74376" w:rsidRDefault="005273F4" w:rsidP="00646574">
      <w:pPr>
        <w:pStyle w:val="ListParagraph"/>
        <w:numPr>
          <w:ilvl w:val="0"/>
          <w:numId w:val="0"/>
        </w:numPr>
        <w:ind w:left="284"/>
      </w:pPr>
      <w:bookmarkStart w:id="41" w:name="Deletegroups"/>
      <w:bookmarkEnd w:id="41"/>
    </w:p>
    <w:p w14:paraId="37834B83" w14:textId="1F6F081A" w:rsidR="00646E5C" w:rsidRPr="00F74376" w:rsidRDefault="00646E5C" w:rsidP="00747C90">
      <w:pPr>
        <w:pStyle w:val="Heading4"/>
      </w:pPr>
      <w:r w:rsidRPr="00F74376">
        <w:lastRenderedPageBreak/>
        <w:t>Communication with those charged with governance</w:t>
      </w:r>
    </w:p>
    <w:p w14:paraId="42F4B3E9" w14:textId="67C08144" w:rsidR="00646E5C" w:rsidRPr="00F74376" w:rsidRDefault="00646E5C" w:rsidP="00A0793C">
      <w:pPr>
        <w:pStyle w:val="NumberedARs"/>
        <w:ind w:left="0" w:firstLine="0"/>
      </w:pPr>
      <w:r w:rsidRPr="00F74376">
        <w:t>I communicate with</w:t>
      </w:r>
      <w:r w:rsidR="00A74780" w:rsidRPr="00F74376">
        <w:t xml:space="preserve"> the accounting officer</w:t>
      </w:r>
      <w:r w:rsidRPr="00F74376">
        <w:t xml:space="preserve"> regarding, among other matters, the planned scope and timing of the audit and significant audit findings, including any significant deficiencies in internal control that I identify during my audit. </w:t>
      </w:r>
    </w:p>
    <w:p w14:paraId="40A6CAE2" w14:textId="31FDA74B" w:rsidR="001D7675" w:rsidRPr="00F74376" w:rsidRDefault="00646E5C" w:rsidP="00A0793C">
      <w:pPr>
        <w:pStyle w:val="NumberedARs"/>
        <w:ind w:left="0" w:firstLine="0"/>
      </w:pPr>
      <w:r w:rsidRPr="00F74376">
        <w:t xml:space="preserve">I also </w:t>
      </w:r>
      <w:r w:rsidR="00900374" w:rsidRPr="00F74376">
        <w:t>provide</w:t>
      </w:r>
      <w:r w:rsidRPr="00F74376">
        <w:t xml:space="preserve"> </w:t>
      </w:r>
      <w:r w:rsidR="00A74780" w:rsidRPr="00F74376">
        <w:t>the accounting officer</w:t>
      </w:r>
      <w:r w:rsidRPr="00F74376">
        <w:t xml:space="preserve"> </w:t>
      </w:r>
      <w:r w:rsidR="00900374" w:rsidRPr="00F74376">
        <w:t xml:space="preserve">with a statement </w:t>
      </w:r>
      <w:r w:rsidRPr="00F74376">
        <w:t>that I have complied with relevant ethical requirements regarding independence</w:t>
      </w:r>
      <w:r w:rsidR="00BF5D82">
        <w:t xml:space="preserve"> and to</w:t>
      </w:r>
      <w:r w:rsidR="006829A2" w:rsidRPr="00F74376">
        <w:t xml:space="preserve"> </w:t>
      </w:r>
      <w:r w:rsidRPr="00F74376">
        <w:t>communicate</w:t>
      </w:r>
      <w:r w:rsidR="00237C01" w:rsidRPr="00F74376">
        <w:t xml:space="preserve"> </w:t>
      </w:r>
      <w:r w:rsidR="00C66E33">
        <w:t xml:space="preserve">with them </w:t>
      </w:r>
      <w:r w:rsidRPr="00F74376">
        <w:t xml:space="preserve">all relationships and other matters that may reasonably be thought to </w:t>
      </w:r>
      <w:r w:rsidR="00B64D11">
        <w:t>bear on</w:t>
      </w:r>
      <w:r w:rsidRPr="00F74376">
        <w:t xml:space="preserve"> my independence</w:t>
      </w:r>
      <w:r w:rsidR="00057ECA" w:rsidRPr="00F74376">
        <w:t xml:space="preserve"> and</w:t>
      </w:r>
      <w:r w:rsidR="0053480D" w:rsidRPr="00F74376">
        <w:t>,</w:t>
      </w:r>
      <w:r w:rsidR="00057ECA" w:rsidRPr="00F74376">
        <w:t xml:space="preserve"> </w:t>
      </w:r>
      <w:r w:rsidR="00110D39" w:rsidRPr="00F74376">
        <w:t>w</w:t>
      </w:r>
      <w:r w:rsidRPr="00F74376">
        <w:t xml:space="preserve">here applicable, </w:t>
      </w:r>
      <w:r w:rsidR="006D5CAE" w:rsidRPr="00F74376">
        <w:t>actions taken to eliminate threats or</w:t>
      </w:r>
      <w:r w:rsidRPr="00F74376">
        <w:t xml:space="preserve"> safeguards</w:t>
      </w:r>
      <w:r w:rsidR="00A442BF">
        <w:t xml:space="preserve"> applied</w:t>
      </w:r>
      <w:r w:rsidRPr="00F74376">
        <w:t xml:space="preserve">. </w:t>
      </w:r>
    </w:p>
    <w:p w14:paraId="513BC40B" w14:textId="6E3FDB2E" w:rsidR="00921897" w:rsidRPr="00F74376" w:rsidRDefault="00921897" w:rsidP="0027488A">
      <w:pPr>
        <w:pStyle w:val="Numbernormal"/>
        <w:numPr>
          <w:ilvl w:val="0"/>
          <w:numId w:val="0"/>
        </w:numPr>
        <w:spacing w:after="120"/>
      </w:pPr>
      <w:r w:rsidRPr="00F74376">
        <w:br w:type="page"/>
      </w:r>
    </w:p>
    <w:p w14:paraId="514F83C8" w14:textId="2960371F" w:rsidR="0027488A" w:rsidRPr="00F74376" w:rsidRDefault="0027488A" w:rsidP="0027488A">
      <w:pPr>
        <w:pStyle w:val="Numbernormal"/>
        <w:numPr>
          <w:ilvl w:val="0"/>
          <w:numId w:val="0"/>
        </w:numPr>
        <w:spacing w:after="120"/>
        <w:rPr>
          <w:b/>
          <w:bCs/>
          <w:color w:val="FF0000"/>
          <w:sz w:val="24"/>
          <w:szCs w:val="28"/>
        </w:rPr>
      </w:pPr>
      <w:r w:rsidRPr="00F74376">
        <w:rPr>
          <w:b/>
          <w:bCs/>
          <w:sz w:val="24"/>
          <w:szCs w:val="28"/>
        </w:rPr>
        <w:lastRenderedPageBreak/>
        <w:t>Compliance with legislation</w:t>
      </w:r>
      <w:r w:rsidR="00747C90" w:rsidRPr="00F74376">
        <w:rPr>
          <w:b/>
          <w:bCs/>
          <w:sz w:val="24"/>
          <w:szCs w:val="28"/>
        </w:rPr>
        <w:t xml:space="preserve"> – </w:t>
      </w:r>
      <w:r w:rsidRPr="00F74376">
        <w:rPr>
          <w:b/>
          <w:bCs/>
          <w:sz w:val="24"/>
          <w:szCs w:val="28"/>
        </w:rPr>
        <w:t>selected legislative requirements</w:t>
      </w:r>
    </w:p>
    <w:p w14:paraId="727F6E96" w14:textId="6B2F64AB" w:rsidR="0027488A" w:rsidRPr="00F74376" w:rsidRDefault="0027488A" w:rsidP="00D820D7">
      <w:pPr>
        <w:pStyle w:val="NumberedARs"/>
        <w:rPr>
          <w:lang w:eastAsia="en-GB"/>
        </w:rPr>
      </w:pPr>
      <w:r w:rsidRPr="00F74376">
        <w:t>The selected legislative requirements are as follows:</w:t>
      </w:r>
      <w:r w:rsidRPr="00F74376">
        <w:rPr>
          <w:rStyle w:val="EndnoteReference"/>
          <w:lang w:eastAsia="en-GB"/>
        </w:rPr>
        <w:t xml:space="preserve"> </w:t>
      </w:r>
    </w:p>
    <w:tbl>
      <w:tblPr>
        <w:tblW w:w="4853"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951"/>
      </w:tblGrid>
      <w:tr w:rsidR="001D1099" w:rsidRPr="00F74376" w14:paraId="3CB9B1DD" w14:textId="77777777" w:rsidTr="00053E50">
        <w:trPr>
          <w:trHeight w:val="621"/>
          <w:tblHeader/>
        </w:trPr>
        <w:tc>
          <w:tcPr>
            <w:tcW w:w="2351" w:type="pct"/>
            <w:shd w:val="clear" w:color="auto" w:fill="BFBFBF" w:themeFill="background1" w:themeFillShade="BF"/>
          </w:tcPr>
          <w:p w14:paraId="1DC27604" w14:textId="77777777" w:rsidR="0027488A" w:rsidRPr="00F74376" w:rsidRDefault="0027488A" w:rsidP="00053E50">
            <w:pPr>
              <w:pStyle w:val="Tableheading"/>
              <w:rPr>
                <w:rFonts w:asciiTheme="minorHAnsi" w:hAnsiTheme="minorHAnsi" w:cstheme="minorHAnsi"/>
                <w:szCs w:val="20"/>
                <w:lang w:eastAsia="en-GB"/>
              </w:rPr>
            </w:pPr>
            <w:r w:rsidRPr="00F74376">
              <w:rPr>
                <w:rFonts w:asciiTheme="minorHAnsi" w:hAnsiTheme="minorHAnsi" w:cstheme="minorHAnsi"/>
                <w:szCs w:val="20"/>
                <w:lang w:eastAsia="en-GB"/>
              </w:rPr>
              <w:t>Legislation</w:t>
            </w:r>
          </w:p>
        </w:tc>
        <w:tc>
          <w:tcPr>
            <w:tcW w:w="2649" w:type="pct"/>
            <w:shd w:val="clear" w:color="auto" w:fill="BFBFBF" w:themeFill="background1" w:themeFillShade="BF"/>
          </w:tcPr>
          <w:p w14:paraId="4836454E" w14:textId="77777777" w:rsidR="0027488A" w:rsidRPr="00F74376" w:rsidRDefault="0027488A" w:rsidP="00053E50">
            <w:pPr>
              <w:pStyle w:val="Tableheading"/>
              <w:rPr>
                <w:rFonts w:asciiTheme="minorHAnsi" w:hAnsiTheme="minorHAnsi" w:cstheme="minorHAnsi"/>
                <w:szCs w:val="20"/>
                <w:lang w:eastAsia="en-GB"/>
              </w:rPr>
            </w:pPr>
            <w:r w:rsidRPr="00F74376">
              <w:rPr>
                <w:rFonts w:asciiTheme="minorHAnsi" w:hAnsiTheme="minorHAnsi" w:cstheme="minorHAnsi"/>
                <w:szCs w:val="20"/>
                <w:lang w:eastAsia="en-GB"/>
              </w:rPr>
              <w:t>Sections or regulations</w:t>
            </w:r>
          </w:p>
        </w:tc>
      </w:tr>
      <w:tr w:rsidR="00D204B2" w:rsidRPr="00F74376" w14:paraId="28374FAE" w14:textId="77777777" w:rsidTr="00053E50">
        <w:trPr>
          <w:trHeight w:val="534"/>
        </w:trPr>
        <w:tc>
          <w:tcPr>
            <w:tcW w:w="2351" w:type="pct"/>
            <w:shd w:val="clear" w:color="auto" w:fill="auto"/>
          </w:tcPr>
          <w:p w14:paraId="23DE49A0" w14:textId="7ACC8831" w:rsidR="0027488A" w:rsidRPr="00075C6B" w:rsidRDefault="003848CB" w:rsidP="003848CB">
            <w:pPr>
              <w:pStyle w:val="Tabletext"/>
              <w:spacing w:before="0"/>
              <w:rPr>
                <w:rFonts w:cs="Arial"/>
                <w:sz w:val="18"/>
                <w:szCs w:val="18"/>
                <w:lang w:eastAsia="en-GB"/>
              </w:rPr>
            </w:pPr>
            <w:r w:rsidRPr="00075C6B">
              <w:rPr>
                <w:rFonts w:cs="Arial"/>
                <w:sz w:val="18"/>
                <w:szCs w:val="18"/>
                <w:lang w:eastAsia="en-GB"/>
              </w:rPr>
              <w:t>Public Finance Management Act No.1 of 1999 (PFMA)</w:t>
            </w:r>
          </w:p>
        </w:tc>
        <w:tc>
          <w:tcPr>
            <w:tcW w:w="2649" w:type="pct"/>
            <w:shd w:val="clear" w:color="auto" w:fill="auto"/>
          </w:tcPr>
          <w:p w14:paraId="4F29A486"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 xml:space="preserve">Section 38(1)(a)(iv); 38(1)(b); 38(1)(c); 38(1)(c)(i); 38(1)(c)(ii); 38(1)(d); 38(1)(h)(iii); </w:t>
            </w:r>
          </w:p>
          <w:p w14:paraId="0B9988D1"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 xml:space="preserve">Section 39(1)(a); 39(2)(a); </w:t>
            </w:r>
          </w:p>
          <w:p w14:paraId="1C226F21"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 xml:space="preserve">Section 40(1)(a); 40(1)(b); 40(1)(c)(i) </w:t>
            </w:r>
          </w:p>
          <w:p w14:paraId="700DF71D"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 xml:space="preserve">Section 43(4); 44; 44 (1) and (2) ; 45(b); </w:t>
            </w:r>
          </w:p>
          <w:p w14:paraId="21BB3EE4" w14:textId="0092E9D8" w:rsidR="0027488A" w:rsidRPr="00075C6B" w:rsidRDefault="003848CB" w:rsidP="003848CB">
            <w:pPr>
              <w:pStyle w:val="Tabletext"/>
              <w:spacing w:before="0"/>
              <w:rPr>
                <w:rFonts w:cs="Arial"/>
                <w:sz w:val="18"/>
                <w:szCs w:val="18"/>
                <w:lang w:eastAsia="en-GB"/>
              </w:rPr>
            </w:pPr>
            <w:r w:rsidRPr="00075C6B">
              <w:rPr>
                <w:rFonts w:cs="Arial"/>
                <w:sz w:val="18"/>
                <w:szCs w:val="18"/>
                <w:lang w:eastAsia="en-GB"/>
              </w:rPr>
              <w:t>Section  50(3); 50(3)(a)</w:t>
            </w:r>
          </w:p>
        </w:tc>
      </w:tr>
      <w:tr w:rsidR="00D204B2" w:rsidRPr="00F74376" w14:paraId="67ACF596" w14:textId="77777777" w:rsidTr="00053E50">
        <w:tc>
          <w:tcPr>
            <w:tcW w:w="2351" w:type="pct"/>
            <w:shd w:val="clear" w:color="auto" w:fill="auto"/>
          </w:tcPr>
          <w:p w14:paraId="6E2CCFDB" w14:textId="506A8951" w:rsidR="0027488A" w:rsidRPr="00075C6B" w:rsidRDefault="003848CB" w:rsidP="00053E50">
            <w:pPr>
              <w:spacing w:after="120" w:line="240" w:lineRule="auto"/>
              <w:rPr>
                <w:rFonts w:cs="Arial"/>
                <w:sz w:val="18"/>
                <w:szCs w:val="18"/>
                <w:lang w:eastAsia="en-GB"/>
              </w:rPr>
            </w:pPr>
            <w:r w:rsidRPr="00075C6B">
              <w:rPr>
                <w:rFonts w:cs="Arial"/>
                <w:sz w:val="18"/>
                <w:szCs w:val="18"/>
                <w:lang w:eastAsia="en-GB"/>
              </w:rPr>
              <w:t>Treasury Regulations for departments, trading entities, constitutional institutions and public entities (TR)</w:t>
            </w:r>
          </w:p>
        </w:tc>
        <w:tc>
          <w:tcPr>
            <w:tcW w:w="2649" w:type="pct"/>
            <w:shd w:val="clear" w:color="auto" w:fill="auto"/>
          </w:tcPr>
          <w:p w14:paraId="6631DAAB"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4.1.1; 4.1.3</w:t>
            </w:r>
          </w:p>
          <w:p w14:paraId="219EC537"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 xml:space="preserve">Treasury Regulation 5.1.1; 5.2.1; 5.2.3(a); 5.2.3(d); 5.3.1 </w:t>
            </w:r>
          </w:p>
          <w:p w14:paraId="63008274"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7.2.1</w:t>
            </w:r>
          </w:p>
          <w:p w14:paraId="2599942D"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8.1.1; 8.2.1; 8.2.2; 8.2.3; 8.4.1</w:t>
            </w:r>
          </w:p>
          <w:p w14:paraId="0FD65BBE"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9.1.1; 9.1.4</w:t>
            </w:r>
          </w:p>
          <w:p w14:paraId="2D8A2FE3"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10.1.1(a); 10.1.2</w:t>
            </w:r>
          </w:p>
          <w:p w14:paraId="295BE338"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11.4.1; 11.4.2; 11.5.1</w:t>
            </w:r>
          </w:p>
          <w:p w14:paraId="4528A752"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12.5.1</w:t>
            </w:r>
          </w:p>
          <w:p w14:paraId="43A7D5AC"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15.10.1.2(c')</w:t>
            </w:r>
          </w:p>
          <w:p w14:paraId="18BCFC02"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16A 3.1; 16A 3.2; 16A 3.2(a); 16A 6.1; 16A6.2(a) &amp; (b) &amp; (e); 16A 6.3(a) &amp; (d); 16A 6.3(a)(i); 16A 6.3(b); 16A 6.3(c); 16A 6.3(e); 16A 6.4; 16A 6.5; 16A 6.6; 16A 8.3;  16A8.2 (1) and (2); 16A 8.3(d); 16A 8.4; 16A 9; 16A 9.1;</w:t>
            </w:r>
          </w:p>
          <w:p w14:paraId="251C8802"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 xml:space="preserve"> 16A9.1(c); 16A9.1(b)(ii); 16A 9.1(d); 16A 9.1(e); 16A9.1(f); 16A 9.2(a)(ii) &amp;(iii)</w:t>
            </w:r>
          </w:p>
          <w:p w14:paraId="529A7FCE"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17.1.1</w:t>
            </w:r>
          </w:p>
          <w:p w14:paraId="0C25DBD4"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18.2</w:t>
            </w:r>
          </w:p>
          <w:p w14:paraId="236F0D43"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Treasury Regulation 19.6.1</w:t>
            </w:r>
          </w:p>
          <w:p w14:paraId="482EE9DD" w14:textId="765C947C" w:rsidR="0027488A" w:rsidRPr="00075C6B" w:rsidRDefault="003848CB" w:rsidP="003848CB">
            <w:pPr>
              <w:pStyle w:val="Tabletext"/>
              <w:spacing w:before="0"/>
              <w:rPr>
                <w:rFonts w:cs="Arial"/>
                <w:sz w:val="18"/>
                <w:szCs w:val="18"/>
                <w:lang w:eastAsia="en-GB"/>
              </w:rPr>
            </w:pPr>
            <w:r w:rsidRPr="00075C6B">
              <w:rPr>
                <w:rFonts w:cs="Arial"/>
                <w:sz w:val="18"/>
                <w:szCs w:val="18"/>
                <w:lang w:eastAsia="en-GB"/>
              </w:rPr>
              <w:t>Treasury Regulation 19.8.4</w:t>
            </w:r>
          </w:p>
        </w:tc>
      </w:tr>
      <w:tr w:rsidR="00D204B2" w:rsidRPr="00F74376" w14:paraId="6E90C32D" w14:textId="77777777" w:rsidTr="00053E50">
        <w:trPr>
          <w:trHeight w:val="337"/>
        </w:trPr>
        <w:tc>
          <w:tcPr>
            <w:tcW w:w="2351" w:type="pct"/>
            <w:shd w:val="clear" w:color="auto" w:fill="auto"/>
          </w:tcPr>
          <w:p w14:paraId="7101C23B" w14:textId="300D8FDA" w:rsidR="0027488A" w:rsidRPr="00075C6B" w:rsidRDefault="003848CB"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Public service regulation</w:t>
            </w:r>
          </w:p>
        </w:tc>
        <w:tc>
          <w:tcPr>
            <w:tcW w:w="2649" w:type="pct"/>
            <w:shd w:val="clear" w:color="auto" w:fill="auto"/>
          </w:tcPr>
          <w:p w14:paraId="6B85329D" w14:textId="25F7CE1E" w:rsidR="0027488A" w:rsidRPr="00075C6B" w:rsidRDefault="003848CB" w:rsidP="00053E50">
            <w:pPr>
              <w:pStyle w:val="Tabletext"/>
              <w:spacing w:before="0"/>
              <w:rPr>
                <w:rFonts w:cs="Arial"/>
                <w:sz w:val="18"/>
                <w:szCs w:val="18"/>
                <w:lang w:eastAsia="en-GB"/>
              </w:rPr>
            </w:pPr>
            <w:r w:rsidRPr="00075C6B">
              <w:rPr>
                <w:rFonts w:cs="Arial"/>
                <w:sz w:val="18"/>
                <w:szCs w:val="18"/>
                <w:lang w:eastAsia="en-GB"/>
              </w:rPr>
              <w:t>Public service regulation 13(c );18; 18 (1) and (2);</w:t>
            </w:r>
          </w:p>
        </w:tc>
      </w:tr>
      <w:tr w:rsidR="00D204B2" w:rsidRPr="00F74376" w14:paraId="7D5727C5" w14:textId="77777777" w:rsidTr="00053E50">
        <w:trPr>
          <w:trHeight w:val="337"/>
        </w:trPr>
        <w:tc>
          <w:tcPr>
            <w:tcW w:w="2351" w:type="pct"/>
            <w:shd w:val="clear" w:color="auto" w:fill="auto"/>
          </w:tcPr>
          <w:p w14:paraId="70879E10" w14:textId="0202D527" w:rsidR="0027488A" w:rsidRPr="00075C6B" w:rsidRDefault="003848CB"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Prevention and Combating of Corrupt Activities Act No.12 of 2004 (PRECCA)</w:t>
            </w:r>
          </w:p>
        </w:tc>
        <w:tc>
          <w:tcPr>
            <w:tcW w:w="2649" w:type="pct"/>
            <w:shd w:val="clear" w:color="auto" w:fill="auto"/>
          </w:tcPr>
          <w:p w14:paraId="1DC7C1AD" w14:textId="2EBE919C" w:rsidR="0027488A" w:rsidRPr="00075C6B" w:rsidRDefault="003848CB" w:rsidP="00053E50">
            <w:pPr>
              <w:pStyle w:val="Tabletext"/>
              <w:spacing w:before="0"/>
              <w:rPr>
                <w:rFonts w:cs="Arial"/>
                <w:sz w:val="18"/>
                <w:szCs w:val="18"/>
                <w:lang w:eastAsia="en-GB"/>
              </w:rPr>
            </w:pPr>
            <w:r w:rsidRPr="00075C6B">
              <w:rPr>
                <w:rFonts w:cs="Arial"/>
                <w:sz w:val="18"/>
                <w:szCs w:val="18"/>
                <w:lang w:eastAsia="en-GB"/>
              </w:rPr>
              <w:t>Section 34(1) &amp; section 29</w:t>
            </w:r>
          </w:p>
        </w:tc>
      </w:tr>
      <w:tr w:rsidR="00D204B2" w:rsidRPr="00F74376" w14:paraId="5CC65261" w14:textId="77777777" w:rsidTr="00053E50">
        <w:trPr>
          <w:trHeight w:val="337"/>
        </w:trPr>
        <w:tc>
          <w:tcPr>
            <w:tcW w:w="2351" w:type="pct"/>
            <w:shd w:val="clear" w:color="auto" w:fill="auto"/>
          </w:tcPr>
          <w:p w14:paraId="125C7AFA" w14:textId="0365FBD9" w:rsidR="0027488A" w:rsidRPr="00075C6B" w:rsidRDefault="003848CB"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Construction Industry Development Board Act No.38 of 2000 (CIDB)</w:t>
            </w:r>
          </w:p>
        </w:tc>
        <w:tc>
          <w:tcPr>
            <w:tcW w:w="2649" w:type="pct"/>
            <w:shd w:val="clear" w:color="auto" w:fill="auto"/>
          </w:tcPr>
          <w:p w14:paraId="00E68597" w14:textId="1FB2F28D" w:rsidR="0027488A" w:rsidRPr="00075C6B" w:rsidRDefault="003848CB" w:rsidP="00053E50">
            <w:pPr>
              <w:pStyle w:val="Tabletext"/>
              <w:spacing w:before="0"/>
              <w:rPr>
                <w:rFonts w:cs="Arial"/>
                <w:sz w:val="18"/>
                <w:szCs w:val="18"/>
                <w:lang w:eastAsia="en-GB"/>
              </w:rPr>
            </w:pPr>
            <w:r w:rsidRPr="00075C6B">
              <w:rPr>
                <w:rFonts w:cs="Arial"/>
                <w:sz w:val="18"/>
                <w:szCs w:val="18"/>
                <w:lang w:eastAsia="en-GB"/>
              </w:rPr>
              <w:t>Section 18(1)</w:t>
            </w:r>
          </w:p>
        </w:tc>
      </w:tr>
      <w:tr w:rsidR="00D204B2" w:rsidRPr="00F74376" w14:paraId="083C8264" w14:textId="77777777" w:rsidTr="00053E50">
        <w:trPr>
          <w:trHeight w:val="337"/>
        </w:trPr>
        <w:tc>
          <w:tcPr>
            <w:tcW w:w="2351" w:type="pct"/>
            <w:shd w:val="clear" w:color="auto" w:fill="auto"/>
          </w:tcPr>
          <w:p w14:paraId="575F8AFD" w14:textId="0BF62518" w:rsidR="0027488A" w:rsidRPr="00075C6B" w:rsidRDefault="003848CB"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CIDB Regulations</w:t>
            </w:r>
          </w:p>
        </w:tc>
        <w:tc>
          <w:tcPr>
            <w:tcW w:w="2649" w:type="pct"/>
            <w:shd w:val="clear" w:color="auto" w:fill="auto"/>
          </w:tcPr>
          <w:p w14:paraId="0763EDBC" w14:textId="0268779B" w:rsidR="0027488A" w:rsidRPr="00075C6B" w:rsidRDefault="003848CB" w:rsidP="00053E50">
            <w:pPr>
              <w:pStyle w:val="Tabletext"/>
              <w:spacing w:before="0"/>
              <w:rPr>
                <w:rFonts w:cs="Arial"/>
                <w:sz w:val="18"/>
                <w:szCs w:val="18"/>
                <w:lang w:eastAsia="en-GB"/>
              </w:rPr>
            </w:pPr>
            <w:r w:rsidRPr="00075C6B">
              <w:rPr>
                <w:rFonts w:cs="Arial"/>
                <w:sz w:val="18"/>
                <w:szCs w:val="18"/>
                <w:lang w:eastAsia="en-GB"/>
              </w:rPr>
              <w:t>CIDB regulation 17; 25(1); 25 (5) &amp; 25(7A)</w:t>
            </w:r>
          </w:p>
        </w:tc>
      </w:tr>
      <w:tr w:rsidR="00D204B2" w:rsidRPr="00F74376" w14:paraId="46C24A87" w14:textId="77777777" w:rsidTr="00053E50">
        <w:trPr>
          <w:trHeight w:val="337"/>
        </w:trPr>
        <w:tc>
          <w:tcPr>
            <w:tcW w:w="2351" w:type="pct"/>
            <w:shd w:val="clear" w:color="auto" w:fill="auto"/>
          </w:tcPr>
          <w:p w14:paraId="6E6C4E0B" w14:textId="2FFC96DD" w:rsidR="0027488A" w:rsidRPr="00075C6B" w:rsidRDefault="003848CB"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PPPFA</w:t>
            </w:r>
          </w:p>
        </w:tc>
        <w:tc>
          <w:tcPr>
            <w:tcW w:w="2649" w:type="pct"/>
            <w:shd w:val="clear" w:color="auto" w:fill="auto"/>
          </w:tcPr>
          <w:p w14:paraId="4BFAE100" w14:textId="1F1E330A" w:rsidR="0027488A" w:rsidRPr="00075C6B" w:rsidRDefault="003848CB" w:rsidP="00053E50">
            <w:pPr>
              <w:pStyle w:val="Tabletext"/>
              <w:spacing w:before="0"/>
              <w:rPr>
                <w:rFonts w:cs="Arial"/>
                <w:sz w:val="18"/>
                <w:szCs w:val="18"/>
                <w:lang w:eastAsia="en-GB"/>
              </w:rPr>
            </w:pPr>
            <w:r w:rsidRPr="00075C6B">
              <w:rPr>
                <w:rFonts w:cs="Arial"/>
                <w:sz w:val="18"/>
                <w:szCs w:val="18"/>
                <w:lang w:eastAsia="en-GB"/>
              </w:rPr>
              <w:t>Section 1(i); 2.1(a); 2.1(b); 2.1(f)</w:t>
            </w:r>
          </w:p>
        </w:tc>
      </w:tr>
      <w:tr w:rsidR="00D204B2" w:rsidRPr="00F74376" w14:paraId="1FC5C1CF" w14:textId="77777777" w:rsidTr="00053E50">
        <w:trPr>
          <w:trHeight w:val="337"/>
        </w:trPr>
        <w:tc>
          <w:tcPr>
            <w:tcW w:w="2351" w:type="pct"/>
            <w:shd w:val="clear" w:color="auto" w:fill="auto"/>
          </w:tcPr>
          <w:p w14:paraId="154B119C" w14:textId="22F2F70F" w:rsidR="0027488A" w:rsidRPr="00075C6B" w:rsidRDefault="003848CB"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PPR 2017</w:t>
            </w:r>
          </w:p>
        </w:tc>
        <w:tc>
          <w:tcPr>
            <w:tcW w:w="2649" w:type="pct"/>
            <w:shd w:val="clear" w:color="auto" w:fill="auto"/>
          </w:tcPr>
          <w:p w14:paraId="0C8C523F"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Paragraph 4.1; 4.2</w:t>
            </w:r>
          </w:p>
          <w:p w14:paraId="7E3BEAFD"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Paragraph 5.1; 5.3; 5.6; 5.7</w:t>
            </w:r>
          </w:p>
          <w:p w14:paraId="5BB2DD46"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Paragraph 6.1; 6.2; 6.3; 6.5; 6.6; 6.8</w:t>
            </w:r>
          </w:p>
          <w:p w14:paraId="77DFBFE3"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Paragraph 7.1; 7.2; 7.3; 7.5; 7.6; 7.8</w:t>
            </w:r>
          </w:p>
          <w:p w14:paraId="5DD15229"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Paragraph 8.2; 8.5</w:t>
            </w:r>
          </w:p>
          <w:p w14:paraId="4249E1E9"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Paragraph 9.1; 9.2</w:t>
            </w:r>
          </w:p>
          <w:p w14:paraId="276C7A84"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Paragraph 10.1; 10.2</w:t>
            </w:r>
          </w:p>
          <w:p w14:paraId="07A4EFC0"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Paragraph 11.1; 11.2</w:t>
            </w:r>
          </w:p>
          <w:p w14:paraId="7BEF4723" w14:textId="5D8E4B66" w:rsidR="0027488A" w:rsidRPr="00075C6B" w:rsidRDefault="003848CB" w:rsidP="003848CB">
            <w:pPr>
              <w:pStyle w:val="Tabletext"/>
              <w:spacing w:before="0"/>
              <w:rPr>
                <w:rFonts w:cs="Arial"/>
                <w:sz w:val="18"/>
                <w:szCs w:val="18"/>
                <w:lang w:eastAsia="en-GB"/>
              </w:rPr>
            </w:pPr>
            <w:r w:rsidRPr="00075C6B">
              <w:rPr>
                <w:rFonts w:cs="Arial"/>
                <w:sz w:val="18"/>
                <w:szCs w:val="18"/>
                <w:lang w:eastAsia="en-GB"/>
              </w:rPr>
              <w:lastRenderedPageBreak/>
              <w:t>Paragraph 12.1 and 12.2</w:t>
            </w:r>
          </w:p>
        </w:tc>
      </w:tr>
      <w:tr w:rsidR="00D204B2" w:rsidRPr="00F74376" w14:paraId="12377F15" w14:textId="77777777" w:rsidTr="00053E50">
        <w:trPr>
          <w:trHeight w:val="337"/>
        </w:trPr>
        <w:tc>
          <w:tcPr>
            <w:tcW w:w="2351" w:type="pct"/>
            <w:shd w:val="clear" w:color="auto" w:fill="auto"/>
          </w:tcPr>
          <w:p w14:paraId="1722D91E" w14:textId="3D089681" w:rsidR="0027488A" w:rsidRPr="00075C6B" w:rsidRDefault="003848CB"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PPR 2022</w:t>
            </w:r>
          </w:p>
        </w:tc>
        <w:tc>
          <w:tcPr>
            <w:tcW w:w="2649" w:type="pct"/>
            <w:shd w:val="clear" w:color="auto" w:fill="auto"/>
          </w:tcPr>
          <w:p w14:paraId="4F05C533"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Paragraph  3.1</w:t>
            </w:r>
          </w:p>
          <w:p w14:paraId="2B6B13A4" w14:textId="77777777" w:rsidR="003848CB" w:rsidRPr="00075C6B" w:rsidRDefault="003848CB" w:rsidP="003848CB">
            <w:pPr>
              <w:pStyle w:val="Tabletext"/>
              <w:rPr>
                <w:rFonts w:cs="Arial"/>
                <w:sz w:val="18"/>
                <w:szCs w:val="18"/>
                <w:lang w:eastAsia="en-GB"/>
              </w:rPr>
            </w:pPr>
            <w:r w:rsidRPr="00075C6B">
              <w:rPr>
                <w:rFonts w:cs="Arial"/>
                <w:sz w:val="18"/>
                <w:szCs w:val="18"/>
                <w:lang w:eastAsia="en-GB"/>
              </w:rPr>
              <w:t>Paragraph 4.1; 4.2; 4.3; 4.4</w:t>
            </w:r>
          </w:p>
          <w:p w14:paraId="2EF0014E" w14:textId="45DD3373" w:rsidR="0027488A" w:rsidRPr="00075C6B" w:rsidRDefault="003848CB" w:rsidP="003848CB">
            <w:pPr>
              <w:pStyle w:val="Tabletext"/>
              <w:spacing w:before="0"/>
              <w:rPr>
                <w:rFonts w:cs="Arial"/>
                <w:sz w:val="18"/>
                <w:szCs w:val="18"/>
                <w:lang w:eastAsia="en-GB"/>
              </w:rPr>
            </w:pPr>
            <w:r w:rsidRPr="00075C6B">
              <w:rPr>
                <w:rFonts w:cs="Arial"/>
                <w:sz w:val="18"/>
                <w:szCs w:val="18"/>
                <w:lang w:eastAsia="en-GB"/>
              </w:rPr>
              <w:t>Paragraph 5.1; 5.2; 5.3; 5.4</w:t>
            </w:r>
          </w:p>
        </w:tc>
      </w:tr>
      <w:tr w:rsidR="00D204B2" w:rsidRPr="00F74376" w14:paraId="3745A72E" w14:textId="77777777" w:rsidTr="00053E50">
        <w:trPr>
          <w:trHeight w:val="337"/>
        </w:trPr>
        <w:tc>
          <w:tcPr>
            <w:tcW w:w="2351" w:type="pct"/>
            <w:shd w:val="clear" w:color="auto" w:fill="auto"/>
          </w:tcPr>
          <w:p w14:paraId="6214B61A" w14:textId="68098437" w:rsidR="0027488A" w:rsidRPr="00075C6B" w:rsidRDefault="00B30BFF"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PFMA SCM Instruction no. 09 of 2022/2023</w:t>
            </w:r>
          </w:p>
        </w:tc>
        <w:tc>
          <w:tcPr>
            <w:tcW w:w="2649" w:type="pct"/>
            <w:shd w:val="clear" w:color="auto" w:fill="auto"/>
          </w:tcPr>
          <w:p w14:paraId="4F9B000D" w14:textId="447C8195" w:rsidR="0027488A" w:rsidRPr="00075C6B" w:rsidRDefault="00B30BFF" w:rsidP="00053E50">
            <w:pPr>
              <w:pStyle w:val="Tabletext"/>
              <w:spacing w:before="0"/>
              <w:rPr>
                <w:rFonts w:cs="Arial"/>
                <w:sz w:val="18"/>
                <w:szCs w:val="18"/>
                <w:lang w:eastAsia="en-GB"/>
              </w:rPr>
            </w:pPr>
            <w:r w:rsidRPr="00075C6B">
              <w:rPr>
                <w:rFonts w:cs="Arial"/>
                <w:sz w:val="18"/>
                <w:szCs w:val="18"/>
                <w:lang w:eastAsia="en-GB"/>
              </w:rPr>
              <w:t>Paragraph 3.1; 3.3 (b); 3.3 (c ); 3.3 (e ); 3.6</w:t>
            </w:r>
          </w:p>
        </w:tc>
      </w:tr>
      <w:tr w:rsidR="00D204B2" w:rsidRPr="00F74376" w14:paraId="7F4232FE" w14:textId="77777777" w:rsidTr="00053E50">
        <w:trPr>
          <w:trHeight w:val="337"/>
        </w:trPr>
        <w:tc>
          <w:tcPr>
            <w:tcW w:w="2351" w:type="pct"/>
            <w:shd w:val="clear" w:color="auto" w:fill="auto"/>
          </w:tcPr>
          <w:p w14:paraId="11E21D76" w14:textId="101BFAB0" w:rsidR="0027488A" w:rsidRPr="00075C6B" w:rsidRDefault="00B30BFF"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National Treasury Instruction No.1 of 2015/16</w:t>
            </w:r>
          </w:p>
        </w:tc>
        <w:tc>
          <w:tcPr>
            <w:tcW w:w="2649" w:type="pct"/>
            <w:shd w:val="clear" w:color="auto" w:fill="auto"/>
          </w:tcPr>
          <w:p w14:paraId="2A90F41C" w14:textId="761CE6F5" w:rsidR="0027488A" w:rsidRPr="00075C6B" w:rsidRDefault="00B30BFF" w:rsidP="00053E50">
            <w:pPr>
              <w:pStyle w:val="Tabletext"/>
              <w:spacing w:before="0"/>
              <w:rPr>
                <w:rFonts w:cs="Arial"/>
                <w:sz w:val="18"/>
                <w:szCs w:val="18"/>
                <w:lang w:eastAsia="en-GB"/>
              </w:rPr>
            </w:pPr>
            <w:r w:rsidRPr="00075C6B">
              <w:rPr>
                <w:rFonts w:cs="Arial"/>
                <w:sz w:val="18"/>
                <w:szCs w:val="18"/>
                <w:lang w:eastAsia="en-GB"/>
              </w:rPr>
              <w:t>Paragraph 3.1; 4.1; 4.2</w:t>
            </w:r>
          </w:p>
        </w:tc>
      </w:tr>
      <w:tr w:rsidR="00D204B2" w:rsidRPr="00F74376" w14:paraId="1F963E9B" w14:textId="77777777" w:rsidTr="00053E50">
        <w:trPr>
          <w:trHeight w:val="337"/>
        </w:trPr>
        <w:tc>
          <w:tcPr>
            <w:tcW w:w="2351" w:type="pct"/>
            <w:shd w:val="clear" w:color="auto" w:fill="auto"/>
          </w:tcPr>
          <w:p w14:paraId="7433B22C" w14:textId="2FEA9E9A" w:rsidR="0027488A" w:rsidRPr="00075C6B" w:rsidRDefault="00B30BFF"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NT SCM Instruction Note 03 2021/22</w:t>
            </w:r>
          </w:p>
        </w:tc>
        <w:tc>
          <w:tcPr>
            <w:tcW w:w="2649" w:type="pct"/>
            <w:shd w:val="clear" w:color="auto" w:fill="auto"/>
          </w:tcPr>
          <w:p w14:paraId="4A31E934" w14:textId="77777777" w:rsidR="00B30BFF" w:rsidRPr="00075C6B" w:rsidRDefault="00B30BFF" w:rsidP="00B30BFF">
            <w:pPr>
              <w:pStyle w:val="Tabletext"/>
              <w:rPr>
                <w:rFonts w:cs="Arial"/>
                <w:sz w:val="18"/>
                <w:szCs w:val="18"/>
                <w:lang w:eastAsia="en-GB"/>
              </w:rPr>
            </w:pPr>
            <w:r w:rsidRPr="00075C6B">
              <w:rPr>
                <w:rFonts w:cs="Arial"/>
                <w:sz w:val="18"/>
                <w:szCs w:val="18"/>
                <w:lang w:eastAsia="en-GB"/>
              </w:rPr>
              <w:t>Paragraph 4.1; 4.2 (b); 4.3; 4.4 (a) -(d); 4.6</w:t>
            </w:r>
          </w:p>
          <w:p w14:paraId="77CC43A8" w14:textId="77777777" w:rsidR="00B30BFF" w:rsidRPr="00075C6B" w:rsidRDefault="00B30BFF" w:rsidP="00B30BFF">
            <w:pPr>
              <w:pStyle w:val="Tabletext"/>
              <w:rPr>
                <w:rFonts w:cs="Arial"/>
                <w:sz w:val="18"/>
                <w:szCs w:val="18"/>
                <w:lang w:eastAsia="en-GB"/>
              </w:rPr>
            </w:pPr>
            <w:r w:rsidRPr="00075C6B">
              <w:rPr>
                <w:rFonts w:cs="Arial"/>
                <w:sz w:val="18"/>
                <w:szCs w:val="18"/>
                <w:lang w:eastAsia="en-GB"/>
              </w:rPr>
              <w:t>Paragraph 5.4</w:t>
            </w:r>
          </w:p>
          <w:p w14:paraId="7E473C0A" w14:textId="724C8714" w:rsidR="0027488A" w:rsidRPr="00075C6B" w:rsidRDefault="00B30BFF" w:rsidP="00B30BFF">
            <w:pPr>
              <w:pStyle w:val="Tabletext"/>
              <w:spacing w:before="0"/>
              <w:rPr>
                <w:rFonts w:cs="Arial"/>
                <w:sz w:val="18"/>
                <w:szCs w:val="18"/>
                <w:lang w:eastAsia="en-GB"/>
              </w:rPr>
            </w:pPr>
            <w:r w:rsidRPr="00075C6B">
              <w:rPr>
                <w:rFonts w:cs="Arial"/>
                <w:sz w:val="18"/>
                <w:szCs w:val="18"/>
                <w:lang w:eastAsia="en-GB"/>
              </w:rPr>
              <w:t>Paragraph 7.2; 7.6</w:t>
            </w:r>
          </w:p>
        </w:tc>
      </w:tr>
      <w:tr w:rsidR="00D204B2" w:rsidRPr="00F74376" w14:paraId="50E263F9" w14:textId="77777777" w:rsidTr="00053E50">
        <w:trPr>
          <w:trHeight w:val="337"/>
        </w:trPr>
        <w:tc>
          <w:tcPr>
            <w:tcW w:w="2351" w:type="pct"/>
            <w:shd w:val="clear" w:color="auto" w:fill="auto"/>
          </w:tcPr>
          <w:p w14:paraId="16E9E97A" w14:textId="120BE251" w:rsidR="0027488A" w:rsidRPr="00075C6B" w:rsidRDefault="00B30BFF"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NT SCM Instruction 4A of 2016/17</w:t>
            </w:r>
          </w:p>
        </w:tc>
        <w:tc>
          <w:tcPr>
            <w:tcW w:w="2649" w:type="pct"/>
            <w:shd w:val="clear" w:color="auto" w:fill="auto"/>
          </w:tcPr>
          <w:p w14:paraId="26AE9FAD" w14:textId="1B50A288" w:rsidR="0027488A" w:rsidRPr="00075C6B" w:rsidRDefault="00B30BFF" w:rsidP="00053E50">
            <w:pPr>
              <w:pStyle w:val="Tabletext"/>
              <w:spacing w:before="0"/>
              <w:rPr>
                <w:rFonts w:cs="Arial"/>
                <w:sz w:val="18"/>
                <w:szCs w:val="18"/>
                <w:lang w:eastAsia="en-GB"/>
              </w:rPr>
            </w:pPr>
            <w:r w:rsidRPr="00075C6B">
              <w:rPr>
                <w:rFonts w:cs="Arial"/>
                <w:sz w:val="18"/>
                <w:szCs w:val="18"/>
                <w:lang w:eastAsia="en-GB"/>
              </w:rPr>
              <w:t>Paragraph 6</w:t>
            </w:r>
          </w:p>
        </w:tc>
      </w:tr>
      <w:tr w:rsidR="00D204B2" w:rsidRPr="00F74376" w14:paraId="1D0E5EEC" w14:textId="77777777" w:rsidTr="00053E50">
        <w:trPr>
          <w:trHeight w:val="337"/>
        </w:trPr>
        <w:tc>
          <w:tcPr>
            <w:tcW w:w="2351" w:type="pct"/>
            <w:shd w:val="clear" w:color="auto" w:fill="auto"/>
          </w:tcPr>
          <w:p w14:paraId="1FBB34B0" w14:textId="58008331" w:rsidR="0027488A" w:rsidRPr="00075C6B" w:rsidRDefault="00B30BFF"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NT SCM Instruction Note 03 2019/20</w:t>
            </w:r>
          </w:p>
        </w:tc>
        <w:tc>
          <w:tcPr>
            <w:tcW w:w="2649" w:type="pct"/>
            <w:shd w:val="clear" w:color="auto" w:fill="auto"/>
          </w:tcPr>
          <w:p w14:paraId="6BE10C8A" w14:textId="521F4467" w:rsidR="0027488A" w:rsidRPr="00075C6B" w:rsidRDefault="00B30BFF" w:rsidP="00053E50">
            <w:pPr>
              <w:pStyle w:val="Tabletext"/>
              <w:spacing w:before="0"/>
              <w:rPr>
                <w:rFonts w:cs="Arial"/>
                <w:sz w:val="18"/>
                <w:szCs w:val="18"/>
                <w:lang w:eastAsia="en-GB"/>
              </w:rPr>
            </w:pPr>
            <w:r w:rsidRPr="00075C6B">
              <w:rPr>
                <w:rFonts w:cs="Arial"/>
                <w:sz w:val="18"/>
                <w:szCs w:val="18"/>
                <w:lang w:eastAsia="en-GB"/>
              </w:rPr>
              <w:t>Par 5.5.1(vi); Paragraph 5.5.1(x);</w:t>
            </w:r>
          </w:p>
        </w:tc>
      </w:tr>
      <w:tr w:rsidR="00D204B2" w:rsidRPr="00F74376" w14:paraId="70E22605" w14:textId="77777777" w:rsidTr="00053E50">
        <w:trPr>
          <w:trHeight w:val="337"/>
        </w:trPr>
        <w:tc>
          <w:tcPr>
            <w:tcW w:w="2351" w:type="pct"/>
            <w:shd w:val="clear" w:color="auto" w:fill="auto"/>
          </w:tcPr>
          <w:p w14:paraId="43C6B644" w14:textId="3BAB507D" w:rsidR="0027488A" w:rsidRPr="00075C6B" w:rsidRDefault="00B30BFF"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NT SCM Instruction Note 11 2020/21</w:t>
            </w:r>
          </w:p>
        </w:tc>
        <w:tc>
          <w:tcPr>
            <w:tcW w:w="2649" w:type="pct"/>
            <w:shd w:val="clear" w:color="auto" w:fill="auto"/>
          </w:tcPr>
          <w:p w14:paraId="394B39DA" w14:textId="086874E0" w:rsidR="0027488A" w:rsidRPr="00075C6B" w:rsidRDefault="00B30BFF" w:rsidP="00053E50">
            <w:pPr>
              <w:pStyle w:val="Tabletext"/>
              <w:spacing w:before="0"/>
              <w:rPr>
                <w:rFonts w:cs="Arial"/>
                <w:sz w:val="18"/>
                <w:szCs w:val="18"/>
                <w:lang w:eastAsia="en-GB"/>
              </w:rPr>
            </w:pPr>
            <w:r w:rsidRPr="00075C6B">
              <w:rPr>
                <w:rFonts w:cs="Arial"/>
                <w:sz w:val="18"/>
                <w:szCs w:val="18"/>
                <w:lang w:eastAsia="en-GB"/>
              </w:rPr>
              <w:t>Paragraph 3.1; 3.4 (a) and (b); 3.9; 6.1;6.2;6.7</w:t>
            </w:r>
          </w:p>
        </w:tc>
      </w:tr>
      <w:tr w:rsidR="00D204B2" w:rsidRPr="00F74376" w14:paraId="10968B7F" w14:textId="77777777" w:rsidTr="00053E50">
        <w:trPr>
          <w:trHeight w:val="337"/>
        </w:trPr>
        <w:tc>
          <w:tcPr>
            <w:tcW w:w="2351" w:type="pct"/>
            <w:shd w:val="clear" w:color="auto" w:fill="auto"/>
          </w:tcPr>
          <w:p w14:paraId="47048DC1" w14:textId="517A08BD" w:rsidR="0027488A" w:rsidRPr="00075C6B" w:rsidRDefault="00B30BFF"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NT SCM Instruction note 2 of 2021/22</w:t>
            </w:r>
          </w:p>
        </w:tc>
        <w:tc>
          <w:tcPr>
            <w:tcW w:w="2649" w:type="pct"/>
            <w:shd w:val="clear" w:color="auto" w:fill="auto"/>
          </w:tcPr>
          <w:p w14:paraId="286C1EE5" w14:textId="77777777" w:rsidR="00B30BFF" w:rsidRPr="00075C6B" w:rsidRDefault="00B30BFF" w:rsidP="00B30BFF">
            <w:pPr>
              <w:pStyle w:val="Tabletext"/>
              <w:rPr>
                <w:rFonts w:cs="Arial"/>
                <w:sz w:val="18"/>
                <w:szCs w:val="18"/>
                <w:lang w:eastAsia="en-GB"/>
              </w:rPr>
            </w:pPr>
            <w:r w:rsidRPr="00075C6B">
              <w:rPr>
                <w:rFonts w:cs="Arial"/>
                <w:sz w:val="18"/>
                <w:szCs w:val="18"/>
                <w:lang w:eastAsia="en-GB"/>
              </w:rPr>
              <w:t>Paragraph 3.2.1; 3.2.2; 3.2.4(a) and (b) ; 3.3.1; 3.2.2</w:t>
            </w:r>
          </w:p>
          <w:p w14:paraId="14BEFD28" w14:textId="56EA01BE" w:rsidR="0027488A" w:rsidRPr="00075C6B" w:rsidRDefault="00B30BFF" w:rsidP="00B30BFF">
            <w:pPr>
              <w:pStyle w:val="Tabletext"/>
              <w:spacing w:before="0"/>
              <w:rPr>
                <w:rFonts w:cs="Arial"/>
                <w:sz w:val="18"/>
                <w:szCs w:val="18"/>
                <w:lang w:eastAsia="en-GB"/>
              </w:rPr>
            </w:pPr>
            <w:r w:rsidRPr="00075C6B">
              <w:rPr>
                <w:rFonts w:cs="Arial"/>
                <w:sz w:val="18"/>
                <w:szCs w:val="18"/>
                <w:lang w:eastAsia="en-GB"/>
              </w:rPr>
              <w:t>Paragraph 4.1</w:t>
            </w:r>
          </w:p>
        </w:tc>
      </w:tr>
      <w:tr w:rsidR="00B30BFF" w:rsidRPr="00F74376" w14:paraId="3FC2B1F1" w14:textId="77777777" w:rsidTr="00053E50">
        <w:trPr>
          <w:trHeight w:val="337"/>
        </w:trPr>
        <w:tc>
          <w:tcPr>
            <w:tcW w:w="2351" w:type="pct"/>
            <w:shd w:val="clear" w:color="auto" w:fill="auto"/>
          </w:tcPr>
          <w:p w14:paraId="06F42627" w14:textId="078625F7" w:rsidR="00B30BFF" w:rsidRPr="00075C6B" w:rsidRDefault="00B30BFF"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PFMA SCM Instruction 04 of 2022/23</w:t>
            </w:r>
          </w:p>
        </w:tc>
        <w:tc>
          <w:tcPr>
            <w:tcW w:w="2649" w:type="pct"/>
            <w:shd w:val="clear" w:color="auto" w:fill="auto"/>
          </w:tcPr>
          <w:p w14:paraId="5F684F9A" w14:textId="5674EF3E" w:rsidR="00B30BFF" w:rsidRPr="00075C6B" w:rsidRDefault="00B30BFF" w:rsidP="00B30BFF">
            <w:pPr>
              <w:pStyle w:val="Tabletext"/>
              <w:rPr>
                <w:rFonts w:cs="Arial"/>
                <w:sz w:val="18"/>
                <w:szCs w:val="18"/>
                <w:lang w:eastAsia="en-GB"/>
              </w:rPr>
            </w:pPr>
            <w:r w:rsidRPr="00075C6B">
              <w:rPr>
                <w:rFonts w:cs="Arial"/>
                <w:sz w:val="18"/>
                <w:szCs w:val="18"/>
                <w:lang w:eastAsia="en-GB"/>
              </w:rPr>
              <w:t>Paragraph 4(1); 4(2); 4(4)</w:t>
            </w:r>
          </w:p>
        </w:tc>
      </w:tr>
      <w:tr w:rsidR="00B30BFF" w:rsidRPr="00F74376" w14:paraId="48A3F1DD" w14:textId="77777777" w:rsidTr="00053E50">
        <w:trPr>
          <w:trHeight w:val="337"/>
        </w:trPr>
        <w:tc>
          <w:tcPr>
            <w:tcW w:w="2351" w:type="pct"/>
            <w:shd w:val="clear" w:color="auto" w:fill="auto"/>
          </w:tcPr>
          <w:p w14:paraId="0F5F1BB4" w14:textId="339F17B1" w:rsidR="00B30BFF" w:rsidRPr="00075C6B" w:rsidRDefault="00B30BFF"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Practice Note 5 of 2009/10</w:t>
            </w:r>
          </w:p>
        </w:tc>
        <w:tc>
          <w:tcPr>
            <w:tcW w:w="2649" w:type="pct"/>
            <w:shd w:val="clear" w:color="auto" w:fill="auto"/>
          </w:tcPr>
          <w:p w14:paraId="4EB67499" w14:textId="50922410" w:rsidR="00B30BFF" w:rsidRPr="00075C6B" w:rsidRDefault="00B30BFF" w:rsidP="00B30BFF">
            <w:pPr>
              <w:pStyle w:val="Tabletext"/>
              <w:rPr>
                <w:rFonts w:cs="Arial"/>
                <w:sz w:val="18"/>
                <w:szCs w:val="18"/>
                <w:lang w:eastAsia="en-GB"/>
              </w:rPr>
            </w:pPr>
            <w:r w:rsidRPr="00075C6B">
              <w:rPr>
                <w:rFonts w:cs="Arial"/>
                <w:sz w:val="18"/>
                <w:szCs w:val="18"/>
                <w:lang w:eastAsia="en-GB"/>
              </w:rPr>
              <w:t>Paragraph 3.3</w:t>
            </w:r>
          </w:p>
        </w:tc>
      </w:tr>
      <w:tr w:rsidR="00B30BFF" w:rsidRPr="00F74376" w14:paraId="22824880" w14:textId="77777777" w:rsidTr="00053E50">
        <w:trPr>
          <w:trHeight w:val="337"/>
        </w:trPr>
        <w:tc>
          <w:tcPr>
            <w:tcW w:w="2351" w:type="pct"/>
            <w:shd w:val="clear" w:color="auto" w:fill="auto"/>
          </w:tcPr>
          <w:p w14:paraId="2ED5E765" w14:textId="64A105F7" w:rsidR="00B30BFF" w:rsidRPr="00075C6B" w:rsidRDefault="00B30BFF"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PFMA SCM instruction 08 of 2022/23</w:t>
            </w:r>
          </w:p>
        </w:tc>
        <w:tc>
          <w:tcPr>
            <w:tcW w:w="2649" w:type="pct"/>
            <w:shd w:val="clear" w:color="auto" w:fill="auto"/>
          </w:tcPr>
          <w:p w14:paraId="71CE748B" w14:textId="77777777" w:rsidR="00B30BFF" w:rsidRPr="00075C6B" w:rsidRDefault="00B30BFF" w:rsidP="00B30BFF">
            <w:pPr>
              <w:pStyle w:val="Tabletext"/>
              <w:rPr>
                <w:rFonts w:cs="Arial"/>
                <w:sz w:val="18"/>
                <w:szCs w:val="18"/>
                <w:lang w:eastAsia="en-GB"/>
              </w:rPr>
            </w:pPr>
            <w:r w:rsidRPr="00075C6B">
              <w:rPr>
                <w:rFonts w:cs="Arial"/>
                <w:sz w:val="18"/>
                <w:szCs w:val="18"/>
                <w:lang w:eastAsia="en-GB"/>
              </w:rPr>
              <w:t>Paragraph 3.2</w:t>
            </w:r>
          </w:p>
          <w:p w14:paraId="5F1ACEF4" w14:textId="1859E0A6" w:rsidR="00B30BFF" w:rsidRPr="00075C6B" w:rsidRDefault="00B30BFF" w:rsidP="00B30BFF">
            <w:pPr>
              <w:pStyle w:val="Tabletext"/>
              <w:rPr>
                <w:rFonts w:cs="Arial"/>
                <w:sz w:val="18"/>
                <w:szCs w:val="18"/>
                <w:lang w:eastAsia="en-GB"/>
              </w:rPr>
            </w:pPr>
            <w:r w:rsidRPr="00075C6B">
              <w:rPr>
                <w:rFonts w:cs="Arial"/>
                <w:sz w:val="18"/>
                <w:szCs w:val="18"/>
                <w:lang w:eastAsia="en-GB"/>
              </w:rPr>
              <w:t>Par. 4.3.2; 4.3.3</w:t>
            </w:r>
          </w:p>
        </w:tc>
      </w:tr>
      <w:tr w:rsidR="00D204B2" w:rsidRPr="00F74376" w14:paraId="5796B09E" w14:textId="77777777" w:rsidTr="00053E50">
        <w:trPr>
          <w:trHeight w:val="337"/>
        </w:trPr>
        <w:tc>
          <w:tcPr>
            <w:tcW w:w="2351" w:type="pct"/>
            <w:shd w:val="clear" w:color="auto" w:fill="auto"/>
          </w:tcPr>
          <w:p w14:paraId="4776F113" w14:textId="33A031CA" w:rsidR="0027488A" w:rsidRPr="00075C6B" w:rsidRDefault="00B30BFF"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Competition Act</w:t>
            </w:r>
          </w:p>
        </w:tc>
        <w:tc>
          <w:tcPr>
            <w:tcW w:w="2649" w:type="pct"/>
            <w:shd w:val="clear" w:color="auto" w:fill="auto"/>
          </w:tcPr>
          <w:p w14:paraId="390B5193" w14:textId="3B7455F5" w:rsidR="0027488A" w:rsidRPr="00075C6B" w:rsidRDefault="00B30BFF" w:rsidP="00053E50">
            <w:pPr>
              <w:pStyle w:val="Tabletext"/>
              <w:spacing w:before="0"/>
              <w:rPr>
                <w:rFonts w:cs="Arial"/>
                <w:sz w:val="18"/>
                <w:szCs w:val="18"/>
                <w:lang w:eastAsia="en-GB"/>
              </w:rPr>
            </w:pPr>
            <w:r w:rsidRPr="00075C6B">
              <w:rPr>
                <w:rFonts w:cs="Arial"/>
                <w:sz w:val="18"/>
                <w:szCs w:val="18"/>
                <w:lang w:eastAsia="en-GB"/>
              </w:rPr>
              <w:t>Section 4(1)(b)(ii)</w:t>
            </w:r>
          </w:p>
        </w:tc>
      </w:tr>
      <w:tr w:rsidR="00B30BFF" w:rsidRPr="00F74376" w14:paraId="3F4A8D6C" w14:textId="77777777" w:rsidTr="00053E50">
        <w:trPr>
          <w:trHeight w:val="337"/>
        </w:trPr>
        <w:tc>
          <w:tcPr>
            <w:tcW w:w="2351" w:type="pct"/>
            <w:shd w:val="clear" w:color="auto" w:fill="auto"/>
          </w:tcPr>
          <w:p w14:paraId="0354B77A" w14:textId="28C5D0CE" w:rsidR="00B30BFF" w:rsidRPr="00075C6B" w:rsidRDefault="00254081"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NT instruction note 4 of 2015/16</w:t>
            </w:r>
          </w:p>
        </w:tc>
        <w:tc>
          <w:tcPr>
            <w:tcW w:w="2649" w:type="pct"/>
            <w:shd w:val="clear" w:color="auto" w:fill="auto"/>
          </w:tcPr>
          <w:p w14:paraId="640F700D" w14:textId="45CD6737" w:rsidR="00B30BFF" w:rsidRPr="00075C6B" w:rsidRDefault="00254081" w:rsidP="00053E50">
            <w:pPr>
              <w:pStyle w:val="Tabletext"/>
              <w:spacing w:before="0"/>
              <w:rPr>
                <w:rFonts w:cs="Arial"/>
                <w:sz w:val="18"/>
                <w:szCs w:val="18"/>
                <w:lang w:eastAsia="en-GB"/>
              </w:rPr>
            </w:pPr>
            <w:r w:rsidRPr="00075C6B">
              <w:rPr>
                <w:rFonts w:cs="Arial"/>
                <w:sz w:val="18"/>
                <w:szCs w:val="18"/>
                <w:lang w:eastAsia="en-GB"/>
              </w:rPr>
              <w:t>Paragraph 3.4</w:t>
            </w:r>
          </w:p>
        </w:tc>
      </w:tr>
      <w:tr w:rsidR="00B30BFF" w:rsidRPr="00F74376" w14:paraId="303C843E" w14:textId="77777777" w:rsidTr="00053E50">
        <w:trPr>
          <w:trHeight w:val="337"/>
        </w:trPr>
        <w:tc>
          <w:tcPr>
            <w:tcW w:w="2351" w:type="pct"/>
            <w:shd w:val="clear" w:color="auto" w:fill="auto"/>
          </w:tcPr>
          <w:p w14:paraId="460F6905" w14:textId="097A1849" w:rsidR="00B30BFF" w:rsidRPr="00075C6B" w:rsidRDefault="00254081"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NT instruction 3 of 2019/20 - Annexure A</w:t>
            </w:r>
          </w:p>
        </w:tc>
        <w:tc>
          <w:tcPr>
            <w:tcW w:w="2649" w:type="pct"/>
            <w:shd w:val="clear" w:color="auto" w:fill="auto"/>
          </w:tcPr>
          <w:p w14:paraId="583CD176" w14:textId="659272B1" w:rsidR="00B30BFF" w:rsidRPr="00075C6B" w:rsidRDefault="00254081" w:rsidP="00053E50">
            <w:pPr>
              <w:pStyle w:val="Tabletext"/>
              <w:spacing w:before="0"/>
              <w:rPr>
                <w:rFonts w:cs="Arial"/>
                <w:sz w:val="18"/>
                <w:szCs w:val="18"/>
                <w:lang w:eastAsia="en-GB"/>
              </w:rPr>
            </w:pPr>
            <w:r w:rsidRPr="00075C6B">
              <w:rPr>
                <w:rFonts w:cs="Arial"/>
                <w:sz w:val="18"/>
                <w:szCs w:val="18"/>
                <w:lang w:eastAsia="en-GB"/>
              </w:rPr>
              <w:t>Section 5.5.1 (iv) and (x)</w:t>
            </w:r>
          </w:p>
        </w:tc>
      </w:tr>
      <w:tr w:rsidR="00B30BFF" w:rsidRPr="00F74376" w14:paraId="1A062177" w14:textId="77777777" w:rsidTr="00053E50">
        <w:trPr>
          <w:trHeight w:val="337"/>
        </w:trPr>
        <w:tc>
          <w:tcPr>
            <w:tcW w:w="2351" w:type="pct"/>
            <w:shd w:val="clear" w:color="auto" w:fill="auto"/>
          </w:tcPr>
          <w:p w14:paraId="7AEC65C2" w14:textId="151C5025" w:rsidR="00B30BFF" w:rsidRPr="00075C6B" w:rsidRDefault="00254081"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Second amendment of NTI 05 of 2020/21</w:t>
            </w:r>
          </w:p>
        </w:tc>
        <w:tc>
          <w:tcPr>
            <w:tcW w:w="2649" w:type="pct"/>
            <w:shd w:val="clear" w:color="auto" w:fill="auto"/>
          </w:tcPr>
          <w:p w14:paraId="5A08ADF3" w14:textId="2360426C" w:rsidR="00B30BFF" w:rsidRPr="00075C6B" w:rsidRDefault="00254081" w:rsidP="00053E50">
            <w:pPr>
              <w:pStyle w:val="Tabletext"/>
              <w:spacing w:before="0"/>
              <w:rPr>
                <w:rFonts w:cs="Arial"/>
                <w:sz w:val="18"/>
                <w:szCs w:val="18"/>
                <w:lang w:eastAsia="en-GB"/>
              </w:rPr>
            </w:pPr>
            <w:r w:rsidRPr="00075C6B">
              <w:rPr>
                <w:rFonts w:cs="Arial"/>
                <w:sz w:val="18"/>
                <w:szCs w:val="18"/>
                <w:lang w:eastAsia="en-GB"/>
              </w:rPr>
              <w:t>Paragraph   4.8; 4.9 ; 5.1 ; 5.3</w:t>
            </w:r>
          </w:p>
        </w:tc>
      </w:tr>
      <w:tr w:rsidR="00B30BFF" w:rsidRPr="00F74376" w14:paraId="2D6F5964" w14:textId="77777777" w:rsidTr="00053E50">
        <w:trPr>
          <w:trHeight w:val="337"/>
        </w:trPr>
        <w:tc>
          <w:tcPr>
            <w:tcW w:w="2351" w:type="pct"/>
            <w:shd w:val="clear" w:color="auto" w:fill="auto"/>
          </w:tcPr>
          <w:p w14:paraId="48C67311" w14:textId="48808569" w:rsidR="00B30BFF" w:rsidRPr="00075C6B" w:rsidRDefault="00075C6B" w:rsidP="00053E50">
            <w:pPr>
              <w:autoSpaceDE w:val="0"/>
              <w:autoSpaceDN w:val="0"/>
              <w:adjustRightInd w:val="0"/>
              <w:spacing w:after="0" w:line="240" w:lineRule="auto"/>
              <w:rPr>
                <w:rFonts w:cs="Arial"/>
                <w:sz w:val="18"/>
                <w:szCs w:val="18"/>
                <w:lang w:eastAsia="en-GB"/>
              </w:rPr>
            </w:pPr>
            <w:r w:rsidRPr="00075C6B">
              <w:rPr>
                <w:rFonts w:cs="Arial"/>
                <w:sz w:val="18"/>
                <w:szCs w:val="18"/>
                <w:lang w:eastAsia="en-GB"/>
              </w:rPr>
              <w:t>Erratum NTI 5 of 202/21</w:t>
            </w:r>
          </w:p>
        </w:tc>
        <w:tc>
          <w:tcPr>
            <w:tcW w:w="2649" w:type="pct"/>
            <w:shd w:val="clear" w:color="auto" w:fill="auto"/>
          </w:tcPr>
          <w:p w14:paraId="0039333D" w14:textId="5ABE8E4D" w:rsidR="00B30BFF" w:rsidRPr="00075C6B" w:rsidRDefault="00075C6B" w:rsidP="00053E50">
            <w:pPr>
              <w:pStyle w:val="Tabletext"/>
              <w:spacing w:before="0"/>
              <w:rPr>
                <w:rFonts w:cs="Arial"/>
                <w:sz w:val="18"/>
                <w:szCs w:val="18"/>
                <w:lang w:eastAsia="en-GB"/>
              </w:rPr>
            </w:pPr>
            <w:r w:rsidRPr="00075C6B">
              <w:rPr>
                <w:rFonts w:cs="Arial"/>
                <w:sz w:val="18"/>
                <w:szCs w:val="18"/>
                <w:lang w:eastAsia="en-GB"/>
              </w:rPr>
              <w:t>Paragraph  1</w:t>
            </w:r>
          </w:p>
        </w:tc>
      </w:tr>
      <w:tr w:rsidR="00075C6B" w:rsidRPr="00F74376" w14:paraId="12275B15" w14:textId="77777777" w:rsidTr="00053E50">
        <w:trPr>
          <w:trHeight w:val="337"/>
        </w:trPr>
        <w:tc>
          <w:tcPr>
            <w:tcW w:w="2351" w:type="pct"/>
            <w:shd w:val="clear" w:color="auto" w:fill="auto"/>
          </w:tcPr>
          <w:p w14:paraId="37F15108" w14:textId="3E53B838" w:rsidR="00075C6B" w:rsidRPr="00075C6B" w:rsidRDefault="00075C6B" w:rsidP="00075C6B">
            <w:pPr>
              <w:autoSpaceDE w:val="0"/>
              <w:autoSpaceDN w:val="0"/>
              <w:adjustRightInd w:val="0"/>
              <w:spacing w:after="0" w:line="240" w:lineRule="auto"/>
              <w:rPr>
                <w:rFonts w:cs="Arial"/>
                <w:sz w:val="18"/>
                <w:szCs w:val="18"/>
                <w:lang w:eastAsia="en-GB"/>
              </w:rPr>
            </w:pPr>
            <w:r w:rsidRPr="00075C6B">
              <w:rPr>
                <w:rFonts w:cs="Arial"/>
                <w:sz w:val="18"/>
                <w:szCs w:val="18"/>
                <w:lang w:eastAsia="en-GB"/>
              </w:rPr>
              <w:t>Erratum NTI 5 of 202/21</w:t>
            </w:r>
          </w:p>
        </w:tc>
        <w:tc>
          <w:tcPr>
            <w:tcW w:w="2649" w:type="pct"/>
            <w:shd w:val="clear" w:color="auto" w:fill="auto"/>
          </w:tcPr>
          <w:p w14:paraId="3FBE7A92" w14:textId="7A3E8221" w:rsidR="00075C6B" w:rsidRPr="00075C6B" w:rsidRDefault="00075C6B" w:rsidP="00075C6B">
            <w:pPr>
              <w:pStyle w:val="Tabletext"/>
              <w:spacing w:before="0"/>
              <w:rPr>
                <w:rFonts w:cs="Arial"/>
                <w:sz w:val="18"/>
                <w:szCs w:val="18"/>
                <w:lang w:eastAsia="en-GB"/>
              </w:rPr>
            </w:pPr>
            <w:r w:rsidRPr="00075C6B">
              <w:rPr>
                <w:rFonts w:cs="Arial"/>
                <w:sz w:val="18"/>
                <w:szCs w:val="18"/>
                <w:lang w:eastAsia="en-GB"/>
              </w:rPr>
              <w:t>Paragraph  2</w:t>
            </w:r>
          </w:p>
        </w:tc>
      </w:tr>
      <w:tr w:rsidR="00075C6B" w:rsidRPr="00F74376" w14:paraId="6E83C16E" w14:textId="77777777" w:rsidTr="00053E50">
        <w:trPr>
          <w:trHeight w:val="337"/>
        </w:trPr>
        <w:tc>
          <w:tcPr>
            <w:tcW w:w="2351" w:type="pct"/>
            <w:shd w:val="clear" w:color="auto" w:fill="auto"/>
          </w:tcPr>
          <w:p w14:paraId="539EE7D4" w14:textId="5DC201C8" w:rsidR="00075C6B" w:rsidRPr="00075C6B" w:rsidRDefault="00075C6B" w:rsidP="00075C6B">
            <w:pPr>
              <w:autoSpaceDE w:val="0"/>
              <w:autoSpaceDN w:val="0"/>
              <w:adjustRightInd w:val="0"/>
              <w:spacing w:after="0" w:line="240" w:lineRule="auto"/>
              <w:rPr>
                <w:rFonts w:cs="Arial"/>
                <w:sz w:val="18"/>
                <w:szCs w:val="18"/>
                <w:lang w:eastAsia="en-GB"/>
              </w:rPr>
            </w:pPr>
            <w:r w:rsidRPr="00075C6B">
              <w:rPr>
                <w:rFonts w:cs="Arial"/>
                <w:sz w:val="18"/>
                <w:szCs w:val="18"/>
                <w:lang w:eastAsia="en-GB"/>
              </w:rPr>
              <w:t>Practice note 7 of 2009/10</w:t>
            </w:r>
          </w:p>
        </w:tc>
        <w:tc>
          <w:tcPr>
            <w:tcW w:w="2649" w:type="pct"/>
            <w:shd w:val="clear" w:color="auto" w:fill="auto"/>
          </w:tcPr>
          <w:p w14:paraId="1230A056" w14:textId="0892172D" w:rsidR="00075C6B" w:rsidRPr="00075C6B" w:rsidRDefault="00075C6B" w:rsidP="00075C6B">
            <w:pPr>
              <w:pStyle w:val="Tabletext"/>
              <w:spacing w:before="0"/>
              <w:rPr>
                <w:rFonts w:cs="Arial"/>
                <w:sz w:val="18"/>
                <w:szCs w:val="18"/>
                <w:lang w:eastAsia="en-GB"/>
              </w:rPr>
            </w:pPr>
            <w:r w:rsidRPr="00075C6B">
              <w:rPr>
                <w:rFonts w:cs="Arial"/>
                <w:sz w:val="18"/>
                <w:szCs w:val="18"/>
                <w:lang w:eastAsia="en-GB"/>
              </w:rPr>
              <w:t>Paragraph 4.1.2</w:t>
            </w:r>
          </w:p>
        </w:tc>
      </w:tr>
      <w:tr w:rsidR="00075C6B" w:rsidRPr="00F74376" w14:paraId="79621115" w14:textId="77777777" w:rsidTr="00053E50">
        <w:trPr>
          <w:trHeight w:val="337"/>
        </w:trPr>
        <w:tc>
          <w:tcPr>
            <w:tcW w:w="2351" w:type="pct"/>
            <w:shd w:val="clear" w:color="auto" w:fill="auto"/>
          </w:tcPr>
          <w:p w14:paraId="27324939" w14:textId="096C9C43" w:rsidR="00075C6B" w:rsidRPr="00075C6B" w:rsidRDefault="00075C6B" w:rsidP="00075C6B">
            <w:pPr>
              <w:autoSpaceDE w:val="0"/>
              <w:autoSpaceDN w:val="0"/>
              <w:adjustRightInd w:val="0"/>
              <w:spacing w:after="0" w:line="240" w:lineRule="auto"/>
              <w:rPr>
                <w:rFonts w:cs="Arial"/>
                <w:sz w:val="18"/>
                <w:szCs w:val="18"/>
                <w:lang w:eastAsia="en-GB"/>
              </w:rPr>
            </w:pPr>
            <w:r w:rsidRPr="00075C6B">
              <w:rPr>
                <w:rFonts w:cs="Arial"/>
                <w:sz w:val="18"/>
                <w:szCs w:val="18"/>
                <w:lang w:eastAsia="en-GB"/>
              </w:rPr>
              <w:t>Practice note 11 of 2008/9</w:t>
            </w:r>
          </w:p>
        </w:tc>
        <w:tc>
          <w:tcPr>
            <w:tcW w:w="2649" w:type="pct"/>
            <w:shd w:val="clear" w:color="auto" w:fill="auto"/>
          </w:tcPr>
          <w:p w14:paraId="0EF6E9B8" w14:textId="77777777" w:rsidR="00075C6B" w:rsidRPr="00075C6B" w:rsidRDefault="00075C6B" w:rsidP="00075C6B">
            <w:pPr>
              <w:pStyle w:val="Tabletext"/>
              <w:rPr>
                <w:rFonts w:cs="Arial"/>
                <w:sz w:val="18"/>
                <w:szCs w:val="18"/>
                <w:lang w:eastAsia="en-GB"/>
              </w:rPr>
            </w:pPr>
            <w:r w:rsidRPr="00075C6B">
              <w:rPr>
                <w:rFonts w:cs="Arial"/>
                <w:sz w:val="18"/>
                <w:szCs w:val="18"/>
                <w:lang w:eastAsia="en-GB"/>
              </w:rPr>
              <w:t>Paragraph  3.1</w:t>
            </w:r>
          </w:p>
          <w:p w14:paraId="4F2FD743" w14:textId="3170E554" w:rsidR="00075C6B" w:rsidRPr="00075C6B" w:rsidRDefault="00075C6B" w:rsidP="00075C6B">
            <w:pPr>
              <w:pStyle w:val="Tabletext"/>
              <w:spacing w:before="0"/>
              <w:rPr>
                <w:rFonts w:cs="Arial"/>
                <w:sz w:val="18"/>
                <w:szCs w:val="18"/>
                <w:lang w:eastAsia="en-GB"/>
              </w:rPr>
            </w:pPr>
            <w:r w:rsidRPr="00075C6B">
              <w:rPr>
                <w:rFonts w:cs="Arial"/>
                <w:sz w:val="18"/>
                <w:szCs w:val="18"/>
                <w:lang w:eastAsia="en-GB"/>
              </w:rPr>
              <w:t>Paragraph  3.1 (b)</w:t>
            </w:r>
          </w:p>
        </w:tc>
      </w:tr>
      <w:tr w:rsidR="00075C6B" w:rsidRPr="00F74376" w14:paraId="701BE295" w14:textId="77777777" w:rsidTr="00053E50">
        <w:trPr>
          <w:trHeight w:val="337"/>
        </w:trPr>
        <w:tc>
          <w:tcPr>
            <w:tcW w:w="2351" w:type="pct"/>
            <w:shd w:val="clear" w:color="auto" w:fill="auto"/>
          </w:tcPr>
          <w:p w14:paraId="7BFE4A92" w14:textId="49F6D3FB" w:rsidR="00075C6B" w:rsidRPr="00075C6B" w:rsidRDefault="00075C6B" w:rsidP="00075C6B">
            <w:pPr>
              <w:autoSpaceDE w:val="0"/>
              <w:autoSpaceDN w:val="0"/>
              <w:adjustRightInd w:val="0"/>
              <w:spacing w:after="0" w:line="240" w:lineRule="auto"/>
              <w:rPr>
                <w:rFonts w:cs="Arial"/>
                <w:sz w:val="18"/>
                <w:szCs w:val="18"/>
                <w:lang w:eastAsia="en-GB"/>
              </w:rPr>
            </w:pPr>
            <w:r w:rsidRPr="00075C6B">
              <w:rPr>
                <w:rFonts w:cs="Arial"/>
                <w:sz w:val="18"/>
                <w:szCs w:val="18"/>
                <w:lang w:eastAsia="en-GB"/>
              </w:rPr>
              <w:t>NT instruction note 1 of 2021/22</w:t>
            </w:r>
          </w:p>
        </w:tc>
        <w:tc>
          <w:tcPr>
            <w:tcW w:w="2649" w:type="pct"/>
            <w:shd w:val="clear" w:color="auto" w:fill="auto"/>
          </w:tcPr>
          <w:p w14:paraId="657FBA53" w14:textId="622A96E5" w:rsidR="00075C6B" w:rsidRPr="00075C6B" w:rsidRDefault="00075C6B" w:rsidP="00075C6B">
            <w:pPr>
              <w:pStyle w:val="Tabletext"/>
              <w:spacing w:before="0"/>
              <w:rPr>
                <w:rFonts w:cs="Arial"/>
                <w:sz w:val="18"/>
                <w:szCs w:val="18"/>
                <w:lang w:eastAsia="en-GB"/>
              </w:rPr>
            </w:pPr>
            <w:r w:rsidRPr="00075C6B">
              <w:rPr>
                <w:rFonts w:cs="Arial"/>
                <w:sz w:val="18"/>
                <w:szCs w:val="18"/>
                <w:lang w:eastAsia="en-GB"/>
              </w:rPr>
              <w:t>Paragraph  4.1</w:t>
            </w:r>
          </w:p>
        </w:tc>
      </w:tr>
      <w:tr w:rsidR="00075C6B" w:rsidRPr="00F74376" w14:paraId="12477E6B" w14:textId="77777777" w:rsidTr="00053E50">
        <w:trPr>
          <w:trHeight w:val="337"/>
        </w:trPr>
        <w:tc>
          <w:tcPr>
            <w:tcW w:w="2351" w:type="pct"/>
            <w:shd w:val="clear" w:color="auto" w:fill="auto"/>
          </w:tcPr>
          <w:p w14:paraId="4DBB2EBA" w14:textId="055005B0" w:rsidR="00075C6B" w:rsidRPr="00075C6B" w:rsidRDefault="00075C6B" w:rsidP="00075C6B">
            <w:pPr>
              <w:autoSpaceDE w:val="0"/>
              <w:autoSpaceDN w:val="0"/>
              <w:adjustRightInd w:val="0"/>
              <w:spacing w:after="0" w:line="240" w:lineRule="auto"/>
              <w:rPr>
                <w:rFonts w:cs="Arial"/>
                <w:sz w:val="18"/>
                <w:szCs w:val="18"/>
                <w:lang w:eastAsia="en-GB"/>
              </w:rPr>
            </w:pPr>
            <w:r w:rsidRPr="00075C6B">
              <w:rPr>
                <w:rFonts w:cs="Arial"/>
                <w:sz w:val="18"/>
                <w:szCs w:val="18"/>
                <w:lang w:eastAsia="en-GB"/>
              </w:rPr>
              <w:t>Public Service Act</w:t>
            </w:r>
          </w:p>
        </w:tc>
        <w:tc>
          <w:tcPr>
            <w:tcW w:w="2649" w:type="pct"/>
            <w:shd w:val="clear" w:color="auto" w:fill="auto"/>
          </w:tcPr>
          <w:p w14:paraId="20FC8358" w14:textId="6C49C467" w:rsidR="00075C6B" w:rsidRPr="00075C6B" w:rsidRDefault="00075C6B" w:rsidP="00075C6B">
            <w:pPr>
              <w:pStyle w:val="Tabletext"/>
              <w:spacing w:before="0"/>
              <w:rPr>
                <w:rFonts w:cs="Arial"/>
                <w:sz w:val="18"/>
                <w:szCs w:val="18"/>
                <w:lang w:eastAsia="en-GB"/>
              </w:rPr>
            </w:pPr>
            <w:r w:rsidRPr="00075C6B">
              <w:rPr>
                <w:rFonts w:cs="Arial"/>
                <w:sz w:val="18"/>
                <w:szCs w:val="18"/>
                <w:lang w:eastAsia="en-GB"/>
              </w:rPr>
              <w:t>Section 30 (1)</w:t>
            </w:r>
          </w:p>
        </w:tc>
      </w:tr>
      <w:tr w:rsidR="00075C6B" w:rsidRPr="00F74376" w14:paraId="1A2FD3CA" w14:textId="77777777" w:rsidTr="00053E50">
        <w:trPr>
          <w:trHeight w:val="337"/>
        </w:trPr>
        <w:tc>
          <w:tcPr>
            <w:tcW w:w="2351" w:type="pct"/>
            <w:shd w:val="clear" w:color="auto" w:fill="auto"/>
          </w:tcPr>
          <w:p w14:paraId="3F39F239" w14:textId="36FF107C" w:rsidR="00075C6B" w:rsidRPr="00075C6B" w:rsidRDefault="00075C6B" w:rsidP="00075C6B">
            <w:pPr>
              <w:autoSpaceDE w:val="0"/>
              <w:autoSpaceDN w:val="0"/>
              <w:adjustRightInd w:val="0"/>
              <w:spacing w:after="0" w:line="240" w:lineRule="auto"/>
              <w:rPr>
                <w:rFonts w:cs="Arial"/>
                <w:sz w:val="18"/>
                <w:szCs w:val="18"/>
                <w:lang w:eastAsia="en-GB"/>
              </w:rPr>
            </w:pPr>
          </w:p>
        </w:tc>
        <w:tc>
          <w:tcPr>
            <w:tcW w:w="2649" w:type="pct"/>
            <w:shd w:val="clear" w:color="auto" w:fill="auto"/>
          </w:tcPr>
          <w:p w14:paraId="2D0E5717" w14:textId="72282389" w:rsidR="00075C6B" w:rsidRPr="00075C6B" w:rsidRDefault="00075C6B" w:rsidP="00075C6B">
            <w:pPr>
              <w:pStyle w:val="Tabletext"/>
              <w:spacing w:before="0"/>
              <w:rPr>
                <w:rFonts w:cs="Arial"/>
                <w:sz w:val="18"/>
                <w:szCs w:val="18"/>
                <w:lang w:eastAsia="en-GB"/>
              </w:rPr>
            </w:pPr>
          </w:p>
        </w:tc>
      </w:tr>
    </w:tbl>
    <w:p w14:paraId="1CD897FC" w14:textId="2F4EB219" w:rsidR="007C5D3C" w:rsidRPr="00F74376" w:rsidRDefault="007C5D3C" w:rsidP="005270C2">
      <w:pPr>
        <w:pStyle w:val="ARheading1"/>
      </w:pPr>
      <w:bookmarkStart w:id="42" w:name="E30"/>
      <w:bookmarkStart w:id="43" w:name="MRheading"/>
      <w:bookmarkStart w:id="44" w:name="MRIntro"/>
      <w:bookmarkStart w:id="45" w:name="Back25"/>
      <w:bookmarkStart w:id="46" w:name="X2"/>
      <w:bookmarkStart w:id="47" w:name="MRInsertprogramme"/>
      <w:bookmarkStart w:id="48" w:name="Back26"/>
      <w:bookmarkStart w:id="49" w:name="X3"/>
      <w:bookmarkStart w:id="50" w:name="MROpinion"/>
      <w:bookmarkStart w:id="51" w:name="X4"/>
      <w:bookmarkStart w:id="52" w:name="MRBasis"/>
      <w:bookmarkStart w:id="53" w:name="X5"/>
      <w:bookmarkStart w:id="54" w:name="Back35"/>
      <w:bookmarkStart w:id="55" w:name="MROthermatter"/>
      <w:bookmarkStart w:id="56" w:name="Back36"/>
      <w:bookmarkStart w:id="57" w:name="MRResponsibilities"/>
      <w:bookmarkStart w:id="58" w:name="X6"/>
      <w:bookmarkStart w:id="59" w:name="MRAGResponsibilities"/>
      <w:bookmarkStart w:id="60" w:name="Back29"/>
      <w:bookmarkStart w:id="61" w:name="MRDelete11"/>
      <w:bookmarkStart w:id="62" w:name="X7"/>
      <w:bookmarkStart w:id="63" w:name="Back30"/>
      <w:bookmarkStart w:id="64" w:name="MRLInsertprogramme"/>
      <w:bookmarkStart w:id="65" w:name="Back31"/>
      <w:bookmarkStart w:id="66" w:name="X8"/>
      <w:bookmarkStart w:id="67" w:name="MRLConclusion"/>
      <w:bookmarkStart w:id="68" w:name="ZZ4"/>
      <w:bookmarkStart w:id="69" w:name="E4a"/>
      <w:bookmarkStart w:id="70" w:name="X9"/>
      <w:bookmarkStart w:id="71" w:name="MRLBasis"/>
      <w:bookmarkStart w:id="72" w:name="Back33"/>
      <w:bookmarkStart w:id="73" w:name="MRLOthermatter"/>
      <w:bookmarkStart w:id="74" w:name="Back38"/>
      <w:bookmarkStart w:id="75" w:name="MRLResponsibilities"/>
      <w:bookmarkStart w:id="76" w:name="X10"/>
      <w:bookmarkStart w:id="77" w:name="MRLAGResponsibilities"/>
      <w:bookmarkStart w:id="78" w:name="MRAnnexureA"/>
      <w:bookmarkStart w:id="79" w:name="MRAnnexureA2"/>
      <w:bookmarkStart w:id="80" w:name="MRAnnexureB"/>
      <w:bookmarkStart w:id="81" w:name="MRAnnexureB4"/>
      <w:bookmarkStart w:id="82" w:name="MRAnnexureB5"/>
      <w:bookmarkStart w:id="83" w:name="E20"/>
      <w:bookmarkStart w:id="84" w:name="E21"/>
      <w:bookmarkStart w:id="85" w:name="Z2"/>
      <w:bookmarkStart w:id="86" w:name="E22"/>
      <w:bookmarkStart w:id="87" w:name="Z3"/>
      <w:bookmarkStart w:id="88" w:name="E23"/>
      <w:bookmarkStart w:id="89" w:name="Z4"/>
      <w:bookmarkStart w:id="90" w:name="Z5"/>
      <w:bookmarkStart w:id="91" w:name="E24"/>
      <w:bookmarkStart w:id="92" w:name="Z6"/>
      <w:bookmarkStart w:id="93" w:name="E25B"/>
      <w:bookmarkStart w:id="94" w:name="Z7"/>
      <w:bookmarkStart w:id="95" w:name="Z8"/>
      <w:bookmarkStart w:id="96" w:name="E27"/>
      <w:bookmarkStart w:id="97" w:name="Z9"/>
      <w:bookmarkStart w:id="98" w:name="Z10"/>
      <w:bookmarkStart w:id="99" w:name="E28A"/>
      <w:bookmarkStart w:id="100" w:name="E28B"/>
      <w:bookmarkStart w:id="101" w:name="E29"/>
      <w:bookmarkStart w:id="102" w:name="_GoBack"/>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7C5D3C" w:rsidRPr="00F74376" w:rsidSect="00F17DEF">
      <w:headerReference w:type="even" r:id="rId13"/>
      <w:headerReference w:type="default" r:id="rId14"/>
      <w:footerReference w:type="even" r:id="rId15"/>
      <w:footerReference w:type="default" r:id="rId16"/>
      <w:headerReference w:type="first" r:id="rId17"/>
      <w:footerReference w:type="first" r:id="rId18"/>
      <w:endnotePr>
        <w:numFmt w:val="decimal"/>
      </w:endnotePr>
      <w:pgSz w:w="11906" w:h="16838" w:code="9"/>
      <w:pgMar w:top="1134" w:right="1134" w:bottom="113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FEE6B" w14:textId="77777777" w:rsidR="00203824" w:rsidRPr="00A96254" w:rsidRDefault="00203824" w:rsidP="00A96254">
      <w:pPr>
        <w:pStyle w:val="Footer"/>
        <w:rPr>
          <w:sz w:val="2"/>
          <w:szCs w:val="2"/>
        </w:rPr>
      </w:pPr>
    </w:p>
  </w:endnote>
  <w:endnote w:type="continuationSeparator" w:id="0">
    <w:p w14:paraId="175030F5" w14:textId="77777777" w:rsidR="00203824" w:rsidRPr="00A96254" w:rsidRDefault="00203824" w:rsidP="00A96254">
      <w:pPr>
        <w:pStyle w:val="Footer"/>
        <w:rPr>
          <w:sz w:val="2"/>
          <w:szCs w:val="2"/>
        </w:rPr>
      </w:pPr>
    </w:p>
  </w:endnote>
  <w:endnote w:type="continuationNotice" w:id="1">
    <w:p w14:paraId="22F25555" w14:textId="77777777" w:rsidR="00203824" w:rsidRDefault="00203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C59DA" w14:textId="77777777" w:rsidR="00317D60" w:rsidRDefault="00317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1D638" w14:textId="77777777" w:rsidR="00317D60" w:rsidRDefault="00317D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B0279" w14:textId="77777777" w:rsidR="00317D60" w:rsidRDefault="00317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9C6E3" w14:textId="77777777" w:rsidR="00203824" w:rsidRDefault="00203824" w:rsidP="00077B4A">
      <w:pPr>
        <w:spacing w:after="0"/>
      </w:pPr>
      <w:r>
        <w:separator/>
      </w:r>
    </w:p>
  </w:footnote>
  <w:footnote w:type="continuationSeparator" w:id="0">
    <w:p w14:paraId="74C9FD31" w14:textId="77777777" w:rsidR="00203824" w:rsidRDefault="00203824" w:rsidP="00077B4A">
      <w:pPr>
        <w:spacing w:after="0"/>
      </w:pPr>
      <w:r>
        <w:continuationSeparator/>
      </w:r>
    </w:p>
  </w:footnote>
  <w:footnote w:type="continuationNotice" w:id="1">
    <w:p w14:paraId="09E1EC22" w14:textId="77777777" w:rsidR="00203824" w:rsidRDefault="002038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9BCC6" w14:textId="77777777" w:rsidR="00317D60" w:rsidRDefault="00317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1032A7" w14:paraId="547EC28F" w14:textId="77777777" w:rsidTr="005101D6">
      <w:trPr>
        <w:trHeight w:val="300"/>
      </w:trPr>
      <w:tc>
        <w:tcPr>
          <w:tcW w:w="3210" w:type="dxa"/>
        </w:tcPr>
        <w:p w14:paraId="25E2274B" w14:textId="2860E4B4" w:rsidR="001032A7" w:rsidRDefault="001032A7" w:rsidP="005101D6">
          <w:pPr>
            <w:pStyle w:val="Header"/>
            <w:ind w:left="-115"/>
          </w:pPr>
        </w:p>
      </w:tc>
      <w:tc>
        <w:tcPr>
          <w:tcW w:w="3210" w:type="dxa"/>
        </w:tcPr>
        <w:p w14:paraId="5D481120" w14:textId="36A8FE1D" w:rsidR="001032A7" w:rsidRDefault="001032A7" w:rsidP="005101D6">
          <w:pPr>
            <w:pStyle w:val="Header"/>
            <w:jc w:val="center"/>
          </w:pPr>
        </w:p>
      </w:tc>
      <w:tc>
        <w:tcPr>
          <w:tcW w:w="3210" w:type="dxa"/>
        </w:tcPr>
        <w:p w14:paraId="31B9A7FB" w14:textId="3CB3D0EF" w:rsidR="001032A7" w:rsidRDefault="001032A7" w:rsidP="005101D6">
          <w:pPr>
            <w:pStyle w:val="Header"/>
            <w:ind w:right="-115"/>
            <w:jc w:val="right"/>
          </w:pPr>
        </w:p>
      </w:tc>
    </w:tr>
  </w:tbl>
  <w:sdt>
    <w:sdtPr>
      <w:id w:val="-365991874"/>
      <w:docPartObj>
        <w:docPartGallery w:val="Watermarks"/>
        <w:docPartUnique/>
      </w:docPartObj>
    </w:sdtPr>
    <w:sdtContent>
      <w:p w14:paraId="569215AD" w14:textId="27524C34" w:rsidR="001032A7" w:rsidRDefault="00317D60" w:rsidP="005101D6">
        <w:pPr>
          <w:pStyle w:val="Header"/>
        </w:pPr>
        <w:r>
          <w:rPr>
            <w:noProof/>
            <w:lang w:val="en-US"/>
          </w:rPr>
          <w:pict w14:anchorId="2B8AAB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ED052" w14:textId="77777777" w:rsidR="00317D60" w:rsidRDefault="00317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D5E035E"/>
    <w:lvl w:ilvl="0">
      <w:start w:val="1"/>
      <w:numFmt w:val="decimal"/>
      <w:pStyle w:val="ListNumber"/>
      <w:lvlText w:val="%1."/>
      <w:lvlJc w:val="left"/>
      <w:pPr>
        <w:tabs>
          <w:tab w:val="num" w:pos="360"/>
        </w:tabs>
        <w:ind w:left="360" w:hanging="360"/>
      </w:pPr>
    </w:lvl>
  </w:abstractNum>
  <w:abstractNum w:abstractNumId="1" w15:restartNumberingAfterBreak="0">
    <w:nsid w:val="05357184"/>
    <w:multiLevelType w:val="hybridMultilevel"/>
    <w:tmpl w:val="57CA43B8"/>
    <w:lvl w:ilvl="0" w:tplc="1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6E533F"/>
    <w:multiLevelType w:val="hybridMultilevel"/>
    <w:tmpl w:val="D2DE4BB2"/>
    <w:lvl w:ilvl="0" w:tplc="B92448FE">
      <w:start w:val="1"/>
      <w:numFmt w:val="decimal"/>
      <w:lvlText w:val="%1."/>
      <w:lvlJc w:val="left"/>
      <w:pPr>
        <w:ind w:left="36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2A1FB0"/>
    <w:multiLevelType w:val="hybridMultilevel"/>
    <w:tmpl w:val="6D5E4B4C"/>
    <w:lvl w:ilvl="0" w:tplc="113A5880">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129C273D"/>
    <w:multiLevelType w:val="hybridMultilevel"/>
    <w:tmpl w:val="389287B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154F1A5B"/>
    <w:multiLevelType w:val="hybridMultilevel"/>
    <w:tmpl w:val="AA9A83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943F3A"/>
    <w:multiLevelType w:val="hybridMultilevel"/>
    <w:tmpl w:val="93F46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893221"/>
    <w:multiLevelType w:val="hybridMultilevel"/>
    <w:tmpl w:val="AB74EE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ECE6F9E"/>
    <w:multiLevelType w:val="hybridMultilevel"/>
    <w:tmpl w:val="B52253F2"/>
    <w:lvl w:ilvl="0" w:tplc="C240C376">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9" w15:restartNumberingAfterBreak="0">
    <w:nsid w:val="243D77E6"/>
    <w:multiLevelType w:val="hybridMultilevel"/>
    <w:tmpl w:val="29761604"/>
    <w:lvl w:ilvl="0" w:tplc="1C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E748F"/>
    <w:multiLevelType w:val="hybridMultilevel"/>
    <w:tmpl w:val="C838CA30"/>
    <w:lvl w:ilvl="0" w:tplc="1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514C86"/>
    <w:multiLevelType w:val="hybridMultilevel"/>
    <w:tmpl w:val="FD148DA8"/>
    <w:lvl w:ilvl="0" w:tplc="1C090001">
      <w:start w:val="1"/>
      <w:numFmt w:val="bullet"/>
      <w:lvlText w:val=""/>
      <w:lvlJc w:val="left"/>
      <w:pPr>
        <w:ind w:left="1174" w:hanging="360"/>
      </w:pPr>
      <w:rPr>
        <w:rFonts w:ascii="Symbol" w:hAnsi="Symbol" w:hint="default"/>
      </w:rPr>
    </w:lvl>
    <w:lvl w:ilvl="1" w:tplc="1C090003" w:tentative="1">
      <w:start w:val="1"/>
      <w:numFmt w:val="bullet"/>
      <w:lvlText w:val="o"/>
      <w:lvlJc w:val="left"/>
      <w:pPr>
        <w:ind w:left="1894" w:hanging="360"/>
      </w:pPr>
      <w:rPr>
        <w:rFonts w:ascii="Courier New" w:hAnsi="Courier New" w:cs="Courier New" w:hint="default"/>
      </w:rPr>
    </w:lvl>
    <w:lvl w:ilvl="2" w:tplc="1C090005" w:tentative="1">
      <w:start w:val="1"/>
      <w:numFmt w:val="bullet"/>
      <w:lvlText w:val=""/>
      <w:lvlJc w:val="left"/>
      <w:pPr>
        <w:ind w:left="2614" w:hanging="360"/>
      </w:pPr>
      <w:rPr>
        <w:rFonts w:ascii="Wingdings" w:hAnsi="Wingdings" w:hint="default"/>
      </w:rPr>
    </w:lvl>
    <w:lvl w:ilvl="3" w:tplc="1C090001" w:tentative="1">
      <w:start w:val="1"/>
      <w:numFmt w:val="bullet"/>
      <w:lvlText w:val=""/>
      <w:lvlJc w:val="left"/>
      <w:pPr>
        <w:ind w:left="3334" w:hanging="360"/>
      </w:pPr>
      <w:rPr>
        <w:rFonts w:ascii="Symbol" w:hAnsi="Symbol" w:hint="default"/>
      </w:rPr>
    </w:lvl>
    <w:lvl w:ilvl="4" w:tplc="1C090003" w:tentative="1">
      <w:start w:val="1"/>
      <w:numFmt w:val="bullet"/>
      <w:lvlText w:val="o"/>
      <w:lvlJc w:val="left"/>
      <w:pPr>
        <w:ind w:left="4054" w:hanging="360"/>
      </w:pPr>
      <w:rPr>
        <w:rFonts w:ascii="Courier New" w:hAnsi="Courier New" w:cs="Courier New" w:hint="default"/>
      </w:rPr>
    </w:lvl>
    <w:lvl w:ilvl="5" w:tplc="1C090005" w:tentative="1">
      <w:start w:val="1"/>
      <w:numFmt w:val="bullet"/>
      <w:lvlText w:val=""/>
      <w:lvlJc w:val="left"/>
      <w:pPr>
        <w:ind w:left="4774" w:hanging="360"/>
      </w:pPr>
      <w:rPr>
        <w:rFonts w:ascii="Wingdings" w:hAnsi="Wingdings" w:hint="default"/>
      </w:rPr>
    </w:lvl>
    <w:lvl w:ilvl="6" w:tplc="1C090001" w:tentative="1">
      <w:start w:val="1"/>
      <w:numFmt w:val="bullet"/>
      <w:lvlText w:val=""/>
      <w:lvlJc w:val="left"/>
      <w:pPr>
        <w:ind w:left="5494" w:hanging="360"/>
      </w:pPr>
      <w:rPr>
        <w:rFonts w:ascii="Symbol" w:hAnsi="Symbol" w:hint="default"/>
      </w:rPr>
    </w:lvl>
    <w:lvl w:ilvl="7" w:tplc="1C090003" w:tentative="1">
      <w:start w:val="1"/>
      <w:numFmt w:val="bullet"/>
      <w:lvlText w:val="o"/>
      <w:lvlJc w:val="left"/>
      <w:pPr>
        <w:ind w:left="6214" w:hanging="360"/>
      </w:pPr>
      <w:rPr>
        <w:rFonts w:ascii="Courier New" w:hAnsi="Courier New" w:cs="Courier New" w:hint="default"/>
      </w:rPr>
    </w:lvl>
    <w:lvl w:ilvl="8" w:tplc="1C090005" w:tentative="1">
      <w:start w:val="1"/>
      <w:numFmt w:val="bullet"/>
      <w:lvlText w:val=""/>
      <w:lvlJc w:val="left"/>
      <w:pPr>
        <w:ind w:left="6934" w:hanging="360"/>
      </w:pPr>
      <w:rPr>
        <w:rFonts w:ascii="Wingdings" w:hAnsi="Wingdings" w:hint="default"/>
      </w:rPr>
    </w:lvl>
  </w:abstractNum>
  <w:abstractNum w:abstractNumId="12" w15:restartNumberingAfterBreak="0">
    <w:nsid w:val="282A1C31"/>
    <w:multiLevelType w:val="hybridMultilevel"/>
    <w:tmpl w:val="48766D14"/>
    <w:lvl w:ilvl="0" w:tplc="05C4AD0C">
      <w:start w:val="1"/>
      <w:numFmt w:val="decimal"/>
      <w:lvlText w:val="%1."/>
      <w:lvlJc w:val="left"/>
      <w:pPr>
        <w:ind w:left="360" w:hanging="360"/>
      </w:pPr>
      <w:rPr>
        <w:rFonts w:ascii="Arial" w:hAnsi="Arial" w:cs="Arial" w:hint="default"/>
        <w:b w:val="0"/>
        <w:sz w:val="22"/>
        <w:szCs w:val="22"/>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15:restartNumberingAfterBreak="0">
    <w:nsid w:val="2A111140"/>
    <w:multiLevelType w:val="hybridMultilevel"/>
    <w:tmpl w:val="0096E6B4"/>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4" w15:restartNumberingAfterBreak="0">
    <w:nsid w:val="2A2163B8"/>
    <w:multiLevelType w:val="hybridMultilevel"/>
    <w:tmpl w:val="FEB4CF54"/>
    <w:lvl w:ilvl="0" w:tplc="74CC2FE4">
      <w:start w:val="1"/>
      <w:numFmt w:val="decimal"/>
      <w:pStyle w:val="Numbernor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2B6756C5"/>
    <w:multiLevelType w:val="hybridMultilevel"/>
    <w:tmpl w:val="41E41B0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 w15:restartNumberingAfterBreak="0">
    <w:nsid w:val="2F091D05"/>
    <w:multiLevelType w:val="hybridMultilevel"/>
    <w:tmpl w:val="336C2C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2290C89"/>
    <w:multiLevelType w:val="hybridMultilevel"/>
    <w:tmpl w:val="3D4AC2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393412B"/>
    <w:multiLevelType w:val="hybridMultilevel"/>
    <w:tmpl w:val="AA6C7E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5AE1816"/>
    <w:multiLevelType w:val="hybridMultilevel"/>
    <w:tmpl w:val="FDC6352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9E13E1D"/>
    <w:multiLevelType w:val="hybridMultilevel"/>
    <w:tmpl w:val="2F182C76"/>
    <w:lvl w:ilvl="0" w:tplc="DD58184C">
      <w:start w:val="1"/>
      <w:numFmt w:val="bullet"/>
      <w:pStyle w:val="ListParagraph"/>
      <w:lvlText w:val=""/>
      <w:lvlJc w:val="left"/>
      <w:pPr>
        <w:ind w:left="2394" w:hanging="360"/>
      </w:pPr>
      <w:rPr>
        <w:rFonts w:ascii="Symbol" w:hAnsi="Symbol" w:hint="default"/>
      </w:rPr>
    </w:lvl>
    <w:lvl w:ilvl="1" w:tplc="1C090003" w:tentative="1">
      <w:start w:val="1"/>
      <w:numFmt w:val="bullet"/>
      <w:lvlText w:val="o"/>
      <w:lvlJc w:val="left"/>
      <w:pPr>
        <w:ind w:left="3114" w:hanging="360"/>
      </w:pPr>
      <w:rPr>
        <w:rFonts w:ascii="Courier New" w:hAnsi="Courier New" w:cs="Courier New" w:hint="default"/>
      </w:rPr>
    </w:lvl>
    <w:lvl w:ilvl="2" w:tplc="1C090005" w:tentative="1">
      <w:start w:val="1"/>
      <w:numFmt w:val="bullet"/>
      <w:lvlText w:val=""/>
      <w:lvlJc w:val="left"/>
      <w:pPr>
        <w:ind w:left="3834" w:hanging="360"/>
      </w:pPr>
      <w:rPr>
        <w:rFonts w:ascii="Wingdings" w:hAnsi="Wingdings" w:hint="default"/>
      </w:rPr>
    </w:lvl>
    <w:lvl w:ilvl="3" w:tplc="1C090001" w:tentative="1">
      <w:start w:val="1"/>
      <w:numFmt w:val="bullet"/>
      <w:lvlText w:val=""/>
      <w:lvlJc w:val="left"/>
      <w:pPr>
        <w:ind w:left="4554" w:hanging="360"/>
      </w:pPr>
      <w:rPr>
        <w:rFonts w:ascii="Symbol" w:hAnsi="Symbol" w:hint="default"/>
      </w:rPr>
    </w:lvl>
    <w:lvl w:ilvl="4" w:tplc="1C090003" w:tentative="1">
      <w:start w:val="1"/>
      <w:numFmt w:val="bullet"/>
      <w:lvlText w:val="o"/>
      <w:lvlJc w:val="left"/>
      <w:pPr>
        <w:ind w:left="5274" w:hanging="360"/>
      </w:pPr>
      <w:rPr>
        <w:rFonts w:ascii="Courier New" w:hAnsi="Courier New" w:cs="Courier New" w:hint="default"/>
      </w:rPr>
    </w:lvl>
    <w:lvl w:ilvl="5" w:tplc="1C090005" w:tentative="1">
      <w:start w:val="1"/>
      <w:numFmt w:val="bullet"/>
      <w:lvlText w:val=""/>
      <w:lvlJc w:val="left"/>
      <w:pPr>
        <w:ind w:left="5994" w:hanging="360"/>
      </w:pPr>
      <w:rPr>
        <w:rFonts w:ascii="Wingdings" w:hAnsi="Wingdings" w:hint="default"/>
      </w:rPr>
    </w:lvl>
    <w:lvl w:ilvl="6" w:tplc="1C090001" w:tentative="1">
      <w:start w:val="1"/>
      <w:numFmt w:val="bullet"/>
      <w:lvlText w:val=""/>
      <w:lvlJc w:val="left"/>
      <w:pPr>
        <w:ind w:left="6714" w:hanging="360"/>
      </w:pPr>
      <w:rPr>
        <w:rFonts w:ascii="Symbol" w:hAnsi="Symbol" w:hint="default"/>
      </w:rPr>
    </w:lvl>
    <w:lvl w:ilvl="7" w:tplc="1C090003" w:tentative="1">
      <w:start w:val="1"/>
      <w:numFmt w:val="bullet"/>
      <w:lvlText w:val="o"/>
      <w:lvlJc w:val="left"/>
      <w:pPr>
        <w:ind w:left="7434" w:hanging="360"/>
      </w:pPr>
      <w:rPr>
        <w:rFonts w:ascii="Courier New" w:hAnsi="Courier New" w:cs="Courier New" w:hint="default"/>
      </w:rPr>
    </w:lvl>
    <w:lvl w:ilvl="8" w:tplc="1C090005" w:tentative="1">
      <w:start w:val="1"/>
      <w:numFmt w:val="bullet"/>
      <w:lvlText w:val=""/>
      <w:lvlJc w:val="left"/>
      <w:pPr>
        <w:ind w:left="8154" w:hanging="360"/>
      </w:pPr>
      <w:rPr>
        <w:rFonts w:ascii="Wingdings" w:hAnsi="Wingdings" w:hint="default"/>
      </w:rPr>
    </w:lvl>
  </w:abstractNum>
  <w:abstractNum w:abstractNumId="21" w15:restartNumberingAfterBreak="0">
    <w:nsid w:val="3A807B00"/>
    <w:multiLevelType w:val="hybridMultilevel"/>
    <w:tmpl w:val="7D9C290A"/>
    <w:lvl w:ilvl="0" w:tplc="98A20CEE">
      <w:start w:val="1"/>
      <w:numFmt w:val="bullet"/>
      <w:pStyle w:val="Footer1"/>
      <w:lvlText w:val=""/>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D3255A7"/>
    <w:multiLevelType w:val="hybridMultilevel"/>
    <w:tmpl w:val="4E7EC9AE"/>
    <w:lvl w:ilvl="0" w:tplc="1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14D6CF8"/>
    <w:multiLevelType w:val="hybridMultilevel"/>
    <w:tmpl w:val="879869D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15:restartNumberingAfterBreak="0">
    <w:nsid w:val="446A6864"/>
    <w:multiLevelType w:val="hybridMultilevel"/>
    <w:tmpl w:val="992254B0"/>
    <w:lvl w:ilvl="0" w:tplc="1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FC1E40"/>
    <w:multiLevelType w:val="hybridMultilevel"/>
    <w:tmpl w:val="461E50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4D77057E"/>
    <w:multiLevelType w:val="hybridMultilevel"/>
    <w:tmpl w:val="B3FC3E30"/>
    <w:lvl w:ilvl="0" w:tplc="B92448FE">
      <w:start w:val="1"/>
      <w:numFmt w:val="decimal"/>
      <w:lvlText w:val="%1."/>
      <w:lvlJc w:val="left"/>
      <w:pPr>
        <w:ind w:left="36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F791A3C"/>
    <w:multiLevelType w:val="hybridMultilevel"/>
    <w:tmpl w:val="42784F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09412D6"/>
    <w:multiLevelType w:val="hybridMultilevel"/>
    <w:tmpl w:val="677EED20"/>
    <w:lvl w:ilvl="0" w:tplc="3C1ED3F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2DF6FEE"/>
    <w:multiLevelType w:val="hybridMultilevel"/>
    <w:tmpl w:val="7BAAA30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1C6DE9"/>
    <w:multiLevelType w:val="hybridMultilevel"/>
    <w:tmpl w:val="9EC2140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632835F2"/>
    <w:multiLevelType w:val="hybridMultilevel"/>
    <w:tmpl w:val="71D45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5F76FAD"/>
    <w:multiLevelType w:val="hybridMultilevel"/>
    <w:tmpl w:val="FEAEE3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66A4128"/>
    <w:multiLevelType w:val="hybridMultilevel"/>
    <w:tmpl w:val="2C74AEE8"/>
    <w:lvl w:ilvl="0" w:tplc="B92448FE">
      <w:start w:val="1"/>
      <w:numFmt w:val="decimal"/>
      <w:lvlText w:val="%1."/>
      <w:lvlJc w:val="left"/>
      <w:pPr>
        <w:ind w:left="360" w:hanging="360"/>
      </w:pPr>
      <w:rPr>
        <w:b w: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4" w15:restartNumberingAfterBreak="0">
    <w:nsid w:val="6A657F00"/>
    <w:multiLevelType w:val="hybridMultilevel"/>
    <w:tmpl w:val="C2502B26"/>
    <w:lvl w:ilvl="0" w:tplc="AB4ABA24">
      <w:start w:val="1"/>
      <w:numFmt w:val="bullet"/>
      <w:pStyle w:val="Symbolbullet"/>
      <w:lvlText w:val=""/>
      <w:lvlJc w:val="left"/>
      <w:pPr>
        <w:ind w:left="720" w:hanging="360"/>
      </w:pPr>
      <w:rPr>
        <w:rFonts w:ascii="Symbol" w:hAnsi="Symbol" w:hint="default"/>
        <w:color w:val="auto"/>
        <w:sz w:val="28"/>
        <w:szCs w:val="2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D8F5BF5"/>
    <w:multiLevelType w:val="hybridMultilevel"/>
    <w:tmpl w:val="0A6665C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6" w15:restartNumberingAfterBreak="0">
    <w:nsid w:val="6EF1726A"/>
    <w:multiLevelType w:val="hybridMultilevel"/>
    <w:tmpl w:val="9078E52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6FE9185E"/>
    <w:multiLevelType w:val="hybridMultilevel"/>
    <w:tmpl w:val="1F9AB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06106C2"/>
    <w:multiLevelType w:val="hybridMultilevel"/>
    <w:tmpl w:val="E21A7B66"/>
    <w:lvl w:ilvl="0" w:tplc="1C090001">
      <w:start w:val="1"/>
      <w:numFmt w:val="bullet"/>
      <w:lvlText w:val=""/>
      <w:lvlJc w:val="left"/>
      <w:pPr>
        <w:ind w:left="720" w:hanging="360"/>
      </w:pPr>
      <w:rPr>
        <w:rFonts w:ascii="Symbol" w:hAnsi="Symbo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709311CC"/>
    <w:multiLevelType w:val="hybridMultilevel"/>
    <w:tmpl w:val="A96E9254"/>
    <w:lvl w:ilvl="0" w:tplc="86526E22">
      <w:start w:val="1"/>
      <w:numFmt w:val="bullet"/>
      <w:pStyle w:val="Bulletedlis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0" w15:restartNumberingAfterBreak="0">
    <w:nsid w:val="70B7768E"/>
    <w:multiLevelType w:val="hybridMultilevel"/>
    <w:tmpl w:val="E154DF6C"/>
    <w:lvl w:ilvl="0" w:tplc="88441DFE">
      <w:start w:val="1"/>
      <w:numFmt w:val="bullet"/>
      <w:pStyle w:val="Table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2613741"/>
    <w:multiLevelType w:val="hybridMultilevel"/>
    <w:tmpl w:val="ED9404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30C6021"/>
    <w:multiLevelType w:val="hybridMultilevel"/>
    <w:tmpl w:val="7616A488"/>
    <w:lvl w:ilvl="0" w:tplc="6BFC0738">
      <w:start w:val="1"/>
      <w:numFmt w:val="decimal"/>
      <w:lvlText w:val="%1."/>
      <w:lvlJc w:val="left"/>
      <w:pPr>
        <w:ind w:left="360" w:hanging="360"/>
      </w:pPr>
      <w:rPr>
        <w:rFonts w:asciiTheme="majorHAnsi" w:hAnsiTheme="majorHAnsi" w:cstheme="majorHAnsi" w:hint="default"/>
        <w:b w: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3" w15:restartNumberingAfterBreak="0">
    <w:nsid w:val="775962DB"/>
    <w:multiLevelType w:val="hybridMultilevel"/>
    <w:tmpl w:val="B0DED178"/>
    <w:lvl w:ilvl="0" w:tplc="B7D2829A">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4" w15:restartNumberingAfterBreak="0">
    <w:nsid w:val="7AB01258"/>
    <w:multiLevelType w:val="hybridMultilevel"/>
    <w:tmpl w:val="C72092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4"/>
  </w:num>
  <w:num w:numId="2">
    <w:abstractNumId w:val="21"/>
  </w:num>
  <w:num w:numId="3">
    <w:abstractNumId w:val="0"/>
  </w:num>
  <w:num w:numId="4">
    <w:abstractNumId w:val="39"/>
  </w:num>
  <w:num w:numId="5">
    <w:abstractNumId w:val="14"/>
  </w:num>
  <w:num w:numId="6">
    <w:abstractNumId w:val="20"/>
  </w:num>
  <w:num w:numId="7">
    <w:abstractNumId w:val="40"/>
  </w:num>
  <w:num w:numId="8">
    <w:abstractNumId w:val="13"/>
  </w:num>
  <w:num w:numId="9">
    <w:abstractNumId w:val="31"/>
  </w:num>
  <w:num w:numId="10">
    <w:abstractNumId w:val="9"/>
  </w:num>
  <w:num w:numId="11">
    <w:abstractNumId w:val="37"/>
  </w:num>
  <w:num w:numId="12">
    <w:abstractNumId w:val="16"/>
  </w:num>
  <w:num w:numId="13">
    <w:abstractNumId w:val="28"/>
  </w:num>
  <w:num w:numId="14">
    <w:abstractNumId w:val="33"/>
  </w:num>
  <w:num w:numId="15">
    <w:abstractNumId w:val="2"/>
  </w:num>
  <w:num w:numId="16">
    <w:abstractNumId w:val="26"/>
  </w:num>
  <w:num w:numId="17">
    <w:abstractNumId w:val="32"/>
  </w:num>
  <w:num w:numId="18">
    <w:abstractNumId w:val="12"/>
  </w:num>
  <w:num w:numId="19">
    <w:abstractNumId w:val="14"/>
    <w:lvlOverride w:ilvl="0">
      <w:startOverride w:val="1"/>
    </w:lvlOverride>
  </w:num>
  <w:num w:numId="20">
    <w:abstractNumId w:val="12"/>
    <w:lvlOverride w:ilvl="0">
      <w:startOverride w:val="1"/>
    </w:lvlOverride>
  </w:num>
  <w:num w:numId="21">
    <w:abstractNumId w:val="19"/>
  </w:num>
  <w:num w:numId="22">
    <w:abstractNumId w:val="8"/>
  </w:num>
  <w:num w:numId="23">
    <w:abstractNumId w:val="29"/>
  </w:num>
  <w:num w:numId="24">
    <w:abstractNumId w:val="38"/>
  </w:num>
  <w:num w:numId="25">
    <w:abstractNumId w:val="4"/>
  </w:num>
  <w:num w:numId="26">
    <w:abstractNumId w:val="6"/>
  </w:num>
  <w:num w:numId="27">
    <w:abstractNumId w:val="5"/>
  </w:num>
  <w:num w:numId="28">
    <w:abstractNumId w:val="17"/>
  </w:num>
  <w:num w:numId="29">
    <w:abstractNumId w:val="44"/>
  </w:num>
  <w:num w:numId="30">
    <w:abstractNumId w:val="15"/>
  </w:num>
  <w:num w:numId="31">
    <w:abstractNumId w:val="35"/>
  </w:num>
  <w:num w:numId="32">
    <w:abstractNumId w:val="18"/>
  </w:num>
  <w:num w:numId="33">
    <w:abstractNumId w:val="25"/>
  </w:num>
  <w:num w:numId="34">
    <w:abstractNumId w:val="11"/>
  </w:num>
  <w:num w:numId="35">
    <w:abstractNumId w:val="41"/>
  </w:num>
  <w:num w:numId="36">
    <w:abstractNumId w:val="27"/>
  </w:num>
  <w:num w:numId="37">
    <w:abstractNumId w:val="3"/>
  </w:num>
  <w:num w:numId="38">
    <w:abstractNumId w:val="42"/>
  </w:num>
  <w:num w:numId="39">
    <w:abstractNumId w:val="7"/>
  </w:num>
  <w:num w:numId="40">
    <w:abstractNumId w:val="22"/>
  </w:num>
  <w:num w:numId="41">
    <w:abstractNumId w:val="10"/>
  </w:num>
  <w:num w:numId="42">
    <w:abstractNumId w:val="1"/>
  </w:num>
  <w:num w:numId="43">
    <w:abstractNumId w:val="24"/>
  </w:num>
  <w:num w:numId="44">
    <w:abstractNumId w:val="43"/>
  </w:num>
  <w:num w:numId="45">
    <w:abstractNumId w:val="30"/>
  </w:num>
  <w:num w:numId="46">
    <w:abstractNumId w:val="36"/>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styleLockQFSet/>
  <w:defaultTabStop w:val="720"/>
  <w:characterSpacingControl w:val="doNotCompress"/>
  <w:hdrShapeDefaults>
    <o:shapedefaults v:ext="edit" spidmax="2050"/>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wMLY0MjI3tDQwsjRW0lEKTi0uzszPAykwNKkFAGY5pvQtAAAA"/>
  </w:docVars>
  <w:rsids>
    <w:rsidRoot w:val="0052594D"/>
    <w:rsid w:val="0000062F"/>
    <w:rsid w:val="00000709"/>
    <w:rsid w:val="00001202"/>
    <w:rsid w:val="00002901"/>
    <w:rsid w:val="000034E3"/>
    <w:rsid w:val="00003AD3"/>
    <w:rsid w:val="000045C0"/>
    <w:rsid w:val="000052CF"/>
    <w:rsid w:val="00005405"/>
    <w:rsid w:val="000058C7"/>
    <w:rsid w:val="00005B2A"/>
    <w:rsid w:val="00005DE0"/>
    <w:rsid w:val="00006198"/>
    <w:rsid w:val="00006C3A"/>
    <w:rsid w:val="00006F31"/>
    <w:rsid w:val="00006FB0"/>
    <w:rsid w:val="000075D7"/>
    <w:rsid w:val="00010095"/>
    <w:rsid w:val="000101E7"/>
    <w:rsid w:val="00010205"/>
    <w:rsid w:val="00010C1F"/>
    <w:rsid w:val="00010E64"/>
    <w:rsid w:val="00010EB6"/>
    <w:rsid w:val="00010F7B"/>
    <w:rsid w:val="00011550"/>
    <w:rsid w:val="0001155F"/>
    <w:rsid w:val="00011919"/>
    <w:rsid w:val="00011E97"/>
    <w:rsid w:val="00012888"/>
    <w:rsid w:val="00012E1D"/>
    <w:rsid w:val="00013D5A"/>
    <w:rsid w:val="00013E7D"/>
    <w:rsid w:val="00013F99"/>
    <w:rsid w:val="000146F0"/>
    <w:rsid w:val="00016B0B"/>
    <w:rsid w:val="00017932"/>
    <w:rsid w:val="00017D4B"/>
    <w:rsid w:val="000202AD"/>
    <w:rsid w:val="00021F01"/>
    <w:rsid w:val="00023414"/>
    <w:rsid w:val="000236D3"/>
    <w:rsid w:val="000239C1"/>
    <w:rsid w:val="00024768"/>
    <w:rsid w:val="00024E16"/>
    <w:rsid w:val="000252CD"/>
    <w:rsid w:val="000258F5"/>
    <w:rsid w:val="000259BD"/>
    <w:rsid w:val="00025C27"/>
    <w:rsid w:val="00026888"/>
    <w:rsid w:val="000268DF"/>
    <w:rsid w:val="00026D4E"/>
    <w:rsid w:val="00027D5C"/>
    <w:rsid w:val="0003025C"/>
    <w:rsid w:val="0003046F"/>
    <w:rsid w:val="00030576"/>
    <w:rsid w:val="00030BD1"/>
    <w:rsid w:val="00031462"/>
    <w:rsid w:val="000314DC"/>
    <w:rsid w:val="0003275B"/>
    <w:rsid w:val="00032A31"/>
    <w:rsid w:val="00032CA7"/>
    <w:rsid w:val="000333D2"/>
    <w:rsid w:val="00033CD7"/>
    <w:rsid w:val="000341B6"/>
    <w:rsid w:val="000342FD"/>
    <w:rsid w:val="000348CC"/>
    <w:rsid w:val="00034D19"/>
    <w:rsid w:val="0003517C"/>
    <w:rsid w:val="00035C0D"/>
    <w:rsid w:val="00036067"/>
    <w:rsid w:val="000364F3"/>
    <w:rsid w:val="000379B3"/>
    <w:rsid w:val="00037C49"/>
    <w:rsid w:val="00040C4E"/>
    <w:rsid w:val="00040F9C"/>
    <w:rsid w:val="0004119E"/>
    <w:rsid w:val="00041368"/>
    <w:rsid w:val="00041B2A"/>
    <w:rsid w:val="000429A7"/>
    <w:rsid w:val="00042D02"/>
    <w:rsid w:val="00043721"/>
    <w:rsid w:val="0004378F"/>
    <w:rsid w:val="00043A14"/>
    <w:rsid w:val="00044ABE"/>
    <w:rsid w:val="000451E1"/>
    <w:rsid w:val="00045851"/>
    <w:rsid w:val="00046813"/>
    <w:rsid w:val="0004793E"/>
    <w:rsid w:val="00051081"/>
    <w:rsid w:val="00051930"/>
    <w:rsid w:val="00052034"/>
    <w:rsid w:val="00052230"/>
    <w:rsid w:val="000530D3"/>
    <w:rsid w:val="000532B1"/>
    <w:rsid w:val="00053999"/>
    <w:rsid w:val="00053E50"/>
    <w:rsid w:val="0005516A"/>
    <w:rsid w:val="00055292"/>
    <w:rsid w:val="00055439"/>
    <w:rsid w:val="00055A7F"/>
    <w:rsid w:val="00055D5A"/>
    <w:rsid w:val="00055F6A"/>
    <w:rsid w:val="000564E7"/>
    <w:rsid w:val="00056BAE"/>
    <w:rsid w:val="0005718F"/>
    <w:rsid w:val="0005722A"/>
    <w:rsid w:val="00057CF1"/>
    <w:rsid w:val="00057ECA"/>
    <w:rsid w:val="000609FA"/>
    <w:rsid w:val="00061095"/>
    <w:rsid w:val="000615D0"/>
    <w:rsid w:val="00061626"/>
    <w:rsid w:val="000616AC"/>
    <w:rsid w:val="00061997"/>
    <w:rsid w:val="000639A0"/>
    <w:rsid w:val="00063C6A"/>
    <w:rsid w:val="00063F63"/>
    <w:rsid w:val="00064CE2"/>
    <w:rsid w:val="0006579F"/>
    <w:rsid w:val="00066BE4"/>
    <w:rsid w:val="000671F0"/>
    <w:rsid w:val="00067A24"/>
    <w:rsid w:val="00070651"/>
    <w:rsid w:val="00070ABE"/>
    <w:rsid w:val="000721CF"/>
    <w:rsid w:val="0007289B"/>
    <w:rsid w:val="00072E48"/>
    <w:rsid w:val="00073048"/>
    <w:rsid w:val="00073426"/>
    <w:rsid w:val="000740E4"/>
    <w:rsid w:val="00074190"/>
    <w:rsid w:val="00074883"/>
    <w:rsid w:val="00075AC3"/>
    <w:rsid w:val="00075BBA"/>
    <w:rsid w:val="00075C6B"/>
    <w:rsid w:val="00075D35"/>
    <w:rsid w:val="00076349"/>
    <w:rsid w:val="00076935"/>
    <w:rsid w:val="0007753F"/>
    <w:rsid w:val="00077B4A"/>
    <w:rsid w:val="00080EC1"/>
    <w:rsid w:val="00081536"/>
    <w:rsid w:val="000815B3"/>
    <w:rsid w:val="000816BF"/>
    <w:rsid w:val="00081946"/>
    <w:rsid w:val="000820E9"/>
    <w:rsid w:val="000833A4"/>
    <w:rsid w:val="00083522"/>
    <w:rsid w:val="00084214"/>
    <w:rsid w:val="0008438D"/>
    <w:rsid w:val="00084DF9"/>
    <w:rsid w:val="000851B1"/>
    <w:rsid w:val="00085670"/>
    <w:rsid w:val="00085725"/>
    <w:rsid w:val="00085BE9"/>
    <w:rsid w:val="0008680D"/>
    <w:rsid w:val="00086C90"/>
    <w:rsid w:val="00087403"/>
    <w:rsid w:val="00090503"/>
    <w:rsid w:val="000907AA"/>
    <w:rsid w:val="00090CFB"/>
    <w:rsid w:val="00090D63"/>
    <w:rsid w:val="00091B5B"/>
    <w:rsid w:val="00091D68"/>
    <w:rsid w:val="000923FF"/>
    <w:rsid w:val="000924B0"/>
    <w:rsid w:val="000925B5"/>
    <w:rsid w:val="000925D0"/>
    <w:rsid w:val="0009276B"/>
    <w:rsid w:val="000929F9"/>
    <w:rsid w:val="000937CB"/>
    <w:rsid w:val="00093858"/>
    <w:rsid w:val="00093A29"/>
    <w:rsid w:val="00093C59"/>
    <w:rsid w:val="00093D7A"/>
    <w:rsid w:val="00093E9A"/>
    <w:rsid w:val="0009551A"/>
    <w:rsid w:val="000956C2"/>
    <w:rsid w:val="000963BB"/>
    <w:rsid w:val="000968B0"/>
    <w:rsid w:val="00097C9C"/>
    <w:rsid w:val="00097E41"/>
    <w:rsid w:val="000A065E"/>
    <w:rsid w:val="000A073E"/>
    <w:rsid w:val="000A1434"/>
    <w:rsid w:val="000A1804"/>
    <w:rsid w:val="000A1984"/>
    <w:rsid w:val="000A1A13"/>
    <w:rsid w:val="000A2895"/>
    <w:rsid w:val="000A2DA9"/>
    <w:rsid w:val="000A2E18"/>
    <w:rsid w:val="000A2E9A"/>
    <w:rsid w:val="000A3B57"/>
    <w:rsid w:val="000A4911"/>
    <w:rsid w:val="000A5BEF"/>
    <w:rsid w:val="000A6400"/>
    <w:rsid w:val="000A68F4"/>
    <w:rsid w:val="000A6974"/>
    <w:rsid w:val="000A6DBF"/>
    <w:rsid w:val="000A7366"/>
    <w:rsid w:val="000B0264"/>
    <w:rsid w:val="000B12D8"/>
    <w:rsid w:val="000B2311"/>
    <w:rsid w:val="000B2E86"/>
    <w:rsid w:val="000B3465"/>
    <w:rsid w:val="000B409A"/>
    <w:rsid w:val="000B5981"/>
    <w:rsid w:val="000B5EC9"/>
    <w:rsid w:val="000B6439"/>
    <w:rsid w:val="000B64F1"/>
    <w:rsid w:val="000B665C"/>
    <w:rsid w:val="000B6A58"/>
    <w:rsid w:val="000C0343"/>
    <w:rsid w:val="000C0845"/>
    <w:rsid w:val="000C0C29"/>
    <w:rsid w:val="000C0D5F"/>
    <w:rsid w:val="000C1959"/>
    <w:rsid w:val="000C2FD6"/>
    <w:rsid w:val="000C30F3"/>
    <w:rsid w:val="000C35D9"/>
    <w:rsid w:val="000C397C"/>
    <w:rsid w:val="000C415F"/>
    <w:rsid w:val="000C4212"/>
    <w:rsid w:val="000C47EF"/>
    <w:rsid w:val="000C4BB7"/>
    <w:rsid w:val="000C5037"/>
    <w:rsid w:val="000C6231"/>
    <w:rsid w:val="000C761F"/>
    <w:rsid w:val="000D1E83"/>
    <w:rsid w:val="000D31B4"/>
    <w:rsid w:val="000D3774"/>
    <w:rsid w:val="000D3886"/>
    <w:rsid w:val="000D3F19"/>
    <w:rsid w:val="000D429C"/>
    <w:rsid w:val="000D4EAF"/>
    <w:rsid w:val="000D5013"/>
    <w:rsid w:val="000D54F2"/>
    <w:rsid w:val="000D5519"/>
    <w:rsid w:val="000D562F"/>
    <w:rsid w:val="000D600E"/>
    <w:rsid w:val="000D6B74"/>
    <w:rsid w:val="000D72B1"/>
    <w:rsid w:val="000E0103"/>
    <w:rsid w:val="000E0510"/>
    <w:rsid w:val="000E0A48"/>
    <w:rsid w:val="000E1622"/>
    <w:rsid w:val="000E25C2"/>
    <w:rsid w:val="000E2B78"/>
    <w:rsid w:val="000E3904"/>
    <w:rsid w:val="000E3941"/>
    <w:rsid w:val="000E435B"/>
    <w:rsid w:val="000E43E6"/>
    <w:rsid w:val="000E4E2C"/>
    <w:rsid w:val="000E5433"/>
    <w:rsid w:val="000E5455"/>
    <w:rsid w:val="000E70AF"/>
    <w:rsid w:val="000E76E2"/>
    <w:rsid w:val="000E7906"/>
    <w:rsid w:val="000F0AF3"/>
    <w:rsid w:val="000F1472"/>
    <w:rsid w:val="000F2348"/>
    <w:rsid w:val="000F2455"/>
    <w:rsid w:val="000F2463"/>
    <w:rsid w:val="000F2732"/>
    <w:rsid w:val="000F2AF7"/>
    <w:rsid w:val="000F3201"/>
    <w:rsid w:val="000F359D"/>
    <w:rsid w:val="000F3880"/>
    <w:rsid w:val="000F41A5"/>
    <w:rsid w:val="000F4398"/>
    <w:rsid w:val="000F458A"/>
    <w:rsid w:val="000F460B"/>
    <w:rsid w:val="000F7A4E"/>
    <w:rsid w:val="000F7B5F"/>
    <w:rsid w:val="001013C7"/>
    <w:rsid w:val="00101EDF"/>
    <w:rsid w:val="001027E0"/>
    <w:rsid w:val="0010281C"/>
    <w:rsid w:val="0010287D"/>
    <w:rsid w:val="00102998"/>
    <w:rsid w:val="00102B99"/>
    <w:rsid w:val="001031C1"/>
    <w:rsid w:val="001032A7"/>
    <w:rsid w:val="00103FD9"/>
    <w:rsid w:val="001055D6"/>
    <w:rsid w:val="001057AE"/>
    <w:rsid w:val="001059A4"/>
    <w:rsid w:val="00106389"/>
    <w:rsid w:val="001064BD"/>
    <w:rsid w:val="001069A1"/>
    <w:rsid w:val="00106B21"/>
    <w:rsid w:val="00110AF1"/>
    <w:rsid w:val="00110B70"/>
    <w:rsid w:val="00110D39"/>
    <w:rsid w:val="00111386"/>
    <w:rsid w:val="00111BE3"/>
    <w:rsid w:val="00111D33"/>
    <w:rsid w:val="00111FCD"/>
    <w:rsid w:val="00112636"/>
    <w:rsid w:val="00112E88"/>
    <w:rsid w:val="00113002"/>
    <w:rsid w:val="0011314F"/>
    <w:rsid w:val="0011433E"/>
    <w:rsid w:val="00114408"/>
    <w:rsid w:val="00114974"/>
    <w:rsid w:val="00116991"/>
    <w:rsid w:val="00117227"/>
    <w:rsid w:val="0011756E"/>
    <w:rsid w:val="0011784F"/>
    <w:rsid w:val="00120C87"/>
    <w:rsid w:val="00120E21"/>
    <w:rsid w:val="0012337C"/>
    <w:rsid w:val="001242EF"/>
    <w:rsid w:val="001255D0"/>
    <w:rsid w:val="00125A83"/>
    <w:rsid w:val="00126B8D"/>
    <w:rsid w:val="00126CE1"/>
    <w:rsid w:val="00127120"/>
    <w:rsid w:val="00127377"/>
    <w:rsid w:val="00127520"/>
    <w:rsid w:val="00127E41"/>
    <w:rsid w:val="00130602"/>
    <w:rsid w:val="00130762"/>
    <w:rsid w:val="00130C19"/>
    <w:rsid w:val="00130DDE"/>
    <w:rsid w:val="00130E94"/>
    <w:rsid w:val="001316FF"/>
    <w:rsid w:val="00131EBC"/>
    <w:rsid w:val="00132076"/>
    <w:rsid w:val="00132467"/>
    <w:rsid w:val="00134163"/>
    <w:rsid w:val="0013531D"/>
    <w:rsid w:val="001358F7"/>
    <w:rsid w:val="00135F84"/>
    <w:rsid w:val="00136DA2"/>
    <w:rsid w:val="00137B4F"/>
    <w:rsid w:val="00137C10"/>
    <w:rsid w:val="00140775"/>
    <w:rsid w:val="00140A06"/>
    <w:rsid w:val="00140CFA"/>
    <w:rsid w:val="00142260"/>
    <w:rsid w:val="0014232D"/>
    <w:rsid w:val="001426DB"/>
    <w:rsid w:val="00142992"/>
    <w:rsid w:val="00142BC9"/>
    <w:rsid w:val="001432BA"/>
    <w:rsid w:val="0014375A"/>
    <w:rsid w:val="00143EA6"/>
    <w:rsid w:val="00143FF7"/>
    <w:rsid w:val="001442D3"/>
    <w:rsid w:val="0014534C"/>
    <w:rsid w:val="00145737"/>
    <w:rsid w:val="00145ADF"/>
    <w:rsid w:val="00145CEA"/>
    <w:rsid w:val="00145F74"/>
    <w:rsid w:val="001473A0"/>
    <w:rsid w:val="0015009A"/>
    <w:rsid w:val="001507A4"/>
    <w:rsid w:val="00150C02"/>
    <w:rsid w:val="00150FEC"/>
    <w:rsid w:val="00151311"/>
    <w:rsid w:val="00151556"/>
    <w:rsid w:val="001523FC"/>
    <w:rsid w:val="001526BE"/>
    <w:rsid w:val="00152F8C"/>
    <w:rsid w:val="001531E2"/>
    <w:rsid w:val="0015376F"/>
    <w:rsid w:val="00153A14"/>
    <w:rsid w:val="00153AEF"/>
    <w:rsid w:val="00153B2A"/>
    <w:rsid w:val="00153E12"/>
    <w:rsid w:val="00154806"/>
    <w:rsid w:val="00154CCE"/>
    <w:rsid w:val="0015619F"/>
    <w:rsid w:val="00156586"/>
    <w:rsid w:val="001568F7"/>
    <w:rsid w:val="00156B10"/>
    <w:rsid w:val="00156C2B"/>
    <w:rsid w:val="00156C7E"/>
    <w:rsid w:val="00156C90"/>
    <w:rsid w:val="001577DD"/>
    <w:rsid w:val="001601F4"/>
    <w:rsid w:val="00162211"/>
    <w:rsid w:val="001627BC"/>
    <w:rsid w:val="00162A56"/>
    <w:rsid w:val="00162DF6"/>
    <w:rsid w:val="00163F9E"/>
    <w:rsid w:val="00164F09"/>
    <w:rsid w:val="0016552A"/>
    <w:rsid w:val="00165606"/>
    <w:rsid w:val="0016599B"/>
    <w:rsid w:val="00165FD6"/>
    <w:rsid w:val="00166349"/>
    <w:rsid w:val="00167125"/>
    <w:rsid w:val="00167878"/>
    <w:rsid w:val="00167DE4"/>
    <w:rsid w:val="001703AC"/>
    <w:rsid w:val="001713FF"/>
    <w:rsid w:val="001716C7"/>
    <w:rsid w:val="001717B8"/>
    <w:rsid w:val="00172158"/>
    <w:rsid w:val="00172234"/>
    <w:rsid w:val="0017260D"/>
    <w:rsid w:val="0017265D"/>
    <w:rsid w:val="0017267A"/>
    <w:rsid w:val="001729B8"/>
    <w:rsid w:val="00172B53"/>
    <w:rsid w:val="00173245"/>
    <w:rsid w:val="0017378E"/>
    <w:rsid w:val="00173E3C"/>
    <w:rsid w:val="001740AF"/>
    <w:rsid w:val="00174752"/>
    <w:rsid w:val="0017594D"/>
    <w:rsid w:val="00175BE4"/>
    <w:rsid w:val="001762D9"/>
    <w:rsid w:val="001777F2"/>
    <w:rsid w:val="00177A0B"/>
    <w:rsid w:val="00177FEA"/>
    <w:rsid w:val="0018066B"/>
    <w:rsid w:val="00180E5B"/>
    <w:rsid w:val="00181251"/>
    <w:rsid w:val="00181652"/>
    <w:rsid w:val="00182696"/>
    <w:rsid w:val="001828EA"/>
    <w:rsid w:val="00182A09"/>
    <w:rsid w:val="00183071"/>
    <w:rsid w:val="00183115"/>
    <w:rsid w:val="00183ABD"/>
    <w:rsid w:val="00183D45"/>
    <w:rsid w:val="00184113"/>
    <w:rsid w:val="00184470"/>
    <w:rsid w:val="00184A69"/>
    <w:rsid w:val="00184DF1"/>
    <w:rsid w:val="0018568E"/>
    <w:rsid w:val="001866D0"/>
    <w:rsid w:val="001870B6"/>
    <w:rsid w:val="00187D32"/>
    <w:rsid w:val="00187F24"/>
    <w:rsid w:val="00187FB0"/>
    <w:rsid w:val="00190767"/>
    <w:rsid w:val="001909A8"/>
    <w:rsid w:val="00190D61"/>
    <w:rsid w:val="00190EA7"/>
    <w:rsid w:val="0019147B"/>
    <w:rsid w:val="001915EC"/>
    <w:rsid w:val="00191895"/>
    <w:rsid w:val="0019278C"/>
    <w:rsid w:val="00192D21"/>
    <w:rsid w:val="0019320B"/>
    <w:rsid w:val="001935A5"/>
    <w:rsid w:val="00193D13"/>
    <w:rsid w:val="00194D7F"/>
    <w:rsid w:val="00195522"/>
    <w:rsid w:val="001956A7"/>
    <w:rsid w:val="00195CA3"/>
    <w:rsid w:val="00195FC8"/>
    <w:rsid w:val="001A01C0"/>
    <w:rsid w:val="001A084A"/>
    <w:rsid w:val="001A0BB2"/>
    <w:rsid w:val="001A1935"/>
    <w:rsid w:val="001A1BC0"/>
    <w:rsid w:val="001A1D22"/>
    <w:rsid w:val="001A257E"/>
    <w:rsid w:val="001A36E6"/>
    <w:rsid w:val="001A396E"/>
    <w:rsid w:val="001A3CC7"/>
    <w:rsid w:val="001A4273"/>
    <w:rsid w:val="001A42AE"/>
    <w:rsid w:val="001A458A"/>
    <w:rsid w:val="001A5C72"/>
    <w:rsid w:val="001A67FD"/>
    <w:rsid w:val="001A6889"/>
    <w:rsid w:val="001A7FD1"/>
    <w:rsid w:val="001B05D9"/>
    <w:rsid w:val="001B0607"/>
    <w:rsid w:val="001B1268"/>
    <w:rsid w:val="001B1885"/>
    <w:rsid w:val="001B1CDE"/>
    <w:rsid w:val="001B1D6C"/>
    <w:rsid w:val="001B2C18"/>
    <w:rsid w:val="001B33D1"/>
    <w:rsid w:val="001B42BC"/>
    <w:rsid w:val="001B455A"/>
    <w:rsid w:val="001B5A8E"/>
    <w:rsid w:val="001B62FA"/>
    <w:rsid w:val="001B69DD"/>
    <w:rsid w:val="001B6E45"/>
    <w:rsid w:val="001B6F87"/>
    <w:rsid w:val="001C0223"/>
    <w:rsid w:val="001C082A"/>
    <w:rsid w:val="001C25B1"/>
    <w:rsid w:val="001C2921"/>
    <w:rsid w:val="001C2991"/>
    <w:rsid w:val="001C29E4"/>
    <w:rsid w:val="001C36C0"/>
    <w:rsid w:val="001C499F"/>
    <w:rsid w:val="001C4E49"/>
    <w:rsid w:val="001C53D7"/>
    <w:rsid w:val="001C581F"/>
    <w:rsid w:val="001C587A"/>
    <w:rsid w:val="001C5D45"/>
    <w:rsid w:val="001C5EB2"/>
    <w:rsid w:val="001C6903"/>
    <w:rsid w:val="001C6D1E"/>
    <w:rsid w:val="001C7C68"/>
    <w:rsid w:val="001C7EC2"/>
    <w:rsid w:val="001C7ED3"/>
    <w:rsid w:val="001D061E"/>
    <w:rsid w:val="001D07BF"/>
    <w:rsid w:val="001D1099"/>
    <w:rsid w:val="001D285A"/>
    <w:rsid w:val="001D2A71"/>
    <w:rsid w:val="001D3174"/>
    <w:rsid w:val="001D3496"/>
    <w:rsid w:val="001D3BAD"/>
    <w:rsid w:val="001D4729"/>
    <w:rsid w:val="001D55F8"/>
    <w:rsid w:val="001D5F7B"/>
    <w:rsid w:val="001D63B4"/>
    <w:rsid w:val="001D640D"/>
    <w:rsid w:val="001D6563"/>
    <w:rsid w:val="001D691D"/>
    <w:rsid w:val="001D6AAA"/>
    <w:rsid w:val="001D7675"/>
    <w:rsid w:val="001E0814"/>
    <w:rsid w:val="001E0BDA"/>
    <w:rsid w:val="001E1C97"/>
    <w:rsid w:val="001E2808"/>
    <w:rsid w:val="001E2C37"/>
    <w:rsid w:val="001E361B"/>
    <w:rsid w:val="001E3992"/>
    <w:rsid w:val="001E403E"/>
    <w:rsid w:val="001E47C7"/>
    <w:rsid w:val="001E4839"/>
    <w:rsid w:val="001E5392"/>
    <w:rsid w:val="001E5653"/>
    <w:rsid w:val="001E56D8"/>
    <w:rsid w:val="001E5AC0"/>
    <w:rsid w:val="001E6870"/>
    <w:rsid w:val="001E6FFE"/>
    <w:rsid w:val="001E76F7"/>
    <w:rsid w:val="001E7730"/>
    <w:rsid w:val="001F003C"/>
    <w:rsid w:val="001F1469"/>
    <w:rsid w:val="001F1AF3"/>
    <w:rsid w:val="001F1E71"/>
    <w:rsid w:val="001F292A"/>
    <w:rsid w:val="001F2EF9"/>
    <w:rsid w:val="001F44D2"/>
    <w:rsid w:val="001F4792"/>
    <w:rsid w:val="001F4AA5"/>
    <w:rsid w:val="001F4CC2"/>
    <w:rsid w:val="001F4F57"/>
    <w:rsid w:val="001F60BB"/>
    <w:rsid w:val="001F70FD"/>
    <w:rsid w:val="001F7AC0"/>
    <w:rsid w:val="001F7F5A"/>
    <w:rsid w:val="00202351"/>
    <w:rsid w:val="00202646"/>
    <w:rsid w:val="0020321F"/>
    <w:rsid w:val="00203824"/>
    <w:rsid w:val="00204E8E"/>
    <w:rsid w:val="0020564D"/>
    <w:rsid w:val="002078AC"/>
    <w:rsid w:val="002078F8"/>
    <w:rsid w:val="002079F7"/>
    <w:rsid w:val="00207BCA"/>
    <w:rsid w:val="00210305"/>
    <w:rsid w:val="0021045A"/>
    <w:rsid w:val="00210BC2"/>
    <w:rsid w:val="00210EA4"/>
    <w:rsid w:val="0021157A"/>
    <w:rsid w:val="002122AB"/>
    <w:rsid w:val="0021251F"/>
    <w:rsid w:val="00212C5C"/>
    <w:rsid w:val="00212C6C"/>
    <w:rsid w:val="00212D71"/>
    <w:rsid w:val="002136DA"/>
    <w:rsid w:val="002138E0"/>
    <w:rsid w:val="00213B1E"/>
    <w:rsid w:val="002149FA"/>
    <w:rsid w:val="00215260"/>
    <w:rsid w:val="00215B6F"/>
    <w:rsid w:val="00215CC0"/>
    <w:rsid w:val="00216670"/>
    <w:rsid w:val="00216F38"/>
    <w:rsid w:val="002175C2"/>
    <w:rsid w:val="00217CE1"/>
    <w:rsid w:val="00217E64"/>
    <w:rsid w:val="00217F94"/>
    <w:rsid w:val="002202B5"/>
    <w:rsid w:val="002206F5"/>
    <w:rsid w:val="00220B8F"/>
    <w:rsid w:val="00221403"/>
    <w:rsid w:val="00221696"/>
    <w:rsid w:val="00221F88"/>
    <w:rsid w:val="00222765"/>
    <w:rsid w:val="00224EB4"/>
    <w:rsid w:val="00225836"/>
    <w:rsid w:val="00225B90"/>
    <w:rsid w:val="002261E9"/>
    <w:rsid w:val="00226895"/>
    <w:rsid w:val="00226B3F"/>
    <w:rsid w:val="00226F1A"/>
    <w:rsid w:val="00227107"/>
    <w:rsid w:val="00227507"/>
    <w:rsid w:val="00227835"/>
    <w:rsid w:val="002278F2"/>
    <w:rsid w:val="00231836"/>
    <w:rsid w:val="00231C2D"/>
    <w:rsid w:val="00232F77"/>
    <w:rsid w:val="002333BC"/>
    <w:rsid w:val="002338B2"/>
    <w:rsid w:val="00233BEA"/>
    <w:rsid w:val="00233C59"/>
    <w:rsid w:val="00234199"/>
    <w:rsid w:val="002341E9"/>
    <w:rsid w:val="00235CC9"/>
    <w:rsid w:val="00235D14"/>
    <w:rsid w:val="00235FD8"/>
    <w:rsid w:val="00236C61"/>
    <w:rsid w:val="00236D92"/>
    <w:rsid w:val="0023759F"/>
    <w:rsid w:val="00237C01"/>
    <w:rsid w:val="002405F1"/>
    <w:rsid w:val="0024062B"/>
    <w:rsid w:val="0024075E"/>
    <w:rsid w:val="00240C1C"/>
    <w:rsid w:val="002415B4"/>
    <w:rsid w:val="00241B95"/>
    <w:rsid w:val="002431CF"/>
    <w:rsid w:val="0024341C"/>
    <w:rsid w:val="00244040"/>
    <w:rsid w:val="00244FDE"/>
    <w:rsid w:val="00244FF7"/>
    <w:rsid w:val="0024549D"/>
    <w:rsid w:val="00245EED"/>
    <w:rsid w:val="002464CE"/>
    <w:rsid w:val="0024659D"/>
    <w:rsid w:val="00246770"/>
    <w:rsid w:val="00246785"/>
    <w:rsid w:val="00246E48"/>
    <w:rsid w:val="00246FA2"/>
    <w:rsid w:val="00247241"/>
    <w:rsid w:val="002474B3"/>
    <w:rsid w:val="00250355"/>
    <w:rsid w:val="00252114"/>
    <w:rsid w:val="002521FA"/>
    <w:rsid w:val="002523EF"/>
    <w:rsid w:val="0025325A"/>
    <w:rsid w:val="0025382B"/>
    <w:rsid w:val="00254081"/>
    <w:rsid w:val="00254789"/>
    <w:rsid w:val="002547A1"/>
    <w:rsid w:val="00254C9F"/>
    <w:rsid w:val="002553D9"/>
    <w:rsid w:val="00255BC0"/>
    <w:rsid w:val="00255CE3"/>
    <w:rsid w:val="002560FE"/>
    <w:rsid w:val="0025623C"/>
    <w:rsid w:val="0025646B"/>
    <w:rsid w:val="002569A0"/>
    <w:rsid w:val="00256A6A"/>
    <w:rsid w:val="00257154"/>
    <w:rsid w:val="00257A9A"/>
    <w:rsid w:val="00260179"/>
    <w:rsid w:val="00260F3B"/>
    <w:rsid w:val="00260FFC"/>
    <w:rsid w:val="00261372"/>
    <w:rsid w:val="0026158B"/>
    <w:rsid w:val="00261722"/>
    <w:rsid w:val="002617B2"/>
    <w:rsid w:val="00261DA8"/>
    <w:rsid w:val="00261F97"/>
    <w:rsid w:val="0026233F"/>
    <w:rsid w:val="00262620"/>
    <w:rsid w:val="00262639"/>
    <w:rsid w:val="0026279F"/>
    <w:rsid w:val="00262CBC"/>
    <w:rsid w:val="002631C5"/>
    <w:rsid w:val="00263748"/>
    <w:rsid w:val="00264388"/>
    <w:rsid w:val="0026445F"/>
    <w:rsid w:val="0026477F"/>
    <w:rsid w:val="00264825"/>
    <w:rsid w:val="0026494B"/>
    <w:rsid w:val="00264B36"/>
    <w:rsid w:val="00264B62"/>
    <w:rsid w:val="00265868"/>
    <w:rsid w:val="00266120"/>
    <w:rsid w:val="00266224"/>
    <w:rsid w:val="00266891"/>
    <w:rsid w:val="00266D22"/>
    <w:rsid w:val="00266E2C"/>
    <w:rsid w:val="00266FF3"/>
    <w:rsid w:val="00267316"/>
    <w:rsid w:val="00267AA1"/>
    <w:rsid w:val="00270486"/>
    <w:rsid w:val="0027052F"/>
    <w:rsid w:val="00270C10"/>
    <w:rsid w:val="002713D3"/>
    <w:rsid w:val="0027232E"/>
    <w:rsid w:val="00273191"/>
    <w:rsid w:val="00273C4F"/>
    <w:rsid w:val="00273D64"/>
    <w:rsid w:val="0027488A"/>
    <w:rsid w:val="00274B54"/>
    <w:rsid w:val="00274E51"/>
    <w:rsid w:val="00275C07"/>
    <w:rsid w:val="00275CE6"/>
    <w:rsid w:val="00276128"/>
    <w:rsid w:val="0027613B"/>
    <w:rsid w:val="00280099"/>
    <w:rsid w:val="002805D4"/>
    <w:rsid w:val="00281454"/>
    <w:rsid w:val="0028156B"/>
    <w:rsid w:val="002819AE"/>
    <w:rsid w:val="002822E0"/>
    <w:rsid w:val="00282353"/>
    <w:rsid w:val="0028250C"/>
    <w:rsid w:val="00282624"/>
    <w:rsid w:val="002828B3"/>
    <w:rsid w:val="00283510"/>
    <w:rsid w:val="00283F45"/>
    <w:rsid w:val="00284B09"/>
    <w:rsid w:val="00284B31"/>
    <w:rsid w:val="00285703"/>
    <w:rsid w:val="002858DF"/>
    <w:rsid w:val="0028637F"/>
    <w:rsid w:val="00286AD0"/>
    <w:rsid w:val="0028762F"/>
    <w:rsid w:val="0028789D"/>
    <w:rsid w:val="002925A7"/>
    <w:rsid w:val="00293062"/>
    <w:rsid w:val="002936F1"/>
    <w:rsid w:val="002947D9"/>
    <w:rsid w:val="00295137"/>
    <w:rsid w:val="00295C7A"/>
    <w:rsid w:val="002960C6"/>
    <w:rsid w:val="00296800"/>
    <w:rsid w:val="00296AE4"/>
    <w:rsid w:val="00296C60"/>
    <w:rsid w:val="00297723"/>
    <w:rsid w:val="00297EB6"/>
    <w:rsid w:val="00297F95"/>
    <w:rsid w:val="002A0053"/>
    <w:rsid w:val="002A1054"/>
    <w:rsid w:val="002A1BFA"/>
    <w:rsid w:val="002A1F38"/>
    <w:rsid w:val="002A3718"/>
    <w:rsid w:val="002A3D31"/>
    <w:rsid w:val="002A3EB7"/>
    <w:rsid w:val="002A50E9"/>
    <w:rsid w:val="002A53D2"/>
    <w:rsid w:val="002A69A3"/>
    <w:rsid w:val="002A6EC5"/>
    <w:rsid w:val="002A7071"/>
    <w:rsid w:val="002A7956"/>
    <w:rsid w:val="002A7CAE"/>
    <w:rsid w:val="002B095D"/>
    <w:rsid w:val="002B1B6E"/>
    <w:rsid w:val="002B1F6D"/>
    <w:rsid w:val="002B2B5E"/>
    <w:rsid w:val="002B35C1"/>
    <w:rsid w:val="002B37AF"/>
    <w:rsid w:val="002B3BC8"/>
    <w:rsid w:val="002B3D2A"/>
    <w:rsid w:val="002B429F"/>
    <w:rsid w:val="002B475A"/>
    <w:rsid w:val="002B4CEC"/>
    <w:rsid w:val="002B4DAF"/>
    <w:rsid w:val="002B60AB"/>
    <w:rsid w:val="002B64E2"/>
    <w:rsid w:val="002B7108"/>
    <w:rsid w:val="002B7CAA"/>
    <w:rsid w:val="002C0A30"/>
    <w:rsid w:val="002C1595"/>
    <w:rsid w:val="002C1B02"/>
    <w:rsid w:val="002C1C79"/>
    <w:rsid w:val="002C22E0"/>
    <w:rsid w:val="002C2B3F"/>
    <w:rsid w:val="002C2EC2"/>
    <w:rsid w:val="002C3698"/>
    <w:rsid w:val="002C375C"/>
    <w:rsid w:val="002C3836"/>
    <w:rsid w:val="002C3B86"/>
    <w:rsid w:val="002C47F4"/>
    <w:rsid w:val="002C493F"/>
    <w:rsid w:val="002C49F4"/>
    <w:rsid w:val="002C5755"/>
    <w:rsid w:val="002C62FB"/>
    <w:rsid w:val="002C6DA9"/>
    <w:rsid w:val="002C7085"/>
    <w:rsid w:val="002C759B"/>
    <w:rsid w:val="002D00B4"/>
    <w:rsid w:val="002D06A3"/>
    <w:rsid w:val="002D0C5A"/>
    <w:rsid w:val="002D118E"/>
    <w:rsid w:val="002D1223"/>
    <w:rsid w:val="002D1C87"/>
    <w:rsid w:val="002D213A"/>
    <w:rsid w:val="002D2481"/>
    <w:rsid w:val="002D2492"/>
    <w:rsid w:val="002D271E"/>
    <w:rsid w:val="002D2CD8"/>
    <w:rsid w:val="002D3AB5"/>
    <w:rsid w:val="002D47A4"/>
    <w:rsid w:val="002D4BA2"/>
    <w:rsid w:val="002D61D8"/>
    <w:rsid w:val="002D624A"/>
    <w:rsid w:val="002D6531"/>
    <w:rsid w:val="002D68A5"/>
    <w:rsid w:val="002D757A"/>
    <w:rsid w:val="002D78D2"/>
    <w:rsid w:val="002D7D5D"/>
    <w:rsid w:val="002E07AB"/>
    <w:rsid w:val="002E12B6"/>
    <w:rsid w:val="002E1569"/>
    <w:rsid w:val="002E179D"/>
    <w:rsid w:val="002E22F1"/>
    <w:rsid w:val="002E2351"/>
    <w:rsid w:val="002E28D0"/>
    <w:rsid w:val="002E2DAD"/>
    <w:rsid w:val="002E3D2F"/>
    <w:rsid w:val="002E43A5"/>
    <w:rsid w:val="002E43FC"/>
    <w:rsid w:val="002E4C62"/>
    <w:rsid w:val="002E4CE0"/>
    <w:rsid w:val="002E57DE"/>
    <w:rsid w:val="002E5BF4"/>
    <w:rsid w:val="002E637C"/>
    <w:rsid w:val="002E652A"/>
    <w:rsid w:val="002E6C76"/>
    <w:rsid w:val="002E72BE"/>
    <w:rsid w:val="002E76A1"/>
    <w:rsid w:val="002E7829"/>
    <w:rsid w:val="002E7D17"/>
    <w:rsid w:val="002E7F2D"/>
    <w:rsid w:val="002F0426"/>
    <w:rsid w:val="002F043E"/>
    <w:rsid w:val="002F0BD3"/>
    <w:rsid w:val="002F0E7E"/>
    <w:rsid w:val="002F1301"/>
    <w:rsid w:val="002F177B"/>
    <w:rsid w:val="002F1AD8"/>
    <w:rsid w:val="002F245A"/>
    <w:rsid w:val="002F2C01"/>
    <w:rsid w:val="002F2F82"/>
    <w:rsid w:val="002F3BAF"/>
    <w:rsid w:val="002F3C5E"/>
    <w:rsid w:val="002F403F"/>
    <w:rsid w:val="002F439B"/>
    <w:rsid w:val="002F487D"/>
    <w:rsid w:val="002F4B5E"/>
    <w:rsid w:val="002F5BE7"/>
    <w:rsid w:val="002F5C03"/>
    <w:rsid w:val="002F6C67"/>
    <w:rsid w:val="00300304"/>
    <w:rsid w:val="00300449"/>
    <w:rsid w:val="00300AEE"/>
    <w:rsid w:val="00301268"/>
    <w:rsid w:val="00301787"/>
    <w:rsid w:val="003017D1"/>
    <w:rsid w:val="0030296B"/>
    <w:rsid w:val="00302A84"/>
    <w:rsid w:val="00302B0B"/>
    <w:rsid w:val="003033DC"/>
    <w:rsid w:val="003036AA"/>
    <w:rsid w:val="00303B32"/>
    <w:rsid w:val="003045D1"/>
    <w:rsid w:val="00304771"/>
    <w:rsid w:val="00305454"/>
    <w:rsid w:val="00305530"/>
    <w:rsid w:val="00305B22"/>
    <w:rsid w:val="0030637E"/>
    <w:rsid w:val="00310BD4"/>
    <w:rsid w:val="003110CA"/>
    <w:rsid w:val="00311B0A"/>
    <w:rsid w:val="003137E7"/>
    <w:rsid w:val="00313A2A"/>
    <w:rsid w:val="0031454E"/>
    <w:rsid w:val="00314B0E"/>
    <w:rsid w:val="00314DBA"/>
    <w:rsid w:val="003153AE"/>
    <w:rsid w:val="00315A84"/>
    <w:rsid w:val="00315BF1"/>
    <w:rsid w:val="00315D8C"/>
    <w:rsid w:val="00316029"/>
    <w:rsid w:val="003170F9"/>
    <w:rsid w:val="0031741A"/>
    <w:rsid w:val="00317CCD"/>
    <w:rsid w:val="00317D60"/>
    <w:rsid w:val="003203F4"/>
    <w:rsid w:val="003208F9"/>
    <w:rsid w:val="00320ADC"/>
    <w:rsid w:val="003212F1"/>
    <w:rsid w:val="0032157B"/>
    <w:rsid w:val="00321D2E"/>
    <w:rsid w:val="003231DA"/>
    <w:rsid w:val="00323592"/>
    <w:rsid w:val="00323685"/>
    <w:rsid w:val="003236D5"/>
    <w:rsid w:val="003244C5"/>
    <w:rsid w:val="003246E0"/>
    <w:rsid w:val="00324798"/>
    <w:rsid w:val="00325284"/>
    <w:rsid w:val="003254FF"/>
    <w:rsid w:val="00325506"/>
    <w:rsid w:val="003258A2"/>
    <w:rsid w:val="003258C7"/>
    <w:rsid w:val="0032654B"/>
    <w:rsid w:val="0032671E"/>
    <w:rsid w:val="00330931"/>
    <w:rsid w:val="00330E1B"/>
    <w:rsid w:val="00331012"/>
    <w:rsid w:val="0033130B"/>
    <w:rsid w:val="00331345"/>
    <w:rsid w:val="0033197D"/>
    <w:rsid w:val="003321B2"/>
    <w:rsid w:val="003328A1"/>
    <w:rsid w:val="00333060"/>
    <w:rsid w:val="003331F7"/>
    <w:rsid w:val="00333B9B"/>
    <w:rsid w:val="003340A1"/>
    <w:rsid w:val="00334BFF"/>
    <w:rsid w:val="00335320"/>
    <w:rsid w:val="00335E05"/>
    <w:rsid w:val="00336CBB"/>
    <w:rsid w:val="00336E15"/>
    <w:rsid w:val="003375C1"/>
    <w:rsid w:val="00337DB7"/>
    <w:rsid w:val="0034024F"/>
    <w:rsid w:val="00340747"/>
    <w:rsid w:val="00341372"/>
    <w:rsid w:val="0034151B"/>
    <w:rsid w:val="00341AC8"/>
    <w:rsid w:val="00342A25"/>
    <w:rsid w:val="00342D03"/>
    <w:rsid w:val="003440B4"/>
    <w:rsid w:val="00344486"/>
    <w:rsid w:val="003447C9"/>
    <w:rsid w:val="00344BD6"/>
    <w:rsid w:val="00344DB8"/>
    <w:rsid w:val="00344EB1"/>
    <w:rsid w:val="003455F0"/>
    <w:rsid w:val="00345633"/>
    <w:rsid w:val="00345962"/>
    <w:rsid w:val="00345C64"/>
    <w:rsid w:val="00345F3A"/>
    <w:rsid w:val="00346833"/>
    <w:rsid w:val="00346C0F"/>
    <w:rsid w:val="003474B8"/>
    <w:rsid w:val="00350454"/>
    <w:rsid w:val="003505B4"/>
    <w:rsid w:val="00350956"/>
    <w:rsid w:val="00350C94"/>
    <w:rsid w:val="00352F98"/>
    <w:rsid w:val="00353136"/>
    <w:rsid w:val="003533EF"/>
    <w:rsid w:val="00353691"/>
    <w:rsid w:val="00353E1A"/>
    <w:rsid w:val="00354863"/>
    <w:rsid w:val="00354A5B"/>
    <w:rsid w:val="00354CC4"/>
    <w:rsid w:val="003550B5"/>
    <w:rsid w:val="00355240"/>
    <w:rsid w:val="00355393"/>
    <w:rsid w:val="003555DA"/>
    <w:rsid w:val="0035578D"/>
    <w:rsid w:val="00355BDA"/>
    <w:rsid w:val="00355DB2"/>
    <w:rsid w:val="0035616B"/>
    <w:rsid w:val="00356A65"/>
    <w:rsid w:val="00356CD3"/>
    <w:rsid w:val="00356E62"/>
    <w:rsid w:val="00356FDE"/>
    <w:rsid w:val="00357D36"/>
    <w:rsid w:val="00357F79"/>
    <w:rsid w:val="00361178"/>
    <w:rsid w:val="00361A3A"/>
    <w:rsid w:val="00361B3A"/>
    <w:rsid w:val="00361CCF"/>
    <w:rsid w:val="00362802"/>
    <w:rsid w:val="0036451D"/>
    <w:rsid w:val="00365384"/>
    <w:rsid w:val="00365920"/>
    <w:rsid w:val="0036630A"/>
    <w:rsid w:val="0036670E"/>
    <w:rsid w:val="00366ED8"/>
    <w:rsid w:val="00366F35"/>
    <w:rsid w:val="00367582"/>
    <w:rsid w:val="00367705"/>
    <w:rsid w:val="00370529"/>
    <w:rsid w:val="00370CC8"/>
    <w:rsid w:val="0037171D"/>
    <w:rsid w:val="003730A7"/>
    <w:rsid w:val="00376BFC"/>
    <w:rsid w:val="00377212"/>
    <w:rsid w:val="00377443"/>
    <w:rsid w:val="00381A0D"/>
    <w:rsid w:val="00381CE3"/>
    <w:rsid w:val="00382397"/>
    <w:rsid w:val="00382F89"/>
    <w:rsid w:val="003845FF"/>
    <w:rsid w:val="003848CB"/>
    <w:rsid w:val="0038493B"/>
    <w:rsid w:val="00384D0D"/>
    <w:rsid w:val="00384E0E"/>
    <w:rsid w:val="003858FE"/>
    <w:rsid w:val="003860BC"/>
    <w:rsid w:val="00386EA2"/>
    <w:rsid w:val="003870F7"/>
    <w:rsid w:val="00387627"/>
    <w:rsid w:val="00387AD7"/>
    <w:rsid w:val="003906FB"/>
    <w:rsid w:val="003909A8"/>
    <w:rsid w:val="00390C6D"/>
    <w:rsid w:val="00391C24"/>
    <w:rsid w:val="00391DEB"/>
    <w:rsid w:val="0039203F"/>
    <w:rsid w:val="00392315"/>
    <w:rsid w:val="00392382"/>
    <w:rsid w:val="00392548"/>
    <w:rsid w:val="00392835"/>
    <w:rsid w:val="003936D6"/>
    <w:rsid w:val="00393A0A"/>
    <w:rsid w:val="0039412D"/>
    <w:rsid w:val="003946FD"/>
    <w:rsid w:val="00394BB7"/>
    <w:rsid w:val="00394F5D"/>
    <w:rsid w:val="00396062"/>
    <w:rsid w:val="0039612C"/>
    <w:rsid w:val="003978E6"/>
    <w:rsid w:val="003A0D07"/>
    <w:rsid w:val="003A1244"/>
    <w:rsid w:val="003A1C30"/>
    <w:rsid w:val="003A251A"/>
    <w:rsid w:val="003A331A"/>
    <w:rsid w:val="003A34C4"/>
    <w:rsid w:val="003A356B"/>
    <w:rsid w:val="003A38A7"/>
    <w:rsid w:val="003A48C5"/>
    <w:rsid w:val="003A4A5C"/>
    <w:rsid w:val="003A52DE"/>
    <w:rsid w:val="003A572E"/>
    <w:rsid w:val="003A64FA"/>
    <w:rsid w:val="003A671D"/>
    <w:rsid w:val="003A75A2"/>
    <w:rsid w:val="003A78E7"/>
    <w:rsid w:val="003B0E41"/>
    <w:rsid w:val="003B0F7B"/>
    <w:rsid w:val="003B1725"/>
    <w:rsid w:val="003B1827"/>
    <w:rsid w:val="003B1ACF"/>
    <w:rsid w:val="003B1C16"/>
    <w:rsid w:val="003B2F73"/>
    <w:rsid w:val="003B4E42"/>
    <w:rsid w:val="003B4F9D"/>
    <w:rsid w:val="003B53FD"/>
    <w:rsid w:val="003B5C44"/>
    <w:rsid w:val="003B603E"/>
    <w:rsid w:val="003B6216"/>
    <w:rsid w:val="003B6649"/>
    <w:rsid w:val="003B6DB5"/>
    <w:rsid w:val="003B72B6"/>
    <w:rsid w:val="003B779E"/>
    <w:rsid w:val="003B7C9B"/>
    <w:rsid w:val="003C08BD"/>
    <w:rsid w:val="003C1E69"/>
    <w:rsid w:val="003C2B23"/>
    <w:rsid w:val="003C2B3A"/>
    <w:rsid w:val="003C2CBA"/>
    <w:rsid w:val="003C35F4"/>
    <w:rsid w:val="003C39AA"/>
    <w:rsid w:val="003C3C04"/>
    <w:rsid w:val="003C3F43"/>
    <w:rsid w:val="003C4228"/>
    <w:rsid w:val="003C4843"/>
    <w:rsid w:val="003C4A7A"/>
    <w:rsid w:val="003C50AA"/>
    <w:rsid w:val="003C5248"/>
    <w:rsid w:val="003C5D1A"/>
    <w:rsid w:val="003C5F31"/>
    <w:rsid w:val="003C608E"/>
    <w:rsid w:val="003C6608"/>
    <w:rsid w:val="003C6647"/>
    <w:rsid w:val="003C6FD6"/>
    <w:rsid w:val="003C6FF5"/>
    <w:rsid w:val="003C7101"/>
    <w:rsid w:val="003C72BE"/>
    <w:rsid w:val="003D06E3"/>
    <w:rsid w:val="003D1043"/>
    <w:rsid w:val="003D2C7D"/>
    <w:rsid w:val="003D2FA4"/>
    <w:rsid w:val="003D3559"/>
    <w:rsid w:val="003D54F7"/>
    <w:rsid w:val="003D615A"/>
    <w:rsid w:val="003D6261"/>
    <w:rsid w:val="003D62C3"/>
    <w:rsid w:val="003D6A30"/>
    <w:rsid w:val="003D6B4D"/>
    <w:rsid w:val="003D6C3C"/>
    <w:rsid w:val="003D6EEF"/>
    <w:rsid w:val="003E0D80"/>
    <w:rsid w:val="003E1446"/>
    <w:rsid w:val="003E1AA6"/>
    <w:rsid w:val="003E3218"/>
    <w:rsid w:val="003E3A9C"/>
    <w:rsid w:val="003E4131"/>
    <w:rsid w:val="003E4507"/>
    <w:rsid w:val="003E4929"/>
    <w:rsid w:val="003E530D"/>
    <w:rsid w:val="003E577A"/>
    <w:rsid w:val="003E58D2"/>
    <w:rsid w:val="003E58EB"/>
    <w:rsid w:val="003E5D16"/>
    <w:rsid w:val="003E5E18"/>
    <w:rsid w:val="003E617D"/>
    <w:rsid w:val="003E627D"/>
    <w:rsid w:val="003E7007"/>
    <w:rsid w:val="003E75DE"/>
    <w:rsid w:val="003E7640"/>
    <w:rsid w:val="003E7C94"/>
    <w:rsid w:val="003E7E7C"/>
    <w:rsid w:val="003F0A28"/>
    <w:rsid w:val="003F10A4"/>
    <w:rsid w:val="003F1930"/>
    <w:rsid w:val="003F1F61"/>
    <w:rsid w:val="003F208D"/>
    <w:rsid w:val="003F25A1"/>
    <w:rsid w:val="003F2779"/>
    <w:rsid w:val="003F3148"/>
    <w:rsid w:val="003F396C"/>
    <w:rsid w:val="003F3DC6"/>
    <w:rsid w:val="003F456E"/>
    <w:rsid w:val="003F4EC7"/>
    <w:rsid w:val="003F528B"/>
    <w:rsid w:val="003F6122"/>
    <w:rsid w:val="003F705B"/>
    <w:rsid w:val="003F7B3B"/>
    <w:rsid w:val="003F7E17"/>
    <w:rsid w:val="003F7F97"/>
    <w:rsid w:val="003F7FD4"/>
    <w:rsid w:val="00400BFE"/>
    <w:rsid w:val="00400EA9"/>
    <w:rsid w:val="004013BC"/>
    <w:rsid w:val="004015BB"/>
    <w:rsid w:val="00401B06"/>
    <w:rsid w:val="00401C21"/>
    <w:rsid w:val="00401E0E"/>
    <w:rsid w:val="00401FEF"/>
    <w:rsid w:val="00402322"/>
    <w:rsid w:val="0040253F"/>
    <w:rsid w:val="00403C08"/>
    <w:rsid w:val="004043C9"/>
    <w:rsid w:val="0040469B"/>
    <w:rsid w:val="00405219"/>
    <w:rsid w:val="00406551"/>
    <w:rsid w:val="00406664"/>
    <w:rsid w:val="00406D93"/>
    <w:rsid w:val="004103B0"/>
    <w:rsid w:val="004116C9"/>
    <w:rsid w:val="004122B9"/>
    <w:rsid w:val="00412466"/>
    <w:rsid w:val="004127AE"/>
    <w:rsid w:val="00412D17"/>
    <w:rsid w:val="00412F67"/>
    <w:rsid w:val="0041318F"/>
    <w:rsid w:val="004131CE"/>
    <w:rsid w:val="00413626"/>
    <w:rsid w:val="00413A5E"/>
    <w:rsid w:val="00414C27"/>
    <w:rsid w:val="00414CBB"/>
    <w:rsid w:val="00414DA1"/>
    <w:rsid w:val="00414E3F"/>
    <w:rsid w:val="00414F56"/>
    <w:rsid w:val="004158ED"/>
    <w:rsid w:val="00416137"/>
    <w:rsid w:val="00416897"/>
    <w:rsid w:val="00416AC7"/>
    <w:rsid w:val="00416B1D"/>
    <w:rsid w:val="00417490"/>
    <w:rsid w:val="00417AC0"/>
    <w:rsid w:val="0042059B"/>
    <w:rsid w:val="00420DB4"/>
    <w:rsid w:val="00420DC0"/>
    <w:rsid w:val="0042222D"/>
    <w:rsid w:val="00422676"/>
    <w:rsid w:val="00422826"/>
    <w:rsid w:val="0042285C"/>
    <w:rsid w:val="00422986"/>
    <w:rsid w:val="004229F6"/>
    <w:rsid w:val="00422B98"/>
    <w:rsid w:val="00422F27"/>
    <w:rsid w:val="00422FE9"/>
    <w:rsid w:val="004232A3"/>
    <w:rsid w:val="00423845"/>
    <w:rsid w:val="004241EE"/>
    <w:rsid w:val="00424207"/>
    <w:rsid w:val="0042469D"/>
    <w:rsid w:val="00424974"/>
    <w:rsid w:val="00426164"/>
    <w:rsid w:val="0042758D"/>
    <w:rsid w:val="00427CB2"/>
    <w:rsid w:val="00427D76"/>
    <w:rsid w:val="00427DA6"/>
    <w:rsid w:val="00427E61"/>
    <w:rsid w:val="004309FC"/>
    <w:rsid w:val="00431275"/>
    <w:rsid w:val="00432836"/>
    <w:rsid w:val="00433630"/>
    <w:rsid w:val="00433CBE"/>
    <w:rsid w:val="00433CF3"/>
    <w:rsid w:val="0043420D"/>
    <w:rsid w:val="00434914"/>
    <w:rsid w:val="00434B8A"/>
    <w:rsid w:val="00435906"/>
    <w:rsid w:val="00435EBC"/>
    <w:rsid w:val="00436078"/>
    <w:rsid w:val="00436C4B"/>
    <w:rsid w:val="00436D67"/>
    <w:rsid w:val="00437628"/>
    <w:rsid w:val="00437B93"/>
    <w:rsid w:val="0044054D"/>
    <w:rsid w:val="00440CE0"/>
    <w:rsid w:val="00440E39"/>
    <w:rsid w:val="004411DB"/>
    <w:rsid w:val="00441E68"/>
    <w:rsid w:val="0044282A"/>
    <w:rsid w:val="0044389E"/>
    <w:rsid w:val="00443C80"/>
    <w:rsid w:val="0044405E"/>
    <w:rsid w:val="00445BAC"/>
    <w:rsid w:val="004469F4"/>
    <w:rsid w:val="004470B8"/>
    <w:rsid w:val="00447823"/>
    <w:rsid w:val="00447B82"/>
    <w:rsid w:val="00447C62"/>
    <w:rsid w:val="00450619"/>
    <w:rsid w:val="00450A02"/>
    <w:rsid w:val="00450AF8"/>
    <w:rsid w:val="0045172C"/>
    <w:rsid w:val="00451968"/>
    <w:rsid w:val="00452AA5"/>
    <w:rsid w:val="00452F03"/>
    <w:rsid w:val="00453899"/>
    <w:rsid w:val="00453DD2"/>
    <w:rsid w:val="00454031"/>
    <w:rsid w:val="0045455E"/>
    <w:rsid w:val="0045548D"/>
    <w:rsid w:val="0045608A"/>
    <w:rsid w:val="004562E0"/>
    <w:rsid w:val="00456B36"/>
    <w:rsid w:val="00457D5A"/>
    <w:rsid w:val="00457F4B"/>
    <w:rsid w:val="00461407"/>
    <w:rsid w:val="00461969"/>
    <w:rsid w:val="00461B20"/>
    <w:rsid w:val="0046257A"/>
    <w:rsid w:val="00462923"/>
    <w:rsid w:val="00462957"/>
    <w:rsid w:val="00462C27"/>
    <w:rsid w:val="00462C81"/>
    <w:rsid w:val="004630E4"/>
    <w:rsid w:val="004633BB"/>
    <w:rsid w:val="0046340C"/>
    <w:rsid w:val="00463C60"/>
    <w:rsid w:val="00464370"/>
    <w:rsid w:val="00465377"/>
    <w:rsid w:val="004653F7"/>
    <w:rsid w:val="00465408"/>
    <w:rsid w:val="00465504"/>
    <w:rsid w:val="00465A79"/>
    <w:rsid w:val="0046603D"/>
    <w:rsid w:val="00466080"/>
    <w:rsid w:val="00466467"/>
    <w:rsid w:val="0046662D"/>
    <w:rsid w:val="00466766"/>
    <w:rsid w:val="004669AD"/>
    <w:rsid w:val="0046701B"/>
    <w:rsid w:val="0046708F"/>
    <w:rsid w:val="004671C7"/>
    <w:rsid w:val="00467AC9"/>
    <w:rsid w:val="0047242B"/>
    <w:rsid w:val="00472C04"/>
    <w:rsid w:val="00473517"/>
    <w:rsid w:val="00473E1F"/>
    <w:rsid w:val="00474170"/>
    <w:rsid w:val="004746D1"/>
    <w:rsid w:val="0047525B"/>
    <w:rsid w:val="0047552E"/>
    <w:rsid w:val="004757AC"/>
    <w:rsid w:val="00475D4A"/>
    <w:rsid w:val="00475D89"/>
    <w:rsid w:val="0047614F"/>
    <w:rsid w:val="004763D9"/>
    <w:rsid w:val="00476A4B"/>
    <w:rsid w:val="0047712C"/>
    <w:rsid w:val="00477332"/>
    <w:rsid w:val="004773BA"/>
    <w:rsid w:val="00477D8F"/>
    <w:rsid w:val="00477DE8"/>
    <w:rsid w:val="004801D8"/>
    <w:rsid w:val="00480310"/>
    <w:rsid w:val="00480757"/>
    <w:rsid w:val="00481F19"/>
    <w:rsid w:val="004820E9"/>
    <w:rsid w:val="004832B7"/>
    <w:rsid w:val="004832D7"/>
    <w:rsid w:val="00483AE3"/>
    <w:rsid w:val="00483CC1"/>
    <w:rsid w:val="00484474"/>
    <w:rsid w:val="0048448A"/>
    <w:rsid w:val="00484902"/>
    <w:rsid w:val="00486C8B"/>
    <w:rsid w:val="00486D76"/>
    <w:rsid w:val="004902C3"/>
    <w:rsid w:val="00490487"/>
    <w:rsid w:val="004907F9"/>
    <w:rsid w:val="00490A42"/>
    <w:rsid w:val="00490C5C"/>
    <w:rsid w:val="004914E9"/>
    <w:rsid w:val="004919FC"/>
    <w:rsid w:val="0049253D"/>
    <w:rsid w:val="00493F9B"/>
    <w:rsid w:val="004940A6"/>
    <w:rsid w:val="00494DDC"/>
    <w:rsid w:val="00495E20"/>
    <w:rsid w:val="0049631D"/>
    <w:rsid w:val="00496716"/>
    <w:rsid w:val="00496A0A"/>
    <w:rsid w:val="00496B36"/>
    <w:rsid w:val="00497269"/>
    <w:rsid w:val="004976CB"/>
    <w:rsid w:val="004A0332"/>
    <w:rsid w:val="004A046E"/>
    <w:rsid w:val="004A0A0C"/>
    <w:rsid w:val="004A0F98"/>
    <w:rsid w:val="004A122C"/>
    <w:rsid w:val="004A134E"/>
    <w:rsid w:val="004A26B0"/>
    <w:rsid w:val="004A31C3"/>
    <w:rsid w:val="004A43A9"/>
    <w:rsid w:val="004A48F5"/>
    <w:rsid w:val="004A492C"/>
    <w:rsid w:val="004A51C8"/>
    <w:rsid w:val="004A51CF"/>
    <w:rsid w:val="004A58DC"/>
    <w:rsid w:val="004A6784"/>
    <w:rsid w:val="004A6851"/>
    <w:rsid w:val="004A6DFA"/>
    <w:rsid w:val="004A7338"/>
    <w:rsid w:val="004A7345"/>
    <w:rsid w:val="004B19C4"/>
    <w:rsid w:val="004B1B02"/>
    <w:rsid w:val="004B25C2"/>
    <w:rsid w:val="004B285B"/>
    <w:rsid w:val="004B2B82"/>
    <w:rsid w:val="004B39D5"/>
    <w:rsid w:val="004B3EB7"/>
    <w:rsid w:val="004B4227"/>
    <w:rsid w:val="004B4865"/>
    <w:rsid w:val="004B49BB"/>
    <w:rsid w:val="004B4FC0"/>
    <w:rsid w:val="004B50B8"/>
    <w:rsid w:val="004B5957"/>
    <w:rsid w:val="004B59A4"/>
    <w:rsid w:val="004B59ED"/>
    <w:rsid w:val="004B5F94"/>
    <w:rsid w:val="004B67DA"/>
    <w:rsid w:val="004B68C3"/>
    <w:rsid w:val="004B6FDD"/>
    <w:rsid w:val="004B7ACD"/>
    <w:rsid w:val="004B7B2F"/>
    <w:rsid w:val="004C04A1"/>
    <w:rsid w:val="004C0592"/>
    <w:rsid w:val="004C0C53"/>
    <w:rsid w:val="004C0F74"/>
    <w:rsid w:val="004C100C"/>
    <w:rsid w:val="004C1178"/>
    <w:rsid w:val="004C1304"/>
    <w:rsid w:val="004C193C"/>
    <w:rsid w:val="004C2E8B"/>
    <w:rsid w:val="004C35A6"/>
    <w:rsid w:val="004C3F8F"/>
    <w:rsid w:val="004C436D"/>
    <w:rsid w:val="004C456D"/>
    <w:rsid w:val="004C4AB3"/>
    <w:rsid w:val="004C5752"/>
    <w:rsid w:val="004C5E57"/>
    <w:rsid w:val="004C5FBF"/>
    <w:rsid w:val="004C6FA2"/>
    <w:rsid w:val="004C733F"/>
    <w:rsid w:val="004C7394"/>
    <w:rsid w:val="004D000B"/>
    <w:rsid w:val="004D04B2"/>
    <w:rsid w:val="004D05CB"/>
    <w:rsid w:val="004D07FB"/>
    <w:rsid w:val="004D129A"/>
    <w:rsid w:val="004D19F5"/>
    <w:rsid w:val="004D2465"/>
    <w:rsid w:val="004D2C7A"/>
    <w:rsid w:val="004D3437"/>
    <w:rsid w:val="004D3877"/>
    <w:rsid w:val="004D438F"/>
    <w:rsid w:val="004D4A09"/>
    <w:rsid w:val="004D4C50"/>
    <w:rsid w:val="004D5067"/>
    <w:rsid w:val="004D523B"/>
    <w:rsid w:val="004D539C"/>
    <w:rsid w:val="004D561D"/>
    <w:rsid w:val="004D5622"/>
    <w:rsid w:val="004D65FF"/>
    <w:rsid w:val="004D769E"/>
    <w:rsid w:val="004E01B2"/>
    <w:rsid w:val="004E077B"/>
    <w:rsid w:val="004E14C0"/>
    <w:rsid w:val="004E1915"/>
    <w:rsid w:val="004E1A8B"/>
    <w:rsid w:val="004E24CA"/>
    <w:rsid w:val="004E29A3"/>
    <w:rsid w:val="004E6822"/>
    <w:rsid w:val="004E7B13"/>
    <w:rsid w:val="004E7B69"/>
    <w:rsid w:val="004E7E59"/>
    <w:rsid w:val="004F0066"/>
    <w:rsid w:val="004F0305"/>
    <w:rsid w:val="004F059E"/>
    <w:rsid w:val="004F0B29"/>
    <w:rsid w:val="004F162C"/>
    <w:rsid w:val="004F1C32"/>
    <w:rsid w:val="004F2493"/>
    <w:rsid w:val="004F2756"/>
    <w:rsid w:val="004F42CA"/>
    <w:rsid w:val="004F461A"/>
    <w:rsid w:val="004F4F77"/>
    <w:rsid w:val="004F50DE"/>
    <w:rsid w:val="004F5610"/>
    <w:rsid w:val="004F5ABB"/>
    <w:rsid w:val="004F5BC0"/>
    <w:rsid w:val="004F5C3F"/>
    <w:rsid w:val="004F6BFF"/>
    <w:rsid w:val="004F77EB"/>
    <w:rsid w:val="005009E2"/>
    <w:rsid w:val="00500A3E"/>
    <w:rsid w:val="00500B4E"/>
    <w:rsid w:val="00500C59"/>
    <w:rsid w:val="00501B28"/>
    <w:rsid w:val="00501B63"/>
    <w:rsid w:val="005021FB"/>
    <w:rsid w:val="0050300A"/>
    <w:rsid w:val="00503A74"/>
    <w:rsid w:val="00504480"/>
    <w:rsid w:val="00504B63"/>
    <w:rsid w:val="00505106"/>
    <w:rsid w:val="0050570C"/>
    <w:rsid w:val="00506355"/>
    <w:rsid w:val="00506397"/>
    <w:rsid w:val="005066C9"/>
    <w:rsid w:val="005067A4"/>
    <w:rsid w:val="005069EA"/>
    <w:rsid w:val="00507025"/>
    <w:rsid w:val="00507901"/>
    <w:rsid w:val="00507CA2"/>
    <w:rsid w:val="00510182"/>
    <w:rsid w:val="005101D6"/>
    <w:rsid w:val="00510FF8"/>
    <w:rsid w:val="00511415"/>
    <w:rsid w:val="00511ACA"/>
    <w:rsid w:val="00511BBC"/>
    <w:rsid w:val="00513748"/>
    <w:rsid w:val="005137AF"/>
    <w:rsid w:val="00513AA7"/>
    <w:rsid w:val="00513C2E"/>
    <w:rsid w:val="0051415C"/>
    <w:rsid w:val="0051474C"/>
    <w:rsid w:val="00515896"/>
    <w:rsid w:val="00517DBE"/>
    <w:rsid w:val="00520003"/>
    <w:rsid w:val="0052103A"/>
    <w:rsid w:val="00521952"/>
    <w:rsid w:val="00521B9F"/>
    <w:rsid w:val="00522022"/>
    <w:rsid w:val="00522213"/>
    <w:rsid w:val="005226AD"/>
    <w:rsid w:val="00522D7A"/>
    <w:rsid w:val="00523535"/>
    <w:rsid w:val="00524189"/>
    <w:rsid w:val="00524608"/>
    <w:rsid w:val="005248BF"/>
    <w:rsid w:val="005249CD"/>
    <w:rsid w:val="00524B62"/>
    <w:rsid w:val="00524DA3"/>
    <w:rsid w:val="005251E7"/>
    <w:rsid w:val="005257F5"/>
    <w:rsid w:val="0052594D"/>
    <w:rsid w:val="00525A88"/>
    <w:rsid w:val="00525AC8"/>
    <w:rsid w:val="00525AD2"/>
    <w:rsid w:val="00525D72"/>
    <w:rsid w:val="005260AA"/>
    <w:rsid w:val="00526A53"/>
    <w:rsid w:val="00526F57"/>
    <w:rsid w:val="005270C2"/>
    <w:rsid w:val="005273F4"/>
    <w:rsid w:val="00530868"/>
    <w:rsid w:val="0053154A"/>
    <w:rsid w:val="005317EC"/>
    <w:rsid w:val="00531B32"/>
    <w:rsid w:val="00532965"/>
    <w:rsid w:val="00533F12"/>
    <w:rsid w:val="005345F2"/>
    <w:rsid w:val="0053480D"/>
    <w:rsid w:val="00534CBF"/>
    <w:rsid w:val="00535793"/>
    <w:rsid w:val="00536120"/>
    <w:rsid w:val="00536492"/>
    <w:rsid w:val="00536B28"/>
    <w:rsid w:val="00536CA3"/>
    <w:rsid w:val="005373F6"/>
    <w:rsid w:val="00537B0C"/>
    <w:rsid w:val="00537DB4"/>
    <w:rsid w:val="00537FD9"/>
    <w:rsid w:val="00541CCB"/>
    <w:rsid w:val="005420ED"/>
    <w:rsid w:val="0054230E"/>
    <w:rsid w:val="00543428"/>
    <w:rsid w:val="00543A0E"/>
    <w:rsid w:val="005444DE"/>
    <w:rsid w:val="00544DB3"/>
    <w:rsid w:val="00544F4D"/>
    <w:rsid w:val="00545F0F"/>
    <w:rsid w:val="00545FB7"/>
    <w:rsid w:val="005469E9"/>
    <w:rsid w:val="00546F1C"/>
    <w:rsid w:val="00547116"/>
    <w:rsid w:val="00547588"/>
    <w:rsid w:val="00547A26"/>
    <w:rsid w:val="00550BAB"/>
    <w:rsid w:val="00551389"/>
    <w:rsid w:val="00551478"/>
    <w:rsid w:val="0055246B"/>
    <w:rsid w:val="0055247C"/>
    <w:rsid w:val="00553A47"/>
    <w:rsid w:val="00553BED"/>
    <w:rsid w:val="00553F74"/>
    <w:rsid w:val="00554390"/>
    <w:rsid w:val="00554A3A"/>
    <w:rsid w:val="00555312"/>
    <w:rsid w:val="00555C8B"/>
    <w:rsid w:val="00555E89"/>
    <w:rsid w:val="00556784"/>
    <w:rsid w:val="005569A2"/>
    <w:rsid w:val="00557323"/>
    <w:rsid w:val="00557478"/>
    <w:rsid w:val="0056000B"/>
    <w:rsid w:val="00560036"/>
    <w:rsid w:val="00561758"/>
    <w:rsid w:val="005620D2"/>
    <w:rsid w:val="005622C0"/>
    <w:rsid w:val="00562532"/>
    <w:rsid w:val="00562B91"/>
    <w:rsid w:val="00562F9E"/>
    <w:rsid w:val="00563961"/>
    <w:rsid w:val="00563D66"/>
    <w:rsid w:val="00564A5A"/>
    <w:rsid w:val="00565419"/>
    <w:rsid w:val="005658C6"/>
    <w:rsid w:val="0056592C"/>
    <w:rsid w:val="00565939"/>
    <w:rsid w:val="00565F16"/>
    <w:rsid w:val="00567190"/>
    <w:rsid w:val="00567633"/>
    <w:rsid w:val="00567CED"/>
    <w:rsid w:val="005708E2"/>
    <w:rsid w:val="00570B38"/>
    <w:rsid w:val="00570C04"/>
    <w:rsid w:val="00571068"/>
    <w:rsid w:val="005715BA"/>
    <w:rsid w:val="00571668"/>
    <w:rsid w:val="00571EED"/>
    <w:rsid w:val="005720B4"/>
    <w:rsid w:val="005721CD"/>
    <w:rsid w:val="00572311"/>
    <w:rsid w:val="00572ED8"/>
    <w:rsid w:val="00573566"/>
    <w:rsid w:val="00573BA3"/>
    <w:rsid w:val="005748B1"/>
    <w:rsid w:val="005755C5"/>
    <w:rsid w:val="0057582D"/>
    <w:rsid w:val="00575905"/>
    <w:rsid w:val="00575BCB"/>
    <w:rsid w:val="00575D0C"/>
    <w:rsid w:val="0057621D"/>
    <w:rsid w:val="00576521"/>
    <w:rsid w:val="005771C7"/>
    <w:rsid w:val="00577578"/>
    <w:rsid w:val="00577E47"/>
    <w:rsid w:val="00577E62"/>
    <w:rsid w:val="0058050A"/>
    <w:rsid w:val="005816F0"/>
    <w:rsid w:val="00582F70"/>
    <w:rsid w:val="00582FAE"/>
    <w:rsid w:val="005831C3"/>
    <w:rsid w:val="00583DC7"/>
    <w:rsid w:val="00584480"/>
    <w:rsid w:val="00584C07"/>
    <w:rsid w:val="00584D76"/>
    <w:rsid w:val="00584EC7"/>
    <w:rsid w:val="00584ED6"/>
    <w:rsid w:val="005850B9"/>
    <w:rsid w:val="00585779"/>
    <w:rsid w:val="005858E6"/>
    <w:rsid w:val="00585A16"/>
    <w:rsid w:val="00585B69"/>
    <w:rsid w:val="00585E93"/>
    <w:rsid w:val="0058613B"/>
    <w:rsid w:val="005861F6"/>
    <w:rsid w:val="00586225"/>
    <w:rsid w:val="00586E30"/>
    <w:rsid w:val="0058773E"/>
    <w:rsid w:val="00587A22"/>
    <w:rsid w:val="00590479"/>
    <w:rsid w:val="00590556"/>
    <w:rsid w:val="0059197A"/>
    <w:rsid w:val="005922BE"/>
    <w:rsid w:val="005924E8"/>
    <w:rsid w:val="00593173"/>
    <w:rsid w:val="0059349B"/>
    <w:rsid w:val="005935E7"/>
    <w:rsid w:val="00594601"/>
    <w:rsid w:val="00594DA5"/>
    <w:rsid w:val="0059513E"/>
    <w:rsid w:val="005959C8"/>
    <w:rsid w:val="00595B52"/>
    <w:rsid w:val="00595CBA"/>
    <w:rsid w:val="0059632B"/>
    <w:rsid w:val="0059658E"/>
    <w:rsid w:val="005965BD"/>
    <w:rsid w:val="00596BF6"/>
    <w:rsid w:val="00596CB3"/>
    <w:rsid w:val="005A173E"/>
    <w:rsid w:val="005A1C88"/>
    <w:rsid w:val="005A1D66"/>
    <w:rsid w:val="005A1F6F"/>
    <w:rsid w:val="005A2722"/>
    <w:rsid w:val="005A2F2B"/>
    <w:rsid w:val="005A32F8"/>
    <w:rsid w:val="005A3960"/>
    <w:rsid w:val="005A3CCA"/>
    <w:rsid w:val="005A3F0E"/>
    <w:rsid w:val="005A40F9"/>
    <w:rsid w:val="005A44F6"/>
    <w:rsid w:val="005A4A66"/>
    <w:rsid w:val="005A5701"/>
    <w:rsid w:val="005A587D"/>
    <w:rsid w:val="005A5E76"/>
    <w:rsid w:val="005A69D6"/>
    <w:rsid w:val="005A6D33"/>
    <w:rsid w:val="005A6FF9"/>
    <w:rsid w:val="005A786A"/>
    <w:rsid w:val="005A7C84"/>
    <w:rsid w:val="005B046B"/>
    <w:rsid w:val="005B0667"/>
    <w:rsid w:val="005B0789"/>
    <w:rsid w:val="005B0B59"/>
    <w:rsid w:val="005B158B"/>
    <w:rsid w:val="005B2F19"/>
    <w:rsid w:val="005B367F"/>
    <w:rsid w:val="005B3A07"/>
    <w:rsid w:val="005B4610"/>
    <w:rsid w:val="005B47CB"/>
    <w:rsid w:val="005B5F15"/>
    <w:rsid w:val="005B5F46"/>
    <w:rsid w:val="005B733F"/>
    <w:rsid w:val="005B769D"/>
    <w:rsid w:val="005C0ACB"/>
    <w:rsid w:val="005C0DE9"/>
    <w:rsid w:val="005C0F13"/>
    <w:rsid w:val="005C1DCA"/>
    <w:rsid w:val="005C22F6"/>
    <w:rsid w:val="005C2576"/>
    <w:rsid w:val="005C28A3"/>
    <w:rsid w:val="005C2D6E"/>
    <w:rsid w:val="005C320C"/>
    <w:rsid w:val="005C3A09"/>
    <w:rsid w:val="005C3B7A"/>
    <w:rsid w:val="005C4E9F"/>
    <w:rsid w:val="005C4FE8"/>
    <w:rsid w:val="005C52ED"/>
    <w:rsid w:val="005C560A"/>
    <w:rsid w:val="005C5775"/>
    <w:rsid w:val="005C5E3E"/>
    <w:rsid w:val="005C63B5"/>
    <w:rsid w:val="005C728B"/>
    <w:rsid w:val="005C74BF"/>
    <w:rsid w:val="005C7E6B"/>
    <w:rsid w:val="005D01D6"/>
    <w:rsid w:val="005D028F"/>
    <w:rsid w:val="005D0A61"/>
    <w:rsid w:val="005D1B98"/>
    <w:rsid w:val="005D1FD1"/>
    <w:rsid w:val="005D22B2"/>
    <w:rsid w:val="005D23E4"/>
    <w:rsid w:val="005D2560"/>
    <w:rsid w:val="005D28BE"/>
    <w:rsid w:val="005D300A"/>
    <w:rsid w:val="005D31E4"/>
    <w:rsid w:val="005D550E"/>
    <w:rsid w:val="005D5BF2"/>
    <w:rsid w:val="005D5DAE"/>
    <w:rsid w:val="005D5FDF"/>
    <w:rsid w:val="005D60FF"/>
    <w:rsid w:val="005D614A"/>
    <w:rsid w:val="005D7468"/>
    <w:rsid w:val="005D758A"/>
    <w:rsid w:val="005D77E8"/>
    <w:rsid w:val="005D7A94"/>
    <w:rsid w:val="005D7F66"/>
    <w:rsid w:val="005E040C"/>
    <w:rsid w:val="005E0B2A"/>
    <w:rsid w:val="005E0C87"/>
    <w:rsid w:val="005E0D16"/>
    <w:rsid w:val="005E13BB"/>
    <w:rsid w:val="005E165C"/>
    <w:rsid w:val="005E2589"/>
    <w:rsid w:val="005E26F4"/>
    <w:rsid w:val="005E3CD9"/>
    <w:rsid w:val="005E3E88"/>
    <w:rsid w:val="005E3F0A"/>
    <w:rsid w:val="005E401D"/>
    <w:rsid w:val="005E4139"/>
    <w:rsid w:val="005E4590"/>
    <w:rsid w:val="005E487D"/>
    <w:rsid w:val="005E59C9"/>
    <w:rsid w:val="005E60CA"/>
    <w:rsid w:val="005E6810"/>
    <w:rsid w:val="005E68D9"/>
    <w:rsid w:val="005E6CE9"/>
    <w:rsid w:val="005E6D89"/>
    <w:rsid w:val="005E73B0"/>
    <w:rsid w:val="005E7C49"/>
    <w:rsid w:val="005E7ED7"/>
    <w:rsid w:val="005F08DC"/>
    <w:rsid w:val="005F0BC8"/>
    <w:rsid w:val="005F1235"/>
    <w:rsid w:val="005F13CA"/>
    <w:rsid w:val="005F1546"/>
    <w:rsid w:val="005F1657"/>
    <w:rsid w:val="005F18DA"/>
    <w:rsid w:val="005F1991"/>
    <w:rsid w:val="005F2FD4"/>
    <w:rsid w:val="005F3410"/>
    <w:rsid w:val="005F3514"/>
    <w:rsid w:val="005F3741"/>
    <w:rsid w:val="005F3B50"/>
    <w:rsid w:val="005F4610"/>
    <w:rsid w:val="005F48EC"/>
    <w:rsid w:val="005F5197"/>
    <w:rsid w:val="005F5313"/>
    <w:rsid w:val="005F70B0"/>
    <w:rsid w:val="005F71C8"/>
    <w:rsid w:val="005F71F8"/>
    <w:rsid w:val="00600796"/>
    <w:rsid w:val="00600E44"/>
    <w:rsid w:val="00601CB0"/>
    <w:rsid w:val="00601D4A"/>
    <w:rsid w:val="00602412"/>
    <w:rsid w:val="006028E6"/>
    <w:rsid w:val="00602AA4"/>
    <w:rsid w:val="006037C6"/>
    <w:rsid w:val="00604258"/>
    <w:rsid w:val="006046FF"/>
    <w:rsid w:val="0060512B"/>
    <w:rsid w:val="00605574"/>
    <w:rsid w:val="00605881"/>
    <w:rsid w:val="0060626B"/>
    <w:rsid w:val="006067C1"/>
    <w:rsid w:val="00606989"/>
    <w:rsid w:val="006071A3"/>
    <w:rsid w:val="006107A8"/>
    <w:rsid w:val="00610FC6"/>
    <w:rsid w:val="006111EB"/>
    <w:rsid w:val="006113C3"/>
    <w:rsid w:val="006115D3"/>
    <w:rsid w:val="006126DA"/>
    <w:rsid w:val="006135CC"/>
    <w:rsid w:val="006145B0"/>
    <w:rsid w:val="00614D69"/>
    <w:rsid w:val="00615421"/>
    <w:rsid w:val="006158D0"/>
    <w:rsid w:val="00616AEC"/>
    <w:rsid w:val="00616FC5"/>
    <w:rsid w:val="006178A0"/>
    <w:rsid w:val="006201E0"/>
    <w:rsid w:val="0062055C"/>
    <w:rsid w:val="0062116F"/>
    <w:rsid w:val="0062125A"/>
    <w:rsid w:val="00621E34"/>
    <w:rsid w:val="00622240"/>
    <w:rsid w:val="006234B9"/>
    <w:rsid w:val="006234C1"/>
    <w:rsid w:val="00623524"/>
    <w:rsid w:val="00623CA8"/>
    <w:rsid w:val="00623ECF"/>
    <w:rsid w:val="00624102"/>
    <w:rsid w:val="0062415D"/>
    <w:rsid w:val="006249A5"/>
    <w:rsid w:val="00624C4F"/>
    <w:rsid w:val="00624FC1"/>
    <w:rsid w:val="006251BF"/>
    <w:rsid w:val="00626029"/>
    <w:rsid w:val="006266BC"/>
    <w:rsid w:val="00630510"/>
    <w:rsid w:val="00630A78"/>
    <w:rsid w:val="006311A9"/>
    <w:rsid w:val="0063183D"/>
    <w:rsid w:val="0063190C"/>
    <w:rsid w:val="00632A9C"/>
    <w:rsid w:val="00633ABA"/>
    <w:rsid w:val="00633E31"/>
    <w:rsid w:val="00634155"/>
    <w:rsid w:val="0063465E"/>
    <w:rsid w:val="00634700"/>
    <w:rsid w:val="0063562F"/>
    <w:rsid w:val="00635667"/>
    <w:rsid w:val="00635786"/>
    <w:rsid w:val="00635C0D"/>
    <w:rsid w:val="0063642D"/>
    <w:rsid w:val="006364F8"/>
    <w:rsid w:val="00636922"/>
    <w:rsid w:val="00636DEF"/>
    <w:rsid w:val="00637A2F"/>
    <w:rsid w:val="00637C0A"/>
    <w:rsid w:val="00640B3D"/>
    <w:rsid w:val="00641090"/>
    <w:rsid w:val="006411C9"/>
    <w:rsid w:val="00641916"/>
    <w:rsid w:val="00642C60"/>
    <w:rsid w:val="00643544"/>
    <w:rsid w:val="00643748"/>
    <w:rsid w:val="00643A93"/>
    <w:rsid w:val="0064478E"/>
    <w:rsid w:val="0064481A"/>
    <w:rsid w:val="00645129"/>
    <w:rsid w:val="006451C9"/>
    <w:rsid w:val="006451E0"/>
    <w:rsid w:val="00645596"/>
    <w:rsid w:val="00645705"/>
    <w:rsid w:val="00645DBD"/>
    <w:rsid w:val="00645EEB"/>
    <w:rsid w:val="00645FB1"/>
    <w:rsid w:val="00646412"/>
    <w:rsid w:val="00646574"/>
    <w:rsid w:val="00646B54"/>
    <w:rsid w:val="00646E5C"/>
    <w:rsid w:val="00647331"/>
    <w:rsid w:val="006478B7"/>
    <w:rsid w:val="006508E7"/>
    <w:rsid w:val="0065093A"/>
    <w:rsid w:val="00651187"/>
    <w:rsid w:val="00651293"/>
    <w:rsid w:val="006518AC"/>
    <w:rsid w:val="006521D6"/>
    <w:rsid w:val="006525FD"/>
    <w:rsid w:val="00652841"/>
    <w:rsid w:val="00652C4C"/>
    <w:rsid w:val="00653E66"/>
    <w:rsid w:val="006545E4"/>
    <w:rsid w:val="006559B6"/>
    <w:rsid w:val="00655F33"/>
    <w:rsid w:val="006564CD"/>
    <w:rsid w:val="00656F6A"/>
    <w:rsid w:val="0066026D"/>
    <w:rsid w:val="006609EE"/>
    <w:rsid w:val="00660B45"/>
    <w:rsid w:val="0066116F"/>
    <w:rsid w:val="0066136E"/>
    <w:rsid w:val="0066143F"/>
    <w:rsid w:val="006617D2"/>
    <w:rsid w:val="00661CAD"/>
    <w:rsid w:val="006626FE"/>
    <w:rsid w:val="006632E9"/>
    <w:rsid w:val="00663B80"/>
    <w:rsid w:val="00663DD1"/>
    <w:rsid w:val="00664368"/>
    <w:rsid w:val="00665E96"/>
    <w:rsid w:val="00666945"/>
    <w:rsid w:val="006669F3"/>
    <w:rsid w:val="006673A0"/>
    <w:rsid w:val="00667A18"/>
    <w:rsid w:val="00670416"/>
    <w:rsid w:val="006707DF"/>
    <w:rsid w:val="00670847"/>
    <w:rsid w:val="006708FD"/>
    <w:rsid w:val="00670911"/>
    <w:rsid w:val="00670B9E"/>
    <w:rsid w:val="00671129"/>
    <w:rsid w:val="006712B7"/>
    <w:rsid w:val="00671430"/>
    <w:rsid w:val="006719BF"/>
    <w:rsid w:val="00671AA7"/>
    <w:rsid w:val="00671D52"/>
    <w:rsid w:val="00671E8B"/>
    <w:rsid w:val="00671F34"/>
    <w:rsid w:val="00672762"/>
    <w:rsid w:val="0067405A"/>
    <w:rsid w:val="00675913"/>
    <w:rsid w:val="00675A98"/>
    <w:rsid w:val="00675C5C"/>
    <w:rsid w:val="00675E63"/>
    <w:rsid w:val="00676152"/>
    <w:rsid w:val="006763A1"/>
    <w:rsid w:val="00677B1E"/>
    <w:rsid w:val="00677B21"/>
    <w:rsid w:val="006808EB"/>
    <w:rsid w:val="00681801"/>
    <w:rsid w:val="00681B6E"/>
    <w:rsid w:val="006829A2"/>
    <w:rsid w:val="00682CCD"/>
    <w:rsid w:val="00682D38"/>
    <w:rsid w:val="00683774"/>
    <w:rsid w:val="00685520"/>
    <w:rsid w:val="00685CFA"/>
    <w:rsid w:val="00685E85"/>
    <w:rsid w:val="00686D84"/>
    <w:rsid w:val="00687444"/>
    <w:rsid w:val="00687EE3"/>
    <w:rsid w:val="006903E6"/>
    <w:rsid w:val="006904B0"/>
    <w:rsid w:val="00690A44"/>
    <w:rsid w:val="006912BD"/>
    <w:rsid w:val="00691855"/>
    <w:rsid w:val="00691B16"/>
    <w:rsid w:val="006920EA"/>
    <w:rsid w:val="006927E5"/>
    <w:rsid w:val="00692B87"/>
    <w:rsid w:val="00692E53"/>
    <w:rsid w:val="00692F00"/>
    <w:rsid w:val="00693042"/>
    <w:rsid w:val="0069311C"/>
    <w:rsid w:val="00693517"/>
    <w:rsid w:val="0069370B"/>
    <w:rsid w:val="00693E9D"/>
    <w:rsid w:val="00693F90"/>
    <w:rsid w:val="006943A4"/>
    <w:rsid w:val="006946C7"/>
    <w:rsid w:val="00694E04"/>
    <w:rsid w:val="006953D4"/>
    <w:rsid w:val="0069584F"/>
    <w:rsid w:val="00695E9F"/>
    <w:rsid w:val="00696011"/>
    <w:rsid w:val="00696244"/>
    <w:rsid w:val="0069667F"/>
    <w:rsid w:val="00696B8E"/>
    <w:rsid w:val="006979C6"/>
    <w:rsid w:val="006A04AA"/>
    <w:rsid w:val="006A15F0"/>
    <w:rsid w:val="006A1BEE"/>
    <w:rsid w:val="006A30A4"/>
    <w:rsid w:val="006A30F4"/>
    <w:rsid w:val="006A32A2"/>
    <w:rsid w:val="006A3EAA"/>
    <w:rsid w:val="006A4206"/>
    <w:rsid w:val="006A4528"/>
    <w:rsid w:val="006A4537"/>
    <w:rsid w:val="006A4AE3"/>
    <w:rsid w:val="006A4C60"/>
    <w:rsid w:val="006A4E35"/>
    <w:rsid w:val="006A5225"/>
    <w:rsid w:val="006A532E"/>
    <w:rsid w:val="006A548C"/>
    <w:rsid w:val="006A558F"/>
    <w:rsid w:val="006A5603"/>
    <w:rsid w:val="006A5785"/>
    <w:rsid w:val="006A5CFF"/>
    <w:rsid w:val="006A5E85"/>
    <w:rsid w:val="006A5ED8"/>
    <w:rsid w:val="006A6AF2"/>
    <w:rsid w:val="006A7DA6"/>
    <w:rsid w:val="006B00A2"/>
    <w:rsid w:val="006B098E"/>
    <w:rsid w:val="006B0DE3"/>
    <w:rsid w:val="006B1010"/>
    <w:rsid w:val="006B11DD"/>
    <w:rsid w:val="006B1530"/>
    <w:rsid w:val="006B1565"/>
    <w:rsid w:val="006B2743"/>
    <w:rsid w:val="006B29FE"/>
    <w:rsid w:val="006B2A09"/>
    <w:rsid w:val="006B2FB7"/>
    <w:rsid w:val="006B365A"/>
    <w:rsid w:val="006B3FD4"/>
    <w:rsid w:val="006B4B13"/>
    <w:rsid w:val="006B4E38"/>
    <w:rsid w:val="006B5044"/>
    <w:rsid w:val="006B5716"/>
    <w:rsid w:val="006B59B4"/>
    <w:rsid w:val="006B5F9D"/>
    <w:rsid w:val="006B6219"/>
    <w:rsid w:val="006B6AF9"/>
    <w:rsid w:val="006B6F9F"/>
    <w:rsid w:val="006B75D2"/>
    <w:rsid w:val="006B7902"/>
    <w:rsid w:val="006B7AC3"/>
    <w:rsid w:val="006C0A71"/>
    <w:rsid w:val="006C1023"/>
    <w:rsid w:val="006C1781"/>
    <w:rsid w:val="006C3D2F"/>
    <w:rsid w:val="006C4127"/>
    <w:rsid w:val="006C4230"/>
    <w:rsid w:val="006C443B"/>
    <w:rsid w:val="006C58E7"/>
    <w:rsid w:val="006C7128"/>
    <w:rsid w:val="006D06DC"/>
    <w:rsid w:val="006D0D5F"/>
    <w:rsid w:val="006D194A"/>
    <w:rsid w:val="006D234E"/>
    <w:rsid w:val="006D2810"/>
    <w:rsid w:val="006D2B8F"/>
    <w:rsid w:val="006D3014"/>
    <w:rsid w:val="006D373F"/>
    <w:rsid w:val="006D3DC8"/>
    <w:rsid w:val="006D3E50"/>
    <w:rsid w:val="006D3E51"/>
    <w:rsid w:val="006D421C"/>
    <w:rsid w:val="006D5CAE"/>
    <w:rsid w:val="006D6154"/>
    <w:rsid w:val="006D6F98"/>
    <w:rsid w:val="006D704E"/>
    <w:rsid w:val="006D7CAA"/>
    <w:rsid w:val="006E01BD"/>
    <w:rsid w:val="006E04C4"/>
    <w:rsid w:val="006E0893"/>
    <w:rsid w:val="006E0A0F"/>
    <w:rsid w:val="006E1701"/>
    <w:rsid w:val="006E1C03"/>
    <w:rsid w:val="006E2DF2"/>
    <w:rsid w:val="006E30B3"/>
    <w:rsid w:val="006E3742"/>
    <w:rsid w:val="006E3936"/>
    <w:rsid w:val="006E3F23"/>
    <w:rsid w:val="006E3F91"/>
    <w:rsid w:val="006E4257"/>
    <w:rsid w:val="006E425E"/>
    <w:rsid w:val="006E4682"/>
    <w:rsid w:val="006E49F4"/>
    <w:rsid w:val="006E4E09"/>
    <w:rsid w:val="006E52A7"/>
    <w:rsid w:val="006E5510"/>
    <w:rsid w:val="006E6C08"/>
    <w:rsid w:val="006E7106"/>
    <w:rsid w:val="006E7E97"/>
    <w:rsid w:val="006F00AE"/>
    <w:rsid w:val="006F0341"/>
    <w:rsid w:val="006F03A8"/>
    <w:rsid w:val="006F04D0"/>
    <w:rsid w:val="006F16A2"/>
    <w:rsid w:val="006F18CC"/>
    <w:rsid w:val="006F1E84"/>
    <w:rsid w:val="006F2B82"/>
    <w:rsid w:val="006F3508"/>
    <w:rsid w:val="006F3959"/>
    <w:rsid w:val="006F4439"/>
    <w:rsid w:val="006F5235"/>
    <w:rsid w:val="006F5F57"/>
    <w:rsid w:val="006F637A"/>
    <w:rsid w:val="006F6612"/>
    <w:rsid w:val="006F69DD"/>
    <w:rsid w:val="006F6F81"/>
    <w:rsid w:val="006F771A"/>
    <w:rsid w:val="007004CE"/>
    <w:rsid w:val="00700E80"/>
    <w:rsid w:val="007013CB"/>
    <w:rsid w:val="00701831"/>
    <w:rsid w:val="00701B84"/>
    <w:rsid w:val="00702346"/>
    <w:rsid w:val="007023F4"/>
    <w:rsid w:val="007024F4"/>
    <w:rsid w:val="00703374"/>
    <w:rsid w:val="0070451E"/>
    <w:rsid w:val="007048FF"/>
    <w:rsid w:val="00705A98"/>
    <w:rsid w:val="00705AA5"/>
    <w:rsid w:val="00705BF5"/>
    <w:rsid w:val="00705E0B"/>
    <w:rsid w:val="00705F9A"/>
    <w:rsid w:val="007068A6"/>
    <w:rsid w:val="00707C8A"/>
    <w:rsid w:val="00707F76"/>
    <w:rsid w:val="00707FE1"/>
    <w:rsid w:val="00710537"/>
    <w:rsid w:val="00710559"/>
    <w:rsid w:val="00710764"/>
    <w:rsid w:val="00710AAD"/>
    <w:rsid w:val="007110CB"/>
    <w:rsid w:val="007110CD"/>
    <w:rsid w:val="0071150B"/>
    <w:rsid w:val="007117D0"/>
    <w:rsid w:val="00711971"/>
    <w:rsid w:val="007121F9"/>
    <w:rsid w:val="0071270F"/>
    <w:rsid w:val="00712AA4"/>
    <w:rsid w:val="00713838"/>
    <w:rsid w:val="007139EA"/>
    <w:rsid w:val="00713CF1"/>
    <w:rsid w:val="00713D14"/>
    <w:rsid w:val="00713F41"/>
    <w:rsid w:val="00714010"/>
    <w:rsid w:val="00714B0D"/>
    <w:rsid w:val="00715767"/>
    <w:rsid w:val="007159E6"/>
    <w:rsid w:val="00715A4D"/>
    <w:rsid w:val="00715BBE"/>
    <w:rsid w:val="0071663F"/>
    <w:rsid w:val="00716652"/>
    <w:rsid w:val="00716CA4"/>
    <w:rsid w:val="00717759"/>
    <w:rsid w:val="00720192"/>
    <w:rsid w:val="007202C2"/>
    <w:rsid w:val="00720981"/>
    <w:rsid w:val="00720AFD"/>
    <w:rsid w:val="00721DA9"/>
    <w:rsid w:val="00722333"/>
    <w:rsid w:val="007226B3"/>
    <w:rsid w:val="00722A65"/>
    <w:rsid w:val="0072339E"/>
    <w:rsid w:val="007244FB"/>
    <w:rsid w:val="00724881"/>
    <w:rsid w:val="007252E7"/>
    <w:rsid w:val="00725614"/>
    <w:rsid w:val="007257C9"/>
    <w:rsid w:val="00725BFE"/>
    <w:rsid w:val="00725F6F"/>
    <w:rsid w:val="00726254"/>
    <w:rsid w:val="00726427"/>
    <w:rsid w:val="00726ECD"/>
    <w:rsid w:val="007275F5"/>
    <w:rsid w:val="0073012A"/>
    <w:rsid w:val="0073014A"/>
    <w:rsid w:val="007306F2"/>
    <w:rsid w:val="00731A59"/>
    <w:rsid w:val="00732191"/>
    <w:rsid w:val="00732D45"/>
    <w:rsid w:val="00733310"/>
    <w:rsid w:val="0073370D"/>
    <w:rsid w:val="007361AE"/>
    <w:rsid w:val="007371B9"/>
    <w:rsid w:val="00737593"/>
    <w:rsid w:val="00737B19"/>
    <w:rsid w:val="0074043D"/>
    <w:rsid w:val="0074069B"/>
    <w:rsid w:val="007411E8"/>
    <w:rsid w:val="00741328"/>
    <w:rsid w:val="00741577"/>
    <w:rsid w:val="007419D6"/>
    <w:rsid w:val="00741E6F"/>
    <w:rsid w:val="007420FA"/>
    <w:rsid w:val="00742827"/>
    <w:rsid w:val="00742CE5"/>
    <w:rsid w:val="00744483"/>
    <w:rsid w:val="007451B7"/>
    <w:rsid w:val="00745570"/>
    <w:rsid w:val="00745694"/>
    <w:rsid w:val="007456C5"/>
    <w:rsid w:val="00745DCB"/>
    <w:rsid w:val="007462EB"/>
    <w:rsid w:val="007464FE"/>
    <w:rsid w:val="00746B86"/>
    <w:rsid w:val="00747594"/>
    <w:rsid w:val="00747C90"/>
    <w:rsid w:val="00747D16"/>
    <w:rsid w:val="00750095"/>
    <w:rsid w:val="007501D9"/>
    <w:rsid w:val="00750A15"/>
    <w:rsid w:val="00750A76"/>
    <w:rsid w:val="00750B7B"/>
    <w:rsid w:val="00751D11"/>
    <w:rsid w:val="00751F95"/>
    <w:rsid w:val="007528D2"/>
    <w:rsid w:val="00752B3D"/>
    <w:rsid w:val="00752E71"/>
    <w:rsid w:val="00752EE1"/>
    <w:rsid w:val="00753684"/>
    <w:rsid w:val="007537F8"/>
    <w:rsid w:val="00753893"/>
    <w:rsid w:val="00754686"/>
    <w:rsid w:val="00754DA2"/>
    <w:rsid w:val="00754F33"/>
    <w:rsid w:val="007550B0"/>
    <w:rsid w:val="00755A62"/>
    <w:rsid w:val="00755B7B"/>
    <w:rsid w:val="00755E51"/>
    <w:rsid w:val="00756023"/>
    <w:rsid w:val="007560DA"/>
    <w:rsid w:val="00756520"/>
    <w:rsid w:val="007568B3"/>
    <w:rsid w:val="00757568"/>
    <w:rsid w:val="007575B2"/>
    <w:rsid w:val="0075764F"/>
    <w:rsid w:val="007578AD"/>
    <w:rsid w:val="00757AA1"/>
    <w:rsid w:val="00760955"/>
    <w:rsid w:val="0076098A"/>
    <w:rsid w:val="00761B70"/>
    <w:rsid w:val="007629FC"/>
    <w:rsid w:val="00762C74"/>
    <w:rsid w:val="00763086"/>
    <w:rsid w:val="007631F4"/>
    <w:rsid w:val="00763ADB"/>
    <w:rsid w:val="00764557"/>
    <w:rsid w:val="007647BE"/>
    <w:rsid w:val="007652C5"/>
    <w:rsid w:val="00765357"/>
    <w:rsid w:val="00765C74"/>
    <w:rsid w:val="00766719"/>
    <w:rsid w:val="00766B0F"/>
    <w:rsid w:val="00767B75"/>
    <w:rsid w:val="00767C13"/>
    <w:rsid w:val="00770460"/>
    <w:rsid w:val="0077052B"/>
    <w:rsid w:val="00770CC8"/>
    <w:rsid w:val="00771042"/>
    <w:rsid w:val="007712AD"/>
    <w:rsid w:val="00771C8B"/>
    <w:rsid w:val="00771C99"/>
    <w:rsid w:val="00771CEB"/>
    <w:rsid w:val="00771D7D"/>
    <w:rsid w:val="00771EA7"/>
    <w:rsid w:val="00772A2A"/>
    <w:rsid w:val="007735ED"/>
    <w:rsid w:val="0077390D"/>
    <w:rsid w:val="00773911"/>
    <w:rsid w:val="00773C6D"/>
    <w:rsid w:val="00773E45"/>
    <w:rsid w:val="00773F36"/>
    <w:rsid w:val="00776B74"/>
    <w:rsid w:val="00776EEC"/>
    <w:rsid w:val="007770AF"/>
    <w:rsid w:val="00777A9B"/>
    <w:rsid w:val="00780283"/>
    <w:rsid w:val="007803D2"/>
    <w:rsid w:val="00780C4C"/>
    <w:rsid w:val="00780EE5"/>
    <w:rsid w:val="00781989"/>
    <w:rsid w:val="00781C1B"/>
    <w:rsid w:val="00781DE8"/>
    <w:rsid w:val="0078215B"/>
    <w:rsid w:val="00782541"/>
    <w:rsid w:val="007829DB"/>
    <w:rsid w:val="00783407"/>
    <w:rsid w:val="00783429"/>
    <w:rsid w:val="00783C32"/>
    <w:rsid w:val="0078437C"/>
    <w:rsid w:val="00784BB8"/>
    <w:rsid w:val="00784C7C"/>
    <w:rsid w:val="007866A6"/>
    <w:rsid w:val="00786BEB"/>
    <w:rsid w:val="00786F4E"/>
    <w:rsid w:val="00787635"/>
    <w:rsid w:val="007876E6"/>
    <w:rsid w:val="00790835"/>
    <w:rsid w:val="0079118E"/>
    <w:rsid w:val="007915BF"/>
    <w:rsid w:val="00791E7C"/>
    <w:rsid w:val="00792945"/>
    <w:rsid w:val="00792CBD"/>
    <w:rsid w:val="00792D89"/>
    <w:rsid w:val="00792F73"/>
    <w:rsid w:val="007938E4"/>
    <w:rsid w:val="00793B94"/>
    <w:rsid w:val="00794381"/>
    <w:rsid w:val="00795159"/>
    <w:rsid w:val="007954B6"/>
    <w:rsid w:val="00795704"/>
    <w:rsid w:val="00795F7F"/>
    <w:rsid w:val="007960C0"/>
    <w:rsid w:val="007976A6"/>
    <w:rsid w:val="00797905"/>
    <w:rsid w:val="00797BFA"/>
    <w:rsid w:val="007A0636"/>
    <w:rsid w:val="007A071F"/>
    <w:rsid w:val="007A09FE"/>
    <w:rsid w:val="007A0A30"/>
    <w:rsid w:val="007A0C28"/>
    <w:rsid w:val="007A1F19"/>
    <w:rsid w:val="007A23BC"/>
    <w:rsid w:val="007A29EB"/>
    <w:rsid w:val="007A2EE5"/>
    <w:rsid w:val="007A3B2F"/>
    <w:rsid w:val="007A46E8"/>
    <w:rsid w:val="007A47CD"/>
    <w:rsid w:val="007A4872"/>
    <w:rsid w:val="007A64E2"/>
    <w:rsid w:val="007A652D"/>
    <w:rsid w:val="007A65D2"/>
    <w:rsid w:val="007A6948"/>
    <w:rsid w:val="007A6A38"/>
    <w:rsid w:val="007A6BB1"/>
    <w:rsid w:val="007A7661"/>
    <w:rsid w:val="007B0614"/>
    <w:rsid w:val="007B0780"/>
    <w:rsid w:val="007B0E20"/>
    <w:rsid w:val="007B18E3"/>
    <w:rsid w:val="007B1EA0"/>
    <w:rsid w:val="007B1F99"/>
    <w:rsid w:val="007B27CD"/>
    <w:rsid w:val="007B32DF"/>
    <w:rsid w:val="007B3612"/>
    <w:rsid w:val="007B45B8"/>
    <w:rsid w:val="007B4C79"/>
    <w:rsid w:val="007B509D"/>
    <w:rsid w:val="007B5861"/>
    <w:rsid w:val="007B65CC"/>
    <w:rsid w:val="007B6D53"/>
    <w:rsid w:val="007B706C"/>
    <w:rsid w:val="007B707E"/>
    <w:rsid w:val="007B73FB"/>
    <w:rsid w:val="007B79D8"/>
    <w:rsid w:val="007B79F6"/>
    <w:rsid w:val="007C0110"/>
    <w:rsid w:val="007C03BF"/>
    <w:rsid w:val="007C05C9"/>
    <w:rsid w:val="007C0FF9"/>
    <w:rsid w:val="007C1425"/>
    <w:rsid w:val="007C26F1"/>
    <w:rsid w:val="007C2F2F"/>
    <w:rsid w:val="007C3821"/>
    <w:rsid w:val="007C3E0E"/>
    <w:rsid w:val="007C3FEA"/>
    <w:rsid w:val="007C4470"/>
    <w:rsid w:val="007C51F6"/>
    <w:rsid w:val="007C5498"/>
    <w:rsid w:val="007C557E"/>
    <w:rsid w:val="007C5B01"/>
    <w:rsid w:val="007C5D3C"/>
    <w:rsid w:val="007C5FBB"/>
    <w:rsid w:val="007C61CF"/>
    <w:rsid w:val="007C73F2"/>
    <w:rsid w:val="007C761A"/>
    <w:rsid w:val="007C7678"/>
    <w:rsid w:val="007D01C2"/>
    <w:rsid w:val="007D0B11"/>
    <w:rsid w:val="007D0EE9"/>
    <w:rsid w:val="007D132E"/>
    <w:rsid w:val="007D1385"/>
    <w:rsid w:val="007D13F7"/>
    <w:rsid w:val="007D1893"/>
    <w:rsid w:val="007D244E"/>
    <w:rsid w:val="007D298D"/>
    <w:rsid w:val="007D371E"/>
    <w:rsid w:val="007D3B01"/>
    <w:rsid w:val="007D52F1"/>
    <w:rsid w:val="007D64DF"/>
    <w:rsid w:val="007D6E23"/>
    <w:rsid w:val="007D7134"/>
    <w:rsid w:val="007D7C7E"/>
    <w:rsid w:val="007E0A4B"/>
    <w:rsid w:val="007E0E2E"/>
    <w:rsid w:val="007E0FF8"/>
    <w:rsid w:val="007E1BBB"/>
    <w:rsid w:val="007E1CC5"/>
    <w:rsid w:val="007E2592"/>
    <w:rsid w:val="007E3100"/>
    <w:rsid w:val="007E34B5"/>
    <w:rsid w:val="007E52EF"/>
    <w:rsid w:val="007E659C"/>
    <w:rsid w:val="007E6B3B"/>
    <w:rsid w:val="007E6F27"/>
    <w:rsid w:val="007E7008"/>
    <w:rsid w:val="007E7FF0"/>
    <w:rsid w:val="007F0704"/>
    <w:rsid w:val="007F0C8B"/>
    <w:rsid w:val="007F16A4"/>
    <w:rsid w:val="007F1F19"/>
    <w:rsid w:val="007F2468"/>
    <w:rsid w:val="007F29F0"/>
    <w:rsid w:val="007F319E"/>
    <w:rsid w:val="007F371F"/>
    <w:rsid w:val="007F385A"/>
    <w:rsid w:val="007F3ED3"/>
    <w:rsid w:val="007F46B3"/>
    <w:rsid w:val="007F47E6"/>
    <w:rsid w:val="007F5DE1"/>
    <w:rsid w:val="007F630F"/>
    <w:rsid w:val="007F674E"/>
    <w:rsid w:val="007F7233"/>
    <w:rsid w:val="007F75F4"/>
    <w:rsid w:val="00800189"/>
    <w:rsid w:val="00801753"/>
    <w:rsid w:val="00801F6D"/>
    <w:rsid w:val="00802993"/>
    <w:rsid w:val="008033E3"/>
    <w:rsid w:val="0080349E"/>
    <w:rsid w:val="00803D52"/>
    <w:rsid w:val="00804D37"/>
    <w:rsid w:val="008051BC"/>
    <w:rsid w:val="008051D6"/>
    <w:rsid w:val="008051DF"/>
    <w:rsid w:val="008052D5"/>
    <w:rsid w:val="008055D8"/>
    <w:rsid w:val="00805DD0"/>
    <w:rsid w:val="00805E95"/>
    <w:rsid w:val="00806403"/>
    <w:rsid w:val="0080649C"/>
    <w:rsid w:val="0080683F"/>
    <w:rsid w:val="008105C6"/>
    <w:rsid w:val="00810832"/>
    <w:rsid w:val="00810BC5"/>
    <w:rsid w:val="00810BC8"/>
    <w:rsid w:val="00811B5E"/>
    <w:rsid w:val="00811F19"/>
    <w:rsid w:val="00812D1F"/>
    <w:rsid w:val="00813A8D"/>
    <w:rsid w:val="00813B2E"/>
    <w:rsid w:val="00813B75"/>
    <w:rsid w:val="00814097"/>
    <w:rsid w:val="00814165"/>
    <w:rsid w:val="00814E6F"/>
    <w:rsid w:val="008156BA"/>
    <w:rsid w:val="008158CA"/>
    <w:rsid w:val="0081625B"/>
    <w:rsid w:val="00817163"/>
    <w:rsid w:val="008174D0"/>
    <w:rsid w:val="008201E6"/>
    <w:rsid w:val="008202AD"/>
    <w:rsid w:val="0082056E"/>
    <w:rsid w:val="008207D4"/>
    <w:rsid w:val="00820DA1"/>
    <w:rsid w:val="008211F4"/>
    <w:rsid w:val="00821DD9"/>
    <w:rsid w:val="00821E3D"/>
    <w:rsid w:val="008226AC"/>
    <w:rsid w:val="00822EF8"/>
    <w:rsid w:val="0082339E"/>
    <w:rsid w:val="00823519"/>
    <w:rsid w:val="008248AE"/>
    <w:rsid w:val="00825259"/>
    <w:rsid w:val="0082612F"/>
    <w:rsid w:val="00826B1C"/>
    <w:rsid w:val="00826E36"/>
    <w:rsid w:val="00827090"/>
    <w:rsid w:val="008278CA"/>
    <w:rsid w:val="00827B64"/>
    <w:rsid w:val="00831071"/>
    <w:rsid w:val="0083151C"/>
    <w:rsid w:val="00831B72"/>
    <w:rsid w:val="00832D58"/>
    <w:rsid w:val="00833252"/>
    <w:rsid w:val="00833D2D"/>
    <w:rsid w:val="00834C2E"/>
    <w:rsid w:val="008353A8"/>
    <w:rsid w:val="008354FF"/>
    <w:rsid w:val="00835CD6"/>
    <w:rsid w:val="00835F66"/>
    <w:rsid w:val="0083614A"/>
    <w:rsid w:val="008367C0"/>
    <w:rsid w:val="00836DCF"/>
    <w:rsid w:val="008374C9"/>
    <w:rsid w:val="008378F8"/>
    <w:rsid w:val="00837DF0"/>
    <w:rsid w:val="00840EC6"/>
    <w:rsid w:val="00841399"/>
    <w:rsid w:val="00842C4B"/>
    <w:rsid w:val="008430AC"/>
    <w:rsid w:val="00843678"/>
    <w:rsid w:val="00843AC2"/>
    <w:rsid w:val="00843C45"/>
    <w:rsid w:val="00844366"/>
    <w:rsid w:val="0084454C"/>
    <w:rsid w:val="00844550"/>
    <w:rsid w:val="00844AED"/>
    <w:rsid w:val="00845E72"/>
    <w:rsid w:val="00845E83"/>
    <w:rsid w:val="00845EDD"/>
    <w:rsid w:val="0084623E"/>
    <w:rsid w:val="008470FC"/>
    <w:rsid w:val="008471BC"/>
    <w:rsid w:val="00847E50"/>
    <w:rsid w:val="008513C5"/>
    <w:rsid w:val="00851B6A"/>
    <w:rsid w:val="00851EAD"/>
    <w:rsid w:val="008531AD"/>
    <w:rsid w:val="0085358A"/>
    <w:rsid w:val="00853DD7"/>
    <w:rsid w:val="00854104"/>
    <w:rsid w:val="008543CA"/>
    <w:rsid w:val="00854E53"/>
    <w:rsid w:val="00855187"/>
    <w:rsid w:val="00855900"/>
    <w:rsid w:val="00856EE3"/>
    <w:rsid w:val="008573B0"/>
    <w:rsid w:val="00857400"/>
    <w:rsid w:val="00857957"/>
    <w:rsid w:val="00857C2A"/>
    <w:rsid w:val="00860270"/>
    <w:rsid w:val="00862467"/>
    <w:rsid w:val="008625B8"/>
    <w:rsid w:val="0086263A"/>
    <w:rsid w:val="00862692"/>
    <w:rsid w:val="00862E7B"/>
    <w:rsid w:val="008646D1"/>
    <w:rsid w:val="00865192"/>
    <w:rsid w:val="00866241"/>
    <w:rsid w:val="008663A1"/>
    <w:rsid w:val="008664E1"/>
    <w:rsid w:val="00866FA3"/>
    <w:rsid w:val="00867948"/>
    <w:rsid w:val="00867CD2"/>
    <w:rsid w:val="00867F31"/>
    <w:rsid w:val="0087016C"/>
    <w:rsid w:val="008702E6"/>
    <w:rsid w:val="008705AA"/>
    <w:rsid w:val="00870A1E"/>
    <w:rsid w:val="00871272"/>
    <w:rsid w:val="0087148D"/>
    <w:rsid w:val="008720C8"/>
    <w:rsid w:val="0087221B"/>
    <w:rsid w:val="00872812"/>
    <w:rsid w:val="00873516"/>
    <w:rsid w:val="00873576"/>
    <w:rsid w:val="0087365D"/>
    <w:rsid w:val="00874D33"/>
    <w:rsid w:val="00874D77"/>
    <w:rsid w:val="00874DCF"/>
    <w:rsid w:val="0087628A"/>
    <w:rsid w:val="00876AFE"/>
    <w:rsid w:val="0087726C"/>
    <w:rsid w:val="008801C5"/>
    <w:rsid w:val="00880C5C"/>
    <w:rsid w:val="00880DF0"/>
    <w:rsid w:val="00880F47"/>
    <w:rsid w:val="0088216C"/>
    <w:rsid w:val="00882D19"/>
    <w:rsid w:val="00882F42"/>
    <w:rsid w:val="008833DA"/>
    <w:rsid w:val="00884519"/>
    <w:rsid w:val="00884BD6"/>
    <w:rsid w:val="008855A7"/>
    <w:rsid w:val="008857B1"/>
    <w:rsid w:val="00885F67"/>
    <w:rsid w:val="008861D2"/>
    <w:rsid w:val="0089030D"/>
    <w:rsid w:val="008904D1"/>
    <w:rsid w:val="0089073D"/>
    <w:rsid w:val="00891034"/>
    <w:rsid w:val="00891C5A"/>
    <w:rsid w:val="008925AF"/>
    <w:rsid w:val="00892A5B"/>
    <w:rsid w:val="00895962"/>
    <w:rsid w:val="00895BA8"/>
    <w:rsid w:val="00896270"/>
    <w:rsid w:val="00896333"/>
    <w:rsid w:val="00896410"/>
    <w:rsid w:val="00896A00"/>
    <w:rsid w:val="00896F51"/>
    <w:rsid w:val="00897358"/>
    <w:rsid w:val="0089750E"/>
    <w:rsid w:val="008A0038"/>
    <w:rsid w:val="008A03EB"/>
    <w:rsid w:val="008A09B5"/>
    <w:rsid w:val="008A113D"/>
    <w:rsid w:val="008A1410"/>
    <w:rsid w:val="008A1D4B"/>
    <w:rsid w:val="008A20A6"/>
    <w:rsid w:val="008A254D"/>
    <w:rsid w:val="008A257E"/>
    <w:rsid w:val="008A2940"/>
    <w:rsid w:val="008A3237"/>
    <w:rsid w:val="008A3598"/>
    <w:rsid w:val="008A367A"/>
    <w:rsid w:val="008A3E8B"/>
    <w:rsid w:val="008A489D"/>
    <w:rsid w:val="008A4F98"/>
    <w:rsid w:val="008A5327"/>
    <w:rsid w:val="008A5873"/>
    <w:rsid w:val="008A5F5B"/>
    <w:rsid w:val="008A663F"/>
    <w:rsid w:val="008A77BD"/>
    <w:rsid w:val="008A780D"/>
    <w:rsid w:val="008A7F30"/>
    <w:rsid w:val="008B0845"/>
    <w:rsid w:val="008B0EA7"/>
    <w:rsid w:val="008B1EBE"/>
    <w:rsid w:val="008B1F30"/>
    <w:rsid w:val="008B2AD5"/>
    <w:rsid w:val="008B2DF4"/>
    <w:rsid w:val="008B2E86"/>
    <w:rsid w:val="008B306E"/>
    <w:rsid w:val="008B343D"/>
    <w:rsid w:val="008B3AD0"/>
    <w:rsid w:val="008B3D89"/>
    <w:rsid w:val="008B446E"/>
    <w:rsid w:val="008B448B"/>
    <w:rsid w:val="008B5937"/>
    <w:rsid w:val="008B609B"/>
    <w:rsid w:val="008B66BE"/>
    <w:rsid w:val="008B66F6"/>
    <w:rsid w:val="008B69F0"/>
    <w:rsid w:val="008B6DDC"/>
    <w:rsid w:val="008B6F28"/>
    <w:rsid w:val="008B769C"/>
    <w:rsid w:val="008B76C8"/>
    <w:rsid w:val="008C0744"/>
    <w:rsid w:val="008C1063"/>
    <w:rsid w:val="008C221D"/>
    <w:rsid w:val="008C2512"/>
    <w:rsid w:val="008C2568"/>
    <w:rsid w:val="008C3773"/>
    <w:rsid w:val="008C3B23"/>
    <w:rsid w:val="008C3C2B"/>
    <w:rsid w:val="008C53ED"/>
    <w:rsid w:val="008C5B73"/>
    <w:rsid w:val="008C5C02"/>
    <w:rsid w:val="008C60AB"/>
    <w:rsid w:val="008C6282"/>
    <w:rsid w:val="008C6F39"/>
    <w:rsid w:val="008C74C6"/>
    <w:rsid w:val="008C74D4"/>
    <w:rsid w:val="008C75C2"/>
    <w:rsid w:val="008C7638"/>
    <w:rsid w:val="008C7730"/>
    <w:rsid w:val="008C78D3"/>
    <w:rsid w:val="008C7A16"/>
    <w:rsid w:val="008C7D38"/>
    <w:rsid w:val="008D05A3"/>
    <w:rsid w:val="008D1774"/>
    <w:rsid w:val="008D1E00"/>
    <w:rsid w:val="008D24FC"/>
    <w:rsid w:val="008D271A"/>
    <w:rsid w:val="008D2D09"/>
    <w:rsid w:val="008D2EB2"/>
    <w:rsid w:val="008D35D7"/>
    <w:rsid w:val="008D48F2"/>
    <w:rsid w:val="008D4A77"/>
    <w:rsid w:val="008D61B4"/>
    <w:rsid w:val="008D68EE"/>
    <w:rsid w:val="008D6920"/>
    <w:rsid w:val="008D6F0E"/>
    <w:rsid w:val="008D7054"/>
    <w:rsid w:val="008D78C2"/>
    <w:rsid w:val="008E0074"/>
    <w:rsid w:val="008E18C2"/>
    <w:rsid w:val="008E2250"/>
    <w:rsid w:val="008E2879"/>
    <w:rsid w:val="008E2EE4"/>
    <w:rsid w:val="008E370D"/>
    <w:rsid w:val="008E3BDD"/>
    <w:rsid w:val="008E41AE"/>
    <w:rsid w:val="008E4323"/>
    <w:rsid w:val="008E46BA"/>
    <w:rsid w:val="008E4B96"/>
    <w:rsid w:val="008E5260"/>
    <w:rsid w:val="008E6722"/>
    <w:rsid w:val="008E7572"/>
    <w:rsid w:val="008E78E9"/>
    <w:rsid w:val="008E7A0D"/>
    <w:rsid w:val="008E7D3A"/>
    <w:rsid w:val="008F09A3"/>
    <w:rsid w:val="008F13B1"/>
    <w:rsid w:val="008F2520"/>
    <w:rsid w:val="008F30F2"/>
    <w:rsid w:val="008F3194"/>
    <w:rsid w:val="008F395A"/>
    <w:rsid w:val="008F3B93"/>
    <w:rsid w:val="008F44CD"/>
    <w:rsid w:val="008F482F"/>
    <w:rsid w:val="008F4B1E"/>
    <w:rsid w:val="008F5136"/>
    <w:rsid w:val="008F5240"/>
    <w:rsid w:val="008F5EA2"/>
    <w:rsid w:val="008F6B8E"/>
    <w:rsid w:val="008F72F6"/>
    <w:rsid w:val="008F7511"/>
    <w:rsid w:val="008F78C2"/>
    <w:rsid w:val="00900374"/>
    <w:rsid w:val="00900C34"/>
    <w:rsid w:val="00900FDE"/>
    <w:rsid w:val="009011C6"/>
    <w:rsid w:val="00901C89"/>
    <w:rsid w:val="00902289"/>
    <w:rsid w:val="00902586"/>
    <w:rsid w:val="00902C77"/>
    <w:rsid w:val="00902FA0"/>
    <w:rsid w:val="00904702"/>
    <w:rsid w:val="00904B98"/>
    <w:rsid w:val="009053BB"/>
    <w:rsid w:val="00905B48"/>
    <w:rsid w:val="00905D26"/>
    <w:rsid w:val="00905E42"/>
    <w:rsid w:val="00906258"/>
    <w:rsid w:val="0090728D"/>
    <w:rsid w:val="00910227"/>
    <w:rsid w:val="0091063A"/>
    <w:rsid w:val="00910B21"/>
    <w:rsid w:val="0091135F"/>
    <w:rsid w:val="009113BE"/>
    <w:rsid w:val="009118CF"/>
    <w:rsid w:val="00911AAF"/>
    <w:rsid w:val="00913975"/>
    <w:rsid w:val="009141B3"/>
    <w:rsid w:val="0091462A"/>
    <w:rsid w:val="009152F4"/>
    <w:rsid w:val="0091551E"/>
    <w:rsid w:val="00915605"/>
    <w:rsid w:val="00915EA3"/>
    <w:rsid w:val="009160C6"/>
    <w:rsid w:val="009167CA"/>
    <w:rsid w:val="009172B0"/>
    <w:rsid w:val="009177E5"/>
    <w:rsid w:val="00917AE5"/>
    <w:rsid w:val="00917B93"/>
    <w:rsid w:val="00917DA7"/>
    <w:rsid w:val="00917FA5"/>
    <w:rsid w:val="009206EB"/>
    <w:rsid w:val="0092093F"/>
    <w:rsid w:val="00920C3A"/>
    <w:rsid w:val="00921385"/>
    <w:rsid w:val="00921897"/>
    <w:rsid w:val="00922967"/>
    <w:rsid w:val="009230A6"/>
    <w:rsid w:val="009244E6"/>
    <w:rsid w:val="009250EC"/>
    <w:rsid w:val="009271AF"/>
    <w:rsid w:val="00927319"/>
    <w:rsid w:val="00927621"/>
    <w:rsid w:val="00927803"/>
    <w:rsid w:val="00927A3B"/>
    <w:rsid w:val="00927DE0"/>
    <w:rsid w:val="00927DF5"/>
    <w:rsid w:val="00930EA4"/>
    <w:rsid w:val="009315F9"/>
    <w:rsid w:val="009318D9"/>
    <w:rsid w:val="00932101"/>
    <w:rsid w:val="00932AE0"/>
    <w:rsid w:val="00933768"/>
    <w:rsid w:val="00933CBA"/>
    <w:rsid w:val="00934666"/>
    <w:rsid w:val="00934AF2"/>
    <w:rsid w:val="00934B69"/>
    <w:rsid w:val="009352CF"/>
    <w:rsid w:val="009353BB"/>
    <w:rsid w:val="009354E8"/>
    <w:rsid w:val="009359F5"/>
    <w:rsid w:val="009363BE"/>
    <w:rsid w:val="0093662F"/>
    <w:rsid w:val="0093688E"/>
    <w:rsid w:val="00936B96"/>
    <w:rsid w:val="009371EE"/>
    <w:rsid w:val="009373A1"/>
    <w:rsid w:val="00940E9A"/>
    <w:rsid w:val="00940EE0"/>
    <w:rsid w:val="00941660"/>
    <w:rsid w:val="00941FCD"/>
    <w:rsid w:val="009420C5"/>
    <w:rsid w:val="00942FD5"/>
    <w:rsid w:val="009433A6"/>
    <w:rsid w:val="00943411"/>
    <w:rsid w:val="00944E78"/>
    <w:rsid w:val="009452F5"/>
    <w:rsid w:val="0094553B"/>
    <w:rsid w:val="00945960"/>
    <w:rsid w:val="00945D0F"/>
    <w:rsid w:val="00946816"/>
    <w:rsid w:val="00951295"/>
    <w:rsid w:val="00951562"/>
    <w:rsid w:val="00952C08"/>
    <w:rsid w:val="0095318E"/>
    <w:rsid w:val="00953288"/>
    <w:rsid w:val="00953C91"/>
    <w:rsid w:val="00954698"/>
    <w:rsid w:val="00955506"/>
    <w:rsid w:val="009560B1"/>
    <w:rsid w:val="009561E3"/>
    <w:rsid w:val="00956546"/>
    <w:rsid w:val="009568FE"/>
    <w:rsid w:val="00956B2F"/>
    <w:rsid w:val="009571BE"/>
    <w:rsid w:val="0095732A"/>
    <w:rsid w:val="009574E7"/>
    <w:rsid w:val="009574F2"/>
    <w:rsid w:val="0095752A"/>
    <w:rsid w:val="009577A8"/>
    <w:rsid w:val="00960370"/>
    <w:rsid w:val="00960492"/>
    <w:rsid w:val="00961261"/>
    <w:rsid w:val="00961321"/>
    <w:rsid w:val="00961CC2"/>
    <w:rsid w:val="00962A25"/>
    <w:rsid w:val="009631E3"/>
    <w:rsid w:val="00963568"/>
    <w:rsid w:val="0096357D"/>
    <w:rsid w:val="00964149"/>
    <w:rsid w:val="009641FC"/>
    <w:rsid w:val="009648AC"/>
    <w:rsid w:val="009652B0"/>
    <w:rsid w:val="0096531B"/>
    <w:rsid w:val="009668A4"/>
    <w:rsid w:val="00966B34"/>
    <w:rsid w:val="00967B97"/>
    <w:rsid w:val="00967C01"/>
    <w:rsid w:val="00971190"/>
    <w:rsid w:val="0097124B"/>
    <w:rsid w:val="009714A0"/>
    <w:rsid w:val="009715DC"/>
    <w:rsid w:val="009719ED"/>
    <w:rsid w:val="00972095"/>
    <w:rsid w:val="00972605"/>
    <w:rsid w:val="00972A7B"/>
    <w:rsid w:val="00972F2C"/>
    <w:rsid w:val="009735DF"/>
    <w:rsid w:val="00973800"/>
    <w:rsid w:val="00973C95"/>
    <w:rsid w:val="00973F0D"/>
    <w:rsid w:val="00974101"/>
    <w:rsid w:val="009741EE"/>
    <w:rsid w:val="009752BF"/>
    <w:rsid w:val="00976DDD"/>
    <w:rsid w:val="0097777B"/>
    <w:rsid w:val="00977DCE"/>
    <w:rsid w:val="00977E43"/>
    <w:rsid w:val="00977E95"/>
    <w:rsid w:val="0098005B"/>
    <w:rsid w:val="009802CE"/>
    <w:rsid w:val="00980352"/>
    <w:rsid w:val="0098052C"/>
    <w:rsid w:val="00980C18"/>
    <w:rsid w:val="00980C90"/>
    <w:rsid w:val="00981001"/>
    <w:rsid w:val="00982469"/>
    <w:rsid w:val="00982BC8"/>
    <w:rsid w:val="00983B3B"/>
    <w:rsid w:val="00983BAF"/>
    <w:rsid w:val="00983F0B"/>
    <w:rsid w:val="00983F83"/>
    <w:rsid w:val="00984116"/>
    <w:rsid w:val="009844EC"/>
    <w:rsid w:val="00984ABE"/>
    <w:rsid w:val="009856F7"/>
    <w:rsid w:val="00985A20"/>
    <w:rsid w:val="00985C92"/>
    <w:rsid w:val="009860DC"/>
    <w:rsid w:val="009861EF"/>
    <w:rsid w:val="00986C2F"/>
    <w:rsid w:val="00986CFF"/>
    <w:rsid w:val="009873C3"/>
    <w:rsid w:val="009879E3"/>
    <w:rsid w:val="00987E5C"/>
    <w:rsid w:val="009900E9"/>
    <w:rsid w:val="0099013B"/>
    <w:rsid w:val="009901BE"/>
    <w:rsid w:val="009909DB"/>
    <w:rsid w:val="00990C5E"/>
    <w:rsid w:val="009912C6"/>
    <w:rsid w:val="00991C43"/>
    <w:rsid w:val="00991C5F"/>
    <w:rsid w:val="00991C96"/>
    <w:rsid w:val="00992893"/>
    <w:rsid w:val="00994C9B"/>
    <w:rsid w:val="009950D2"/>
    <w:rsid w:val="0099530E"/>
    <w:rsid w:val="009955A0"/>
    <w:rsid w:val="00995741"/>
    <w:rsid w:val="00995BF3"/>
    <w:rsid w:val="00996783"/>
    <w:rsid w:val="00996AC1"/>
    <w:rsid w:val="00996DEC"/>
    <w:rsid w:val="00996F2E"/>
    <w:rsid w:val="009971DF"/>
    <w:rsid w:val="00997726"/>
    <w:rsid w:val="009A0236"/>
    <w:rsid w:val="009A0983"/>
    <w:rsid w:val="009A0B46"/>
    <w:rsid w:val="009A0DDD"/>
    <w:rsid w:val="009A1177"/>
    <w:rsid w:val="009A124D"/>
    <w:rsid w:val="009A20F8"/>
    <w:rsid w:val="009A2314"/>
    <w:rsid w:val="009A25B0"/>
    <w:rsid w:val="009A33E0"/>
    <w:rsid w:val="009A3541"/>
    <w:rsid w:val="009A3B36"/>
    <w:rsid w:val="009A4198"/>
    <w:rsid w:val="009A43CF"/>
    <w:rsid w:val="009A4552"/>
    <w:rsid w:val="009A4A50"/>
    <w:rsid w:val="009A4F1B"/>
    <w:rsid w:val="009A5197"/>
    <w:rsid w:val="009A52D5"/>
    <w:rsid w:val="009A5905"/>
    <w:rsid w:val="009A5FD9"/>
    <w:rsid w:val="009A6242"/>
    <w:rsid w:val="009A63C2"/>
    <w:rsid w:val="009A6D07"/>
    <w:rsid w:val="009A6F85"/>
    <w:rsid w:val="009B0CE4"/>
    <w:rsid w:val="009B15E4"/>
    <w:rsid w:val="009B1D8D"/>
    <w:rsid w:val="009B31BA"/>
    <w:rsid w:val="009B322D"/>
    <w:rsid w:val="009B3538"/>
    <w:rsid w:val="009B37F9"/>
    <w:rsid w:val="009B399A"/>
    <w:rsid w:val="009B4155"/>
    <w:rsid w:val="009B4246"/>
    <w:rsid w:val="009B447F"/>
    <w:rsid w:val="009B453D"/>
    <w:rsid w:val="009B50AF"/>
    <w:rsid w:val="009B7666"/>
    <w:rsid w:val="009B7677"/>
    <w:rsid w:val="009C0DE0"/>
    <w:rsid w:val="009C12F1"/>
    <w:rsid w:val="009C1A62"/>
    <w:rsid w:val="009C1B6B"/>
    <w:rsid w:val="009C2290"/>
    <w:rsid w:val="009C2DF8"/>
    <w:rsid w:val="009C2F8A"/>
    <w:rsid w:val="009C3B03"/>
    <w:rsid w:val="009C42D6"/>
    <w:rsid w:val="009C47CE"/>
    <w:rsid w:val="009C4B79"/>
    <w:rsid w:val="009C564E"/>
    <w:rsid w:val="009C5DBE"/>
    <w:rsid w:val="009C5E2B"/>
    <w:rsid w:val="009C6284"/>
    <w:rsid w:val="009C632B"/>
    <w:rsid w:val="009C644B"/>
    <w:rsid w:val="009C6D41"/>
    <w:rsid w:val="009C72C6"/>
    <w:rsid w:val="009C7C81"/>
    <w:rsid w:val="009D06C6"/>
    <w:rsid w:val="009D0E6F"/>
    <w:rsid w:val="009D0F3C"/>
    <w:rsid w:val="009D1358"/>
    <w:rsid w:val="009D1490"/>
    <w:rsid w:val="009D1723"/>
    <w:rsid w:val="009D1BA9"/>
    <w:rsid w:val="009D2590"/>
    <w:rsid w:val="009D25FB"/>
    <w:rsid w:val="009D26E9"/>
    <w:rsid w:val="009D4355"/>
    <w:rsid w:val="009D445A"/>
    <w:rsid w:val="009D4602"/>
    <w:rsid w:val="009D4D79"/>
    <w:rsid w:val="009D5027"/>
    <w:rsid w:val="009D50F6"/>
    <w:rsid w:val="009D6B3A"/>
    <w:rsid w:val="009D6ECA"/>
    <w:rsid w:val="009D71FF"/>
    <w:rsid w:val="009E0A9B"/>
    <w:rsid w:val="009E1596"/>
    <w:rsid w:val="009E1D33"/>
    <w:rsid w:val="009E1D68"/>
    <w:rsid w:val="009E1F03"/>
    <w:rsid w:val="009E2171"/>
    <w:rsid w:val="009E2B8B"/>
    <w:rsid w:val="009E3DAA"/>
    <w:rsid w:val="009E4551"/>
    <w:rsid w:val="009E4623"/>
    <w:rsid w:val="009E486B"/>
    <w:rsid w:val="009E603A"/>
    <w:rsid w:val="009E606E"/>
    <w:rsid w:val="009E6A6A"/>
    <w:rsid w:val="009E6C85"/>
    <w:rsid w:val="009E6D58"/>
    <w:rsid w:val="009E7291"/>
    <w:rsid w:val="009E79D0"/>
    <w:rsid w:val="009E7E2E"/>
    <w:rsid w:val="009E7E8B"/>
    <w:rsid w:val="009E7F22"/>
    <w:rsid w:val="009F007A"/>
    <w:rsid w:val="009F031D"/>
    <w:rsid w:val="009F080A"/>
    <w:rsid w:val="009F0973"/>
    <w:rsid w:val="009F0E66"/>
    <w:rsid w:val="009F1ACC"/>
    <w:rsid w:val="009F3619"/>
    <w:rsid w:val="009F39C9"/>
    <w:rsid w:val="009F3AFC"/>
    <w:rsid w:val="009F3B03"/>
    <w:rsid w:val="009F3B14"/>
    <w:rsid w:val="009F4544"/>
    <w:rsid w:val="009F4D7B"/>
    <w:rsid w:val="009F5BEB"/>
    <w:rsid w:val="009F5F62"/>
    <w:rsid w:val="009F5F72"/>
    <w:rsid w:val="009F679E"/>
    <w:rsid w:val="009F6A5D"/>
    <w:rsid w:val="009F6B2D"/>
    <w:rsid w:val="009F7250"/>
    <w:rsid w:val="009F7B52"/>
    <w:rsid w:val="009F7CA5"/>
    <w:rsid w:val="009F7E83"/>
    <w:rsid w:val="00A0045B"/>
    <w:rsid w:val="00A004CF"/>
    <w:rsid w:val="00A005E5"/>
    <w:rsid w:val="00A006C3"/>
    <w:rsid w:val="00A006DE"/>
    <w:rsid w:val="00A0129F"/>
    <w:rsid w:val="00A0184C"/>
    <w:rsid w:val="00A01DC1"/>
    <w:rsid w:val="00A02193"/>
    <w:rsid w:val="00A02A41"/>
    <w:rsid w:val="00A030B9"/>
    <w:rsid w:val="00A031F3"/>
    <w:rsid w:val="00A041E1"/>
    <w:rsid w:val="00A057E6"/>
    <w:rsid w:val="00A0589B"/>
    <w:rsid w:val="00A05D53"/>
    <w:rsid w:val="00A06494"/>
    <w:rsid w:val="00A065EE"/>
    <w:rsid w:val="00A06956"/>
    <w:rsid w:val="00A07093"/>
    <w:rsid w:val="00A07679"/>
    <w:rsid w:val="00A07801"/>
    <w:rsid w:val="00A0793C"/>
    <w:rsid w:val="00A07A07"/>
    <w:rsid w:val="00A07AE0"/>
    <w:rsid w:val="00A1079D"/>
    <w:rsid w:val="00A109FD"/>
    <w:rsid w:val="00A11272"/>
    <w:rsid w:val="00A115F5"/>
    <w:rsid w:val="00A11F53"/>
    <w:rsid w:val="00A1243B"/>
    <w:rsid w:val="00A137D2"/>
    <w:rsid w:val="00A151BC"/>
    <w:rsid w:val="00A15386"/>
    <w:rsid w:val="00A16CC3"/>
    <w:rsid w:val="00A17B2C"/>
    <w:rsid w:val="00A200A7"/>
    <w:rsid w:val="00A20721"/>
    <w:rsid w:val="00A20B67"/>
    <w:rsid w:val="00A20C2C"/>
    <w:rsid w:val="00A212D0"/>
    <w:rsid w:val="00A21982"/>
    <w:rsid w:val="00A21C92"/>
    <w:rsid w:val="00A2216F"/>
    <w:rsid w:val="00A22369"/>
    <w:rsid w:val="00A22453"/>
    <w:rsid w:val="00A226E4"/>
    <w:rsid w:val="00A22EB5"/>
    <w:rsid w:val="00A23088"/>
    <w:rsid w:val="00A2393E"/>
    <w:rsid w:val="00A23F63"/>
    <w:rsid w:val="00A24B7E"/>
    <w:rsid w:val="00A24FA1"/>
    <w:rsid w:val="00A253BF"/>
    <w:rsid w:val="00A25804"/>
    <w:rsid w:val="00A2598F"/>
    <w:rsid w:val="00A25C7A"/>
    <w:rsid w:val="00A26533"/>
    <w:rsid w:val="00A27697"/>
    <w:rsid w:val="00A277B3"/>
    <w:rsid w:val="00A27927"/>
    <w:rsid w:val="00A303C5"/>
    <w:rsid w:val="00A30401"/>
    <w:rsid w:val="00A304E5"/>
    <w:rsid w:val="00A30780"/>
    <w:rsid w:val="00A30A6F"/>
    <w:rsid w:val="00A30FB6"/>
    <w:rsid w:val="00A310B6"/>
    <w:rsid w:val="00A316F6"/>
    <w:rsid w:val="00A318E0"/>
    <w:rsid w:val="00A31ACF"/>
    <w:rsid w:val="00A31C1B"/>
    <w:rsid w:val="00A32270"/>
    <w:rsid w:val="00A33340"/>
    <w:rsid w:val="00A34080"/>
    <w:rsid w:val="00A340FD"/>
    <w:rsid w:val="00A35800"/>
    <w:rsid w:val="00A35A8B"/>
    <w:rsid w:val="00A35B78"/>
    <w:rsid w:val="00A35F46"/>
    <w:rsid w:val="00A36079"/>
    <w:rsid w:val="00A3616B"/>
    <w:rsid w:val="00A36681"/>
    <w:rsid w:val="00A36D86"/>
    <w:rsid w:val="00A36F21"/>
    <w:rsid w:val="00A370C8"/>
    <w:rsid w:val="00A370E0"/>
    <w:rsid w:val="00A374D9"/>
    <w:rsid w:val="00A3756B"/>
    <w:rsid w:val="00A37E4E"/>
    <w:rsid w:val="00A4021E"/>
    <w:rsid w:val="00A405F8"/>
    <w:rsid w:val="00A4065C"/>
    <w:rsid w:val="00A409E4"/>
    <w:rsid w:val="00A41620"/>
    <w:rsid w:val="00A41791"/>
    <w:rsid w:val="00A423EC"/>
    <w:rsid w:val="00A42B87"/>
    <w:rsid w:val="00A42C5A"/>
    <w:rsid w:val="00A42E0B"/>
    <w:rsid w:val="00A4409A"/>
    <w:rsid w:val="00A4424D"/>
    <w:rsid w:val="00A442BF"/>
    <w:rsid w:val="00A445C0"/>
    <w:rsid w:val="00A44A4C"/>
    <w:rsid w:val="00A44B4C"/>
    <w:rsid w:val="00A45005"/>
    <w:rsid w:val="00A456A4"/>
    <w:rsid w:val="00A45924"/>
    <w:rsid w:val="00A45DCB"/>
    <w:rsid w:val="00A46450"/>
    <w:rsid w:val="00A465E2"/>
    <w:rsid w:val="00A46C38"/>
    <w:rsid w:val="00A46E41"/>
    <w:rsid w:val="00A47537"/>
    <w:rsid w:val="00A47E27"/>
    <w:rsid w:val="00A509CD"/>
    <w:rsid w:val="00A50DAE"/>
    <w:rsid w:val="00A50EC5"/>
    <w:rsid w:val="00A51416"/>
    <w:rsid w:val="00A51941"/>
    <w:rsid w:val="00A526BE"/>
    <w:rsid w:val="00A52738"/>
    <w:rsid w:val="00A5293B"/>
    <w:rsid w:val="00A52EED"/>
    <w:rsid w:val="00A53036"/>
    <w:rsid w:val="00A54762"/>
    <w:rsid w:val="00A54925"/>
    <w:rsid w:val="00A54A29"/>
    <w:rsid w:val="00A554A7"/>
    <w:rsid w:val="00A56823"/>
    <w:rsid w:val="00A56B14"/>
    <w:rsid w:val="00A57484"/>
    <w:rsid w:val="00A57C5F"/>
    <w:rsid w:val="00A608D1"/>
    <w:rsid w:val="00A60D06"/>
    <w:rsid w:val="00A60F8F"/>
    <w:rsid w:val="00A61867"/>
    <w:rsid w:val="00A630FC"/>
    <w:rsid w:val="00A64535"/>
    <w:rsid w:val="00A64DB0"/>
    <w:rsid w:val="00A65785"/>
    <w:rsid w:val="00A65C6F"/>
    <w:rsid w:val="00A65FCA"/>
    <w:rsid w:val="00A66012"/>
    <w:rsid w:val="00A66458"/>
    <w:rsid w:val="00A66811"/>
    <w:rsid w:val="00A67023"/>
    <w:rsid w:val="00A70DB1"/>
    <w:rsid w:val="00A710CD"/>
    <w:rsid w:val="00A71699"/>
    <w:rsid w:val="00A72342"/>
    <w:rsid w:val="00A72BE2"/>
    <w:rsid w:val="00A72CBB"/>
    <w:rsid w:val="00A732D8"/>
    <w:rsid w:val="00A7354D"/>
    <w:rsid w:val="00A738B9"/>
    <w:rsid w:val="00A742B0"/>
    <w:rsid w:val="00A745BD"/>
    <w:rsid w:val="00A74780"/>
    <w:rsid w:val="00A74C0D"/>
    <w:rsid w:val="00A7526F"/>
    <w:rsid w:val="00A752DF"/>
    <w:rsid w:val="00A75C60"/>
    <w:rsid w:val="00A76208"/>
    <w:rsid w:val="00A76E5A"/>
    <w:rsid w:val="00A770C6"/>
    <w:rsid w:val="00A77A87"/>
    <w:rsid w:val="00A77B54"/>
    <w:rsid w:val="00A80034"/>
    <w:rsid w:val="00A80176"/>
    <w:rsid w:val="00A8129A"/>
    <w:rsid w:val="00A8142B"/>
    <w:rsid w:val="00A81898"/>
    <w:rsid w:val="00A81C79"/>
    <w:rsid w:val="00A81F93"/>
    <w:rsid w:val="00A8207F"/>
    <w:rsid w:val="00A822A9"/>
    <w:rsid w:val="00A822F8"/>
    <w:rsid w:val="00A83278"/>
    <w:rsid w:val="00A833DA"/>
    <w:rsid w:val="00A839B7"/>
    <w:rsid w:val="00A83EE0"/>
    <w:rsid w:val="00A84385"/>
    <w:rsid w:val="00A84AA6"/>
    <w:rsid w:val="00A84DC7"/>
    <w:rsid w:val="00A84F9D"/>
    <w:rsid w:val="00A851DA"/>
    <w:rsid w:val="00A8546E"/>
    <w:rsid w:val="00A8557A"/>
    <w:rsid w:val="00A856D3"/>
    <w:rsid w:val="00A86922"/>
    <w:rsid w:val="00A86B70"/>
    <w:rsid w:val="00A87365"/>
    <w:rsid w:val="00A87381"/>
    <w:rsid w:val="00A873A9"/>
    <w:rsid w:val="00A8797D"/>
    <w:rsid w:val="00A90305"/>
    <w:rsid w:val="00A91B9B"/>
    <w:rsid w:val="00A91FBE"/>
    <w:rsid w:val="00A9201B"/>
    <w:rsid w:val="00A92146"/>
    <w:rsid w:val="00A92671"/>
    <w:rsid w:val="00A92C7E"/>
    <w:rsid w:val="00A930D7"/>
    <w:rsid w:val="00A934BE"/>
    <w:rsid w:val="00A93A27"/>
    <w:rsid w:val="00A947F6"/>
    <w:rsid w:val="00A9484F"/>
    <w:rsid w:val="00A94858"/>
    <w:rsid w:val="00A94A41"/>
    <w:rsid w:val="00A94B36"/>
    <w:rsid w:val="00A94BDA"/>
    <w:rsid w:val="00A9528A"/>
    <w:rsid w:val="00A956D5"/>
    <w:rsid w:val="00A96254"/>
    <w:rsid w:val="00A964F0"/>
    <w:rsid w:val="00A96AF5"/>
    <w:rsid w:val="00A96C05"/>
    <w:rsid w:val="00A96F62"/>
    <w:rsid w:val="00A9775F"/>
    <w:rsid w:val="00A977A9"/>
    <w:rsid w:val="00AA06C6"/>
    <w:rsid w:val="00AA127C"/>
    <w:rsid w:val="00AA16F4"/>
    <w:rsid w:val="00AA1B1F"/>
    <w:rsid w:val="00AA23AA"/>
    <w:rsid w:val="00AA2719"/>
    <w:rsid w:val="00AA2BD3"/>
    <w:rsid w:val="00AA3E20"/>
    <w:rsid w:val="00AA413D"/>
    <w:rsid w:val="00AA43E3"/>
    <w:rsid w:val="00AA50FE"/>
    <w:rsid w:val="00AA56CC"/>
    <w:rsid w:val="00AA5985"/>
    <w:rsid w:val="00AA5ED5"/>
    <w:rsid w:val="00AA7947"/>
    <w:rsid w:val="00AB025A"/>
    <w:rsid w:val="00AB0DBF"/>
    <w:rsid w:val="00AB256C"/>
    <w:rsid w:val="00AB267E"/>
    <w:rsid w:val="00AB32F8"/>
    <w:rsid w:val="00AB3FCB"/>
    <w:rsid w:val="00AB45EC"/>
    <w:rsid w:val="00AB47BE"/>
    <w:rsid w:val="00AB4F9E"/>
    <w:rsid w:val="00AB53F0"/>
    <w:rsid w:val="00AB56C1"/>
    <w:rsid w:val="00AB5D84"/>
    <w:rsid w:val="00AB63CF"/>
    <w:rsid w:val="00AB6F3C"/>
    <w:rsid w:val="00AB72B3"/>
    <w:rsid w:val="00AB7649"/>
    <w:rsid w:val="00AB7C5A"/>
    <w:rsid w:val="00AC0910"/>
    <w:rsid w:val="00AC0AC8"/>
    <w:rsid w:val="00AC12EC"/>
    <w:rsid w:val="00AC16BB"/>
    <w:rsid w:val="00AC1FD3"/>
    <w:rsid w:val="00AC2459"/>
    <w:rsid w:val="00AC294C"/>
    <w:rsid w:val="00AC30E8"/>
    <w:rsid w:val="00AC3759"/>
    <w:rsid w:val="00AC3969"/>
    <w:rsid w:val="00AC3F7E"/>
    <w:rsid w:val="00AC42A0"/>
    <w:rsid w:val="00AC5DE7"/>
    <w:rsid w:val="00AC654D"/>
    <w:rsid w:val="00AC6581"/>
    <w:rsid w:val="00AC7746"/>
    <w:rsid w:val="00AC790F"/>
    <w:rsid w:val="00AC7B52"/>
    <w:rsid w:val="00AD0B0F"/>
    <w:rsid w:val="00AD18C4"/>
    <w:rsid w:val="00AD201C"/>
    <w:rsid w:val="00AD215B"/>
    <w:rsid w:val="00AD26BB"/>
    <w:rsid w:val="00AD27B7"/>
    <w:rsid w:val="00AD2E4A"/>
    <w:rsid w:val="00AD2ECD"/>
    <w:rsid w:val="00AD2FCB"/>
    <w:rsid w:val="00AD32BB"/>
    <w:rsid w:val="00AD3759"/>
    <w:rsid w:val="00AD3850"/>
    <w:rsid w:val="00AD3E7C"/>
    <w:rsid w:val="00AD3EAB"/>
    <w:rsid w:val="00AD4255"/>
    <w:rsid w:val="00AD52B7"/>
    <w:rsid w:val="00AD5B1F"/>
    <w:rsid w:val="00AD6221"/>
    <w:rsid w:val="00AD6AEE"/>
    <w:rsid w:val="00AD6B77"/>
    <w:rsid w:val="00AD6F7C"/>
    <w:rsid w:val="00AD736C"/>
    <w:rsid w:val="00AD7852"/>
    <w:rsid w:val="00AD7F20"/>
    <w:rsid w:val="00AE0117"/>
    <w:rsid w:val="00AE1BBF"/>
    <w:rsid w:val="00AE1DCF"/>
    <w:rsid w:val="00AE1E15"/>
    <w:rsid w:val="00AE1EDB"/>
    <w:rsid w:val="00AE2414"/>
    <w:rsid w:val="00AE2731"/>
    <w:rsid w:val="00AE279C"/>
    <w:rsid w:val="00AE2A57"/>
    <w:rsid w:val="00AE2AEF"/>
    <w:rsid w:val="00AE3220"/>
    <w:rsid w:val="00AE4127"/>
    <w:rsid w:val="00AE42AD"/>
    <w:rsid w:val="00AE4B2F"/>
    <w:rsid w:val="00AE4C07"/>
    <w:rsid w:val="00AE5327"/>
    <w:rsid w:val="00AE5C17"/>
    <w:rsid w:val="00AE5F73"/>
    <w:rsid w:val="00AE6352"/>
    <w:rsid w:val="00AE67AA"/>
    <w:rsid w:val="00AE7562"/>
    <w:rsid w:val="00AE7791"/>
    <w:rsid w:val="00AE7C8C"/>
    <w:rsid w:val="00AF0533"/>
    <w:rsid w:val="00AF06FD"/>
    <w:rsid w:val="00AF0B28"/>
    <w:rsid w:val="00AF0BCD"/>
    <w:rsid w:val="00AF2082"/>
    <w:rsid w:val="00AF2466"/>
    <w:rsid w:val="00AF2DA1"/>
    <w:rsid w:val="00AF37C3"/>
    <w:rsid w:val="00AF3A04"/>
    <w:rsid w:val="00AF4919"/>
    <w:rsid w:val="00AF56AD"/>
    <w:rsid w:val="00AF5BE4"/>
    <w:rsid w:val="00AF624B"/>
    <w:rsid w:val="00AF6814"/>
    <w:rsid w:val="00AF6A46"/>
    <w:rsid w:val="00AF6ABA"/>
    <w:rsid w:val="00AF6ADD"/>
    <w:rsid w:val="00AF6B72"/>
    <w:rsid w:val="00AF769F"/>
    <w:rsid w:val="00AF7C9A"/>
    <w:rsid w:val="00B00118"/>
    <w:rsid w:val="00B00157"/>
    <w:rsid w:val="00B004FE"/>
    <w:rsid w:val="00B009A2"/>
    <w:rsid w:val="00B00B3B"/>
    <w:rsid w:val="00B00D10"/>
    <w:rsid w:val="00B00D1B"/>
    <w:rsid w:val="00B0143C"/>
    <w:rsid w:val="00B01993"/>
    <w:rsid w:val="00B01D64"/>
    <w:rsid w:val="00B02073"/>
    <w:rsid w:val="00B02346"/>
    <w:rsid w:val="00B027D3"/>
    <w:rsid w:val="00B028F6"/>
    <w:rsid w:val="00B0387B"/>
    <w:rsid w:val="00B04ED8"/>
    <w:rsid w:val="00B04FAD"/>
    <w:rsid w:val="00B0532C"/>
    <w:rsid w:val="00B06103"/>
    <w:rsid w:val="00B0626D"/>
    <w:rsid w:val="00B06AED"/>
    <w:rsid w:val="00B06E81"/>
    <w:rsid w:val="00B06EF8"/>
    <w:rsid w:val="00B07122"/>
    <w:rsid w:val="00B071A7"/>
    <w:rsid w:val="00B07621"/>
    <w:rsid w:val="00B07E73"/>
    <w:rsid w:val="00B1034A"/>
    <w:rsid w:val="00B10A6B"/>
    <w:rsid w:val="00B10E5D"/>
    <w:rsid w:val="00B11366"/>
    <w:rsid w:val="00B11564"/>
    <w:rsid w:val="00B11644"/>
    <w:rsid w:val="00B118CB"/>
    <w:rsid w:val="00B12728"/>
    <w:rsid w:val="00B1318F"/>
    <w:rsid w:val="00B13845"/>
    <w:rsid w:val="00B138CF"/>
    <w:rsid w:val="00B13C19"/>
    <w:rsid w:val="00B1447F"/>
    <w:rsid w:val="00B14586"/>
    <w:rsid w:val="00B149C8"/>
    <w:rsid w:val="00B15949"/>
    <w:rsid w:val="00B15D40"/>
    <w:rsid w:val="00B15DA4"/>
    <w:rsid w:val="00B16634"/>
    <w:rsid w:val="00B16DC9"/>
    <w:rsid w:val="00B171A6"/>
    <w:rsid w:val="00B21220"/>
    <w:rsid w:val="00B215F0"/>
    <w:rsid w:val="00B21BD7"/>
    <w:rsid w:val="00B21D75"/>
    <w:rsid w:val="00B22540"/>
    <w:rsid w:val="00B22E15"/>
    <w:rsid w:val="00B2339E"/>
    <w:rsid w:val="00B23414"/>
    <w:rsid w:val="00B236C0"/>
    <w:rsid w:val="00B23EFC"/>
    <w:rsid w:val="00B24694"/>
    <w:rsid w:val="00B24C87"/>
    <w:rsid w:val="00B24DA2"/>
    <w:rsid w:val="00B24FC6"/>
    <w:rsid w:val="00B2564E"/>
    <w:rsid w:val="00B25A05"/>
    <w:rsid w:val="00B26990"/>
    <w:rsid w:val="00B26E4B"/>
    <w:rsid w:val="00B2701D"/>
    <w:rsid w:val="00B3095B"/>
    <w:rsid w:val="00B30BFF"/>
    <w:rsid w:val="00B31560"/>
    <w:rsid w:val="00B315C8"/>
    <w:rsid w:val="00B317E9"/>
    <w:rsid w:val="00B328E6"/>
    <w:rsid w:val="00B32AE8"/>
    <w:rsid w:val="00B32BA4"/>
    <w:rsid w:val="00B330F3"/>
    <w:rsid w:val="00B34EA7"/>
    <w:rsid w:val="00B35011"/>
    <w:rsid w:val="00B35D1B"/>
    <w:rsid w:val="00B35D1D"/>
    <w:rsid w:val="00B36070"/>
    <w:rsid w:val="00B36258"/>
    <w:rsid w:val="00B36983"/>
    <w:rsid w:val="00B36F6C"/>
    <w:rsid w:val="00B3778C"/>
    <w:rsid w:val="00B37879"/>
    <w:rsid w:val="00B40383"/>
    <w:rsid w:val="00B403AE"/>
    <w:rsid w:val="00B40B45"/>
    <w:rsid w:val="00B40C67"/>
    <w:rsid w:val="00B411C8"/>
    <w:rsid w:val="00B42D97"/>
    <w:rsid w:val="00B42F71"/>
    <w:rsid w:val="00B43350"/>
    <w:rsid w:val="00B43F74"/>
    <w:rsid w:val="00B44141"/>
    <w:rsid w:val="00B4519F"/>
    <w:rsid w:val="00B45571"/>
    <w:rsid w:val="00B45682"/>
    <w:rsid w:val="00B45F83"/>
    <w:rsid w:val="00B469FF"/>
    <w:rsid w:val="00B46CB7"/>
    <w:rsid w:val="00B4792D"/>
    <w:rsid w:val="00B5012B"/>
    <w:rsid w:val="00B50C3A"/>
    <w:rsid w:val="00B50E6C"/>
    <w:rsid w:val="00B52C8B"/>
    <w:rsid w:val="00B52FD5"/>
    <w:rsid w:val="00B53852"/>
    <w:rsid w:val="00B53861"/>
    <w:rsid w:val="00B538A7"/>
    <w:rsid w:val="00B53E69"/>
    <w:rsid w:val="00B5411A"/>
    <w:rsid w:val="00B547CD"/>
    <w:rsid w:val="00B54BD2"/>
    <w:rsid w:val="00B54BDF"/>
    <w:rsid w:val="00B54D40"/>
    <w:rsid w:val="00B55202"/>
    <w:rsid w:val="00B55651"/>
    <w:rsid w:val="00B55829"/>
    <w:rsid w:val="00B562B7"/>
    <w:rsid w:val="00B563D2"/>
    <w:rsid w:val="00B56B64"/>
    <w:rsid w:val="00B57125"/>
    <w:rsid w:val="00B57A03"/>
    <w:rsid w:val="00B57DF8"/>
    <w:rsid w:val="00B57FB7"/>
    <w:rsid w:val="00B60B5D"/>
    <w:rsid w:val="00B60D04"/>
    <w:rsid w:val="00B60FF7"/>
    <w:rsid w:val="00B61210"/>
    <w:rsid w:val="00B619AA"/>
    <w:rsid w:val="00B6235D"/>
    <w:rsid w:val="00B628DB"/>
    <w:rsid w:val="00B62966"/>
    <w:rsid w:val="00B630DE"/>
    <w:rsid w:val="00B63A4C"/>
    <w:rsid w:val="00B63AD8"/>
    <w:rsid w:val="00B63C4F"/>
    <w:rsid w:val="00B63E53"/>
    <w:rsid w:val="00B642E2"/>
    <w:rsid w:val="00B64300"/>
    <w:rsid w:val="00B6488F"/>
    <w:rsid w:val="00B64C08"/>
    <w:rsid w:val="00B64D11"/>
    <w:rsid w:val="00B64F18"/>
    <w:rsid w:val="00B6541B"/>
    <w:rsid w:val="00B66810"/>
    <w:rsid w:val="00B669BB"/>
    <w:rsid w:val="00B66F51"/>
    <w:rsid w:val="00B672C1"/>
    <w:rsid w:val="00B67308"/>
    <w:rsid w:val="00B677B3"/>
    <w:rsid w:val="00B6781E"/>
    <w:rsid w:val="00B67D1F"/>
    <w:rsid w:val="00B71652"/>
    <w:rsid w:val="00B71837"/>
    <w:rsid w:val="00B71866"/>
    <w:rsid w:val="00B719DC"/>
    <w:rsid w:val="00B71D21"/>
    <w:rsid w:val="00B7252A"/>
    <w:rsid w:val="00B7281F"/>
    <w:rsid w:val="00B745DD"/>
    <w:rsid w:val="00B75102"/>
    <w:rsid w:val="00B764D6"/>
    <w:rsid w:val="00B76E8C"/>
    <w:rsid w:val="00B77999"/>
    <w:rsid w:val="00B77D8C"/>
    <w:rsid w:val="00B80965"/>
    <w:rsid w:val="00B80CE8"/>
    <w:rsid w:val="00B815D0"/>
    <w:rsid w:val="00B81606"/>
    <w:rsid w:val="00B817B5"/>
    <w:rsid w:val="00B81C00"/>
    <w:rsid w:val="00B8231A"/>
    <w:rsid w:val="00B8262B"/>
    <w:rsid w:val="00B82B11"/>
    <w:rsid w:val="00B82C70"/>
    <w:rsid w:val="00B82CD0"/>
    <w:rsid w:val="00B82E62"/>
    <w:rsid w:val="00B82F8C"/>
    <w:rsid w:val="00B83178"/>
    <w:rsid w:val="00B83C24"/>
    <w:rsid w:val="00B8414A"/>
    <w:rsid w:val="00B84455"/>
    <w:rsid w:val="00B84BD9"/>
    <w:rsid w:val="00B853BA"/>
    <w:rsid w:val="00B85410"/>
    <w:rsid w:val="00B856E1"/>
    <w:rsid w:val="00B86CBB"/>
    <w:rsid w:val="00B86D4E"/>
    <w:rsid w:val="00B8758D"/>
    <w:rsid w:val="00B875D0"/>
    <w:rsid w:val="00B87BDA"/>
    <w:rsid w:val="00B87FF3"/>
    <w:rsid w:val="00B90217"/>
    <w:rsid w:val="00B90429"/>
    <w:rsid w:val="00B907F0"/>
    <w:rsid w:val="00B919C4"/>
    <w:rsid w:val="00B92376"/>
    <w:rsid w:val="00B92D30"/>
    <w:rsid w:val="00B940E5"/>
    <w:rsid w:val="00B942CF"/>
    <w:rsid w:val="00B944D0"/>
    <w:rsid w:val="00B9483D"/>
    <w:rsid w:val="00B9489B"/>
    <w:rsid w:val="00B95153"/>
    <w:rsid w:val="00B95C32"/>
    <w:rsid w:val="00B96312"/>
    <w:rsid w:val="00B966C0"/>
    <w:rsid w:val="00B9692F"/>
    <w:rsid w:val="00B97435"/>
    <w:rsid w:val="00B97D90"/>
    <w:rsid w:val="00BA0EE3"/>
    <w:rsid w:val="00BA19CA"/>
    <w:rsid w:val="00BA3BCC"/>
    <w:rsid w:val="00BA4339"/>
    <w:rsid w:val="00BA5028"/>
    <w:rsid w:val="00BA5755"/>
    <w:rsid w:val="00BA6699"/>
    <w:rsid w:val="00BA72E0"/>
    <w:rsid w:val="00BB04DC"/>
    <w:rsid w:val="00BB23FE"/>
    <w:rsid w:val="00BB2583"/>
    <w:rsid w:val="00BB2597"/>
    <w:rsid w:val="00BB2845"/>
    <w:rsid w:val="00BB2C1D"/>
    <w:rsid w:val="00BB2FD6"/>
    <w:rsid w:val="00BB3519"/>
    <w:rsid w:val="00BB42D6"/>
    <w:rsid w:val="00BB45FD"/>
    <w:rsid w:val="00BB4EA4"/>
    <w:rsid w:val="00BB5319"/>
    <w:rsid w:val="00BB5466"/>
    <w:rsid w:val="00BB57C2"/>
    <w:rsid w:val="00BB6277"/>
    <w:rsid w:val="00BB6539"/>
    <w:rsid w:val="00BB65B8"/>
    <w:rsid w:val="00BB69A7"/>
    <w:rsid w:val="00BB7786"/>
    <w:rsid w:val="00BB7DD6"/>
    <w:rsid w:val="00BB7EA7"/>
    <w:rsid w:val="00BBD122"/>
    <w:rsid w:val="00BC0409"/>
    <w:rsid w:val="00BC0742"/>
    <w:rsid w:val="00BC0837"/>
    <w:rsid w:val="00BC0AFF"/>
    <w:rsid w:val="00BC0DB3"/>
    <w:rsid w:val="00BC0F9B"/>
    <w:rsid w:val="00BC131C"/>
    <w:rsid w:val="00BC17FB"/>
    <w:rsid w:val="00BC18CE"/>
    <w:rsid w:val="00BC34AF"/>
    <w:rsid w:val="00BC38C7"/>
    <w:rsid w:val="00BC3F89"/>
    <w:rsid w:val="00BC4150"/>
    <w:rsid w:val="00BC44BC"/>
    <w:rsid w:val="00BC4AE2"/>
    <w:rsid w:val="00BC4C1B"/>
    <w:rsid w:val="00BC5195"/>
    <w:rsid w:val="00BC51DE"/>
    <w:rsid w:val="00BC5C23"/>
    <w:rsid w:val="00BC5F2E"/>
    <w:rsid w:val="00BC5F34"/>
    <w:rsid w:val="00BC6C51"/>
    <w:rsid w:val="00BC742F"/>
    <w:rsid w:val="00BD0C5E"/>
    <w:rsid w:val="00BD1537"/>
    <w:rsid w:val="00BD25EC"/>
    <w:rsid w:val="00BD2CE5"/>
    <w:rsid w:val="00BD2D16"/>
    <w:rsid w:val="00BD2EBD"/>
    <w:rsid w:val="00BD39B3"/>
    <w:rsid w:val="00BD3D0D"/>
    <w:rsid w:val="00BD40BC"/>
    <w:rsid w:val="00BD42A2"/>
    <w:rsid w:val="00BD4D49"/>
    <w:rsid w:val="00BD6046"/>
    <w:rsid w:val="00BD64DA"/>
    <w:rsid w:val="00BD6583"/>
    <w:rsid w:val="00BD6607"/>
    <w:rsid w:val="00BD6F92"/>
    <w:rsid w:val="00BE02E7"/>
    <w:rsid w:val="00BE0BE2"/>
    <w:rsid w:val="00BE1243"/>
    <w:rsid w:val="00BE2D67"/>
    <w:rsid w:val="00BE2F54"/>
    <w:rsid w:val="00BE3234"/>
    <w:rsid w:val="00BE34F2"/>
    <w:rsid w:val="00BE4838"/>
    <w:rsid w:val="00BE4E70"/>
    <w:rsid w:val="00BE5311"/>
    <w:rsid w:val="00BE5511"/>
    <w:rsid w:val="00BE5C97"/>
    <w:rsid w:val="00BE791E"/>
    <w:rsid w:val="00BE7A90"/>
    <w:rsid w:val="00BF0A3E"/>
    <w:rsid w:val="00BF0FBA"/>
    <w:rsid w:val="00BF10BA"/>
    <w:rsid w:val="00BF17A0"/>
    <w:rsid w:val="00BF17C3"/>
    <w:rsid w:val="00BF2395"/>
    <w:rsid w:val="00BF2AB7"/>
    <w:rsid w:val="00BF2B9E"/>
    <w:rsid w:val="00BF42DD"/>
    <w:rsid w:val="00BF5801"/>
    <w:rsid w:val="00BF5B9F"/>
    <w:rsid w:val="00BF5D82"/>
    <w:rsid w:val="00BF71CB"/>
    <w:rsid w:val="00C00F04"/>
    <w:rsid w:val="00C011EF"/>
    <w:rsid w:val="00C019EE"/>
    <w:rsid w:val="00C01A7A"/>
    <w:rsid w:val="00C01D70"/>
    <w:rsid w:val="00C0200D"/>
    <w:rsid w:val="00C023F2"/>
    <w:rsid w:val="00C0280B"/>
    <w:rsid w:val="00C029D5"/>
    <w:rsid w:val="00C0303F"/>
    <w:rsid w:val="00C030A5"/>
    <w:rsid w:val="00C0402E"/>
    <w:rsid w:val="00C0424C"/>
    <w:rsid w:val="00C054E7"/>
    <w:rsid w:val="00C05E09"/>
    <w:rsid w:val="00C062E7"/>
    <w:rsid w:val="00C06408"/>
    <w:rsid w:val="00C06AC5"/>
    <w:rsid w:val="00C06CBA"/>
    <w:rsid w:val="00C07169"/>
    <w:rsid w:val="00C07B11"/>
    <w:rsid w:val="00C109B7"/>
    <w:rsid w:val="00C10C7E"/>
    <w:rsid w:val="00C117EF"/>
    <w:rsid w:val="00C1192E"/>
    <w:rsid w:val="00C11C90"/>
    <w:rsid w:val="00C126F9"/>
    <w:rsid w:val="00C13C95"/>
    <w:rsid w:val="00C14856"/>
    <w:rsid w:val="00C14A7A"/>
    <w:rsid w:val="00C15013"/>
    <w:rsid w:val="00C15253"/>
    <w:rsid w:val="00C15D24"/>
    <w:rsid w:val="00C15D48"/>
    <w:rsid w:val="00C15DF5"/>
    <w:rsid w:val="00C15F95"/>
    <w:rsid w:val="00C1648C"/>
    <w:rsid w:val="00C165C0"/>
    <w:rsid w:val="00C1683C"/>
    <w:rsid w:val="00C16979"/>
    <w:rsid w:val="00C16F1D"/>
    <w:rsid w:val="00C1749B"/>
    <w:rsid w:val="00C17FC7"/>
    <w:rsid w:val="00C201C8"/>
    <w:rsid w:val="00C20349"/>
    <w:rsid w:val="00C20438"/>
    <w:rsid w:val="00C20717"/>
    <w:rsid w:val="00C208B4"/>
    <w:rsid w:val="00C219A6"/>
    <w:rsid w:val="00C21B1D"/>
    <w:rsid w:val="00C21FEE"/>
    <w:rsid w:val="00C22483"/>
    <w:rsid w:val="00C22775"/>
    <w:rsid w:val="00C233B5"/>
    <w:rsid w:val="00C23526"/>
    <w:rsid w:val="00C23B65"/>
    <w:rsid w:val="00C24246"/>
    <w:rsid w:val="00C2459A"/>
    <w:rsid w:val="00C24BA9"/>
    <w:rsid w:val="00C2590B"/>
    <w:rsid w:val="00C261E2"/>
    <w:rsid w:val="00C263E0"/>
    <w:rsid w:val="00C26578"/>
    <w:rsid w:val="00C26640"/>
    <w:rsid w:val="00C267F5"/>
    <w:rsid w:val="00C269BE"/>
    <w:rsid w:val="00C27A63"/>
    <w:rsid w:val="00C27B12"/>
    <w:rsid w:val="00C27F06"/>
    <w:rsid w:val="00C30322"/>
    <w:rsid w:val="00C30783"/>
    <w:rsid w:val="00C31881"/>
    <w:rsid w:val="00C31983"/>
    <w:rsid w:val="00C319EC"/>
    <w:rsid w:val="00C31EE1"/>
    <w:rsid w:val="00C31F9C"/>
    <w:rsid w:val="00C32828"/>
    <w:rsid w:val="00C328D9"/>
    <w:rsid w:val="00C33316"/>
    <w:rsid w:val="00C337C6"/>
    <w:rsid w:val="00C36045"/>
    <w:rsid w:val="00C36C85"/>
    <w:rsid w:val="00C36D06"/>
    <w:rsid w:val="00C375F1"/>
    <w:rsid w:val="00C37728"/>
    <w:rsid w:val="00C401DA"/>
    <w:rsid w:val="00C404BA"/>
    <w:rsid w:val="00C4096D"/>
    <w:rsid w:val="00C409DE"/>
    <w:rsid w:val="00C40CB4"/>
    <w:rsid w:val="00C412B2"/>
    <w:rsid w:val="00C41C02"/>
    <w:rsid w:val="00C41F0E"/>
    <w:rsid w:val="00C42AC7"/>
    <w:rsid w:val="00C42E08"/>
    <w:rsid w:val="00C4336C"/>
    <w:rsid w:val="00C43579"/>
    <w:rsid w:val="00C43CE8"/>
    <w:rsid w:val="00C44B74"/>
    <w:rsid w:val="00C45589"/>
    <w:rsid w:val="00C45DFF"/>
    <w:rsid w:val="00C46032"/>
    <w:rsid w:val="00C4683A"/>
    <w:rsid w:val="00C46A9C"/>
    <w:rsid w:val="00C47688"/>
    <w:rsid w:val="00C47F24"/>
    <w:rsid w:val="00C5060B"/>
    <w:rsid w:val="00C509F3"/>
    <w:rsid w:val="00C50F30"/>
    <w:rsid w:val="00C52174"/>
    <w:rsid w:val="00C544BD"/>
    <w:rsid w:val="00C54697"/>
    <w:rsid w:val="00C54BF2"/>
    <w:rsid w:val="00C55CFC"/>
    <w:rsid w:val="00C55F27"/>
    <w:rsid w:val="00C560E1"/>
    <w:rsid w:val="00C563A3"/>
    <w:rsid w:val="00C565E0"/>
    <w:rsid w:val="00C60876"/>
    <w:rsid w:val="00C61F39"/>
    <w:rsid w:val="00C6285B"/>
    <w:rsid w:val="00C62A18"/>
    <w:rsid w:val="00C62D4F"/>
    <w:rsid w:val="00C62DE3"/>
    <w:rsid w:val="00C631C5"/>
    <w:rsid w:val="00C632DB"/>
    <w:rsid w:val="00C6362E"/>
    <w:rsid w:val="00C639AA"/>
    <w:rsid w:val="00C64912"/>
    <w:rsid w:val="00C65664"/>
    <w:rsid w:val="00C65A30"/>
    <w:rsid w:val="00C65D00"/>
    <w:rsid w:val="00C65F92"/>
    <w:rsid w:val="00C66E33"/>
    <w:rsid w:val="00C6748C"/>
    <w:rsid w:val="00C67B9C"/>
    <w:rsid w:val="00C67EF7"/>
    <w:rsid w:val="00C7001D"/>
    <w:rsid w:val="00C7012C"/>
    <w:rsid w:val="00C70F1D"/>
    <w:rsid w:val="00C7193B"/>
    <w:rsid w:val="00C723A1"/>
    <w:rsid w:val="00C72713"/>
    <w:rsid w:val="00C72866"/>
    <w:rsid w:val="00C72DF4"/>
    <w:rsid w:val="00C72E13"/>
    <w:rsid w:val="00C731AE"/>
    <w:rsid w:val="00C73208"/>
    <w:rsid w:val="00C74CB9"/>
    <w:rsid w:val="00C751EE"/>
    <w:rsid w:val="00C75D01"/>
    <w:rsid w:val="00C75E4B"/>
    <w:rsid w:val="00C76035"/>
    <w:rsid w:val="00C7690E"/>
    <w:rsid w:val="00C76946"/>
    <w:rsid w:val="00C76CDE"/>
    <w:rsid w:val="00C76DD4"/>
    <w:rsid w:val="00C76E8B"/>
    <w:rsid w:val="00C76FB3"/>
    <w:rsid w:val="00C776FD"/>
    <w:rsid w:val="00C77B30"/>
    <w:rsid w:val="00C77BCF"/>
    <w:rsid w:val="00C801E7"/>
    <w:rsid w:val="00C8080A"/>
    <w:rsid w:val="00C80EE1"/>
    <w:rsid w:val="00C81319"/>
    <w:rsid w:val="00C81635"/>
    <w:rsid w:val="00C81B08"/>
    <w:rsid w:val="00C81F93"/>
    <w:rsid w:val="00C82125"/>
    <w:rsid w:val="00C82186"/>
    <w:rsid w:val="00C823EE"/>
    <w:rsid w:val="00C82A6A"/>
    <w:rsid w:val="00C83244"/>
    <w:rsid w:val="00C83FE0"/>
    <w:rsid w:val="00C84120"/>
    <w:rsid w:val="00C8451F"/>
    <w:rsid w:val="00C84596"/>
    <w:rsid w:val="00C84603"/>
    <w:rsid w:val="00C846AD"/>
    <w:rsid w:val="00C84F4F"/>
    <w:rsid w:val="00C8500E"/>
    <w:rsid w:val="00C855DE"/>
    <w:rsid w:val="00C858C1"/>
    <w:rsid w:val="00C85A0F"/>
    <w:rsid w:val="00C86796"/>
    <w:rsid w:val="00C86945"/>
    <w:rsid w:val="00C872F8"/>
    <w:rsid w:val="00C874DF"/>
    <w:rsid w:val="00C879DA"/>
    <w:rsid w:val="00C904FD"/>
    <w:rsid w:val="00C90C1B"/>
    <w:rsid w:val="00C91507"/>
    <w:rsid w:val="00C91DDA"/>
    <w:rsid w:val="00C921DE"/>
    <w:rsid w:val="00C928D0"/>
    <w:rsid w:val="00C93113"/>
    <w:rsid w:val="00C93437"/>
    <w:rsid w:val="00C969AF"/>
    <w:rsid w:val="00C96A41"/>
    <w:rsid w:val="00C974B1"/>
    <w:rsid w:val="00C977AA"/>
    <w:rsid w:val="00CA03B4"/>
    <w:rsid w:val="00CA0F89"/>
    <w:rsid w:val="00CA132A"/>
    <w:rsid w:val="00CA1927"/>
    <w:rsid w:val="00CA1AFD"/>
    <w:rsid w:val="00CA1CDA"/>
    <w:rsid w:val="00CA1D7C"/>
    <w:rsid w:val="00CA2101"/>
    <w:rsid w:val="00CA2324"/>
    <w:rsid w:val="00CA442E"/>
    <w:rsid w:val="00CA4B8A"/>
    <w:rsid w:val="00CA4E6D"/>
    <w:rsid w:val="00CA57C3"/>
    <w:rsid w:val="00CA57C7"/>
    <w:rsid w:val="00CB0095"/>
    <w:rsid w:val="00CB0247"/>
    <w:rsid w:val="00CB0370"/>
    <w:rsid w:val="00CB0D2E"/>
    <w:rsid w:val="00CB1372"/>
    <w:rsid w:val="00CB15D0"/>
    <w:rsid w:val="00CB3795"/>
    <w:rsid w:val="00CB46F1"/>
    <w:rsid w:val="00CB4D59"/>
    <w:rsid w:val="00CB528B"/>
    <w:rsid w:val="00CB5619"/>
    <w:rsid w:val="00CB565F"/>
    <w:rsid w:val="00CB5B0C"/>
    <w:rsid w:val="00CB5CB4"/>
    <w:rsid w:val="00CB68C6"/>
    <w:rsid w:val="00CB6E59"/>
    <w:rsid w:val="00CB6F9D"/>
    <w:rsid w:val="00CB7C09"/>
    <w:rsid w:val="00CC039B"/>
    <w:rsid w:val="00CC0BCB"/>
    <w:rsid w:val="00CC10F0"/>
    <w:rsid w:val="00CC179C"/>
    <w:rsid w:val="00CC21A3"/>
    <w:rsid w:val="00CC25EC"/>
    <w:rsid w:val="00CC2769"/>
    <w:rsid w:val="00CC2A38"/>
    <w:rsid w:val="00CC3216"/>
    <w:rsid w:val="00CC3FBF"/>
    <w:rsid w:val="00CC4B9B"/>
    <w:rsid w:val="00CC5B89"/>
    <w:rsid w:val="00CC6095"/>
    <w:rsid w:val="00CC62D4"/>
    <w:rsid w:val="00CC65ED"/>
    <w:rsid w:val="00CC6FBE"/>
    <w:rsid w:val="00CC7425"/>
    <w:rsid w:val="00CC7962"/>
    <w:rsid w:val="00CC7A1B"/>
    <w:rsid w:val="00CD0222"/>
    <w:rsid w:val="00CD03E6"/>
    <w:rsid w:val="00CD069E"/>
    <w:rsid w:val="00CD07BC"/>
    <w:rsid w:val="00CD0C83"/>
    <w:rsid w:val="00CD15F3"/>
    <w:rsid w:val="00CD19A3"/>
    <w:rsid w:val="00CD1BB8"/>
    <w:rsid w:val="00CD2516"/>
    <w:rsid w:val="00CD2808"/>
    <w:rsid w:val="00CD3794"/>
    <w:rsid w:val="00CD3EB7"/>
    <w:rsid w:val="00CD4B02"/>
    <w:rsid w:val="00CD4C07"/>
    <w:rsid w:val="00CD5DAA"/>
    <w:rsid w:val="00CD6CAE"/>
    <w:rsid w:val="00CD7389"/>
    <w:rsid w:val="00CD7AEB"/>
    <w:rsid w:val="00CE01E1"/>
    <w:rsid w:val="00CE04BD"/>
    <w:rsid w:val="00CE1021"/>
    <w:rsid w:val="00CE13AD"/>
    <w:rsid w:val="00CE1DF7"/>
    <w:rsid w:val="00CE1EC8"/>
    <w:rsid w:val="00CE2440"/>
    <w:rsid w:val="00CE2E1C"/>
    <w:rsid w:val="00CE31D9"/>
    <w:rsid w:val="00CE3455"/>
    <w:rsid w:val="00CE45FA"/>
    <w:rsid w:val="00CE4849"/>
    <w:rsid w:val="00CE6666"/>
    <w:rsid w:val="00CE670A"/>
    <w:rsid w:val="00CE6766"/>
    <w:rsid w:val="00CE6ABE"/>
    <w:rsid w:val="00CE73CE"/>
    <w:rsid w:val="00CE78F3"/>
    <w:rsid w:val="00CE794A"/>
    <w:rsid w:val="00CF0837"/>
    <w:rsid w:val="00CF0F46"/>
    <w:rsid w:val="00CF2097"/>
    <w:rsid w:val="00CF2423"/>
    <w:rsid w:val="00CF25BB"/>
    <w:rsid w:val="00CF2660"/>
    <w:rsid w:val="00CF3601"/>
    <w:rsid w:val="00CF4010"/>
    <w:rsid w:val="00CF51FF"/>
    <w:rsid w:val="00CF5AFC"/>
    <w:rsid w:val="00CF69F5"/>
    <w:rsid w:val="00CF7998"/>
    <w:rsid w:val="00CF7B77"/>
    <w:rsid w:val="00D00817"/>
    <w:rsid w:val="00D00919"/>
    <w:rsid w:val="00D00F42"/>
    <w:rsid w:val="00D01D75"/>
    <w:rsid w:val="00D01DFA"/>
    <w:rsid w:val="00D01F99"/>
    <w:rsid w:val="00D020FD"/>
    <w:rsid w:val="00D0296A"/>
    <w:rsid w:val="00D02A2E"/>
    <w:rsid w:val="00D033F6"/>
    <w:rsid w:val="00D03464"/>
    <w:rsid w:val="00D0355B"/>
    <w:rsid w:val="00D04398"/>
    <w:rsid w:val="00D04619"/>
    <w:rsid w:val="00D0493B"/>
    <w:rsid w:val="00D04D93"/>
    <w:rsid w:val="00D04DA1"/>
    <w:rsid w:val="00D05256"/>
    <w:rsid w:val="00D0581F"/>
    <w:rsid w:val="00D05E46"/>
    <w:rsid w:val="00D06024"/>
    <w:rsid w:val="00D060DF"/>
    <w:rsid w:val="00D064B4"/>
    <w:rsid w:val="00D06505"/>
    <w:rsid w:val="00D06C5A"/>
    <w:rsid w:val="00D06D4D"/>
    <w:rsid w:val="00D06F19"/>
    <w:rsid w:val="00D076F8"/>
    <w:rsid w:val="00D07DB1"/>
    <w:rsid w:val="00D10DDA"/>
    <w:rsid w:val="00D10DFC"/>
    <w:rsid w:val="00D10EA8"/>
    <w:rsid w:val="00D11385"/>
    <w:rsid w:val="00D117CF"/>
    <w:rsid w:val="00D12406"/>
    <w:rsid w:val="00D13373"/>
    <w:rsid w:val="00D133C1"/>
    <w:rsid w:val="00D13495"/>
    <w:rsid w:val="00D144B1"/>
    <w:rsid w:val="00D14587"/>
    <w:rsid w:val="00D15220"/>
    <w:rsid w:val="00D156B3"/>
    <w:rsid w:val="00D17127"/>
    <w:rsid w:val="00D175D5"/>
    <w:rsid w:val="00D17897"/>
    <w:rsid w:val="00D201DB"/>
    <w:rsid w:val="00D2031A"/>
    <w:rsid w:val="00D20486"/>
    <w:rsid w:val="00D204B2"/>
    <w:rsid w:val="00D205E7"/>
    <w:rsid w:val="00D20833"/>
    <w:rsid w:val="00D212C6"/>
    <w:rsid w:val="00D2134A"/>
    <w:rsid w:val="00D215BE"/>
    <w:rsid w:val="00D218C7"/>
    <w:rsid w:val="00D21BDE"/>
    <w:rsid w:val="00D227E5"/>
    <w:rsid w:val="00D22EA6"/>
    <w:rsid w:val="00D2356E"/>
    <w:rsid w:val="00D23898"/>
    <w:rsid w:val="00D24084"/>
    <w:rsid w:val="00D245B6"/>
    <w:rsid w:val="00D24F4C"/>
    <w:rsid w:val="00D250E2"/>
    <w:rsid w:val="00D2628A"/>
    <w:rsid w:val="00D26614"/>
    <w:rsid w:val="00D26D0D"/>
    <w:rsid w:val="00D274A1"/>
    <w:rsid w:val="00D2774A"/>
    <w:rsid w:val="00D27E56"/>
    <w:rsid w:val="00D27EF4"/>
    <w:rsid w:val="00D30652"/>
    <w:rsid w:val="00D3075E"/>
    <w:rsid w:val="00D30E9D"/>
    <w:rsid w:val="00D30F23"/>
    <w:rsid w:val="00D30F9F"/>
    <w:rsid w:val="00D314BF"/>
    <w:rsid w:val="00D314EE"/>
    <w:rsid w:val="00D3180E"/>
    <w:rsid w:val="00D318F9"/>
    <w:rsid w:val="00D32765"/>
    <w:rsid w:val="00D328E0"/>
    <w:rsid w:val="00D33153"/>
    <w:rsid w:val="00D33E3A"/>
    <w:rsid w:val="00D34871"/>
    <w:rsid w:val="00D3552A"/>
    <w:rsid w:val="00D357E1"/>
    <w:rsid w:val="00D35A14"/>
    <w:rsid w:val="00D35E14"/>
    <w:rsid w:val="00D361BB"/>
    <w:rsid w:val="00D3673F"/>
    <w:rsid w:val="00D374D0"/>
    <w:rsid w:val="00D3753D"/>
    <w:rsid w:val="00D376C7"/>
    <w:rsid w:val="00D404FD"/>
    <w:rsid w:val="00D41720"/>
    <w:rsid w:val="00D41BDF"/>
    <w:rsid w:val="00D42898"/>
    <w:rsid w:val="00D431B1"/>
    <w:rsid w:val="00D43257"/>
    <w:rsid w:val="00D43417"/>
    <w:rsid w:val="00D4358E"/>
    <w:rsid w:val="00D435F7"/>
    <w:rsid w:val="00D44A2F"/>
    <w:rsid w:val="00D45C56"/>
    <w:rsid w:val="00D45E3A"/>
    <w:rsid w:val="00D462C0"/>
    <w:rsid w:val="00D47826"/>
    <w:rsid w:val="00D47894"/>
    <w:rsid w:val="00D47977"/>
    <w:rsid w:val="00D47EA6"/>
    <w:rsid w:val="00D5015E"/>
    <w:rsid w:val="00D50593"/>
    <w:rsid w:val="00D505C6"/>
    <w:rsid w:val="00D515F6"/>
    <w:rsid w:val="00D51ACA"/>
    <w:rsid w:val="00D52112"/>
    <w:rsid w:val="00D525C4"/>
    <w:rsid w:val="00D52B29"/>
    <w:rsid w:val="00D52E58"/>
    <w:rsid w:val="00D530B4"/>
    <w:rsid w:val="00D53FAB"/>
    <w:rsid w:val="00D549FF"/>
    <w:rsid w:val="00D54DED"/>
    <w:rsid w:val="00D55DA7"/>
    <w:rsid w:val="00D55F14"/>
    <w:rsid w:val="00D5617B"/>
    <w:rsid w:val="00D5663D"/>
    <w:rsid w:val="00D56AD5"/>
    <w:rsid w:val="00D56B24"/>
    <w:rsid w:val="00D570BE"/>
    <w:rsid w:val="00D57A82"/>
    <w:rsid w:val="00D57AE6"/>
    <w:rsid w:val="00D60114"/>
    <w:rsid w:val="00D608D3"/>
    <w:rsid w:val="00D620B0"/>
    <w:rsid w:val="00D627DB"/>
    <w:rsid w:val="00D63391"/>
    <w:rsid w:val="00D63EEA"/>
    <w:rsid w:val="00D64B3B"/>
    <w:rsid w:val="00D64F98"/>
    <w:rsid w:val="00D650F4"/>
    <w:rsid w:val="00D65314"/>
    <w:rsid w:val="00D655B3"/>
    <w:rsid w:val="00D667E4"/>
    <w:rsid w:val="00D668FB"/>
    <w:rsid w:val="00D6699C"/>
    <w:rsid w:val="00D6769B"/>
    <w:rsid w:val="00D67788"/>
    <w:rsid w:val="00D67A7E"/>
    <w:rsid w:val="00D67F53"/>
    <w:rsid w:val="00D67FAC"/>
    <w:rsid w:val="00D7026E"/>
    <w:rsid w:val="00D70453"/>
    <w:rsid w:val="00D709F1"/>
    <w:rsid w:val="00D71FF1"/>
    <w:rsid w:val="00D721D2"/>
    <w:rsid w:val="00D72BC1"/>
    <w:rsid w:val="00D732FE"/>
    <w:rsid w:val="00D734C7"/>
    <w:rsid w:val="00D74597"/>
    <w:rsid w:val="00D74E21"/>
    <w:rsid w:val="00D74F2B"/>
    <w:rsid w:val="00D75370"/>
    <w:rsid w:val="00D75B6F"/>
    <w:rsid w:val="00D75F66"/>
    <w:rsid w:val="00D7659C"/>
    <w:rsid w:val="00D802E2"/>
    <w:rsid w:val="00D80A60"/>
    <w:rsid w:val="00D810C7"/>
    <w:rsid w:val="00D815BE"/>
    <w:rsid w:val="00D81879"/>
    <w:rsid w:val="00D81AA1"/>
    <w:rsid w:val="00D81F94"/>
    <w:rsid w:val="00D820D7"/>
    <w:rsid w:val="00D82369"/>
    <w:rsid w:val="00D82493"/>
    <w:rsid w:val="00D82587"/>
    <w:rsid w:val="00D82FC6"/>
    <w:rsid w:val="00D831A5"/>
    <w:rsid w:val="00D836EE"/>
    <w:rsid w:val="00D83740"/>
    <w:rsid w:val="00D83D79"/>
    <w:rsid w:val="00D84290"/>
    <w:rsid w:val="00D8455A"/>
    <w:rsid w:val="00D84A88"/>
    <w:rsid w:val="00D8524D"/>
    <w:rsid w:val="00D85469"/>
    <w:rsid w:val="00D8548E"/>
    <w:rsid w:val="00D854D5"/>
    <w:rsid w:val="00D8568C"/>
    <w:rsid w:val="00D85A8C"/>
    <w:rsid w:val="00D85CA5"/>
    <w:rsid w:val="00D86E9E"/>
    <w:rsid w:val="00D87036"/>
    <w:rsid w:val="00D87965"/>
    <w:rsid w:val="00D87F84"/>
    <w:rsid w:val="00D903C6"/>
    <w:rsid w:val="00D906E4"/>
    <w:rsid w:val="00D90742"/>
    <w:rsid w:val="00D9152B"/>
    <w:rsid w:val="00D916F6"/>
    <w:rsid w:val="00D91BA8"/>
    <w:rsid w:val="00D91C78"/>
    <w:rsid w:val="00D926C2"/>
    <w:rsid w:val="00D931A6"/>
    <w:rsid w:val="00D939B4"/>
    <w:rsid w:val="00D9420C"/>
    <w:rsid w:val="00D94E33"/>
    <w:rsid w:val="00D95B59"/>
    <w:rsid w:val="00D95C3E"/>
    <w:rsid w:val="00D95C97"/>
    <w:rsid w:val="00D9601F"/>
    <w:rsid w:val="00D9671C"/>
    <w:rsid w:val="00D96817"/>
    <w:rsid w:val="00D968B4"/>
    <w:rsid w:val="00D968C2"/>
    <w:rsid w:val="00D96A94"/>
    <w:rsid w:val="00D97807"/>
    <w:rsid w:val="00D97FBA"/>
    <w:rsid w:val="00DA0E8D"/>
    <w:rsid w:val="00DA1AC3"/>
    <w:rsid w:val="00DA1F79"/>
    <w:rsid w:val="00DA2855"/>
    <w:rsid w:val="00DA38EB"/>
    <w:rsid w:val="00DA3E78"/>
    <w:rsid w:val="00DA44C6"/>
    <w:rsid w:val="00DA478A"/>
    <w:rsid w:val="00DA51B0"/>
    <w:rsid w:val="00DA5591"/>
    <w:rsid w:val="00DA5B67"/>
    <w:rsid w:val="00DA6C01"/>
    <w:rsid w:val="00DA6F57"/>
    <w:rsid w:val="00DA6FCA"/>
    <w:rsid w:val="00DA6FEA"/>
    <w:rsid w:val="00DA7205"/>
    <w:rsid w:val="00DA7557"/>
    <w:rsid w:val="00DA7843"/>
    <w:rsid w:val="00DA7D93"/>
    <w:rsid w:val="00DB0908"/>
    <w:rsid w:val="00DB0968"/>
    <w:rsid w:val="00DB2BC6"/>
    <w:rsid w:val="00DB3196"/>
    <w:rsid w:val="00DB3B98"/>
    <w:rsid w:val="00DB44D6"/>
    <w:rsid w:val="00DB45C3"/>
    <w:rsid w:val="00DB46DA"/>
    <w:rsid w:val="00DB4989"/>
    <w:rsid w:val="00DB4DA0"/>
    <w:rsid w:val="00DB51B6"/>
    <w:rsid w:val="00DB51F7"/>
    <w:rsid w:val="00DB52D3"/>
    <w:rsid w:val="00DB5345"/>
    <w:rsid w:val="00DB5A53"/>
    <w:rsid w:val="00DB5CFE"/>
    <w:rsid w:val="00DB76B8"/>
    <w:rsid w:val="00DB7D0F"/>
    <w:rsid w:val="00DC0725"/>
    <w:rsid w:val="00DC0B09"/>
    <w:rsid w:val="00DC0F1F"/>
    <w:rsid w:val="00DC0F6E"/>
    <w:rsid w:val="00DC0FD8"/>
    <w:rsid w:val="00DC11C0"/>
    <w:rsid w:val="00DC1F53"/>
    <w:rsid w:val="00DC1F9A"/>
    <w:rsid w:val="00DC2285"/>
    <w:rsid w:val="00DC2325"/>
    <w:rsid w:val="00DC35CA"/>
    <w:rsid w:val="00DC39B5"/>
    <w:rsid w:val="00DC3FBF"/>
    <w:rsid w:val="00DC4002"/>
    <w:rsid w:val="00DC493C"/>
    <w:rsid w:val="00DC499F"/>
    <w:rsid w:val="00DC59A4"/>
    <w:rsid w:val="00DC5C2B"/>
    <w:rsid w:val="00DC6C4F"/>
    <w:rsid w:val="00DC6E8E"/>
    <w:rsid w:val="00DC748E"/>
    <w:rsid w:val="00DC7EF0"/>
    <w:rsid w:val="00DD0014"/>
    <w:rsid w:val="00DD06B7"/>
    <w:rsid w:val="00DD0C33"/>
    <w:rsid w:val="00DD0E2F"/>
    <w:rsid w:val="00DD0F2F"/>
    <w:rsid w:val="00DD17D7"/>
    <w:rsid w:val="00DD1B14"/>
    <w:rsid w:val="00DD1D44"/>
    <w:rsid w:val="00DD1E86"/>
    <w:rsid w:val="00DD3271"/>
    <w:rsid w:val="00DD33A4"/>
    <w:rsid w:val="00DD3430"/>
    <w:rsid w:val="00DD364E"/>
    <w:rsid w:val="00DD3D08"/>
    <w:rsid w:val="00DD3D28"/>
    <w:rsid w:val="00DD428B"/>
    <w:rsid w:val="00DD4376"/>
    <w:rsid w:val="00DD4F07"/>
    <w:rsid w:val="00DD5198"/>
    <w:rsid w:val="00DD59EA"/>
    <w:rsid w:val="00DD5F3E"/>
    <w:rsid w:val="00DD6F9B"/>
    <w:rsid w:val="00DD7150"/>
    <w:rsid w:val="00DE0011"/>
    <w:rsid w:val="00DE0694"/>
    <w:rsid w:val="00DE0699"/>
    <w:rsid w:val="00DE2B92"/>
    <w:rsid w:val="00DE2BFA"/>
    <w:rsid w:val="00DE3382"/>
    <w:rsid w:val="00DE5C6F"/>
    <w:rsid w:val="00DF02FE"/>
    <w:rsid w:val="00DF08A6"/>
    <w:rsid w:val="00DF12BD"/>
    <w:rsid w:val="00DF3A5A"/>
    <w:rsid w:val="00DF3F0A"/>
    <w:rsid w:val="00DF47B0"/>
    <w:rsid w:val="00DF4CA7"/>
    <w:rsid w:val="00DF5787"/>
    <w:rsid w:val="00DF5818"/>
    <w:rsid w:val="00DF592B"/>
    <w:rsid w:val="00DF5A3D"/>
    <w:rsid w:val="00DF6AB3"/>
    <w:rsid w:val="00DF6E75"/>
    <w:rsid w:val="00DF7048"/>
    <w:rsid w:val="00DF70A8"/>
    <w:rsid w:val="00DF725D"/>
    <w:rsid w:val="00DF743A"/>
    <w:rsid w:val="00DF7593"/>
    <w:rsid w:val="00DF76AE"/>
    <w:rsid w:val="00DF7730"/>
    <w:rsid w:val="00E00397"/>
    <w:rsid w:val="00E006E5"/>
    <w:rsid w:val="00E015D1"/>
    <w:rsid w:val="00E017E8"/>
    <w:rsid w:val="00E021D8"/>
    <w:rsid w:val="00E02FD5"/>
    <w:rsid w:val="00E03A2A"/>
    <w:rsid w:val="00E03C74"/>
    <w:rsid w:val="00E03D7A"/>
    <w:rsid w:val="00E04299"/>
    <w:rsid w:val="00E0455B"/>
    <w:rsid w:val="00E04814"/>
    <w:rsid w:val="00E04B01"/>
    <w:rsid w:val="00E058E3"/>
    <w:rsid w:val="00E05A63"/>
    <w:rsid w:val="00E05F5E"/>
    <w:rsid w:val="00E06F5D"/>
    <w:rsid w:val="00E1068F"/>
    <w:rsid w:val="00E10BCD"/>
    <w:rsid w:val="00E10C17"/>
    <w:rsid w:val="00E11010"/>
    <w:rsid w:val="00E12624"/>
    <w:rsid w:val="00E128F4"/>
    <w:rsid w:val="00E13976"/>
    <w:rsid w:val="00E13DB7"/>
    <w:rsid w:val="00E13F57"/>
    <w:rsid w:val="00E144AC"/>
    <w:rsid w:val="00E148B1"/>
    <w:rsid w:val="00E15684"/>
    <w:rsid w:val="00E1581A"/>
    <w:rsid w:val="00E15966"/>
    <w:rsid w:val="00E1637E"/>
    <w:rsid w:val="00E163B7"/>
    <w:rsid w:val="00E16BB3"/>
    <w:rsid w:val="00E17CA6"/>
    <w:rsid w:val="00E20180"/>
    <w:rsid w:val="00E2090D"/>
    <w:rsid w:val="00E20FAC"/>
    <w:rsid w:val="00E21003"/>
    <w:rsid w:val="00E2194A"/>
    <w:rsid w:val="00E21D99"/>
    <w:rsid w:val="00E21EAC"/>
    <w:rsid w:val="00E22417"/>
    <w:rsid w:val="00E2286F"/>
    <w:rsid w:val="00E22872"/>
    <w:rsid w:val="00E22882"/>
    <w:rsid w:val="00E239B2"/>
    <w:rsid w:val="00E253A0"/>
    <w:rsid w:val="00E253BF"/>
    <w:rsid w:val="00E2550E"/>
    <w:rsid w:val="00E2568B"/>
    <w:rsid w:val="00E26312"/>
    <w:rsid w:val="00E264E9"/>
    <w:rsid w:val="00E2691B"/>
    <w:rsid w:val="00E302E5"/>
    <w:rsid w:val="00E3082F"/>
    <w:rsid w:val="00E31504"/>
    <w:rsid w:val="00E31854"/>
    <w:rsid w:val="00E31D65"/>
    <w:rsid w:val="00E32267"/>
    <w:rsid w:val="00E324F5"/>
    <w:rsid w:val="00E33B54"/>
    <w:rsid w:val="00E34BE5"/>
    <w:rsid w:val="00E35607"/>
    <w:rsid w:val="00E37400"/>
    <w:rsid w:val="00E40049"/>
    <w:rsid w:val="00E40821"/>
    <w:rsid w:val="00E41783"/>
    <w:rsid w:val="00E41E34"/>
    <w:rsid w:val="00E4211F"/>
    <w:rsid w:val="00E4242D"/>
    <w:rsid w:val="00E42D1B"/>
    <w:rsid w:val="00E437C7"/>
    <w:rsid w:val="00E43E59"/>
    <w:rsid w:val="00E445BF"/>
    <w:rsid w:val="00E44CBA"/>
    <w:rsid w:val="00E45550"/>
    <w:rsid w:val="00E45891"/>
    <w:rsid w:val="00E45C99"/>
    <w:rsid w:val="00E45F80"/>
    <w:rsid w:val="00E46387"/>
    <w:rsid w:val="00E468A6"/>
    <w:rsid w:val="00E4695B"/>
    <w:rsid w:val="00E46C5E"/>
    <w:rsid w:val="00E5069B"/>
    <w:rsid w:val="00E50BF8"/>
    <w:rsid w:val="00E50DA5"/>
    <w:rsid w:val="00E5166F"/>
    <w:rsid w:val="00E51B41"/>
    <w:rsid w:val="00E51E95"/>
    <w:rsid w:val="00E524FA"/>
    <w:rsid w:val="00E52765"/>
    <w:rsid w:val="00E527F9"/>
    <w:rsid w:val="00E53090"/>
    <w:rsid w:val="00E5343F"/>
    <w:rsid w:val="00E537E0"/>
    <w:rsid w:val="00E539D7"/>
    <w:rsid w:val="00E53F11"/>
    <w:rsid w:val="00E540E0"/>
    <w:rsid w:val="00E541CE"/>
    <w:rsid w:val="00E54D65"/>
    <w:rsid w:val="00E552CD"/>
    <w:rsid w:val="00E5562D"/>
    <w:rsid w:val="00E56101"/>
    <w:rsid w:val="00E56FE6"/>
    <w:rsid w:val="00E57203"/>
    <w:rsid w:val="00E57CDA"/>
    <w:rsid w:val="00E6056D"/>
    <w:rsid w:val="00E607E2"/>
    <w:rsid w:val="00E61596"/>
    <w:rsid w:val="00E62316"/>
    <w:rsid w:val="00E634B8"/>
    <w:rsid w:val="00E637E8"/>
    <w:rsid w:val="00E64588"/>
    <w:rsid w:val="00E64E3E"/>
    <w:rsid w:val="00E652A1"/>
    <w:rsid w:val="00E65403"/>
    <w:rsid w:val="00E65E5C"/>
    <w:rsid w:val="00E66108"/>
    <w:rsid w:val="00E662F0"/>
    <w:rsid w:val="00E67263"/>
    <w:rsid w:val="00E67444"/>
    <w:rsid w:val="00E70180"/>
    <w:rsid w:val="00E71458"/>
    <w:rsid w:val="00E7182C"/>
    <w:rsid w:val="00E71AC9"/>
    <w:rsid w:val="00E720CA"/>
    <w:rsid w:val="00E72B6F"/>
    <w:rsid w:val="00E72BEB"/>
    <w:rsid w:val="00E73381"/>
    <w:rsid w:val="00E736F3"/>
    <w:rsid w:val="00E742C4"/>
    <w:rsid w:val="00E751A8"/>
    <w:rsid w:val="00E75776"/>
    <w:rsid w:val="00E76D0D"/>
    <w:rsid w:val="00E8012E"/>
    <w:rsid w:val="00E80252"/>
    <w:rsid w:val="00E802F5"/>
    <w:rsid w:val="00E80E6C"/>
    <w:rsid w:val="00E819D0"/>
    <w:rsid w:val="00E81C45"/>
    <w:rsid w:val="00E81D10"/>
    <w:rsid w:val="00E826C6"/>
    <w:rsid w:val="00E82842"/>
    <w:rsid w:val="00E82DFE"/>
    <w:rsid w:val="00E832A5"/>
    <w:rsid w:val="00E83451"/>
    <w:rsid w:val="00E8393D"/>
    <w:rsid w:val="00E83A90"/>
    <w:rsid w:val="00E83AC1"/>
    <w:rsid w:val="00E85112"/>
    <w:rsid w:val="00E8529E"/>
    <w:rsid w:val="00E8534F"/>
    <w:rsid w:val="00E8581D"/>
    <w:rsid w:val="00E863ED"/>
    <w:rsid w:val="00E86CE4"/>
    <w:rsid w:val="00E86F99"/>
    <w:rsid w:val="00E90BD3"/>
    <w:rsid w:val="00E90E73"/>
    <w:rsid w:val="00E91358"/>
    <w:rsid w:val="00E917D1"/>
    <w:rsid w:val="00E91A80"/>
    <w:rsid w:val="00E924D2"/>
    <w:rsid w:val="00E92962"/>
    <w:rsid w:val="00E92F3B"/>
    <w:rsid w:val="00E93CB7"/>
    <w:rsid w:val="00E93E0E"/>
    <w:rsid w:val="00E93E2E"/>
    <w:rsid w:val="00E94F27"/>
    <w:rsid w:val="00E95059"/>
    <w:rsid w:val="00E955FE"/>
    <w:rsid w:val="00E96452"/>
    <w:rsid w:val="00E9665A"/>
    <w:rsid w:val="00E96729"/>
    <w:rsid w:val="00E96B44"/>
    <w:rsid w:val="00E96DE9"/>
    <w:rsid w:val="00E9712D"/>
    <w:rsid w:val="00E97828"/>
    <w:rsid w:val="00EA01D7"/>
    <w:rsid w:val="00EA09A4"/>
    <w:rsid w:val="00EA09EC"/>
    <w:rsid w:val="00EA12F4"/>
    <w:rsid w:val="00EA14A6"/>
    <w:rsid w:val="00EA1551"/>
    <w:rsid w:val="00EA197B"/>
    <w:rsid w:val="00EA1B99"/>
    <w:rsid w:val="00EA2030"/>
    <w:rsid w:val="00EA247F"/>
    <w:rsid w:val="00EA3FB7"/>
    <w:rsid w:val="00EA4188"/>
    <w:rsid w:val="00EA4701"/>
    <w:rsid w:val="00EA4D37"/>
    <w:rsid w:val="00EA58C5"/>
    <w:rsid w:val="00EA5BEF"/>
    <w:rsid w:val="00EA60C9"/>
    <w:rsid w:val="00EA61B4"/>
    <w:rsid w:val="00EA64AF"/>
    <w:rsid w:val="00EA67B4"/>
    <w:rsid w:val="00EA7465"/>
    <w:rsid w:val="00EA7A35"/>
    <w:rsid w:val="00EB0243"/>
    <w:rsid w:val="00EB07C1"/>
    <w:rsid w:val="00EB0834"/>
    <w:rsid w:val="00EB0BE5"/>
    <w:rsid w:val="00EB0DF7"/>
    <w:rsid w:val="00EB1B49"/>
    <w:rsid w:val="00EB1F0A"/>
    <w:rsid w:val="00EB275C"/>
    <w:rsid w:val="00EB3C62"/>
    <w:rsid w:val="00EB417A"/>
    <w:rsid w:val="00EB434D"/>
    <w:rsid w:val="00EB46A2"/>
    <w:rsid w:val="00EB47EB"/>
    <w:rsid w:val="00EB48DE"/>
    <w:rsid w:val="00EB527F"/>
    <w:rsid w:val="00EB5411"/>
    <w:rsid w:val="00EB55D3"/>
    <w:rsid w:val="00EB58FA"/>
    <w:rsid w:val="00EB5E06"/>
    <w:rsid w:val="00EB681F"/>
    <w:rsid w:val="00EC011C"/>
    <w:rsid w:val="00EC0292"/>
    <w:rsid w:val="00EC05FA"/>
    <w:rsid w:val="00EC1D35"/>
    <w:rsid w:val="00EC36D6"/>
    <w:rsid w:val="00EC3A2B"/>
    <w:rsid w:val="00EC44AF"/>
    <w:rsid w:val="00EC4A68"/>
    <w:rsid w:val="00EC54EA"/>
    <w:rsid w:val="00EC6823"/>
    <w:rsid w:val="00EC6CC6"/>
    <w:rsid w:val="00EC6F19"/>
    <w:rsid w:val="00EC793C"/>
    <w:rsid w:val="00ED01E6"/>
    <w:rsid w:val="00ED02BE"/>
    <w:rsid w:val="00ED0A30"/>
    <w:rsid w:val="00ED0BCC"/>
    <w:rsid w:val="00ED0CD0"/>
    <w:rsid w:val="00ED0EDD"/>
    <w:rsid w:val="00ED157B"/>
    <w:rsid w:val="00ED20E6"/>
    <w:rsid w:val="00ED2277"/>
    <w:rsid w:val="00ED325C"/>
    <w:rsid w:val="00ED34C2"/>
    <w:rsid w:val="00ED35E5"/>
    <w:rsid w:val="00ED3818"/>
    <w:rsid w:val="00ED401D"/>
    <w:rsid w:val="00ED4337"/>
    <w:rsid w:val="00ED59F4"/>
    <w:rsid w:val="00ED6939"/>
    <w:rsid w:val="00ED6CF1"/>
    <w:rsid w:val="00ED6DA5"/>
    <w:rsid w:val="00ED753D"/>
    <w:rsid w:val="00ED7E0A"/>
    <w:rsid w:val="00EE03B2"/>
    <w:rsid w:val="00EE0D84"/>
    <w:rsid w:val="00EE1E08"/>
    <w:rsid w:val="00EE20D5"/>
    <w:rsid w:val="00EE3284"/>
    <w:rsid w:val="00EE3AFE"/>
    <w:rsid w:val="00EE3B75"/>
    <w:rsid w:val="00EE3FF1"/>
    <w:rsid w:val="00EE4857"/>
    <w:rsid w:val="00EE5622"/>
    <w:rsid w:val="00EE56E2"/>
    <w:rsid w:val="00EE572E"/>
    <w:rsid w:val="00EE5822"/>
    <w:rsid w:val="00EE5BE0"/>
    <w:rsid w:val="00EE60E0"/>
    <w:rsid w:val="00EE647F"/>
    <w:rsid w:val="00EE756F"/>
    <w:rsid w:val="00EE799A"/>
    <w:rsid w:val="00EF042A"/>
    <w:rsid w:val="00EF0D14"/>
    <w:rsid w:val="00EF1F95"/>
    <w:rsid w:val="00EF2240"/>
    <w:rsid w:val="00EF234A"/>
    <w:rsid w:val="00EF29AE"/>
    <w:rsid w:val="00EF2B92"/>
    <w:rsid w:val="00EF36F5"/>
    <w:rsid w:val="00EF3851"/>
    <w:rsid w:val="00EF459E"/>
    <w:rsid w:val="00EF51B9"/>
    <w:rsid w:val="00EF5666"/>
    <w:rsid w:val="00EF56BE"/>
    <w:rsid w:val="00EF60EE"/>
    <w:rsid w:val="00EF6766"/>
    <w:rsid w:val="00EF7100"/>
    <w:rsid w:val="00EF7D11"/>
    <w:rsid w:val="00F00024"/>
    <w:rsid w:val="00F0042C"/>
    <w:rsid w:val="00F01484"/>
    <w:rsid w:val="00F0217C"/>
    <w:rsid w:val="00F02554"/>
    <w:rsid w:val="00F025AB"/>
    <w:rsid w:val="00F02D36"/>
    <w:rsid w:val="00F0338E"/>
    <w:rsid w:val="00F03B8E"/>
    <w:rsid w:val="00F03F68"/>
    <w:rsid w:val="00F040C3"/>
    <w:rsid w:val="00F04151"/>
    <w:rsid w:val="00F04376"/>
    <w:rsid w:val="00F0559B"/>
    <w:rsid w:val="00F06102"/>
    <w:rsid w:val="00F0714F"/>
    <w:rsid w:val="00F07509"/>
    <w:rsid w:val="00F104DA"/>
    <w:rsid w:val="00F10DE0"/>
    <w:rsid w:val="00F10EC5"/>
    <w:rsid w:val="00F10F54"/>
    <w:rsid w:val="00F11126"/>
    <w:rsid w:val="00F119AD"/>
    <w:rsid w:val="00F11A5A"/>
    <w:rsid w:val="00F1258C"/>
    <w:rsid w:val="00F12A50"/>
    <w:rsid w:val="00F12FCB"/>
    <w:rsid w:val="00F13205"/>
    <w:rsid w:val="00F1380D"/>
    <w:rsid w:val="00F13CFF"/>
    <w:rsid w:val="00F13EFE"/>
    <w:rsid w:val="00F14B18"/>
    <w:rsid w:val="00F152BE"/>
    <w:rsid w:val="00F15997"/>
    <w:rsid w:val="00F16332"/>
    <w:rsid w:val="00F17043"/>
    <w:rsid w:val="00F17557"/>
    <w:rsid w:val="00F17AB9"/>
    <w:rsid w:val="00F17DEF"/>
    <w:rsid w:val="00F2035C"/>
    <w:rsid w:val="00F203DE"/>
    <w:rsid w:val="00F208BC"/>
    <w:rsid w:val="00F20A2B"/>
    <w:rsid w:val="00F20DAB"/>
    <w:rsid w:val="00F21238"/>
    <w:rsid w:val="00F215FD"/>
    <w:rsid w:val="00F21680"/>
    <w:rsid w:val="00F21884"/>
    <w:rsid w:val="00F21C67"/>
    <w:rsid w:val="00F22057"/>
    <w:rsid w:val="00F22AC6"/>
    <w:rsid w:val="00F22B7E"/>
    <w:rsid w:val="00F22C8A"/>
    <w:rsid w:val="00F22D55"/>
    <w:rsid w:val="00F237B1"/>
    <w:rsid w:val="00F243B1"/>
    <w:rsid w:val="00F254E4"/>
    <w:rsid w:val="00F267CE"/>
    <w:rsid w:val="00F26CE3"/>
    <w:rsid w:val="00F27B2F"/>
    <w:rsid w:val="00F30525"/>
    <w:rsid w:val="00F30A18"/>
    <w:rsid w:val="00F31197"/>
    <w:rsid w:val="00F31245"/>
    <w:rsid w:val="00F31ADF"/>
    <w:rsid w:val="00F31C96"/>
    <w:rsid w:val="00F31F9A"/>
    <w:rsid w:val="00F31FA4"/>
    <w:rsid w:val="00F337F4"/>
    <w:rsid w:val="00F33CA4"/>
    <w:rsid w:val="00F34219"/>
    <w:rsid w:val="00F349B5"/>
    <w:rsid w:val="00F35104"/>
    <w:rsid w:val="00F35105"/>
    <w:rsid w:val="00F35264"/>
    <w:rsid w:val="00F361AA"/>
    <w:rsid w:val="00F40048"/>
    <w:rsid w:val="00F40CA4"/>
    <w:rsid w:val="00F41229"/>
    <w:rsid w:val="00F4167E"/>
    <w:rsid w:val="00F41A2F"/>
    <w:rsid w:val="00F41FB9"/>
    <w:rsid w:val="00F4227F"/>
    <w:rsid w:val="00F42E22"/>
    <w:rsid w:val="00F43016"/>
    <w:rsid w:val="00F43431"/>
    <w:rsid w:val="00F4345F"/>
    <w:rsid w:val="00F435A2"/>
    <w:rsid w:val="00F44037"/>
    <w:rsid w:val="00F44CEA"/>
    <w:rsid w:val="00F44F1B"/>
    <w:rsid w:val="00F456FC"/>
    <w:rsid w:val="00F4586B"/>
    <w:rsid w:val="00F458E7"/>
    <w:rsid w:val="00F46CF5"/>
    <w:rsid w:val="00F4782D"/>
    <w:rsid w:val="00F47D07"/>
    <w:rsid w:val="00F500C6"/>
    <w:rsid w:val="00F503E1"/>
    <w:rsid w:val="00F50742"/>
    <w:rsid w:val="00F50BB0"/>
    <w:rsid w:val="00F51114"/>
    <w:rsid w:val="00F51E64"/>
    <w:rsid w:val="00F5295D"/>
    <w:rsid w:val="00F532CA"/>
    <w:rsid w:val="00F54C6B"/>
    <w:rsid w:val="00F555C5"/>
    <w:rsid w:val="00F55950"/>
    <w:rsid w:val="00F56C53"/>
    <w:rsid w:val="00F5715C"/>
    <w:rsid w:val="00F571DA"/>
    <w:rsid w:val="00F5735A"/>
    <w:rsid w:val="00F57697"/>
    <w:rsid w:val="00F577C0"/>
    <w:rsid w:val="00F61612"/>
    <w:rsid w:val="00F621DB"/>
    <w:rsid w:val="00F630F3"/>
    <w:rsid w:val="00F63509"/>
    <w:rsid w:val="00F63FFE"/>
    <w:rsid w:val="00F6432D"/>
    <w:rsid w:val="00F64937"/>
    <w:rsid w:val="00F65157"/>
    <w:rsid w:val="00F65993"/>
    <w:rsid w:val="00F6623B"/>
    <w:rsid w:val="00F6657F"/>
    <w:rsid w:val="00F66C4B"/>
    <w:rsid w:val="00F66D45"/>
    <w:rsid w:val="00F70346"/>
    <w:rsid w:val="00F70CCC"/>
    <w:rsid w:val="00F70D10"/>
    <w:rsid w:val="00F711CD"/>
    <w:rsid w:val="00F7124C"/>
    <w:rsid w:val="00F714B4"/>
    <w:rsid w:val="00F718D8"/>
    <w:rsid w:val="00F723C9"/>
    <w:rsid w:val="00F725F3"/>
    <w:rsid w:val="00F73584"/>
    <w:rsid w:val="00F73E79"/>
    <w:rsid w:val="00F74376"/>
    <w:rsid w:val="00F7462E"/>
    <w:rsid w:val="00F74655"/>
    <w:rsid w:val="00F7548B"/>
    <w:rsid w:val="00F75E48"/>
    <w:rsid w:val="00F75F6F"/>
    <w:rsid w:val="00F761EC"/>
    <w:rsid w:val="00F762C6"/>
    <w:rsid w:val="00F768FE"/>
    <w:rsid w:val="00F769C4"/>
    <w:rsid w:val="00F76F86"/>
    <w:rsid w:val="00F7701E"/>
    <w:rsid w:val="00F779D9"/>
    <w:rsid w:val="00F77B41"/>
    <w:rsid w:val="00F8223F"/>
    <w:rsid w:val="00F8268F"/>
    <w:rsid w:val="00F83278"/>
    <w:rsid w:val="00F83306"/>
    <w:rsid w:val="00F83578"/>
    <w:rsid w:val="00F83BE2"/>
    <w:rsid w:val="00F85C8F"/>
    <w:rsid w:val="00F860CC"/>
    <w:rsid w:val="00F86579"/>
    <w:rsid w:val="00F8671F"/>
    <w:rsid w:val="00F868BF"/>
    <w:rsid w:val="00F9016F"/>
    <w:rsid w:val="00F906DD"/>
    <w:rsid w:val="00F90A76"/>
    <w:rsid w:val="00F90A80"/>
    <w:rsid w:val="00F91042"/>
    <w:rsid w:val="00F91217"/>
    <w:rsid w:val="00F9125C"/>
    <w:rsid w:val="00F91EFF"/>
    <w:rsid w:val="00F9288E"/>
    <w:rsid w:val="00F92A24"/>
    <w:rsid w:val="00F92CE0"/>
    <w:rsid w:val="00F932BD"/>
    <w:rsid w:val="00F939EA"/>
    <w:rsid w:val="00F93E9B"/>
    <w:rsid w:val="00F9456B"/>
    <w:rsid w:val="00F948D1"/>
    <w:rsid w:val="00F94967"/>
    <w:rsid w:val="00F957F7"/>
    <w:rsid w:val="00F95D32"/>
    <w:rsid w:val="00F96EA0"/>
    <w:rsid w:val="00F97156"/>
    <w:rsid w:val="00F97642"/>
    <w:rsid w:val="00F97756"/>
    <w:rsid w:val="00FA0474"/>
    <w:rsid w:val="00FA0586"/>
    <w:rsid w:val="00FA10E5"/>
    <w:rsid w:val="00FA19ED"/>
    <w:rsid w:val="00FA1A67"/>
    <w:rsid w:val="00FA1F80"/>
    <w:rsid w:val="00FA2A5F"/>
    <w:rsid w:val="00FA3D01"/>
    <w:rsid w:val="00FA419E"/>
    <w:rsid w:val="00FA5AB3"/>
    <w:rsid w:val="00FA621C"/>
    <w:rsid w:val="00FA6EBC"/>
    <w:rsid w:val="00FA7EF2"/>
    <w:rsid w:val="00FA7F0A"/>
    <w:rsid w:val="00FB0289"/>
    <w:rsid w:val="00FB0C43"/>
    <w:rsid w:val="00FB0CA8"/>
    <w:rsid w:val="00FB0D7F"/>
    <w:rsid w:val="00FB0DCB"/>
    <w:rsid w:val="00FB0E63"/>
    <w:rsid w:val="00FB10B8"/>
    <w:rsid w:val="00FB2276"/>
    <w:rsid w:val="00FB272C"/>
    <w:rsid w:val="00FB2D4A"/>
    <w:rsid w:val="00FB327E"/>
    <w:rsid w:val="00FB3543"/>
    <w:rsid w:val="00FB3DEC"/>
    <w:rsid w:val="00FB40AF"/>
    <w:rsid w:val="00FB5DCB"/>
    <w:rsid w:val="00FB6F29"/>
    <w:rsid w:val="00FB73F8"/>
    <w:rsid w:val="00FB76E4"/>
    <w:rsid w:val="00FB7A4C"/>
    <w:rsid w:val="00FC0979"/>
    <w:rsid w:val="00FC0DCD"/>
    <w:rsid w:val="00FC1425"/>
    <w:rsid w:val="00FC15A5"/>
    <w:rsid w:val="00FC28E5"/>
    <w:rsid w:val="00FC35F6"/>
    <w:rsid w:val="00FC3AC7"/>
    <w:rsid w:val="00FC492E"/>
    <w:rsid w:val="00FC4A6C"/>
    <w:rsid w:val="00FC517C"/>
    <w:rsid w:val="00FC56CE"/>
    <w:rsid w:val="00FC573B"/>
    <w:rsid w:val="00FC5980"/>
    <w:rsid w:val="00FC5D67"/>
    <w:rsid w:val="00FC740E"/>
    <w:rsid w:val="00FC77D3"/>
    <w:rsid w:val="00FD014A"/>
    <w:rsid w:val="00FD0B8B"/>
    <w:rsid w:val="00FD0C25"/>
    <w:rsid w:val="00FD11A0"/>
    <w:rsid w:val="00FD11A8"/>
    <w:rsid w:val="00FD12CB"/>
    <w:rsid w:val="00FD146D"/>
    <w:rsid w:val="00FD256B"/>
    <w:rsid w:val="00FD2D18"/>
    <w:rsid w:val="00FD3255"/>
    <w:rsid w:val="00FD3573"/>
    <w:rsid w:val="00FD5888"/>
    <w:rsid w:val="00FD597C"/>
    <w:rsid w:val="00FD59E0"/>
    <w:rsid w:val="00FD5CE9"/>
    <w:rsid w:val="00FD6AB2"/>
    <w:rsid w:val="00FD72DD"/>
    <w:rsid w:val="00FD73AC"/>
    <w:rsid w:val="00FD75B2"/>
    <w:rsid w:val="00FD76D3"/>
    <w:rsid w:val="00FD7C82"/>
    <w:rsid w:val="00FD7E8B"/>
    <w:rsid w:val="00FE0179"/>
    <w:rsid w:val="00FE04AF"/>
    <w:rsid w:val="00FE06D9"/>
    <w:rsid w:val="00FE0936"/>
    <w:rsid w:val="00FE16A1"/>
    <w:rsid w:val="00FE1C92"/>
    <w:rsid w:val="00FE2DCC"/>
    <w:rsid w:val="00FE380E"/>
    <w:rsid w:val="00FE38A1"/>
    <w:rsid w:val="00FE3A5E"/>
    <w:rsid w:val="00FE3A72"/>
    <w:rsid w:val="00FE3B86"/>
    <w:rsid w:val="00FE3D0E"/>
    <w:rsid w:val="00FE4EA0"/>
    <w:rsid w:val="00FE52A9"/>
    <w:rsid w:val="00FE5924"/>
    <w:rsid w:val="00FE6915"/>
    <w:rsid w:val="00FE6A37"/>
    <w:rsid w:val="00FE6B5F"/>
    <w:rsid w:val="00FE7090"/>
    <w:rsid w:val="00FE7183"/>
    <w:rsid w:val="00FE7B0E"/>
    <w:rsid w:val="00FF1863"/>
    <w:rsid w:val="00FF1E4C"/>
    <w:rsid w:val="00FF27C2"/>
    <w:rsid w:val="00FF2B9C"/>
    <w:rsid w:val="00FF2CBB"/>
    <w:rsid w:val="00FF33DF"/>
    <w:rsid w:val="00FF3ACE"/>
    <w:rsid w:val="00FF3BE4"/>
    <w:rsid w:val="00FF3EF9"/>
    <w:rsid w:val="00FF4380"/>
    <w:rsid w:val="00FF44C9"/>
    <w:rsid w:val="00FF4687"/>
    <w:rsid w:val="00FF5042"/>
    <w:rsid w:val="00FF5F4E"/>
    <w:rsid w:val="00FF6342"/>
    <w:rsid w:val="00FF69AF"/>
    <w:rsid w:val="00FF774E"/>
    <w:rsid w:val="00FF7B3F"/>
    <w:rsid w:val="00FF7EDF"/>
    <w:rsid w:val="02837A55"/>
    <w:rsid w:val="028E67F9"/>
    <w:rsid w:val="0332F9F2"/>
    <w:rsid w:val="03D42863"/>
    <w:rsid w:val="04DC9BBB"/>
    <w:rsid w:val="051F537A"/>
    <w:rsid w:val="05336C32"/>
    <w:rsid w:val="05FFBF18"/>
    <w:rsid w:val="07A0CA6F"/>
    <w:rsid w:val="088E7129"/>
    <w:rsid w:val="091077DC"/>
    <w:rsid w:val="091F4DAE"/>
    <w:rsid w:val="09462923"/>
    <w:rsid w:val="09652201"/>
    <w:rsid w:val="09D1C778"/>
    <w:rsid w:val="09EF42B0"/>
    <w:rsid w:val="0A13EE05"/>
    <w:rsid w:val="0C474C1D"/>
    <w:rsid w:val="0CC8EE34"/>
    <w:rsid w:val="0D0625CD"/>
    <w:rsid w:val="0D8F5D4B"/>
    <w:rsid w:val="0DD56EEE"/>
    <w:rsid w:val="0DEC48B7"/>
    <w:rsid w:val="0E198686"/>
    <w:rsid w:val="0EA13F29"/>
    <w:rsid w:val="0EF5F859"/>
    <w:rsid w:val="109CD8C2"/>
    <w:rsid w:val="110BE9FD"/>
    <w:rsid w:val="116FFF6F"/>
    <w:rsid w:val="1252569D"/>
    <w:rsid w:val="133B17D6"/>
    <w:rsid w:val="1391583C"/>
    <w:rsid w:val="13D123D0"/>
    <w:rsid w:val="15940FB7"/>
    <w:rsid w:val="1603D104"/>
    <w:rsid w:val="16FB95DD"/>
    <w:rsid w:val="1745FE44"/>
    <w:rsid w:val="1761D0C9"/>
    <w:rsid w:val="17890926"/>
    <w:rsid w:val="17E87627"/>
    <w:rsid w:val="19F7D6D3"/>
    <w:rsid w:val="1A45487A"/>
    <w:rsid w:val="1ABD7C30"/>
    <w:rsid w:val="1ADEA4C3"/>
    <w:rsid w:val="1BDD6595"/>
    <w:rsid w:val="1E466385"/>
    <w:rsid w:val="1EC2FECC"/>
    <w:rsid w:val="1ED0E8C8"/>
    <w:rsid w:val="1F2AA7AB"/>
    <w:rsid w:val="1F694D9B"/>
    <w:rsid w:val="20DF1B5F"/>
    <w:rsid w:val="210E6E3D"/>
    <w:rsid w:val="22CC7DF6"/>
    <w:rsid w:val="23EF71FA"/>
    <w:rsid w:val="240AC580"/>
    <w:rsid w:val="246959DC"/>
    <w:rsid w:val="24C3AA64"/>
    <w:rsid w:val="24CB0FFC"/>
    <w:rsid w:val="2501B849"/>
    <w:rsid w:val="2579866A"/>
    <w:rsid w:val="258B0581"/>
    <w:rsid w:val="258B54E9"/>
    <w:rsid w:val="25965287"/>
    <w:rsid w:val="25D93BB4"/>
    <w:rsid w:val="25E7BE0D"/>
    <w:rsid w:val="2637EFA9"/>
    <w:rsid w:val="26A37765"/>
    <w:rsid w:val="26A906B7"/>
    <w:rsid w:val="271D4A9A"/>
    <w:rsid w:val="273639D2"/>
    <w:rsid w:val="27A0B456"/>
    <w:rsid w:val="27A85113"/>
    <w:rsid w:val="285F3BD6"/>
    <w:rsid w:val="287F5B15"/>
    <w:rsid w:val="28814197"/>
    <w:rsid w:val="28F0D8AA"/>
    <w:rsid w:val="298D7CBB"/>
    <w:rsid w:val="2B2ECE48"/>
    <w:rsid w:val="2CB74C70"/>
    <w:rsid w:val="2D27A7F3"/>
    <w:rsid w:val="2DACF96C"/>
    <w:rsid w:val="2DDA9A3B"/>
    <w:rsid w:val="2E5A3892"/>
    <w:rsid w:val="2EA391B9"/>
    <w:rsid w:val="2F83C737"/>
    <w:rsid w:val="3021098A"/>
    <w:rsid w:val="30427ADA"/>
    <w:rsid w:val="30DE983B"/>
    <w:rsid w:val="3205028B"/>
    <w:rsid w:val="352F0CFD"/>
    <w:rsid w:val="3532B6F3"/>
    <w:rsid w:val="3564D06A"/>
    <w:rsid w:val="35F7C5C6"/>
    <w:rsid w:val="367055C8"/>
    <w:rsid w:val="3867F15A"/>
    <w:rsid w:val="389B8D0A"/>
    <w:rsid w:val="3944608B"/>
    <w:rsid w:val="3AA267B7"/>
    <w:rsid w:val="3AA7E9C1"/>
    <w:rsid w:val="3B91381C"/>
    <w:rsid w:val="3BB3DC89"/>
    <w:rsid w:val="3BF42896"/>
    <w:rsid w:val="3C6922E9"/>
    <w:rsid w:val="3D8F0AFB"/>
    <w:rsid w:val="3E14B978"/>
    <w:rsid w:val="3E5C4910"/>
    <w:rsid w:val="3EDC7555"/>
    <w:rsid w:val="3F400D47"/>
    <w:rsid w:val="3F5BEB1B"/>
    <w:rsid w:val="400388B4"/>
    <w:rsid w:val="41475314"/>
    <w:rsid w:val="41CD2C9D"/>
    <w:rsid w:val="41EB7692"/>
    <w:rsid w:val="4253D271"/>
    <w:rsid w:val="4281D2E2"/>
    <w:rsid w:val="42EE8299"/>
    <w:rsid w:val="432216DD"/>
    <w:rsid w:val="43C5DC71"/>
    <w:rsid w:val="44A82BF4"/>
    <w:rsid w:val="44C5C191"/>
    <w:rsid w:val="44DC1EAC"/>
    <w:rsid w:val="4691ECED"/>
    <w:rsid w:val="46D1AF97"/>
    <w:rsid w:val="4939D414"/>
    <w:rsid w:val="49F0C472"/>
    <w:rsid w:val="4A723F11"/>
    <w:rsid w:val="4AD00750"/>
    <w:rsid w:val="4D24F912"/>
    <w:rsid w:val="4D3F3503"/>
    <w:rsid w:val="4D7C7BF3"/>
    <w:rsid w:val="4DC7CE20"/>
    <w:rsid w:val="4DCF5604"/>
    <w:rsid w:val="4DFED241"/>
    <w:rsid w:val="4E373B51"/>
    <w:rsid w:val="4E621A75"/>
    <w:rsid w:val="4F958F32"/>
    <w:rsid w:val="4FAE2315"/>
    <w:rsid w:val="50907049"/>
    <w:rsid w:val="51627E04"/>
    <w:rsid w:val="516A6B8A"/>
    <w:rsid w:val="52C89BB3"/>
    <w:rsid w:val="5312228B"/>
    <w:rsid w:val="53367A1F"/>
    <w:rsid w:val="5364821F"/>
    <w:rsid w:val="536BA431"/>
    <w:rsid w:val="53CA3342"/>
    <w:rsid w:val="543A06AE"/>
    <w:rsid w:val="54A8554D"/>
    <w:rsid w:val="54C2E3FA"/>
    <w:rsid w:val="563FB279"/>
    <w:rsid w:val="571BEFEA"/>
    <w:rsid w:val="584B9E02"/>
    <w:rsid w:val="58607A20"/>
    <w:rsid w:val="59006221"/>
    <w:rsid w:val="595FACAF"/>
    <w:rsid w:val="5992CB5E"/>
    <w:rsid w:val="5ACC2FC5"/>
    <w:rsid w:val="5BF5D33D"/>
    <w:rsid w:val="5C0F39FA"/>
    <w:rsid w:val="5CB0892A"/>
    <w:rsid w:val="5E026271"/>
    <w:rsid w:val="5E21107C"/>
    <w:rsid w:val="5E43D732"/>
    <w:rsid w:val="5E7D6D18"/>
    <w:rsid w:val="5F31D604"/>
    <w:rsid w:val="5F45296F"/>
    <w:rsid w:val="611B86F9"/>
    <w:rsid w:val="61D92992"/>
    <w:rsid w:val="624874F0"/>
    <w:rsid w:val="628CBFE2"/>
    <w:rsid w:val="62D2B05F"/>
    <w:rsid w:val="6302948C"/>
    <w:rsid w:val="63BDF3FC"/>
    <w:rsid w:val="6437F514"/>
    <w:rsid w:val="6442B632"/>
    <w:rsid w:val="64866D30"/>
    <w:rsid w:val="65707C66"/>
    <w:rsid w:val="66ACC4CB"/>
    <w:rsid w:val="67501CEC"/>
    <w:rsid w:val="680A9DC6"/>
    <w:rsid w:val="6840A1B7"/>
    <w:rsid w:val="6B27719A"/>
    <w:rsid w:val="6B4A5E31"/>
    <w:rsid w:val="6B60DE45"/>
    <w:rsid w:val="6B6BE0AF"/>
    <w:rsid w:val="6CF3AA76"/>
    <w:rsid w:val="6E8953BD"/>
    <w:rsid w:val="6F4B854F"/>
    <w:rsid w:val="6F977392"/>
    <w:rsid w:val="6FDC01B7"/>
    <w:rsid w:val="72B5F273"/>
    <w:rsid w:val="7359493A"/>
    <w:rsid w:val="73996BFB"/>
    <w:rsid w:val="7460D9CF"/>
    <w:rsid w:val="7468F93E"/>
    <w:rsid w:val="751445C0"/>
    <w:rsid w:val="76761438"/>
    <w:rsid w:val="76EE2ECC"/>
    <w:rsid w:val="79791C1E"/>
    <w:rsid w:val="79803E48"/>
    <w:rsid w:val="7A0FB201"/>
    <w:rsid w:val="7A88BEEA"/>
    <w:rsid w:val="7B0EE961"/>
    <w:rsid w:val="7B3FE5F3"/>
    <w:rsid w:val="7C4124CF"/>
    <w:rsid w:val="7D4DC910"/>
    <w:rsid w:val="7E4F6E6E"/>
    <w:rsid w:val="7EC3D232"/>
    <w:rsid w:val="7FADF577"/>
    <w:rsid w:val="7FC8724A"/>
    <w:rsid w:val="7FFCC69B"/>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91C521"/>
  <w15:docId w15:val="{96D846C5-5AC4-43ED-912B-02E15EF0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locked="1" w:uiPriority="6"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locked="1" w:semiHidden="1" w:uiPriority="5"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34"/>
    <w:pPr>
      <w:spacing w:line="288" w:lineRule="auto"/>
    </w:pPr>
    <w:rPr>
      <w:rFonts w:ascii="Arial" w:hAnsi="Arial"/>
    </w:rPr>
  </w:style>
  <w:style w:type="paragraph" w:styleId="Heading1">
    <w:name w:val="heading 1"/>
    <w:aliases w:val="Main Heading"/>
    <w:basedOn w:val="Normal"/>
    <w:next w:val="Normal"/>
    <w:link w:val="Heading1Char"/>
    <w:uiPriority w:val="6"/>
    <w:unhideWhenUsed/>
    <w:qFormat/>
    <w:locked/>
    <w:rsid w:val="004013BC"/>
    <w:pPr>
      <w:keepNext/>
      <w:spacing w:before="480" w:after="400"/>
      <w:outlineLvl w:val="0"/>
    </w:pPr>
    <w:rPr>
      <w:rFonts w:cs="Arial"/>
      <w:b/>
      <w:color w:val="172C54" w:themeColor="accent1"/>
      <w:sz w:val="28"/>
      <w:szCs w:val="28"/>
      <w:lang w:eastAsia="en-GB"/>
    </w:rPr>
  </w:style>
  <w:style w:type="paragraph" w:styleId="Heading2">
    <w:name w:val="heading 2"/>
    <w:aliases w:val="AR Heading 2"/>
    <w:basedOn w:val="Normal"/>
    <w:next w:val="Normal"/>
    <w:link w:val="Heading2Char"/>
    <w:qFormat/>
    <w:rsid w:val="008573B0"/>
    <w:pPr>
      <w:keepNext/>
      <w:pBdr>
        <w:top w:val="single" w:sz="4" w:space="1" w:color="auto"/>
        <w:left w:val="single" w:sz="4" w:space="4" w:color="auto"/>
        <w:bottom w:val="single" w:sz="4" w:space="1" w:color="auto"/>
        <w:right w:val="single" w:sz="4" w:space="4" w:color="auto"/>
      </w:pBdr>
      <w:spacing w:before="400" w:after="360"/>
      <w:outlineLvl w:val="1"/>
    </w:pPr>
    <w:rPr>
      <w:rFonts w:cs="Arial"/>
      <w:b/>
      <w:color w:val="2883C2" w:themeColor="accent5" w:themeShade="BF"/>
      <w:sz w:val="24"/>
      <w:szCs w:val="28"/>
    </w:rPr>
  </w:style>
  <w:style w:type="paragraph" w:styleId="Heading3">
    <w:name w:val="heading 3"/>
    <w:next w:val="Normal"/>
    <w:link w:val="Heading3Char"/>
    <w:qFormat/>
    <w:rsid w:val="00B9483D"/>
    <w:pPr>
      <w:keepNext/>
      <w:tabs>
        <w:tab w:val="left" w:pos="567"/>
      </w:tabs>
      <w:spacing w:before="360"/>
      <w:outlineLvl w:val="2"/>
    </w:pPr>
    <w:rPr>
      <w:rFonts w:ascii="Arial" w:hAnsi="Arial" w:cs="Arial"/>
      <w:b/>
      <w:bCs/>
      <w:sz w:val="24"/>
      <w:szCs w:val="28"/>
    </w:rPr>
  </w:style>
  <w:style w:type="paragraph" w:styleId="Heading4">
    <w:name w:val="heading 4"/>
    <w:basedOn w:val="Normal"/>
    <w:next w:val="Normal"/>
    <w:link w:val="Heading4Char"/>
    <w:qFormat/>
    <w:rsid w:val="00B9483D"/>
    <w:pPr>
      <w:keepNext/>
      <w:keepLines/>
      <w:outlineLvl w:val="3"/>
    </w:pPr>
    <w:rPr>
      <w:rFonts w:eastAsiaTheme="majorEastAsia" w:cstheme="majorBidi"/>
      <w:b/>
      <w:bCs/>
      <w:iCs/>
      <w:color w:val="2883C2" w:themeColor="accent5" w:themeShade="BF"/>
      <w:szCs w:val="20"/>
    </w:rPr>
  </w:style>
  <w:style w:type="paragraph" w:styleId="Heading5">
    <w:name w:val="heading 5"/>
    <w:basedOn w:val="Normal"/>
    <w:next w:val="Normal"/>
    <w:link w:val="Heading5Char"/>
    <w:uiPriority w:val="9"/>
    <w:semiHidden/>
    <w:unhideWhenUsed/>
    <w:rsid w:val="00061997"/>
    <w:pPr>
      <w:keepNext/>
      <w:outlineLvl w:val="4"/>
    </w:pPr>
    <w:rPr>
      <w:b/>
      <w:lang w:eastAsia="ja-JP"/>
    </w:rPr>
  </w:style>
  <w:style w:type="paragraph" w:styleId="Heading6">
    <w:name w:val="heading 6"/>
    <w:basedOn w:val="Normal"/>
    <w:next w:val="Normal"/>
    <w:link w:val="Heading6Char"/>
    <w:uiPriority w:val="9"/>
    <w:semiHidden/>
    <w:unhideWhenUsed/>
    <w:qFormat/>
    <w:rsid w:val="008B2DF4"/>
    <w:pPr>
      <w:keepNext/>
      <w:keepLines/>
      <w:spacing w:before="200"/>
      <w:ind w:left="425" w:hanging="425"/>
      <w:outlineLvl w:val="5"/>
    </w:pPr>
    <w:rPr>
      <w:rFonts w:asciiTheme="majorHAnsi" w:eastAsiaTheme="majorEastAsia" w:hAnsiTheme="majorHAnsi" w:cstheme="majorBidi"/>
      <w:i/>
      <w:iCs/>
      <w:color w:val="0B1529" w:themeColor="accent1" w:themeShade="7F"/>
    </w:rPr>
  </w:style>
  <w:style w:type="paragraph" w:styleId="Heading7">
    <w:name w:val="heading 7"/>
    <w:basedOn w:val="Normal"/>
    <w:next w:val="Normal"/>
    <w:link w:val="Heading7Char"/>
    <w:uiPriority w:val="9"/>
    <w:semiHidden/>
    <w:unhideWhenUsed/>
    <w:qFormat/>
    <w:rsid w:val="008B2DF4"/>
    <w:pPr>
      <w:keepNext/>
      <w:keepLines/>
      <w:spacing w:before="200"/>
      <w:ind w:left="425" w:hanging="425"/>
      <w:outlineLvl w:val="6"/>
    </w:pPr>
    <w:rPr>
      <w:rFonts w:asciiTheme="majorHAnsi" w:eastAsiaTheme="majorEastAsia" w:hAnsiTheme="majorHAnsi" w:cstheme="majorBidi"/>
      <w:i/>
      <w:iCs/>
      <w:color w:val="6F6F6F" w:themeColor="text1" w:themeTint="BF"/>
    </w:rPr>
  </w:style>
  <w:style w:type="paragraph" w:styleId="Heading8">
    <w:name w:val="heading 8"/>
    <w:basedOn w:val="Normal"/>
    <w:next w:val="Normal"/>
    <w:link w:val="Heading8Char"/>
    <w:uiPriority w:val="9"/>
    <w:semiHidden/>
    <w:unhideWhenUsed/>
    <w:qFormat/>
    <w:rsid w:val="008B2DF4"/>
    <w:pPr>
      <w:keepNext/>
      <w:keepLines/>
      <w:spacing w:before="200"/>
      <w:ind w:left="425" w:hanging="425"/>
      <w:outlineLvl w:val="7"/>
    </w:pPr>
    <w:rPr>
      <w:rFonts w:asciiTheme="majorHAnsi" w:eastAsiaTheme="majorEastAsia" w:hAnsiTheme="majorHAnsi" w:cstheme="majorBidi"/>
      <w:color w:val="6F6F6F" w:themeColor="text1" w:themeTint="BF"/>
      <w:sz w:val="20"/>
      <w:szCs w:val="20"/>
    </w:rPr>
  </w:style>
  <w:style w:type="paragraph" w:styleId="Heading9">
    <w:name w:val="heading 9"/>
    <w:basedOn w:val="Normal"/>
    <w:next w:val="Normal"/>
    <w:link w:val="Heading9Char"/>
    <w:uiPriority w:val="9"/>
    <w:semiHidden/>
    <w:unhideWhenUsed/>
    <w:qFormat/>
    <w:rsid w:val="008B2DF4"/>
    <w:pPr>
      <w:keepNext/>
      <w:keepLines/>
      <w:spacing w:before="200"/>
      <w:ind w:left="425" w:hanging="425"/>
      <w:outlineLvl w:val="8"/>
    </w:pPr>
    <w:rPr>
      <w:rFonts w:asciiTheme="majorHAnsi" w:eastAsiaTheme="majorEastAsia" w:hAnsiTheme="majorHAnsi" w:cstheme="majorBidi"/>
      <w:i/>
      <w:iCs/>
      <w:color w:val="6F6F6F"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unhideWhenUsed/>
    <w:rsid w:val="0052594D"/>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unhideWhenUsed/>
    <w:rsid w:val="00183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25A88"/>
    <w:rPr>
      <w:rFonts w:ascii="Tahoma" w:hAnsi="Tahoma" w:cs="Tahoma"/>
      <w:sz w:val="16"/>
      <w:szCs w:val="16"/>
    </w:rPr>
  </w:style>
  <w:style w:type="paragraph" w:styleId="ListParagraph">
    <w:name w:val="List Paragraph"/>
    <w:aliases w:val="List Paragraph 1,Chapter Numbering,Bullets,Grey Bullet List,Grey Bullet Style,Indent Paragraph,footer text,Table of contents numbered,Colorful List - Accent 11,Figure_name,Resume Title,Citation List,List Paragraph1,lp1,normal,List[1:1]"/>
    <w:basedOn w:val="Normal"/>
    <w:link w:val="ListParagraphChar"/>
    <w:uiPriority w:val="34"/>
    <w:qFormat/>
    <w:rsid w:val="007B79D8"/>
    <w:pPr>
      <w:numPr>
        <w:numId w:val="6"/>
      </w:numPr>
      <w:spacing w:before="120" w:after="120"/>
      <w:ind w:left="738" w:hanging="284"/>
    </w:pPr>
  </w:style>
  <w:style w:type="character" w:styleId="Hyperlink">
    <w:name w:val="Hyperlink"/>
    <w:basedOn w:val="DefaultParagraphFont"/>
    <w:uiPriority w:val="99"/>
    <w:semiHidden/>
    <w:unhideWhenUsed/>
    <w:rsid w:val="00E22872"/>
    <w:rPr>
      <w:color w:val="880027" w:themeColor="hyperlink"/>
      <w:u w:val="single"/>
    </w:rPr>
  </w:style>
  <w:style w:type="character" w:styleId="FollowedHyperlink">
    <w:name w:val="FollowedHyperlink"/>
    <w:basedOn w:val="DefaultParagraphFont"/>
    <w:uiPriority w:val="99"/>
    <w:semiHidden/>
    <w:unhideWhenUsed/>
    <w:rsid w:val="00E22872"/>
    <w:rPr>
      <w:color w:val="FFC832" w:themeColor="followedHyperlink"/>
      <w:u w:val="single"/>
    </w:rPr>
  </w:style>
  <w:style w:type="character" w:styleId="CommentReference">
    <w:name w:val="annotation reference"/>
    <w:basedOn w:val="DefaultParagraphFont"/>
    <w:uiPriority w:val="99"/>
    <w:unhideWhenUsed/>
    <w:rsid w:val="00E50BF8"/>
    <w:rPr>
      <w:sz w:val="16"/>
      <w:szCs w:val="16"/>
    </w:rPr>
  </w:style>
  <w:style w:type="paragraph" w:styleId="CommentText">
    <w:name w:val="annotation text"/>
    <w:basedOn w:val="Normal"/>
    <w:link w:val="CommentTextChar"/>
    <w:uiPriority w:val="99"/>
    <w:unhideWhenUsed/>
    <w:rsid w:val="00E50BF8"/>
    <w:pPr>
      <w:spacing w:line="240" w:lineRule="auto"/>
    </w:pPr>
    <w:rPr>
      <w:sz w:val="20"/>
      <w:szCs w:val="20"/>
    </w:rPr>
  </w:style>
  <w:style w:type="character" w:customStyle="1" w:styleId="CommentTextChar">
    <w:name w:val="Comment Text Char"/>
    <w:basedOn w:val="DefaultParagraphFont"/>
    <w:link w:val="CommentText"/>
    <w:uiPriority w:val="99"/>
    <w:rsid w:val="00525A8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50BF8"/>
    <w:rPr>
      <w:b/>
      <w:bCs/>
    </w:rPr>
  </w:style>
  <w:style w:type="character" w:customStyle="1" w:styleId="CommentSubjectChar">
    <w:name w:val="Comment Subject Char"/>
    <w:basedOn w:val="CommentTextChar"/>
    <w:link w:val="CommentSubject"/>
    <w:uiPriority w:val="99"/>
    <w:semiHidden/>
    <w:rsid w:val="00525A88"/>
    <w:rPr>
      <w:rFonts w:ascii="Arial" w:hAnsi="Arial"/>
      <w:b/>
      <w:bCs/>
      <w:sz w:val="20"/>
      <w:szCs w:val="20"/>
    </w:rPr>
  </w:style>
  <w:style w:type="paragraph" w:styleId="Revision">
    <w:name w:val="Revision"/>
    <w:hidden/>
    <w:uiPriority w:val="99"/>
    <w:semiHidden/>
    <w:rsid w:val="00E50BF8"/>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7"/>
    <w:uiPriority w:val="99"/>
    <w:unhideWhenUsed/>
    <w:rsid w:val="00077B4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unhideWhenUsed/>
    <w:rsid w:val="00077B4A"/>
    <w:rPr>
      <w:sz w:val="20"/>
      <w:szCs w:val="20"/>
    </w:rPr>
  </w:style>
  <w:style w:type="character" w:styleId="FootnoteReference">
    <w:name w:val="footnote reference"/>
    <w:basedOn w:val="DefaultParagraphFont"/>
    <w:uiPriority w:val="99"/>
    <w:unhideWhenUsed/>
    <w:rsid w:val="00077B4A"/>
    <w:rPr>
      <w:vertAlign w:val="superscript"/>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525A88"/>
    <w:rPr>
      <w:rFonts w:ascii="Times New Roman" w:eastAsia="Times New Roman" w:hAnsi="Times New Roman" w:cs="Times New Roman"/>
      <w:sz w:val="20"/>
      <w:szCs w:val="20"/>
    </w:rPr>
  </w:style>
  <w:style w:type="table" w:styleId="TableGrid">
    <w:name w:val="Table Grid"/>
    <w:basedOn w:val="TableNormal"/>
    <w:uiPriority w:val="59"/>
    <w:rsid w:val="00264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0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A88"/>
    <w:rPr>
      <w:rFonts w:ascii="Arial" w:hAnsi="Arial"/>
    </w:rPr>
  </w:style>
  <w:style w:type="paragraph" w:styleId="Footer">
    <w:name w:val="footer"/>
    <w:basedOn w:val="Normal"/>
    <w:link w:val="FooterChar"/>
    <w:uiPriority w:val="99"/>
    <w:unhideWhenUsed/>
    <w:rsid w:val="00420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A88"/>
    <w:rPr>
      <w:rFonts w:ascii="Arial" w:hAnsi="Arial"/>
    </w:rPr>
  </w:style>
  <w:style w:type="character" w:customStyle="1" w:styleId="st">
    <w:name w:val="st"/>
    <w:basedOn w:val="DefaultParagraphFont"/>
    <w:uiPriority w:val="4"/>
    <w:unhideWhenUsed/>
    <w:locked/>
    <w:rsid w:val="00B315C8"/>
  </w:style>
  <w:style w:type="character" w:customStyle="1" w:styleId="Heading4Char">
    <w:name w:val="Heading 4 Char"/>
    <w:basedOn w:val="DefaultParagraphFont"/>
    <w:link w:val="Heading4"/>
    <w:rsid w:val="00B9483D"/>
    <w:rPr>
      <w:rFonts w:ascii="Arial" w:eastAsiaTheme="majorEastAsia" w:hAnsi="Arial" w:cstheme="majorBidi"/>
      <w:b/>
      <w:bCs/>
      <w:iCs/>
      <w:color w:val="2883C2" w:themeColor="accent5" w:themeShade="BF"/>
      <w:szCs w:val="20"/>
    </w:rPr>
  </w:style>
  <w:style w:type="paragraph" w:customStyle="1" w:styleId="NumberedARs">
    <w:name w:val="Numbered ARs"/>
    <w:link w:val="NumberedARsChar"/>
    <w:qFormat/>
    <w:rsid w:val="00D820D7"/>
    <w:pPr>
      <w:spacing w:line="288" w:lineRule="auto"/>
      <w:ind w:left="360" w:hanging="360"/>
    </w:pPr>
    <w:rPr>
      <w:rFonts w:ascii="Arial" w:hAnsi="Arial"/>
      <w:szCs w:val="20"/>
      <w:lang w:eastAsia="ja-JP"/>
    </w:rPr>
  </w:style>
  <w:style w:type="character" w:customStyle="1" w:styleId="NumberedARsChar">
    <w:name w:val="Numbered ARs Char"/>
    <w:basedOn w:val="DefaultParagraphFont"/>
    <w:link w:val="NumberedARs"/>
    <w:rsid w:val="00D820D7"/>
    <w:rPr>
      <w:rFonts w:ascii="Arial" w:hAnsi="Arial"/>
      <w:szCs w:val="20"/>
      <w:lang w:eastAsia="ja-JP"/>
    </w:rPr>
  </w:style>
  <w:style w:type="character" w:customStyle="1" w:styleId="Heading3Char">
    <w:name w:val="Heading 3 Char"/>
    <w:basedOn w:val="DefaultParagraphFont"/>
    <w:link w:val="Heading3"/>
    <w:rsid w:val="00B9483D"/>
    <w:rPr>
      <w:rFonts w:ascii="Arial" w:hAnsi="Arial" w:cs="Arial"/>
      <w:b/>
      <w:bCs/>
      <w:sz w:val="24"/>
      <w:szCs w:val="28"/>
    </w:rPr>
  </w:style>
  <w:style w:type="paragraph" w:styleId="EndnoteText">
    <w:name w:val="endnote text"/>
    <w:basedOn w:val="Normal"/>
    <w:link w:val="EndnoteTextChar"/>
    <w:uiPriority w:val="99"/>
    <w:unhideWhenUsed/>
    <w:rsid w:val="006D3014"/>
    <w:pPr>
      <w:spacing w:after="0" w:line="240" w:lineRule="auto"/>
    </w:pPr>
    <w:rPr>
      <w:sz w:val="20"/>
      <w:szCs w:val="20"/>
    </w:rPr>
  </w:style>
  <w:style w:type="character" w:customStyle="1" w:styleId="EndnoteTextChar">
    <w:name w:val="Endnote Text Char"/>
    <w:basedOn w:val="DefaultParagraphFont"/>
    <w:link w:val="EndnoteText"/>
    <w:uiPriority w:val="99"/>
    <w:rsid w:val="00525A88"/>
    <w:rPr>
      <w:rFonts w:ascii="Arial" w:hAnsi="Arial"/>
      <w:sz w:val="20"/>
      <w:szCs w:val="20"/>
    </w:rPr>
  </w:style>
  <w:style w:type="character" w:styleId="EndnoteReference">
    <w:name w:val="endnote reference"/>
    <w:basedOn w:val="DefaultParagraphFont"/>
    <w:uiPriority w:val="99"/>
    <w:unhideWhenUsed/>
    <w:rsid w:val="006D3014"/>
    <w:rPr>
      <w:vertAlign w:val="superscript"/>
    </w:rPr>
  </w:style>
  <w:style w:type="character" w:customStyle="1" w:styleId="Heading1Char">
    <w:name w:val="Heading 1 Char"/>
    <w:aliases w:val="Main Heading Char"/>
    <w:basedOn w:val="DefaultParagraphFont"/>
    <w:link w:val="Heading1"/>
    <w:uiPriority w:val="6"/>
    <w:rsid w:val="00525A88"/>
    <w:rPr>
      <w:rFonts w:ascii="Arial" w:hAnsi="Arial" w:cs="Arial"/>
      <w:b/>
      <w:color w:val="172C54" w:themeColor="accent1"/>
      <w:sz w:val="28"/>
      <w:szCs w:val="28"/>
      <w:lang w:eastAsia="en-GB"/>
    </w:rPr>
  </w:style>
  <w:style w:type="character" w:customStyle="1" w:styleId="ListParagraphChar">
    <w:name w:val="List Paragraph Char"/>
    <w:aliases w:val="List Paragraph 1 Char,Chapter Numbering Char,Bullets Char,Grey Bullet List Char,Grey Bullet Style Char,Indent Paragraph Char,footer text Char,Table of contents numbered Char,Colorful List - Accent 11 Char,Figure_name Char,lp1 Char"/>
    <w:basedOn w:val="DefaultParagraphFont"/>
    <w:link w:val="ListParagraph"/>
    <w:uiPriority w:val="34"/>
    <w:qFormat/>
    <w:locked/>
    <w:rsid w:val="007B79D8"/>
    <w:rPr>
      <w:rFonts w:ascii="Arial" w:hAnsi="Arial"/>
    </w:rPr>
  </w:style>
  <w:style w:type="paragraph" w:customStyle="1" w:styleId="Numbernormal">
    <w:name w:val="Number normal"/>
    <w:basedOn w:val="Normal"/>
    <w:link w:val="NumbernormalChar"/>
    <w:uiPriority w:val="5"/>
    <w:unhideWhenUsed/>
    <w:qFormat/>
    <w:locked/>
    <w:rsid w:val="008573B0"/>
    <w:pPr>
      <w:numPr>
        <w:numId w:val="5"/>
      </w:numPr>
      <w:shd w:val="clear" w:color="auto" w:fill="FFFFFF"/>
      <w:ind w:left="454" w:hanging="454"/>
    </w:pPr>
    <w:rPr>
      <w:rFonts w:cs="Arial"/>
    </w:rPr>
  </w:style>
  <w:style w:type="character" w:customStyle="1" w:styleId="NumbernormalChar">
    <w:name w:val="Number normal Char"/>
    <w:basedOn w:val="DefaultParagraphFont"/>
    <w:link w:val="Numbernormal"/>
    <w:uiPriority w:val="5"/>
    <w:rsid w:val="00525A88"/>
    <w:rPr>
      <w:rFonts w:ascii="Arial" w:hAnsi="Arial" w:cs="Arial"/>
      <w:shd w:val="clear" w:color="auto" w:fill="FFFFFF"/>
    </w:rPr>
  </w:style>
  <w:style w:type="paragraph" w:customStyle="1" w:styleId="Bulletedlist">
    <w:name w:val="Bulleted list"/>
    <w:basedOn w:val="Normal"/>
    <w:link w:val="BulletedlistChar"/>
    <w:uiPriority w:val="5"/>
    <w:qFormat/>
    <w:rsid w:val="007B79D8"/>
    <w:pPr>
      <w:numPr>
        <w:numId w:val="4"/>
      </w:numPr>
      <w:contextualSpacing/>
    </w:pPr>
    <w:rPr>
      <w:rFonts w:eastAsia="Times New Roman" w:cs="Arial"/>
      <w:szCs w:val="36"/>
    </w:rPr>
  </w:style>
  <w:style w:type="paragraph" w:customStyle="1" w:styleId="Footer1">
    <w:name w:val="Footer1"/>
    <w:basedOn w:val="FootnoteText"/>
    <w:link w:val="Footer1Char"/>
    <w:uiPriority w:val="4"/>
    <w:unhideWhenUsed/>
    <w:qFormat/>
    <w:rsid w:val="008B2DF4"/>
    <w:pPr>
      <w:numPr>
        <w:numId w:val="2"/>
      </w:numPr>
      <w:spacing w:before="120" w:after="120"/>
      <w:ind w:left="284" w:hanging="284"/>
    </w:pPr>
    <w:rPr>
      <w:rFonts w:ascii="Arial" w:eastAsiaTheme="minorHAnsi" w:hAnsi="Arial" w:cs="Arial"/>
      <w:sz w:val="18"/>
      <w:szCs w:val="18"/>
    </w:rPr>
  </w:style>
  <w:style w:type="character" w:customStyle="1" w:styleId="Footer1Char">
    <w:name w:val="Footer1 Char"/>
    <w:basedOn w:val="DefaultParagraphFont"/>
    <w:link w:val="Footer1"/>
    <w:uiPriority w:val="4"/>
    <w:rsid w:val="00525A88"/>
    <w:rPr>
      <w:rFonts w:ascii="Arial" w:hAnsi="Arial" w:cs="Arial"/>
      <w:sz w:val="18"/>
      <w:szCs w:val="18"/>
    </w:rPr>
  </w:style>
  <w:style w:type="character" w:customStyle="1" w:styleId="Heading2Char">
    <w:name w:val="Heading 2 Char"/>
    <w:aliases w:val="AR Heading 2 Char"/>
    <w:basedOn w:val="DefaultParagraphFont"/>
    <w:link w:val="Heading2"/>
    <w:rsid w:val="00525A88"/>
    <w:rPr>
      <w:rFonts w:ascii="Arial" w:hAnsi="Arial" w:cs="Arial"/>
      <w:b/>
      <w:color w:val="2883C2" w:themeColor="accent5" w:themeShade="BF"/>
      <w:sz w:val="24"/>
      <w:szCs w:val="28"/>
    </w:rPr>
  </w:style>
  <w:style w:type="character" w:customStyle="1" w:styleId="Heading6Char">
    <w:name w:val="Heading 6 Char"/>
    <w:basedOn w:val="DefaultParagraphFont"/>
    <w:link w:val="Heading6"/>
    <w:uiPriority w:val="9"/>
    <w:semiHidden/>
    <w:rsid w:val="00525A88"/>
    <w:rPr>
      <w:rFonts w:asciiTheme="majorHAnsi" w:eastAsiaTheme="majorEastAsia" w:hAnsiTheme="majorHAnsi" w:cstheme="majorBidi"/>
      <w:i/>
      <w:iCs/>
      <w:color w:val="0B1529" w:themeColor="accent1" w:themeShade="7F"/>
    </w:rPr>
  </w:style>
  <w:style w:type="character" w:customStyle="1" w:styleId="Heading7Char">
    <w:name w:val="Heading 7 Char"/>
    <w:basedOn w:val="DefaultParagraphFont"/>
    <w:link w:val="Heading7"/>
    <w:uiPriority w:val="9"/>
    <w:semiHidden/>
    <w:rsid w:val="00525A88"/>
    <w:rPr>
      <w:rFonts w:asciiTheme="majorHAnsi" w:eastAsiaTheme="majorEastAsia" w:hAnsiTheme="majorHAnsi" w:cstheme="majorBidi"/>
      <w:i/>
      <w:iCs/>
      <w:color w:val="6F6F6F" w:themeColor="text1" w:themeTint="BF"/>
    </w:rPr>
  </w:style>
  <w:style w:type="character" w:customStyle="1" w:styleId="Heading8Char">
    <w:name w:val="Heading 8 Char"/>
    <w:basedOn w:val="DefaultParagraphFont"/>
    <w:link w:val="Heading8"/>
    <w:uiPriority w:val="9"/>
    <w:semiHidden/>
    <w:rsid w:val="00525A88"/>
    <w:rPr>
      <w:rFonts w:asciiTheme="majorHAnsi" w:eastAsiaTheme="majorEastAsia" w:hAnsiTheme="majorHAnsi" w:cstheme="majorBidi"/>
      <w:color w:val="6F6F6F" w:themeColor="text1" w:themeTint="BF"/>
      <w:sz w:val="20"/>
      <w:szCs w:val="20"/>
    </w:rPr>
  </w:style>
  <w:style w:type="character" w:customStyle="1" w:styleId="Heading9Char">
    <w:name w:val="Heading 9 Char"/>
    <w:basedOn w:val="DefaultParagraphFont"/>
    <w:link w:val="Heading9"/>
    <w:uiPriority w:val="9"/>
    <w:semiHidden/>
    <w:rsid w:val="00525A88"/>
    <w:rPr>
      <w:rFonts w:asciiTheme="majorHAnsi" w:eastAsiaTheme="majorEastAsia" w:hAnsiTheme="majorHAnsi" w:cstheme="majorBidi"/>
      <w:i/>
      <w:iCs/>
      <w:color w:val="6F6F6F" w:themeColor="text1" w:themeTint="BF"/>
      <w:sz w:val="20"/>
      <w:szCs w:val="20"/>
    </w:rPr>
  </w:style>
  <w:style w:type="paragraph" w:styleId="Caption">
    <w:name w:val="caption"/>
    <w:basedOn w:val="Normal"/>
    <w:next w:val="Normal"/>
    <w:link w:val="CaptionChar"/>
    <w:uiPriority w:val="35"/>
    <w:semiHidden/>
    <w:unhideWhenUsed/>
    <w:qFormat/>
    <w:rsid w:val="008B2DF4"/>
    <w:pPr>
      <w:spacing w:after="200"/>
      <w:ind w:left="425" w:hanging="425"/>
    </w:pPr>
    <w:rPr>
      <w:rFonts w:asciiTheme="minorHAnsi" w:hAnsiTheme="minorHAnsi"/>
      <w:b/>
      <w:bCs/>
      <w:color w:val="172C54" w:themeColor="accent1"/>
      <w:sz w:val="18"/>
      <w:szCs w:val="18"/>
    </w:rPr>
  </w:style>
  <w:style w:type="character" w:customStyle="1" w:styleId="CaptionChar">
    <w:name w:val="Caption Char"/>
    <w:basedOn w:val="DefaultParagraphFont"/>
    <w:link w:val="Caption"/>
    <w:uiPriority w:val="35"/>
    <w:semiHidden/>
    <w:rsid w:val="00525A88"/>
    <w:rPr>
      <w:b/>
      <w:bCs/>
      <w:color w:val="172C54" w:themeColor="accent1"/>
      <w:sz w:val="18"/>
      <w:szCs w:val="18"/>
    </w:rPr>
  </w:style>
  <w:style w:type="paragraph" w:styleId="TOCHeading">
    <w:name w:val="TOC Heading"/>
    <w:basedOn w:val="Heading1"/>
    <w:next w:val="Normal"/>
    <w:uiPriority w:val="39"/>
    <w:semiHidden/>
    <w:unhideWhenUsed/>
    <w:qFormat/>
    <w:rsid w:val="008B2DF4"/>
    <w:pPr>
      <w:keepLines/>
      <w:spacing w:after="0"/>
      <w:outlineLvl w:val="9"/>
    </w:pPr>
    <w:rPr>
      <w:rFonts w:asciiTheme="majorHAnsi" w:eastAsiaTheme="majorEastAsia" w:hAnsiTheme="majorHAnsi" w:cstheme="majorBidi"/>
      <w:bCs/>
      <w:color w:val="11203E" w:themeColor="accent1" w:themeShade="BF"/>
      <w:lang w:eastAsia="en-ZA"/>
    </w:rPr>
  </w:style>
  <w:style w:type="paragraph" w:styleId="ListNumber">
    <w:name w:val="List Number"/>
    <w:basedOn w:val="Normal"/>
    <w:uiPriority w:val="99"/>
    <w:semiHidden/>
    <w:unhideWhenUsed/>
    <w:rsid w:val="008B2DF4"/>
    <w:pPr>
      <w:numPr>
        <w:numId w:val="3"/>
      </w:numPr>
      <w:contextualSpacing/>
    </w:pPr>
  </w:style>
  <w:style w:type="character" w:customStyle="1" w:styleId="Heading5Char">
    <w:name w:val="Heading 5 Char"/>
    <w:basedOn w:val="DefaultParagraphFont"/>
    <w:link w:val="Heading5"/>
    <w:uiPriority w:val="9"/>
    <w:semiHidden/>
    <w:rsid w:val="00525A88"/>
    <w:rPr>
      <w:rFonts w:ascii="Arial" w:hAnsi="Arial"/>
      <w:b/>
      <w:lang w:eastAsia="ja-JP"/>
    </w:rPr>
  </w:style>
  <w:style w:type="paragraph" w:customStyle="1" w:styleId="Symbolbullet">
    <w:name w:val="Symbol bullet"/>
    <w:basedOn w:val="Default"/>
    <w:link w:val="SymbolbulletChar"/>
    <w:uiPriority w:val="1"/>
    <w:qFormat/>
    <w:rsid w:val="00941660"/>
    <w:pPr>
      <w:numPr>
        <w:numId w:val="1"/>
      </w:numPr>
      <w:spacing w:line="276" w:lineRule="auto"/>
    </w:pPr>
    <w:rPr>
      <w:color w:val="auto"/>
      <w:sz w:val="22"/>
      <w:szCs w:val="22"/>
    </w:rPr>
  </w:style>
  <w:style w:type="paragraph" w:styleId="BodyTextIndent">
    <w:name w:val="Body Text Indent"/>
    <w:basedOn w:val="Normal"/>
    <w:link w:val="BodyTextIndentChar"/>
    <w:uiPriority w:val="99"/>
    <w:unhideWhenUsed/>
    <w:rsid w:val="00F630F3"/>
    <w:pPr>
      <w:ind w:left="425"/>
    </w:pPr>
  </w:style>
  <w:style w:type="character" w:customStyle="1" w:styleId="DefaultChar">
    <w:name w:val="Default Char"/>
    <w:basedOn w:val="DefaultParagraphFont"/>
    <w:link w:val="Default"/>
    <w:uiPriority w:val="4"/>
    <w:semiHidden/>
    <w:rsid w:val="00525A88"/>
    <w:rPr>
      <w:rFonts w:ascii="Arial" w:hAnsi="Arial" w:cs="Arial"/>
      <w:color w:val="000000"/>
      <w:sz w:val="24"/>
      <w:szCs w:val="24"/>
    </w:rPr>
  </w:style>
  <w:style w:type="character" w:customStyle="1" w:styleId="SymbolbulletChar">
    <w:name w:val="Symbol bullet Char"/>
    <w:basedOn w:val="DefaultChar"/>
    <w:link w:val="Symbolbullet"/>
    <w:uiPriority w:val="1"/>
    <w:rsid w:val="00DC0F1F"/>
    <w:rPr>
      <w:rFonts w:ascii="Arial" w:hAnsi="Arial" w:cs="Arial"/>
      <w:color w:val="000000"/>
      <w:sz w:val="24"/>
      <w:szCs w:val="24"/>
    </w:rPr>
  </w:style>
  <w:style w:type="character" w:customStyle="1" w:styleId="BodyTextIndentChar">
    <w:name w:val="Body Text Indent Char"/>
    <w:basedOn w:val="DefaultParagraphFont"/>
    <w:link w:val="BodyTextIndent"/>
    <w:uiPriority w:val="99"/>
    <w:rsid w:val="00525A88"/>
    <w:rPr>
      <w:rFonts w:ascii="Arial" w:hAnsi="Arial"/>
    </w:rPr>
  </w:style>
  <w:style w:type="paragraph" w:styleId="BodyText">
    <w:name w:val="Body Text"/>
    <w:basedOn w:val="Normal"/>
    <w:link w:val="BodyTextChar"/>
    <w:uiPriority w:val="99"/>
    <w:unhideWhenUsed/>
    <w:rsid w:val="00AF0B28"/>
    <w:pPr>
      <w:spacing w:before="40" w:after="40"/>
    </w:pPr>
    <w:rPr>
      <w:rFonts w:cs="Arial"/>
      <w:sz w:val="18"/>
      <w:szCs w:val="18"/>
    </w:rPr>
  </w:style>
  <w:style w:type="character" w:customStyle="1" w:styleId="BodyTextChar">
    <w:name w:val="Body Text Char"/>
    <w:basedOn w:val="DefaultParagraphFont"/>
    <w:link w:val="BodyText"/>
    <w:uiPriority w:val="99"/>
    <w:rsid w:val="00525A88"/>
    <w:rPr>
      <w:rFonts w:ascii="Arial" w:hAnsi="Arial" w:cs="Arial"/>
      <w:sz w:val="18"/>
      <w:szCs w:val="18"/>
    </w:rPr>
  </w:style>
  <w:style w:type="paragraph" w:customStyle="1" w:styleId="ARheading1">
    <w:name w:val="AR heading1"/>
    <w:basedOn w:val="Normal"/>
    <w:next w:val="Normal"/>
    <w:link w:val="ARheading1Char"/>
    <w:qFormat/>
    <w:rsid w:val="004013BC"/>
    <w:pPr>
      <w:spacing w:before="480" w:after="400"/>
      <w:outlineLvl w:val="0"/>
    </w:pPr>
    <w:rPr>
      <w:rFonts w:eastAsia="Times New Roman" w:cs="Times New Roman"/>
      <w:b/>
      <w:iCs/>
      <w:color w:val="172C54" w:themeColor="accent1"/>
      <w:sz w:val="28"/>
      <w:szCs w:val="24"/>
      <w:lang w:eastAsia="en-GB"/>
    </w:rPr>
  </w:style>
  <w:style w:type="character" w:customStyle="1" w:styleId="ARheading1Char">
    <w:name w:val="AR heading1 Char"/>
    <w:basedOn w:val="DefaultParagraphFont"/>
    <w:link w:val="ARheading1"/>
    <w:rsid w:val="004013BC"/>
    <w:rPr>
      <w:rFonts w:ascii="Arial" w:eastAsia="Times New Roman" w:hAnsi="Arial" w:cs="Times New Roman"/>
      <w:b/>
      <w:iCs/>
      <w:color w:val="172C54" w:themeColor="accent1"/>
      <w:sz w:val="28"/>
      <w:szCs w:val="24"/>
      <w:lang w:eastAsia="en-GB"/>
    </w:r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uiPriority w:val="99"/>
    <w:unhideWhenUsed/>
    <w:rsid w:val="00D9601F"/>
    <w:rPr>
      <w:rFonts w:ascii="Times New Roman" w:eastAsia="Times New Roman" w:hAnsi="Times New Roman" w:cs="Times New Roman"/>
      <w:sz w:val="20"/>
      <w:szCs w:val="20"/>
    </w:rPr>
  </w:style>
  <w:style w:type="character" w:customStyle="1" w:styleId="BulletedlistChar">
    <w:name w:val="Bulleted list Char"/>
    <w:basedOn w:val="DefaultParagraphFont"/>
    <w:link w:val="Bulletedlist"/>
    <w:uiPriority w:val="5"/>
    <w:rsid w:val="007B79D8"/>
    <w:rPr>
      <w:rFonts w:ascii="Arial" w:eastAsia="Times New Roman" w:hAnsi="Arial" w:cs="Arial"/>
      <w:szCs w:val="36"/>
    </w:rPr>
  </w:style>
  <w:style w:type="paragraph" w:customStyle="1" w:styleId="Tabletext">
    <w:name w:val="Table text"/>
    <w:basedOn w:val="Normal"/>
    <w:link w:val="TabletextChar"/>
    <w:qFormat/>
    <w:rsid w:val="00DC0F1F"/>
    <w:pPr>
      <w:spacing w:before="120" w:after="120" w:line="240" w:lineRule="auto"/>
    </w:pPr>
    <w:rPr>
      <w:sz w:val="20"/>
    </w:rPr>
  </w:style>
  <w:style w:type="paragraph" w:customStyle="1" w:styleId="Tableheading">
    <w:name w:val="Table heading"/>
    <w:basedOn w:val="Tabletext"/>
    <w:next w:val="Tabletext"/>
    <w:link w:val="TableheadingChar"/>
    <w:qFormat/>
    <w:rsid w:val="00DC0F1F"/>
    <w:rPr>
      <w:b/>
    </w:rPr>
  </w:style>
  <w:style w:type="character" w:customStyle="1" w:styleId="TabletextChar">
    <w:name w:val="Table text Char"/>
    <w:basedOn w:val="DefaultParagraphFont"/>
    <w:link w:val="Tabletext"/>
    <w:rsid w:val="00DC0F1F"/>
    <w:rPr>
      <w:rFonts w:ascii="Arial" w:hAnsi="Arial"/>
      <w:sz w:val="20"/>
    </w:rPr>
  </w:style>
  <w:style w:type="paragraph" w:customStyle="1" w:styleId="Tablebullet">
    <w:name w:val="Table bullet"/>
    <w:basedOn w:val="Tabletext"/>
    <w:link w:val="TablebulletChar"/>
    <w:qFormat/>
    <w:rsid w:val="00DC0F1F"/>
    <w:pPr>
      <w:numPr>
        <w:numId w:val="7"/>
      </w:numPr>
      <w:ind w:left="284" w:hanging="284"/>
    </w:pPr>
  </w:style>
  <w:style w:type="character" w:customStyle="1" w:styleId="TableheadingChar">
    <w:name w:val="Table heading Char"/>
    <w:basedOn w:val="TabletextChar"/>
    <w:link w:val="Tableheading"/>
    <w:rsid w:val="00DC0F1F"/>
    <w:rPr>
      <w:rFonts w:ascii="Arial" w:hAnsi="Arial"/>
      <w:b/>
      <w:sz w:val="20"/>
    </w:rPr>
  </w:style>
  <w:style w:type="character" w:customStyle="1" w:styleId="TablebulletChar">
    <w:name w:val="Table bullet Char"/>
    <w:basedOn w:val="TabletextChar"/>
    <w:link w:val="Tablebullet"/>
    <w:rsid w:val="00DC0F1F"/>
    <w:rPr>
      <w:rFonts w:ascii="Arial" w:hAnsi="Arial"/>
      <w:sz w:val="20"/>
    </w:rPr>
  </w:style>
  <w:style w:type="paragraph" w:customStyle="1" w:styleId="Endnoteheading">
    <w:name w:val="Endnote heading"/>
    <w:basedOn w:val="Normal"/>
    <w:link w:val="EndnoteheadingChar"/>
    <w:qFormat/>
    <w:rsid w:val="005B4610"/>
    <w:pPr>
      <w:spacing w:after="0" w:line="276" w:lineRule="auto"/>
    </w:pPr>
    <w:rPr>
      <w:rFonts w:eastAsia="Times New Roman"/>
      <w:b/>
      <w:lang w:eastAsia="en-ZA"/>
    </w:rPr>
  </w:style>
  <w:style w:type="character" w:customStyle="1" w:styleId="EndnoteheadingChar">
    <w:name w:val="Endnote heading Char"/>
    <w:basedOn w:val="DefaultParagraphFont"/>
    <w:link w:val="Endnoteheading"/>
    <w:rsid w:val="005B4610"/>
    <w:rPr>
      <w:rFonts w:ascii="Arial" w:eastAsia="Times New Roman" w:hAnsi="Arial"/>
      <w:b/>
      <w:lang w:eastAsia="en-ZA"/>
    </w:rPr>
  </w:style>
  <w:style w:type="table" w:customStyle="1" w:styleId="TableGrid1911">
    <w:name w:val="Table Grid1911"/>
    <w:basedOn w:val="TableNormal"/>
    <w:next w:val="TableGrid"/>
    <w:uiPriority w:val="59"/>
    <w:rsid w:val="005B4610"/>
    <w:pPr>
      <w:spacing w:after="0" w:line="240" w:lineRule="auto"/>
    </w:pPr>
    <w:rPr>
      <w:rFonts w:eastAsia="Times New Roman"/>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201E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0">
    <w:name w:val="Mention10"/>
    <w:basedOn w:val="DefaultParagraphFont"/>
    <w:uiPriority w:val="99"/>
    <w:unhideWhenUsed/>
    <w:rsid w:val="006A4537"/>
    <w:rPr>
      <w:color w:val="2B579A"/>
      <w:shd w:val="clear" w:color="auto" w:fill="E1DFDD"/>
    </w:rPr>
  </w:style>
  <w:style w:type="character" w:customStyle="1" w:styleId="Mention1">
    <w:name w:val="Mention1"/>
    <w:basedOn w:val="DefaultParagraphFont"/>
    <w:uiPriority w:val="99"/>
    <w:unhideWhenUsed/>
    <w:rsid w:val="003A1244"/>
    <w:rPr>
      <w:color w:val="2B579A"/>
      <w:shd w:val="clear" w:color="auto" w:fill="E1DFDD"/>
    </w:rPr>
  </w:style>
  <w:style w:type="character" w:customStyle="1" w:styleId="Mention2">
    <w:name w:val="Mention2"/>
    <w:basedOn w:val="DefaultParagraphFont"/>
    <w:uiPriority w:val="99"/>
    <w:unhideWhenUsed/>
    <w:rsid w:val="002E22F1"/>
    <w:rPr>
      <w:color w:val="2B579A"/>
      <w:shd w:val="clear" w:color="auto" w:fill="E6E6E6"/>
    </w:rPr>
  </w:style>
  <w:style w:type="character" w:customStyle="1" w:styleId="Mention3">
    <w:name w:val="Mention3"/>
    <w:basedOn w:val="DefaultParagraphFont"/>
    <w:uiPriority w:val="99"/>
    <w:unhideWhenUsed/>
    <w:rsid w:val="00A42C5A"/>
    <w:rPr>
      <w:color w:val="2B579A"/>
      <w:shd w:val="clear" w:color="auto" w:fill="E6E6E6"/>
    </w:rPr>
  </w:style>
  <w:style w:type="character" w:customStyle="1" w:styleId="Mention4">
    <w:name w:val="Mention4"/>
    <w:basedOn w:val="DefaultParagraphFont"/>
    <w:uiPriority w:val="99"/>
    <w:unhideWhenUsed/>
    <w:rsid w:val="00622240"/>
    <w:rPr>
      <w:color w:val="2B579A"/>
      <w:shd w:val="clear" w:color="auto" w:fill="E1DFDD"/>
    </w:rPr>
  </w:style>
  <w:style w:type="character" w:customStyle="1" w:styleId="Mention5">
    <w:name w:val="Mention5"/>
    <w:basedOn w:val="DefaultParagraphFont"/>
    <w:uiPriority w:val="99"/>
    <w:unhideWhenUsed/>
    <w:rsid w:val="00C93113"/>
    <w:rPr>
      <w:color w:val="2B579A"/>
      <w:shd w:val="clear" w:color="auto" w:fill="E1DFDD"/>
    </w:rPr>
  </w:style>
  <w:style w:type="paragraph" w:customStyle="1" w:styleId="normaltext">
    <w:name w:val="normal text"/>
    <w:basedOn w:val="Normal"/>
    <w:link w:val="normaltextChar"/>
    <w:qFormat/>
    <w:rsid w:val="00081946"/>
    <w:pPr>
      <w:spacing w:after="200" w:line="276" w:lineRule="auto"/>
    </w:pPr>
    <w:rPr>
      <w:color w:val="9E9E9E" w:themeColor="text1" w:themeTint="80"/>
      <w:sz w:val="20"/>
    </w:rPr>
  </w:style>
  <w:style w:type="character" w:customStyle="1" w:styleId="normaltextChar">
    <w:name w:val="normal text Char"/>
    <w:basedOn w:val="DefaultParagraphFont"/>
    <w:link w:val="normaltext"/>
    <w:rsid w:val="00081946"/>
    <w:rPr>
      <w:rFonts w:ascii="Arial" w:hAnsi="Arial"/>
      <w:color w:val="9E9E9E" w:themeColor="text1" w:themeTint="80"/>
      <w:sz w:val="20"/>
    </w:rPr>
  </w:style>
  <w:style w:type="character" w:customStyle="1" w:styleId="Mention6">
    <w:name w:val="Mention6"/>
    <w:basedOn w:val="DefaultParagraphFont"/>
    <w:uiPriority w:val="99"/>
    <w:unhideWhenUsed/>
    <w:rsid w:val="00CF2423"/>
    <w:rPr>
      <w:color w:val="2B579A"/>
      <w:shd w:val="clear" w:color="auto" w:fill="E1DFDD"/>
    </w:rPr>
  </w:style>
  <w:style w:type="character" w:customStyle="1" w:styleId="Mention7">
    <w:name w:val="Mention7"/>
    <w:basedOn w:val="DefaultParagraphFont"/>
    <w:uiPriority w:val="99"/>
    <w:unhideWhenUsed/>
    <w:rsid w:val="0090728D"/>
    <w:rPr>
      <w:color w:val="2B579A"/>
      <w:shd w:val="clear" w:color="auto" w:fill="E1DFDD"/>
    </w:rPr>
  </w:style>
  <w:style w:type="character" w:customStyle="1" w:styleId="ui-provider">
    <w:name w:val="ui-provider"/>
    <w:basedOn w:val="DefaultParagraphFont"/>
    <w:rsid w:val="00916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212910">
      <w:bodyDiv w:val="1"/>
      <w:marLeft w:val="0"/>
      <w:marRight w:val="0"/>
      <w:marTop w:val="0"/>
      <w:marBottom w:val="0"/>
      <w:divBdr>
        <w:top w:val="none" w:sz="0" w:space="0" w:color="auto"/>
        <w:left w:val="none" w:sz="0" w:space="0" w:color="auto"/>
        <w:bottom w:val="none" w:sz="0" w:space="0" w:color="auto"/>
        <w:right w:val="none" w:sz="0" w:space="0" w:color="auto"/>
      </w:divBdr>
    </w:div>
    <w:div w:id="429279806">
      <w:bodyDiv w:val="1"/>
      <w:marLeft w:val="0"/>
      <w:marRight w:val="0"/>
      <w:marTop w:val="0"/>
      <w:marBottom w:val="0"/>
      <w:divBdr>
        <w:top w:val="none" w:sz="0" w:space="0" w:color="auto"/>
        <w:left w:val="none" w:sz="0" w:space="0" w:color="auto"/>
        <w:bottom w:val="none" w:sz="0" w:space="0" w:color="auto"/>
        <w:right w:val="none" w:sz="0" w:space="0" w:color="auto"/>
      </w:divBdr>
    </w:div>
    <w:div w:id="488522466">
      <w:bodyDiv w:val="1"/>
      <w:marLeft w:val="0"/>
      <w:marRight w:val="0"/>
      <w:marTop w:val="0"/>
      <w:marBottom w:val="0"/>
      <w:divBdr>
        <w:top w:val="none" w:sz="0" w:space="0" w:color="auto"/>
        <w:left w:val="none" w:sz="0" w:space="0" w:color="auto"/>
        <w:bottom w:val="none" w:sz="0" w:space="0" w:color="auto"/>
        <w:right w:val="none" w:sz="0" w:space="0" w:color="auto"/>
      </w:divBdr>
    </w:div>
    <w:div w:id="523439197">
      <w:bodyDiv w:val="1"/>
      <w:marLeft w:val="0"/>
      <w:marRight w:val="0"/>
      <w:marTop w:val="0"/>
      <w:marBottom w:val="0"/>
      <w:divBdr>
        <w:top w:val="none" w:sz="0" w:space="0" w:color="auto"/>
        <w:left w:val="none" w:sz="0" w:space="0" w:color="auto"/>
        <w:bottom w:val="none" w:sz="0" w:space="0" w:color="auto"/>
        <w:right w:val="none" w:sz="0" w:space="0" w:color="auto"/>
      </w:divBdr>
    </w:div>
    <w:div w:id="611860591">
      <w:bodyDiv w:val="1"/>
      <w:marLeft w:val="0"/>
      <w:marRight w:val="0"/>
      <w:marTop w:val="0"/>
      <w:marBottom w:val="0"/>
      <w:divBdr>
        <w:top w:val="none" w:sz="0" w:space="0" w:color="auto"/>
        <w:left w:val="none" w:sz="0" w:space="0" w:color="auto"/>
        <w:bottom w:val="none" w:sz="0" w:space="0" w:color="auto"/>
        <w:right w:val="none" w:sz="0" w:space="0" w:color="auto"/>
      </w:divBdr>
    </w:div>
    <w:div w:id="826633074">
      <w:bodyDiv w:val="1"/>
      <w:marLeft w:val="0"/>
      <w:marRight w:val="0"/>
      <w:marTop w:val="0"/>
      <w:marBottom w:val="0"/>
      <w:divBdr>
        <w:top w:val="none" w:sz="0" w:space="0" w:color="auto"/>
        <w:left w:val="none" w:sz="0" w:space="0" w:color="auto"/>
        <w:bottom w:val="none" w:sz="0" w:space="0" w:color="auto"/>
        <w:right w:val="none" w:sz="0" w:space="0" w:color="auto"/>
      </w:divBdr>
    </w:div>
    <w:div w:id="878510595">
      <w:bodyDiv w:val="1"/>
      <w:marLeft w:val="0"/>
      <w:marRight w:val="0"/>
      <w:marTop w:val="0"/>
      <w:marBottom w:val="0"/>
      <w:divBdr>
        <w:top w:val="none" w:sz="0" w:space="0" w:color="auto"/>
        <w:left w:val="none" w:sz="0" w:space="0" w:color="auto"/>
        <w:bottom w:val="none" w:sz="0" w:space="0" w:color="auto"/>
        <w:right w:val="none" w:sz="0" w:space="0" w:color="auto"/>
      </w:divBdr>
    </w:div>
    <w:div w:id="1001129527">
      <w:bodyDiv w:val="1"/>
      <w:marLeft w:val="0"/>
      <w:marRight w:val="0"/>
      <w:marTop w:val="0"/>
      <w:marBottom w:val="0"/>
      <w:divBdr>
        <w:top w:val="none" w:sz="0" w:space="0" w:color="auto"/>
        <w:left w:val="none" w:sz="0" w:space="0" w:color="auto"/>
        <w:bottom w:val="none" w:sz="0" w:space="0" w:color="auto"/>
        <w:right w:val="none" w:sz="0" w:space="0" w:color="auto"/>
      </w:divBdr>
    </w:div>
    <w:div w:id="1112629615">
      <w:bodyDiv w:val="1"/>
      <w:marLeft w:val="0"/>
      <w:marRight w:val="0"/>
      <w:marTop w:val="0"/>
      <w:marBottom w:val="0"/>
      <w:divBdr>
        <w:top w:val="none" w:sz="0" w:space="0" w:color="auto"/>
        <w:left w:val="none" w:sz="0" w:space="0" w:color="auto"/>
        <w:bottom w:val="none" w:sz="0" w:space="0" w:color="auto"/>
        <w:right w:val="none" w:sz="0" w:space="0" w:color="auto"/>
      </w:divBdr>
    </w:div>
    <w:div w:id="1167400660">
      <w:bodyDiv w:val="1"/>
      <w:marLeft w:val="0"/>
      <w:marRight w:val="0"/>
      <w:marTop w:val="0"/>
      <w:marBottom w:val="0"/>
      <w:divBdr>
        <w:top w:val="none" w:sz="0" w:space="0" w:color="auto"/>
        <w:left w:val="none" w:sz="0" w:space="0" w:color="auto"/>
        <w:bottom w:val="none" w:sz="0" w:space="0" w:color="auto"/>
        <w:right w:val="none" w:sz="0" w:space="0" w:color="auto"/>
      </w:divBdr>
    </w:div>
    <w:div w:id="1451051905">
      <w:bodyDiv w:val="1"/>
      <w:marLeft w:val="0"/>
      <w:marRight w:val="0"/>
      <w:marTop w:val="0"/>
      <w:marBottom w:val="0"/>
      <w:divBdr>
        <w:top w:val="none" w:sz="0" w:space="0" w:color="auto"/>
        <w:left w:val="none" w:sz="0" w:space="0" w:color="auto"/>
        <w:bottom w:val="none" w:sz="0" w:space="0" w:color="auto"/>
        <w:right w:val="none" w:sz="0" w:space="0" w:color="auto"/>
      </w:divBdr>
    </w:div>
    <w:div w:id="1583025456">
      <w:bodyDiv w:val="1"/>
      <w:marLeft w:val="0"/>
      <w:marRight w:val="0"/>
      <w:marTop w:val="0"/>
      <w:marBottom w:val="0"/>
      <w:divBdr>
        <w:top w:val="none" w:sz="0" w:space="0" w:color="auto"/>
        <w:left w:val="none" w:sz="0" w:space="0" w:color="auto"/>
        <w:bottom w:val="none" w:sz="0" w:space="0" w:color="auto"/>
        <w:right w:val="none" w:sz="0" w:space="0" w:color="auto"/>
      </w:divBdr>
    </w:div>
    <w:div w:id="198824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Report presentation">
      <a:dk1>
        <a:srgbClr val="3F3F3F"/>
      </a:dk1>
      <a:lt1>
        <a:srgbClr val="FFFFFF"/>
      </a:lt1>
      <a:dk2>
        <a:srgbClr val="172C54"/>
      </a:dk2>
      <a:lt2>
        <a:srgbClr val="97857B"/>
      </a:lt2>
      <a:accent1>
        <a:srgbClr val="172C54"/>
      </a:accent1>
      <a:accent2>
        <a:srgbClr val="00A88E"/>
      </a:accent2>
      <a:accent3>
        <a:srgbClr val="DB424F"/>
      </a:accent3>
      <a:accent4>
        <a:srgbClr val="ABD693"/>
      </a:accent4>
      <a:accent5>
        <a:srgbClr val="5DA9DD"/>
      </a:accent5>
      <a:accent6>
        <a:srgbClr val="E2792B"/>
      </a:accent6>
      <a:hlink>
        <a:srgbClr val="880027"/>
      </a:hlink>
      <a:folHlink>
        <a:srgbClr val="FFC832"/>
      </a:folHlink>
    </a:clrScheme>
    <a:fontScheme name="AGSA intern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49524D098E14FA6EB8D1196D58558" ma:contentTypeVersion="6" ma:contentTypeDescription="Create a new document." ma:contentTypeScope="" ma:versionID="c30ef120bac402839e9d659d92ad4370">
  <xsd:schema xmlns:xsd="http://www.w3.org/2001/XMLSchema" xmlns:xs="http://www.w3.org/2001/XMLSchema" xmlns:p="http://schemas.microsoft.com/office/2006/metadata/properties" xmlns:ns1="http://schemas.microsoft.com/sharepoint/v3" xmlns:ns2="db9a61e7-e58b-4a0f-a1f0-f0fe15068406" xmlns:ns3="a02d2d02-4cb9-496e-be02-a2ef08ff614e" targetNamespace="http://schemas.microsoft.com/office/2006/metadata/properties" ma:root="true" ma:fieldsID="5c19bf6bf9985affc3989f3b339fb1ec" ns1:_="" ns2:_="" ns3:_="">
    <xsd:import namespace="http://schemas.microsoft.com/sharepoint/v3"/>
    <xsd:import namespace="db9a61e7-e58b-4a0f-a1f0-f0fe15068406"/>
    <xsd:import namespace="a02d2d02-4cb9-496e-be02-a2ef08ff614e"/>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02d2d02-4cb9-496e-be02-a2ef08ff614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02d2d02-4cb9-496e-be02-a2ef08ff614e">
      <UserInfo>
        <DisplayName>Robin Mathew</DisplayName>
        <AccountId>3439</AccountId>
        <AccountType/>
      </UserInfo>
      <UserInfo>
        <DisplayName>Carrie Mc Entee</DisplayName>
        <AccountId>6955</AccountId>
        <AccountType/>
      </UserInfo>
      <UserInfo>
        <DisplayName>Collin Diale</DisplayName>
        <AccountId>5067</AccountId>
        <AccountType/>
      </UserInfo>
      <UserInfo>
        <DisplayName>Sabata Moiloa</DisplayName>
        <AccountId>6322</AccountId>
        <AccountType/>
      </UserInfo>
    </SharedWithUsers>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7B7F0-A616-4310-823E-05B2F0107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9a61e7-e58b-4a0f-a1f0-f0fe15068406"/>
    <ds:schemaRef ds:uri="a02d2d02-4cb9-496e-be02-a2ef08ff6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D2DE43-A551-47B5-AD1A-124D9DFC9F2A}">
  <ds:schemaRefs>
    <ds:schemaRef ds:uri="http://schemas.microsoft.com/office/2006/metadata/properties"/>
    <ds:schemaRef ds:uri="http://schemas.microsoft.com/office/infopath/2007/PartnerControls"/>
    <ds:schemaRef ds:uri="a02d2d02-4cb9-496e-be02-a2ef08ff614e"/>
    <ds:schemaRef ds:uri="http://schemas.microsoft.com/sharepoint/v3"/>
  </ds:schemaRefs>
</ds:datastoreItem>
</file>

<file path=customXml/itemProps3.xml><?xml version="1.0" encoding="utf-8"?>
<ds:datastoreItem xmlns:ds="http://schemas.openxmlformats.org/officeDocument/2006/customXml" ds:itemID="{870941B3-8C96-4548-956D-DA2CB3A72D1A}">
  <ds:schemaRefs>
    <ds:schemaRef ds:uri="http://schemas.microsoft.com/sharepoint/v3/contenttype/forms"/>
  </ds:schemaRefs>
</ds:datastoreItem>
</file>

<file path=customXml/itemProps4.xml><?xml version="1.0" encoding="utf-8"?>
<ds:datastoreItem xmlns:ds="http://schemas.openxmlformats.org/officeDocument/2006/customXml" ds:itemID="{E387C0CE-5E0C-4857-B723-CF70C3ABEB4E}">
  <ds:schemaRefs>
    <ds:schemaRef ds:uri="http://schemas.microsoft.com/sharepoint/events"/>
  </ds:schemaRefs>
</ds:datastoreItem>
</file>

<file path=customXml/itemProps5.xml><?xml version="1.0" encoding="utf-8"?>
<ds:datastoreItem xmlns:ds="http://schemas.openxmlformats.org/officeDocument/2006/customXml" ds:itemID="{E3AA90C8-61A3-400D-86C0-1C898901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19</Pages>
  <Words>7019</Words>
  <Characters>40014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46940</CharactersWithSpaces>
  <SharedDoc>false</SharedDoc>
  <HLinks>
    <vt:vector size="18" baseType="variant">
      <vt:variant>
        <vt:i4>5636132</vt:i4>
      </vt:variant>
      <vt:variant>
        <vt:i4>6</vt:i4>
      </vt:variant>
      <vt:variant>
        <vt:i4>0</vt:i4>
      </vt:variant>
      <vt:variant>
        <vt:i4>5</vt:i4>
      </vt:variant>
      <vt:variant>
        <vt:lpwstr>mailto:ThabangMOLA@agsa.co.za</vt:lpwstr>
      </vt:variant>
      <vt:variant>
        <vt:lpwstr/>
      </vt:variant>
      <vt:variant>
        <vt:i4>3997761</vt:i4>
      </vt:variant>
      <vt:variant>
        <vt:i4>3</vt:i4>
      </vt:variant>
      <vt:variant>
        <vt:i4>0</vt:i4>
      </vt:variant>
      <vt:variant>
        <vt:i4>5</vt:i4>
      </vt:variant>
      <vt:variant>
        <vt:lpwstr>mailto:Tinil@agsa.co.za</vt:lpwstr>
      </vt:variant>
      <vt:variant>
        <vt:lpwstr/>
      </vt:variant>
      <vt:variant>
        <vt:i4>3997761</vt:i4>
      </vt:variant>
      <vt:variant>
        <vt:i4>0</vt:i4>
      </vt:variant>
      <vt:variant>
        <vt:i4>0</vt:i4>
      </vt:variant>
      <vt:variant>
        <vt:i4>5</vt:i4>
      </vt:variant>
      <vt:variant>
        <vt:lpwstr>mailto:Tinil@agsa.co.za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dc:creator>
  <cp:keywords/>
  <cp:lastModifiedBy>Peggy Malahlela</cp:lastModifiedBy>
  <cp:revision>250</cp:revision>
  <cp:lastPrinted>2023-03-22T17:56:00Z</cp:lastPrinted>
  <dcterms:created xsi:type="dcterms:W3CDTF">2023-08-19T10:21:00Z</dcterms:created>
  <dcterms:modified xsi:type="dcterms:W3CDTF">2023-08-24T06:16:00Z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0x010100ACC49524D098E14FA6EB8D1196D58558</vt:lpwstr>
  </property>
  <property fmtid="{D5CDD505-2E9C-101B-9397-08002B2CF9AE}" pid="3" name="_dlc_DocIdItemGuid">
    <vt:lpwstr>44c9d19f-0f9c-4a07-bb28-da6aadf15248</vt:lpwstr>
  </property>
  <property fmtid="{D5CDD505-2E9C-101B-9397-08002B2CF9AE}" pid="4" name="GrammarlyDocumentId">
    <vt:lpwstr>8b11391968357e3c0bd9792467dfb61fe3a1ec067ecaa1c16726a97a6b5ec321</vt:lpwstr>
  </property>
  <property fmtid="{D5CDD505-2E9C-101B-9397-08002B2CF9AE}" pid="5" name="NativeLinkConverted2">
    <vt:bool>true</vt:bool>
  </property>
</Properties>
</file>