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538" w:rsidRDefault="007C6538" w:rsidP="007C6538">
      <w:pPr>
        <w:spacing w:after="200" w:line="276" w:lineRule="auto"/>
        <w:rPr>
          <w:rFonts w:eastAsia="MS Mincho" w:cs="Arial"/>
          <w:b/>
          <w:szCs w:val="22"/>
        </w:rPr>
      </w:pPr>
    </w:p>
    <w:p w:rsidR="007C6538" w:rsidRPr="006B3E96" w:rsidRDefault="0018669B" w:rsidP="007C6538">
      <w:pPr>
        <w:pBdr>
          <w:top w:val="single" w:sz="4" w:space="1" w:color="auto"/>
          <w:left w:val="single" w:sz="4" w:space="4" w:color="auto"/>
          <w:bottom w:val="single" w:sz="4" w:space="1" w:color="auto"/>
          <w:right w:val="single" w:sz="4" w:space="4" w:color="auto"/>
        </w:pBdr>
        <w:shd w:val="clear" w:color="auto" w:fill="D9D9D9"/>
        <w:spacing w:after="120"/>
        <w:rPr>
          <w:rFonts w:eastAsia="MS Mincho" w:cs="Arial"/>
          <w:b/>
          <w:szCs w:val="22"/>
        </w:rPr>
      </w:pPr>
      <w:r>
        <w:rPr>
          <w:rFonts w:eastAsia="MS Mincho" w:cs="Arial"/>
          <w:b/>
          <w:szCs w:val="22"/>
        </w:rPr>
        <w:t>ANNEXURE A</w:t>
      </w:r>
      <w:r w:rsidR="007C6538" w:rsidRPr="006B3E96">
        <w:rPr>
          <w:rFonts w:eastAsia="MS Mincho" w:cs="Arial"/>
          <w:b/>
          <w:szCs w:val="22"/>
        </w:rPr>
        <w:t>: FINANCIAL HEALTH RATIOS AND TRENDS</w:t>
      </w:r>
    </w:p>
    <w:p w:rsidR="007C6538" w:rsidRPr="006B3E96" w:rsidRDefault="007C6538" w:rsidP="007C6538">
      <w:pPr>
        <w:rPr>
          <w:rFonts w:eastAsia="MS Mincho" w:cs="Arial"/>
          <w:szCs w:val="22"/>
        </w:rPr>
      </w:pPr>
      <w:r w:rsidRPr="006B3E96">
        <w:rPr>
          <w:rFonts w:cs="Arial"/>
          <w:szCs w:val="22"/>
        </w:rPr>
        <w:t xml:space="preserve">The ratios and trends on which the financial health analysis and discussion in </w:t>
      </w:r>
      <w:r w:rsidRPr="006B3E96">
        <w:rPr>
          <w:rFonts w:eastAsia="MS Mincho" w:cs="Arial"/>
          <w:i/>
          <w:szCs w:val="22"/>
        </w:rPr>
        <w:t>PART D – FINANCIAL HEALTH</w:t>
      </w:r>
      <w:r w:rsidRPr="006B3E96">
        <w:rPr>
          <w:rFonts w:eastAsia="MS Mincho" w:cs="Arial"/>
          <w:szCs w:val="22"/>
        </w:rPr>
        <w:t xml:space="preserve"> under </w:t>
      </w:r>
      <w:r w:rsidRPr="006B3E96">
        <w:rPr>
          <w:rFonts w:eastAsia="MS Mincho" w:cs="Arial"/>
          <w:i/>
          <w:szCs w:val="22"/>
        </w:rPr>
        <w:t>SECTION 3: SPECIFIC FOCUS AREAS</w:t>
      </w:r>
      <w:r w:rsidRPr="006B3E96">
        <w:rPr>
          <w:rFonts w:eastAsia="MS Mincho" w:cs="Arial"/>
          <w:szCs w:val="22"/>
        </w:rPr>
        <w:t xml:space="preserve"> </w:t>
      </w:r>
      <w:r w:rsidRPr="006B3E96">
        <w:rPr>
          <w:rFonts w:cs="Arial"/>
          <w:szCs w:val="22"/>
        </w:rPr>
        <w:t xml:space="preserve">is based are </w:t>
      </w:r>
      <w:r w:rsidRPr="006B3E96">
        <w:rPr>
          <w:rFonts w:eastAsia="MS Mincho" w:cs="Arial"/>
          <w:szCs w:val="22"/>
        </w:rPr>
        <w:t>set out below.</w:t>
      </w:r>
    </w:p>
    <w:p w:rsidR="007C6538" w:rsidRPr="006B3E96" w:rsidRDefault="007C6538" w:rsidP="007C6538">
      <w:pPr>
        <w:rPr>
          <w:rFonts w:eastAsia="MS Mincho"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3"/>
        <w:gridCol w:w="12533"/>
      </w:tblGrid>
      <w:tr w:rsidR="007C6538" w:rsidRPr="006B3E96" w:rsidTr="00A14E95">
        <w:trPr>
          <w:trHeight w:val="360"/>
        </w:trPr>
        <w:tc>
          <w:tcPr>
            <w:tcW w:w="244" w:type="pct"/>
            <w:tcBorders>
              <w:bottom w:val="single" w:sz="4" w:space="0" w:color="auto"/>
            </w:tcBorders>
            <w:shd w:val="clear" w:color="auto" w:fill="F2DBDB"/>
          </w:tcPr>
          <w:p w:rsidR="007C6538" w:rsidRPr="000F0D39" w:rsidRDefault="007C6538" w:rsidP="00A14E95">
            <w:pPr>
              <w:spacing w:before="60"/>
              <w:ind w:left="851" w:hanging="851"/>
              <w:jc w:val="both"/>
              <w:rPr>
                <w:rFonts w:cs="Arial"/>
                <w:b/>
                <w:bCs/>
                <w:color w:val="000000"/>
                <w:sz w:val="16"/>
                <w:szCs w:val="16"/>
                <w:lang w:eastAsia="en-ZA"/>
              </w:rPr>
            </w:pPr>
          </w:p>
        </w:tc>
        <w:tc>
          <w:tcPr>
            <w:tcW w:w="4756" w:type="pct"/>
            <w:shd w:val="clear" w:color="auto" w:fill="auto"/>
          </w:tcPr>
          <w:p w:rsidR="007C6538" w:rsidRPr="000F0D39" w:rsidRDefault="007C6538" w:rsidP="00A14E95">
            <w:pPr>
              <w:spacing w:before="60"/>
              <w:ind w:left="851" w:hanging="851"/>
              <w:jc w:val="both"/>
              <w:rPr>
                <w:rFonts w:cs="Arial"/>
                <w:b/>
                <w:bCs/>
                <w:color w:val="000000"/>
                <w:sz w:val="16"/>
                <w:szCs w:val="16"/>
                <w:lang w:eastAsia="en-ZA"/>
              </w:rPr>
            </w:pPr>
            <w:r w:rsidRPr="000F0D39">
              <w:rPr>
                <w:rFonts w:cs="Arial"/>
                <w:b/>
                <w:bCs/>
                <w:color w:val="000000"/>
                <w:sz w:val="16"/>
                <w:szCs w:val="16"/>
                <w:lang w:eastAsia="en-ZA"/>
              </w:rPr>
              <w:t xml:space="preserve">Indicates information obtained from the "Financial sustainability" sheet in the Excel version of the 2011-12 </w:t>
            </w:r>
            <w:r>
              <w:rPr>
                <w:rFonts w:cs="Arial"/>
                <w:b/>
                <w:bCs/>
                <w:color w:val="000000"/>
                <w:sz w:val="16"/>
                <w:szCs w:val="16"/>
                <w:lang w:eastAsia="en-ZA"/>
              </w:rPr>
              <w:t xml:space="preserve">trading </w:t>
            </w:r>
            <w:r w:rsidR="001C6369">
              <w:rPr>
                <w:rFonts w:cs="Arial"/>
                <w:b/>
                <w:bCs/>
                <w:color w:val="000000"/>
                <w:sz w:val="16"/>
                <w:szCs w:val="16"/>
                <w:lang w:eastAsia="en-ZA"/>
              </w:rPr>
              <w:t>entity</w:t>
            </w:r>
            <w:r w:rsidRPr="000F0D39">
              <w:rPr>
                <w:rFonts w:cs="Arial"/>
                <w:b/>
                <w:bCs/>
                <w:color w:val="000000"/>
                <w:sz w:val="16"/>
                <w:szCs w:val="16"/>
                <w:lang w:eastAsia="en-ZA"/>
              </w:rPr>
              <w:t xml:space="preserve"> financial statements specimen.</w:t>
            </w:r>
          </w:p>
        </w:tc>
      </w:tr>
      <w:tr w:rsidR="007C6538" w:rsidRPr="006B3E96" w:rsidTr="00A14E95">
        <w:trPr>
          <w:trHeight w:val="153"/>
        </w:trPr>
        <w:tc>
          <w:tcPr>
            <w:tcW w:w="244" w:type="pct"/>
            <w:tcBorders>
              <w:bottom w:val="single" w:sz="4" w:space="0" w:color="auto"/>
            </w:tcBorders>
            <w:shd w:val="clear" w:color="auto" w:fill="C6D9F1"/>
          </w:tcPr>
          <w:p w:rsidR="007C6538" w:rsidRPr="000F0D39" w:rsidRDefault="007C6538" w:rsidP="00A14E95">
            <w:pPr>
              <w:spacing w:before="60"/>
              <w:ind w:left="851" w:hanging="851"/>
              <w:jc w:val="both"/>
              <w:rPr>
                <w:rFonts w:cs="Arial"/>
                <w:b/>
                <w:bCs/>
                <w:color w:val="000000"/>
                <w:sz w:val="16"/>
                <w:szCs w:val="16"/>
                <w:lang w:eastAsia="en-ZA"/>
              </w:rPr>
            </w:pPr>
          </w:p>
        </w:tc>
        <w:tc>
          <w:tcPr>
            <w:tcW w:w="4756" w:type="pct"/>
            <w:tcBorders>
              <w:bottom w:val="single" w:sz="4" w:space="0" w:color="auto"/>
            </w:tcBorders>
            <w:shd w:val="clear" w:color="auto" w:fill="auto"/>
          </w:tcPr>
          <w:p w:rsidR="007C6538" w:rsidRPr="000F0D39" w:rsidRDefault="007C6538" w:rsidP="00A14E95">
            <w:pPr>
              <w:spacing w:before="60"/>
              <w:ind w:left="851" w:hanging="851"/>
              <w:jc w:val="both"/>
              <w:rPr>
                <w:rFonts w:cs="Arial"/>
                <w:b/>
                <w:bCs/>
                <w:color w:val="000000"/>
                <w:sz w:val="16"/>
                <w:szCs w:val="16"/>
                <w:lang w:eastAsia="en-ZA"/>
              </w:rPr>
            </w:pPr>
            <w:r w:rsidRPr="000F0D39">
              <w:rPr>
                <w:rFonts w:cs="Arial"/>
                <w:b/>
                <w:bCs/>
                <w:color w:val="000000"/>
                <w:sz w:val="16"/>
                <w:szCs w:val="16"/>
                <w:lang w:eastAsia="en-ZA"/>
              </w:rPr>
              <w:t>Indicates information on which the assessment of the financial health indicators is based.</w:t>
            </w:r>
          </w:p>
        </w:tc>
      </w:tr>
    </w:tbl>
    <w:p w:rsidR="007C6538" w:rsidRPr="006B3E96" w:rsidRDefault="007C6538" w:rsidP="007C6538">
      <w:pPr>
        <w:spacing w:after="120"/>
        <w:rPr>
          <w:rFonts w:eastAsia="MS Mincho" w:cs="Arial"/>
          <w:szCs w:val="22"/>
        </w:rPr>
      </w:pPr>
      <w:bookmarkStart w:id="0" w:name="_Toc322611611"/>
    </w:p>
    <w:bookmarkEnd w:id="0"/>
    <w:p w:rsidR="007C6538" w:rsidRPr="0005009A" w:rsidRDefault="007C6538" w:rsidP="007C6538">
      <w:pPr>
        <w:pBdr>
          <w:top w:val="single" w:sz="4" w:space="1" w:color="auto"/>
          <w:left w:val="single" w:sz="4" w:space="4" w:color="auto"/>
          <w:bottom w:val="single" w:sz="4" w:space="1" w:color="auto"/>
          <w:right w:val="single" w:sz="4" w:space="4" w:color="auto"/>
        </w:pBdr>
        <w:shd w:val="clear" w:color="auto" w:fill="8DB3E2"/>
        <w:ind w:left="567" w:hanging="567"/>
        <w:jc w:val="center"/>
        <w:rPr>
          <w:rFonts w:eastAsia="MS Mincho" w:cs="Arial"/>
          <w:b/>
        </w:rPr>
      </w:pPr>
      <w:r w:rsidRPr="0005009A">
        <w:rPr>
          <w:rFonts w:eastAsia="MS Mincho" w:cs="Arial"/>
          <w:b/>
        </w:rPr>
        <w:t>BUDGETS</w:t>
      </w:r>
    </w:p>
    <w:p w:rsidR="007C6538" w:rsidRPr="0005009A" w:rsidRDefault="007C6538" w:rsidP="007C6538">
      <w:pPr>
        <w:rPr>
          <w:rFonts w:cs="Arial"/>
          <w:sz w:val="16"/>
          <w:szCs w:val="16"/>
        </w:rPr>
      </w:pPr>
    </w:p>
    <w:tbl>
      <w:tblPr>
        <w:tblW w:w="5000" w:type="pct"/>
        <w:tblLook w:val="04A0"/>
      </w:tblPr>
      <w:tblGrid>
        <w:gridCol w:w="5364"/>
        <w:gridCol w:w="222"/>
        <w:gridCol w:w="938"/>
        <w:gridCol w:w="222"/>
        <w:gridCol w:w="1984"/>
        <w:gridCol w:w="240"/>
        <w:gridCol w:w="1984"/>
        <w:gridCol w:w="240"/>
        <w:gridCol w:w="1982"/>
      </w:tblGrid>
      <w:tr w:rsidR="007C6538" w:rsidRPr="0005009A" w:rsidTr="00D34054">
        <w:trPr>
          <w:trHeight w:val="194"/>
          <w:tblHeader/>
        </w:trPr>
        <w:tc>
          <w:tcPr>
            <w:tcW w:w="2036" w:type="pct"/>
            <w:shd w:val="clear" w:color="000000" w:fill="auto"/>
            <w:noWrap/>
            <w:vAlign w:val="bottom"/>
            <w:hideMark/>
          </w:tcPr>
          <w:p w:rsidR="007C6538" w:rsidRPr="0005009A" w:rsidRDefault="007C6538" w:rsidP="00A14E95">
            <w:pP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Indicator reference</w:t>
            </w:r>
          </w:p>
        </w:tc>
        <w:tc>
          <w:tcPr>
            <w:tcW w:w="84"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000000" w:fill="BFBFBF"/>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Financial statements amounts</w:t>
            </w:r>
          </w:p>
        </w:tc>
        <w:tc>
          <w:tcPr>
            <w:tcW w:w="91"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753" w:type="pct"/>
            <w:tcBorders>
              <w:top w:val="nil"/>
              <w:left w:val="nil"/>
              <w:bottom w:val="nil"/>
              <w:right w:val="nil"/>
            </w:tcBorders>
            <w:shd w:val="clear" w:color="000000" w:fill="BFBFBF"/>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Adjustments for material uncorrected misstatements</w:t>
            </w:r>
          </w:p>
        </w:tc>
        <w:tc>
          <w:tcPr>
            <w:tcW w:w="91"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752" w:type="pct"/>
            <w:tcBorders>
              <w:top w:val="nil"/>
              <w:left w:val="nil"/>
              <w:bottom w:val="nil"/>
              <w:right w:val="nil"/>
            </w:tcBorders>
            <w:shd w:val="clear" w:color="000000" w:fill="BFBFBF"/>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Financial statements amounts after adjustments for material uncorrected misstatements</w:t>
            </w:r>
          </w:p>
        </w:tc>
      </w:tr>
      <w:tr w:rsidR="007C6538" w:rsidRPr="0005009A" w:rsidTr="00D34054">
        <w:trPr>
          <w:trHeight w:val="225"/>
          <w:tblHeader/>
        </w:trPr>
        <w:tc>
          <w:tcPr>
            <w:tcW w:w="2036" w:type="pct"/>
            <w:tcBorders>
              <w:left w:val="nil"/>
              <w:bottom w:val="nil"/>
              <w:right w:val="nil"/>
            </w:tcBorders>
            <w:shd w:val="clear" w:color="auto" w:fill="auto"/>
            <w:noWrap/>
            <w:vAlign w:val="bottom"/>
            <w:hideMark/>
          </w:tcPr>
          <w:p w:rsidR="007C6538" w:rsidRPr="0005009A" w:rsidRDefault="007C6538" w:rsidP="00A14E95">
            <w:pP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91"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753"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91"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752"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r>
      <w:tr w:rsidR="007C6538" w:rsidRPr="0005009A" w:rsidTr="00D340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r>
      <w:tr w:rsidR="007C6538" w:rsidRPr="0005009A" w:rsidTr="00D340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r>
      <w:tr w:rsidR="007C6538" w:rsidRPr="0005009A" w:rsidTr="00D34054">
        <w:trPr>
          <w:trHeight w:val="225"/>
        </w:trPr>
        <w:tc>
          <w:tcPr>
            <w:tcW w:w="203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Approved operating / current expenditure budget</w:t>
            </w:r>
            <w:r w:rsidR="000C3EE0">
              <w:rPr>
                <w:rStyle w:val="FootnoteReference"/>
                <w:rFonts w:cs="Arial"/>
                <w:color w:val="000000"/>
                <w:sz w:val="16"/>
                <w:szCs w:val="16"/>
                <w:lang w:eastAsia="en-ZA"/>
              </w:rPr>
              <w:footnoteReference w:id="1"/>
            </w:r>
          </w:p>
        </w:tc>
        <w:tc>
          <w:tcPr>
            <w:tcW w:w="84"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538" w:rsidRPr="006B3E96" w:rsidRDefault="00F47188" w:rsidP="00F47188">
            <w:pPr>
              <w:jc w:val="right"/>
              <w:rPr>
                <w:rFonts w:cs="Arial"/>
                <w:color w:val="000000"/>
                <w:sz w:val="16"/>
                <w:szCs w:val="16"/>
                <w:lang w:eastAsia="en-ZA"/>
              </w:rPr>
            </w:pPr>
            <w:r>
              <w:rPr>
                <w:rFonts w:cs="Arial"/>
                <w:color w:val="000000"/>
                <w:sz w:val="16"/>
                <w:szCs w:val="16"/>
                <w:lang w:eastAsia="en-ZA"/>
              </w:rPr>
              <w:t>4 658 661</w:t>
            </w:r>
          </w:p>
        </w:tc>
        <w:tc>
          <w:tcPr>
            <w:tcW w:w="91" w:type="pct"/>
            <w:tcBorders>
              <w:top w:val="nil"/>
              <w:left w:val="nil"/>
              <w:bottom w:val="nil"/>
              <w:right w:val="nil"/>
            </w:tcBorders>
            <w:shd w:val="clear" w:color="auto" w:fill="auto"/>
            <w:noWrap/>
            <w:vAlign w:val="bottom"/>
            <w:hideMark/>
          </w:tcPr>
          <w:p w:rsidR="007C6538" w:rsidRPr="006B3E96" w:rsidRDefault="007C6538" w:rsidP="00F47188">
            <w:pPr>
              <w:jc w:val="right"/>
              <w:rPr>
                <w:rFonts w:cs="Arial"/>
                <w:color w:val="000000"/>
                <w:sz w:val="16"/>
                <w:szCs w:val="16"/>
                <w:lang w:eastAsia="en-ZA"/>
              </w:rPr>
            </w:pPr>
          </w:p>
        </w:tc>
        <w:tc>
          <w:tcPr>
            <w:tcW w:w="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538" w:rsidRPr="006B3E96" w:rsidRDefault="00F47188" w:rsidP="00F47188">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6B3E96" w:rsidRDefault="007C6538" w:rsidP="00F47188">
            <w:pPr>
              <w:jc w:val="right"/>
              <w:rPr>
                <w:rFonts w:cs="Arial"/>
                <w:color w:val="000000"/>
                <w:sz w:val="16"/>
                <w:szCs w:val="16"/>
                <w:lang w:eastAsia="en-ZA"/>
              </w:rPr>
            </w:pP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538" w:rsidRPr="006B3E96" w:rsidRDefault="007C6538" w:rsidP="00F47188">
            <w:pPr>
              <w:jc w:val="right"/>
              <w:rPr>
                <w:rFonts w:cs="Arial"/>
                <w:color w:val="000000"/>
                <w:sz w:val="16"/>
                <w:szCs w:val="16"/>
                <w:lang w:eastAsia="en-ZA"/>
              </w:rPr>
            </w:pPr>
            <w:r>
              <w:rPr>
                <w:rFonts w:cs="Arial"/>
                <w:color w:val="000000"/>
                <w:sz w:val="16"/>
                <w:szCs w:val="16"/>
                <w:lang w:eastAsia="en-ZA"/>
              </w:rPr>
              <w:t>4</w:t>
            </w:r>
            <w:r w:rsidR="00F47188">
              <w:rPr>
                <w:rFonts w:cs="Arial"/>
                <w:color w:val="000000"/>
                <w:sz w:val="16"/>
                <w:szCs w:val="16"/>
                <w:lang w:eastAsia="en-ZA"/>
              </w:rPr>
              <w:t xml:space="preserve"> 658 661</w:t>
            </w:r>
          </w:p>
        </w:tc>
      </w:tr>
      <w:tr w:rsidR="00F47188" w:rsidRPr="0005009A" w:rsidTr="00D34054">
        <w:trPr>
          <w:trHeight w:val="225"/>
        </w:trPr>
        <w:tc>
          <w:tcPr>
            <w:tcW w:w="2036" w:type="pct"/>
            <w:tcBorders>
              <w:top w:val="nil"/>
              <w:left w:val="nil"/>
              <w:bottom w:val="nil"/>
              <w:right w:val="nil"/>
            </w:tcBorders>
            <w:shd w:val="clear" w:color="auto" w:fill="auto"/>
            <w:vAlign w:val="bottom"/>
            <w:hideMark/>
          </w:tcPr>
          <w:p w:rsidR="00F47188" w:rsidRPr="0005009A" w:rsidRDefault="00F47188" w:rsidP="00A14E95">
            <w:pPr>
              <w:rPr>
                <w:rFonts w:cs="Arial"/>
                <w:color w:val="000000"/>
                <w:sz w:val="16"/>
                <w:szCs w:val="16"/>
                <w:lang w:eastAsia="en-ZA"/>
              </w:rPr>
            </w:pPr>
            <w:r>
              <w:rPr>
                <w:rFonts w:cs="Arial"/>
                <w:color w:val="000000"/>
                <w:sz w:val="16"/>
                <w:szCs w:val="16"/>
                <w:lang w:eastAsia="en-ZA"/>
              </w:rPr>
              <w:t>Operating / current expenditure</w:t>
            </w:r>
          </w:p>
        </w:tc>
        <w:tc>
          <w:tcPr>
            <w:tcW w:w="84" w:type="pct"/>
            <w:tcBorders>
              <w:top w:val="nil"/>
              <w:left w:val="nil"/>
              <w:bottom w:val="nil"/>
              <w:right w:val="nil"/>
            </w:tcBorders>
            <w:shd w:val="clear" w:color="auto" w:fill="auto"/>
            <w:vAlign w:val="bottom"/>
            <w:hideMark/>
          </w:tcPr>
          <w:p w:rsidR="00F47188" w:rsidRPr="0005009A" w:rsidRDefault="00F47188" w:rsidP="00A14E95">
            <w:pPr>
              <w:jc w:val="center"/>
              <w:rPr>
                <w:rFonts w:cs="Arial"/>
                <w:b/>
                <w:bCs/>
                <w:color w:val="000000"/>
                <w:sz w:val="16"/>
                <w:szCs w:val="16"/>
                <w:lang w:eastAsia="en-ZA"/>
              </w:rPr>
            </w:pPr>
          </w:p>
        </w:tc>
        <w:tc>
          <w:tcPr>
            <w:tcW w:w="356" w:type="pct"/>
            <w:tcBorders>
              <w:top w:val="nil"/>
              <w:left w:val="nil"/>
              <w:bottom w:val="nil"/>
              <w:right w:val="nil"/>
            </w:tcBorders>
            <w:shd w:val="clear" w:color="auto" w:fill="auto"/>
            <w:vAlign w:val="bottom"/>
            <w:hideMark/>
          </w:tcPr>
          <w:p w:rsidR="00F47188" w:rsidRDefault="00F47188"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F47188" w:rsidRPr="0005009A" w:rsidRDefault="00F47188" w:rsidP="00A14E95">
            <w:pPr>
              <w:jc w:val="center"/>
              <w:rPr>
                <w:rFonts w:cs="Arial"/>
                <w:b/>
                <w:bCs/>
                <w:color w:val="000000"/>
                <w:sz w:val="16"/>
                <w:szCs w:val="16"/>
                <w:lang w:eastAsia="en-ZA"/>
              </w:rPr>
            </w:pPr>
          </w:p>
        </w:tc>
        <w:tc>
          <w:tcPr>
            <w:tcW w:w="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7188" w:rsidRDefault="00F47188" w:rsidP="00F47188">
            <w:pPr>
              <w:jc w:val="right"/>
              <w:rPr>
                <w:rFonts w:cs="Arial"/>
                <w:color w:val="000000"/>
                <w:sz w:val="16"/>
                <w:szCs w:val="16"/>
                <w:lang w:eastAsia="en-ZA"/>
              </w:rPr>
            </w:pPr>
            <w:r>
              <w:rPr>
                <w:rFonts w:cs="Arial"/>
                <w:color w:val="000000"/>
                <w:sz w:val="16"/>
                <w:szCs w:val="16"/>
                <w:lang w:eastAsia="en-ZA"/>
              </w:rPr>
              <w:t>6 853 500</w:t>
            </w:r>
          </w:p>
        </w:tc>
        <w:tc>
          <w:tcPr>
            <w:tcW w:w="91" w:type="pct"/>
            <w:tcBorders>
              <w:top w:val="nil"/>
              <w:left w:val="nil"/>
              <w:bottom w:val="nil"/>
              <w:right w:val="nil"/>
            </w:tcBorders>
            <w:shd w:val="clear" w:color="auto" w:fill="auto"/>
            <w:noWrap/>
            <w:vAlign w:val="bottom"/>
            <w:hideMark/>
          </w:tcPr>
          <w:p w:rsidR="00F47188" w:rsidRPr="006B3E96" w:rsidRDefault="00F47188" w:rsidP="00F47188">
            <w:pPr>
              <w:jc w:val="right"/>
              <w:rPr>
                <w:rFonts w:cs="Arial"/>
                <w:color w:val="000000"/>
                <w:sz w:val="16"/>
                <w:szCs w:val="16"/>
                <w:lang w:eastAsia="en-ZA"/>
              </w:rPr>
            </w:pPr>
          </w:p>
        </w:tc>
        <w:tc>
          <w:tcPr>
            <w:tcW w:w="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7188" w:rsidRDefault="00F47188" w:rsidP="00F47188">
            <w:pPr>
              <w:jc w:val="right"/>
              <w:rPr>
                <w:rFonts w:cs="Arial"/>
                <w:color w:val="000000"/>
                <w:sz w:val="16"/>
                <w:szCs w:val="16"/>
                <w:lang w:eastAsia="en-ZA"/>
              </w:rPr>
            </w:pPr>
            <w:r>
              <w:rPr>
                <w:rFonts w:cs="Arial"/>
                <w:color w:val="000000"/>
                <w:sz w:val="16"/>
                <w:szCs w:val="16"/>
                <w:lang w:eastAsia="en-ZA"/>
              </w:rPr>
              <w:t>(16 415)</w:t>
            </w:r>
          </w:p>
        </w:tc>
        <w:tc>
          <w:tcPr>
            <w:tcW w:w="91" w:type="pct"/>
            <w:tcBorders>
              <w:top w:val="nil"/>
              <w:left w:val="nil"/>
              <w:bottom w:val="nil"/>
              <w:right w:val="nil"/>
            </w:tcBorders>
            <w:shd w:val="clear" w:color="auto" w:fill="auto"/>
            <w:noWrap/>
            <w:vAlign w:val="bottom"/>
            <w:hideMark/>
          </w:tcPr>
          <w:p w:rsidR="00F47188" w:rsidRPr="006B3E96" w:rsidRDefault="00F47188" w:rsidP="00F47188">
            <w:pPr>
              <w:jc w:val="right"/>
              <w:rPr>
                <w:rFonts w:cs="Arial"/>
                <w:color w:val="000000"/>
                <w:sz w:val="16"/>
                <w:szCs w:val="16"/>
                <w:lang w:eastAsia="en-ZA"/>
              </w:rPr>
            </w:pP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7188" w:rsidRDefault="00F47188" w:rsidP="00F47188">
            <w:pPr>
              <w:jc w:val="right"/>
              <w:rPr>
                <w:rFonts w:cs="Arial"/>
                <w:color w:val="000000"/>
                <w:sz w:val="16"/>
                <w:szCs w:val="16"/>
                <w:lang w:eastAsia="en-ZA"/>
              </w:rPr>
            </w:pPr>
            <w:r w:rsidRPr="00F47188">
              <w:rPr>
                <w:rFonts w:cs="Arial"/>
                <w:color w:val="000000"/>
                <w:sz w:val="16"/>
                <w:szCs w:val="16"/>
                <w:lang w:eastAsia="en-ZA"/>
              </w:rPr>
              <w:t>6 837 085</w:t>
            </w:r>
          </w:p>
        </w:tc>
      </w:tr>
      <w:tr w:rsidR="007C6538" w:rsidRPr="0005009A" w:rsidTr="00D34054">
        <w:trPr>
          <w:trHeight w:val="70"/>
        </w:trPr>
        <w:tc>
          <w:tcPr>
            <w:tcW w:w="203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Under/(over) spending of the approved operating / current expenditure budget</w:t>
            </w:r>
          </w:p>
        </w:tc>
        <w:tc>
          <w:tcPr>
            <w:tcW w:w="84"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single" w:sz="4" w:space="0" w:color="auto"/>
              <w:bottom w:val="single" w:sz="4" w:space="0" w:color="auto"/>
              <w:right w:val="single" w:sz="4" w:space="0" w:color="auto"/>
            </w:tcBorders>
            <w:shd w:val="clear" w:color="auto" w:fill="auto"/>
            <w:noWrap/>
            <w:vAlign w:val="bottom"/>
            <w:hideMark/>
          </w:tcPr>
          <w:p w:rsidR="007C6538" w:rsidRPr="006B3E96" w:rsidRDefault="000C3EE0" w:rsidP="00F47188">
            <w:pPr>
              <w:jc w:val="right"/>
              <w:rPr>
                <w:rFonts w:cs="Arial"/>
                <w:color w:val="000000"/>
                <w:sz w:val="16"/>
                <w:szCs w:val="16"/>
                <w:lang w:eastAsia="en-ZA"/>
              </w:rPr>
            </w:pPr>
            <w:r>
              <w:rPr>
                <w:rFonts w:cs="Arial"/>
                <w:color w:val="000000"/>
                <w:sz w:val="16"/>
                <w:szCs w:val="16"/>
                <w:lang w:eastAsia="en-ZA"/>
              </w:rPr>
              <w:t>47%</w:t>
            </w:r>
          </w:p>
        </w:tc>
        <w:tc>
          <w:tcPr>
            <w:tcW w:w="91" w:type="pct"/>
            <w:tcBorders>
              <w:top w:val="nil"/>
              <w:left w:val="nil"/>
              <w:bottom w:val="nil"/>
              <w:right w:val="nil"/>
            </w:tcBorders>
            <w:shd w:val="clear" w:color="auto" w:fill="auto"/>
            <w:noWrap/>
            <w:vAlign w:val="bottom"/>
            <w:hideMark/>
          </w:tcPr>
          <w:p w:rsidR="007C6538" w:rsidRPr="006B3E96" w:rsidRDefault="007C6538" w:rsidP="00F47188">
            <w:pPr>
              <w:jc w:val="right"/>
              <w:rPr>
                <w:rFonts w:cs="Arial"/>
                <w:color w:val="000000"/>
                <w:sz w:val="16"/>
                <w:szCs w:val="16"/>
                <w:lang w:eastAsia="en-ZA"/>
              </w:rPr>
            </w:pPr>
          </w:p>
        </w:tc>
        <w:tc>
          <w:tcPr>
            <w:tcW w:w="753" w:type="pct"/>
            <w:tcBorders>
              <w:top w:val="nil"/>
              <w:left w:val="single" w:sz="4" w:space="0" w:color="auto"/>
              <w:bottom w:val="single" w:sz="4" w:space="0" w:color="auto"/>
              <w:right w:val="single" w:sz="4" w:space="0" w:color="auto"/>
            </w:tcBorders>
            <w:shd w:val="clear" w:color="auto" w:fill="auto"/>
            <w:noWrap/>
            <w:vAlign w:val="bottom"/>
            <w:hideMark/>
          </w:tcPr>
          <w:p w:rsidR="007C6538" w:rsidRPr="006B3E96" w:rsidRDefault="000C3EE0" w:rsidP="00F47188">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6B3E96" w:rsidRDefault="007C6538" w:rsidP="00F47188">
            <w:pPr>
              <w:jc w:val="right"/>
              <w:rPr>
                <w:rFonts w:cs="Arial"/>
                <w:color w:val="000000"/>
                <w:sz w:val="16"/>
                <w:szCs w:val="16"/>
                <w:lang w:eastAsia="en-ZA"/>
              </w:rPr>
            </w:pPr>
          </w:p>
        </w:tc>
        <w:tc>
          <w:tcPr>
            <w:tcW w:w="752" w:type="pct"/>
            <w:tcBorders>
              <w:top w:val="nil"/>
              <w:left w:val="single" w:sz="4" w:space="0" w:color="auto"/>
              <w:bottom w:val="single" w:sz="4" w:space="0" w:color="auto"/>
              <w:right w:val="single" w:sz="4" w:space="0" w:color="auto"/>
            </w:tcBorders>
            <w:shd w:val="clear" w:color="auto" w:fill="auto"/>
            <w:noWrap/>
            <w:vAlign w:val="bottom"/>
            <w:hideMark/>
          </w:tcPr>
          <w:p w:rsidR="007C6538" w:rsidRPr="006B3E96" w:rsidRDefault="000C3EE0" w:rsidP="00F47188">
            <w:pPr>
              <w:jc w:val="right"/>
              <w:rPr>
                <w:rFonts w:cs="Arial"/>
                <w:color w:val="000000"/>
                <w:sz w:val="16"/>
                <w:szCs w:val="16"/>
                <w:lang w:eastAsia="en-ZA"/>
              </w:rPr>
            </w:pPr>
            <w:r>
              <w:rPr>
                <w:rFonts w:cs="Arial"/>
                <w:color w:val="000000"/>
                <w:sz w:val="16"/>
                <w:szCs w:val="16"/>
                <w:lang w:eastAsia="en-ZA"/>
              </w:rPr>
              <w:t>47%</w:t>
            </w:r>
          </w:p>
        </w:tc>
      </w:tr>
      <w:tr w:rsidR="007C6538" w:rsidRPr="0005009A" w:rsidTr="00D340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p>
        </w:tc>
      </w:tr>
      <w:tr w:rsidR="00D34054" w:rsidRPr="0005009A" w:rsidTr="00D34054">
        <w:trPr>
          <w:trHeight w:val="225"/>
        </w:trPr>
        <w:tc>
          <w:tcPr>
            <w:tcW w:w="2036" w:type="pct"/>
            <w:tcBorders>
              <w:top w:val="nil"/>
              <w:left w:val="nil"/>
              <w:bottom w:val="nil"/>
              <w:right w:val="nil"/>
            </w:tcBorders>
            <w:shd w:val="clear" w:color="auto" w:fill="auto"/>
            <w:vAlign w:val="bottom"/>
            <w:hideMark/>
          </w:tcPr>
          <w:p w:rsidR="00D34054" w:rsidRPr="0005009A" w:rsidRDefault="00D34054" w:rsidP="00A14E95">
            <w:pPr>
              <w:rPr>
                <w:rFonts w:cs="Arial"/>
                <w:color w:val="000000"/>
                <w:sz w:val="16"/>
                <w:szCs w:val="16"/>
                <w:lang w:eastAsia="en-ZA"/>
              </w:rPr>
            </w:pPr>
            <w:r w:rsidRPr="0005009A">
              <w:rPr>
                <w:rFonts w:cs="Arial"/>
                <w:color w:val="000000"/>
                <w:sz w:val="16"/>
                <w:szCs w:val="16"/>
                <w:lang w:eastAsia="en-ZA"/>
              </w:rPr>
              <w:t>Approved capital budget</w:t>
            </w:r>
            <w:r>
              <w:rPr>
                <w:rStyle w:val="FootnoteReference"/>
                <w:rFonts w:cs="Arial"/>
                <w:color w:val="000000"/>
                <w:sz w:val="16"/>
                <w:szCs w:val="16"/>
                <w:lang w:eastAsia="en-ZA"/>
              </w:rPr>
              <w:footnoteReference w:id="2"/>
            </w:r>
          </w:p>
        </w:tc>
        <w:tc>
          <w:tcPr>
            <w:tcW w:w="84" w:type="pct"/>
            <w:tcBorders>
              <w:top w:val="nil"/>
              <w:left w:val="nil"/>
              <w:bottom w:val="nil"/>
              <w:right w:val="nil"/>
            </w:tcBorders>
            <w:shd w:val="clear" w:color="auto" w:fill="auto"/>
            <w:vAlign w:val="bottom"/>
            <w:hideMark/>
          </w:tcPr>
          <w:p w:rsidR="00D34054" w:rsidRPr="0005009A" w:rsidRDefault="00D34054" w:rsidP="00A14E95">
            <w:pPr>
              <w:jc w:val="center"/>
              <w:rPr>
                <w:rFonts w:cs="Arial"/>
                <w:b/>
                <w:bCs/>
                <w:color w:val="000000"/>
                <w:sz w:val="16"/>
                <w:szCs w:val="16"/>
                <w:lang w:eastAsia="en-ZA"/>
              </w:rPr>
            </w:pPr>
          </w:p>
        </w:tc>
        <w:tc>
          <w:tcPr>
            <w:tcW w:w="356" w:type="pct"/>
            <w:tcBorders>
              <w:top w:val="nil"/>
              <w:left w:val="nil"/>
              <w:bottom w:val="nil"/>
              <w:right w:val="nil"/>
            </w:tcBorders>
            <w:shd w:val="clear" w:color="auto" w:fill="auto"/>
            <w:vAlign w:val="bottom"/>
            <w:hideMark/>
          </w:tcPr>
          <w:p w:rsidR="00D34054" w:rsidRPr="0005009A" w:rsidRDefault="00D34054"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D34054" w:rsidRPr="0005009A" w:rsidRDefault="00D34054" w:rsidP="00A14E95">
            <w:pPr>
              <w:jc w:val="center"/>
              <w:rPr>
                <w:rFonts w:cs="Arial"/>
                <w:b/>
                <w:bCs/>
                <w:color w:val="000000"/>
                <w:sz w:val="16"/>
                <w:szCs w:val="16"/>
                <w:lang w:eastAsia="en-ZA"/>
              </w:rPr>
            </w:pPr>
          </w:p>
        </w:tc>
        <w:tc>
          <w:tcPr>
            <w:tcW w:w="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054" w:rsidRPr="006B3E96" w:rsidRDefault="00D34054" w:rsidP="00D34054">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D34054" w:rsidRPr="006B3E96" w:rsidRDefault="00D34054" w:rsidP="00A14E95">
            <w:pPr>
              <w:jc w:val="center"/>
              <w:rPr>
                <w:rFonts w:cs="Arial"/>
                <w:color w:val="000000"/>
                <w:sz w:val="16"/>
                <w:szCs w:val="16"/>
                <w:lang w:eastAsia="en-ZA"/>
              </w:rPr>
            </w:pPr>
          </w:p>
        </w:tc>
        <w:tc>
          <w:tcPr>
            <w:tcW w:w="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054" w:rsidRPr="006B3E96" w:rsidRDefault="00D34054" w:rsidP="00A14E95">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D34054" w:rsidRPr="006B3E96" w:rsidRDefault="00D34054" w:rsidP="00A14E95">
            <w:pPr>
              <w:jc w:val="center"/>
              <w:rPr>
                <w:rFonts w:cs="Arial"/>
                <w:color w:val="000000"/>
                <w:sz w:val="16"/>
                <w:szCs w:val="16"/>
                <w:lang w:eastAsia="en-ZA"/>
              </w:rPr>
            </w:pP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054" w:rsidRPr="006B3E96" w:rsidRDefault="00D34054" w:rsidP="00A14E95">
            <w:pPr>
              <w:jc w:val="right"/>
              <w:rPr>
                <w:rFonts w:cs="Arial"/>
                <w:color w:val="000000"/>
                <w:sz w:val="16"/>
                <w:szCs w:val="16"/>
                <w:lang w:eastAsia="en-ZA"/>
              </w:rPr>
            </w:pPr>
            <w:r>
              <w:rPr>
                <w:rFonts w:cs="Arial"/>
                <w:color w:val="000000"/>
                <w:sz w:val="16"/>
                <w:szCs w:val="16"/>
                <w:lang w:eastAsia="en-ZA"/>
              </w:rPr>
              <w:t>-</w:t>
            </w:r>
          </w:p>
        </w:tc>
      </w:tr>
      <w:tr w:rsidR="00D34054" w:rsidRPr="0005009A" w:rsidTr="00D34054">
        <w:trPr>
          <w:trHeight w:val="225"/>
        </w:trPr>
        <w:tc>
          <w:tcPr>
            <w:tcW w:w="2036" w:type="pct"/>
            <w:tcBorders>
              <w:top w:val="nil"/>
              <w:left w:val="nil"/>
              <w:bottom w:val="nil"/>
              <w:right w:val="nil"/>
            </w:tcBorders>
            <w:shd w:val="clear" w:color="auto" w:fill="auto"/>
            <w:vAlign w:val="bottom"/>
            <w:hideMark/>
          </w:tcPr>
          <w:p w:rsidR="00D34054" w:rsidRPr="0005009A" w:rsidRDefault="00D34054" w:rsidP="00A14E95">
            <w:pPr>
              <w:rPr>
                <w:rFonts w:cs="Arial"/>
                <w:color w:val="000000"/>
                <w:sz w:val="16"/>
                <w:szCs w:val="16"/>
                <w:lang w:eastAsia="en-ZA"/>
              </w:rPr>
            </w:pPr>
            <w:r w:rsidRPr="0005009A">
              <w:rPr>
                <w:rFonts w:cs="Arial"/>
                <w:color w:val="000000"/>
                <w:sz w:val="16"/>
                <w:szCs w:val="16"/>
                <w:lang w:eastAsia="en-ZA"/>
              </w:rPr>
              <w:t>Under/(over) spending of the approved capital budget</w:t>
            </w:r>
          </w:p>
        </w:tc>
        <w:tc>
          <w:tcPr>
            <w:tcW w:w="84" w:type="pct"/>
            <w:tcBorders>
              <w:top w:val="nil"/>
              <w:left w:val="nil"/>
              <w:bottom w:val="nil"/>
              <w:right w:val="nil"/>
            </w:tcBorders>
            <w:shd w:val="clear" w:color="auto" w:fill="auto"/>
            <w:vAlign w:val="bottom"/>
            <w:hideMark/>
          </w:tcPr>
          <w:p w:rsidR="00D34054" w:rsidRPr="0005009A" w:rsidRDefault="00D34054" w:rsidP="00A14E95">
            <w:pPr>
              <w:jc w:val="center"/>
              <w:rPr>
                <w:rFonts w:cs="Arial"/>
                <w:b/>
                <w:bCs/>
                <w:color w:val="000000"/>
                <w:sz w:val="16"/>
                <w:szCs w:val="16"/>
                <w:lang w:eastAsia="en-ZA"/>
              </w:rPr>
            </w:pPr>
          </w:p>
        </w:tc>
        <w:tc>
          <w:tcPr>
            <w:tcW w:w="356" w:type="pct"/>
            <w:tcBorders>
              <w:top w:val="nil"/>
              <w:left w:val="nil"/>
              <w:bottom w:val="nil"/>
              <w:right w:val="nil"/>
            </w:tcBorders>
            <w:shd w:val="clear" w:color="auto" w:fill="auto"/>
            <w:vAlign w:val="bottom"/>
            <w:hideMark/>
          </w:tcPr>
          <w:p w:rsidR="00D34054" w:rsidRPr="0005009A" w:rsidRDefault="00D34054"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D34054" w:rsidRPr="0005009A" w:rsidRDefault="00D34054" w:rsidP="00A14E95">
            <w:pPr>
              <w:jc w:val="center"/>
              <w:rPr>
                <w:rFonts w:cs="Arial"/>
                <w:b/>
                <w:bCs/>
                <w:color w:val="000000"/>
                <w:sz w:val="16"/>
                <w:szCs w:val="16"/>
                <w:lang w:eastAsia="en-ZA"/>
              </w:rPr>
            </w:pPr>
          </w:p>
        </w:tc>
        <w:tc>
          <w:tcPr>
            <w:tcW w:w="753" w:type="pct"/>
            <w:tcBorders>
              <w:top w:val="nil"/>
              <w:left w:val="single" w:sz="4" w:space="0" w:color="auto"/>
              <w:bottom w:val="single" w:sz="4" w:space="0" w:color="auto"/>
              <w:right w:val="single" w:sz="4" w:space="0" w:color="auto"/>
            </w:tcBorders>
            <w:shd w:val="clear" w:color="auto" w:fill="auto"/>
            <w:noWrap/>
            <w:vAlign w:val="bottom"/>
            <w:hideMark/>
          </w:tcPr>
          <w:p w:rsidR="00D34054" w:rsidRPr="006B3E96" w:rsidRDefault="00D34054" w:rsidP="00A14E95">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D34054" w:rsidRPr="006B3E96" w:rsidRDefault="00D34054" w:rsidP="00A14E95">
            <w:pPr>
              <w:jc w:val="center"/>
              <w:rPr>
                <w:rFonts w:cs="Arial"/>
                <w:color w:val="000000"/>
                <w:sz w:val="16"/>
                <w:szCs w:val="16"/>
                <w:lang w:eastAsia="en-ZA"/>
              </w:rPr>
            </w:pPr>
          </w:p>
        </w:tc>
        <w:tc>
          <w:tcPr>
            <w:tcW w:w="753" w:type="pct"/>
            <w:tcBorders>
              <w:top w:val="nil"/>
              <w:left w:val="single" w:sz="4" w:space="0" w:color="auto"/>
              <w:bottom w:val="single" w:sz="4" w:space="0" w:color="auto"/>
              <w:right w:val="single" w:sz="4" w:space="0" w:color="auto"/>
            </w:tcBorders>
            <w:shd w:val="clear" w:color="auto" w:fill="auto"/>
            <w:noWrap/>
            <w:vAlign w:val="bottom"/>
            <w:hideMark/>
          </w:tcPr>
          <w:p w:rsidR="00D34054" w:rsidRPr="006B3E96" w:rsidRDefault="00D34054" w:rsidP="00A14E95">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D34054" w:rsidRPr="006B3E96" w:rsidRDefault="00D34054" w:rsidP="00A14E95">
            <w:pPr>
              <w:jc w:val="center"/>
              <w:rPr>
                <w:rFonts w:cs="Arial"/>
                <w:color w:val="000000"/>
                <w:sz w:val="16"/>
                <w:szCs w:val="16"/>
                <w:lang w:eastAsia="en-ZA"/>
              </w:rPr>
            </w:pPr>
          </w:p>
        </w:tc>
        <w:tc>
          <w:tcPr>
            <w:tcW w:w="752" w:type="pct"/>
            <w:tcBorders>
              <w:top w:val="nil"/>
              <w:left w:val="single" w:sz="4" w:space="0" w:color="auto"/>
              <w:bottom w:val="single" w:sz="4" w:space="0" w:color="auto"/>
              <w:right w:val="single" w:sz="4" w:space="0" w:color="auto"/>
            </w:tcBorders>
            <w:shd w:val="clear" w:color="auto" w:fill="auto"/>
            <w:noWrap/>
            <w:vAlign w:val="bottom"/>
            <w:hideMark/>
          </w:tcPr>
          <w:p w:rsidR="00D34054" w:rsidRPr="006B3E96" w:rsidRDefault="00D34054" w:rsidP="00A14E95">
            <w:pPr>
              <w:jc w:val="right"/>
              <w:rPr>
                <w:rFonts w:cs="Arial"/>
                <w:color w:val="000000"/>
                <w:sz w:val="16"/>
                <w:szCs w:val="16"/>
                <w:lang w:eastAsia="en-ZA"/>
              </w:rPr>
            </w:pPr>
            <w:r>
              <w:rPr>
                <w:rFonts w:cs="Arial"/>
                <w:color w:val="000000"/>
                <w:sz w:val="16"/>
                <w:szCs w:val="16"/>
                <w:lang w:eastAsia="en-ZA"/>
              </w:rPr>
              <w:t>-</w:t>
            </w:r>
          </w:p>
        </w:tc>
      </w:tr>
      <w:tr w:rsidR="00D34054" w:rsidRPr="0005009A" w:rsidTr="00D34054">
        <w:trPr>
          <w:trHeight w:val="225"/>
        </w:trPr>
        <w:tc>
          <w:tcPr>
            <w:tcW w:w="2036"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r>
      <w:tr w:rsidR="00D34054" w:rsidRPr="0005009A" w:rsidTr="00D34054">
        <w:trPr>
          <w:trHeight w:val="225"/>
        </w:trPr>
        <w:tc>
          <w:tcPr>
            <w:tcW w:w="2036"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D34054" w:rsidRPr="0005009A" w:rsidRDefault="00D34054" w:rsidP="00A14E95">
            <w:pPr>
              <w:jc w:val="center"/>
              <w:rPr>
                <w:rFonts w:cs="Arial"/>
                <w:b/>
                <w:bCs/>
                <w:sz w:val="16"/>
                <w:szCs w:val="16"/>
                <w:lang w:eastAsia="en-ZA"/>
              </w:rPr>
            </w:pPr>
          </w:p>
        </w:tc>
        <w:tc>
          <w:tcPr>
            <w:tcW w:w="91" w:type="pct"/>
            <w:tcBorders>
              <w:top w:val="nil"/>
              <w:left w:val="nil"/>
              <w:bottom w:val="nil"/>
              <w:right w:val="nil"/>
            </w:tcBorders>
            <w:shd w:val="clear" w:color="auto" w:fill="auto"/>
            <w:noWrap/>
            <w:vAlign w:val="bottom"/>
            <w:hideMark/>
          </w:tcPr>
          <w:p w:rsidR="00D34054" w:rsidRPr="0005009A" w:rsidRDefault="00D34054"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D34054" w:rsidRPr="0005009A" w:rsidRDefault="00D34054" w:rsidP="00A14E95">
            <w:pPr>
              <w:jc w:val="center"/>
              <w:rPr>
                <w:rFonts w:cs="Arial"/>
                <w:b/>
                <w:bCs/>
                <w:sz w:val="16"/>
                <w:szCs w:val="16"/>
                <w:lang w:eastAsia="en-ZA"/>
              </w:rPr>
            </w:pPr>
          </w:p>
        </w:tc>
        <w:tc>
          <w:tcPr>
            <w:tcW w:w="91" w:type="pct"/>
            <w:tcBorders>
              <w:top w:val="nil"/>
              <w:left w:val="nil"/>
              <w:bottom w:val="nil"/>
              <w:right w:val="nil"/>
            </w:tcBorders>
            <w:shd w:val="clear" w:color="auto" w:fill="auto"/>
            <w:noWrap/>
            <w:vAlign w:val="bottom"/>
            <w:hideMark/>
          </w:tcPr>
          <w:p w:rsidR="00D34054" w:rsidRPr="0005009A" w:rsidRDefault="00D34054" w:rsidP="00A14E95">
            <w:pPr>
              <w:jc w:val="center"/>
              <w:rPr>
                <w:rFonts w:cs="Arial"/>
                <w:b/>
                <w:bCs/>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D34054" w:rsidRPr="0005009A" w:rsidRDefault="00D34054" w:rsidP="00A14E95">
            <w:pPr>
              <w:jc w:val="center"/>
              <w:rPr>
                <w:rFonts w:cs="Arial"/>
                <w:b/>
                <w:bCs/>
                <w:sz w:val="16"/>
                <w:szCs w:val="16"/>
                <w:lang w:eastAsia="en-ZA"/>
              </w:rPr>
            </w:pPr>
            <w:r w:rsidRPr="0005009A">
              <w:rPr>
                <w:rFonts w:cs="Arial"/>
                <w:b/>
                <w:bCs/>
                <w:sz w:val="16"/>
                <w:szCs w:val="16"/>
                <w:lang w:eastAsia="en-ZA"/>
              </w:rPr>
              <w:t xml:space="preserve"> 2011/12 </w:t>
            </w:r>
          </w:p>
        </w:tc>
      </w:tr>
      <w:tr w:rsidR="00D34054" w:rsidRPr="0005009A" w:rsidTr="00D34054">
        <w:trPr>
          <w:trHeight w:val="225"/>
        </w:trPr>
        <w:tc>
          <w:tcPr>
            <w:tcW w:w="2036"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D34054" w:rsidRPr="0005009A" w:rsidRDefault="00D34054" w:rsidP="00A14E95">
            <w:pPr>
              <w:jc w:val="center"/>
              <w:rPr>
                <w:rFonts w:cs="Arial"/>
                <w:b/>
                <w:bCs/>
                <w:sz w:val="16"/>
                <w:szCs w:val="16"/>
                <w:lang w:eastAsia="en-ZA"/>
              </w:rPr>
            </w:pPr>
          </w:p>
        </w:tc>
        <w:tc>
          <w:tcPr>
            <w:tcW w:w="91" w:type="pct"/>
            <w:tcBorders>
              <w:top w:val="nil"/>
              <w:left w:val="nil"/>
              <w:bottom w:val="nil"/>
              <w:right w:val="nil"/>
            </w:tcBorders>
            <w:shd w:val="clear" w:color="auto" w:fill="auto"/>
            <w:noWrap/>
            <w:vAlign w:val="bottom"/>
            <w:hideMark/>
          </w:tcPr>
          <w:p w:rsidR="00D34054" w:rsidRPr="0005009A" w:rsidRDefault="00D34054"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D34054" w:rsidRPr="0005009A" w:rsidRDefault="00D34054" w:rsidP="00A14E95">
            <w:pPr>
              <w:jc w:val="center"/>
              <w:rPr>
                <w:rFonts w:cs="Arial"/>
                <w:b/>
                <w:bCs/>
                <w:sz w:val="16"/>
                <w:szCs w:val="16"/>
                <w:lang w:eastAsia="en-ZA"/>
              </w:rPr>
            </w:pPr>
          </w:p>
        </w:tc>
        <w:tc>
          <w:tcPr>
            <w:tcW w:w="91" w:type="pct"/>
            <w:tcBorders>
              <w:top w:val="nil"/>
              <w:left w:val="nil"/>
              <w:bottom w:val="nil"/>
              <w:right w:val="nil"/>
            </w:tcBorders>
            <w:shd w:val="clear" w:color="auto" w:fill="auto"/>
            <w:noWrap/>
            <w:vAlign w:val="bottom"/>
            <w:hideMark/>
          </w:tcPr>
          <w:p w:rsidR="00D34054" w:rsidRPr="0005009A" w:rsidRDefault="00D34054" w:rsidP="00A14E95">
            <w:pPr>
              <w:jc w:val="center"/>
              <w:rPr>
                <w:rFonts w:cs="Arial"/>
                <w:b/>
                <w:bCs/>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D34054" w:rsidRPr="0005009A" w:rsidRDefault="00D34054" w:rsidP="00A14E95">
            <w:pPr>
              <w:jc w:val="center"/>
              <w:rPr>
                <w:rFonts w:cs="Arial"/>
                <w:b/>
                <w:bCs/>
                <w:sz w:val="16"/>
                <w:szCs w:val="16"/>
                <w:lang w:eastAsia="en-ZA"/>
              </w:rPr>
            </w:pPr>
            <w:r w:rsidRPr="0005009A">
              <w:rPr>
                <w:rFonts w:cs="Arial"/>
                <w:b/>
                <w:bCs/>
                <w:sz w:val="16"/>
                <w:szCs w:val="16"/>
                <w:lang w:eastAsia="en-ZA"/>
              </w:rPr>
              <w:t xml:space="preserve"> % </w:t>
            </w:r>
          </w:p>
        </w:tc>
      </w:tr>
      <w:tr w:rsidR="00D34054" w:rsidRPr="0005009A" w:rsidTr="00D34054">
        <w:trPr>
          <w:trHeight w:val="70"/>
        </w:trPr>
        <w:tc>
          <w:tcPr>
            <w:tcW w:w="2036" w:type="pct"/>
            <w:tcBorders>
              <w:top w:val="nil"/>
              <w:left w:val="nil"/>
              <w:bottom w:val="nil"/>
              <w:right w:val="nil"/>
            </w:tcBorders>
            <w:shd w:val="clear" w:color="auto" w:fill="auto"/>
            <w:vAlign w:val="bottom"/>
            <w:hideMark/>
          </w:tcPr>
          <w:p w:rsidR="00D34054" w:rsidRPr="0005009A" w:rsidRDefault="00D34054" w:rsidP="00A14E95">
            <w:pPr>
              <w:rPr>
                <w:rFonts w:cs="Arial"/>
                <w:b/>
                <w:bCs/>
                <w:color w:val="000000"/>
                <w:sz w:val="16"/>
                <w:szCs w:val="16"/>
                <w:lang w:eastAsia="en-ZA"/>
              </w:rPr>
            </w:pPr>
            <w:r w:rsidRPr="0005009A">
              <w:rPr>
                <w:rFonts w:cs="Arial"/>
                <w:b/>
                <w:bCs/>
                <w:color w:val="000000"/>
                <w:sz w:val="16"/>
                <w:szCs w:val="16"/>
                <w:lang w:eastAsia="en-ZA"/>
              </w:rPr>
              <w:t>Percentage under/(over) spending of the approved operating / current expenditure budget</w:t>
            </w:r>
          </w:p>
        </w:tc>
        <w:tc>
          <w:tcPr>
            <w:tcW w:w="84" w:type="pct"/>
            <w:tcBorders>
              <w:top w:val="nil"/>
              <w:left w:val="nil"/>
              <w:bottom w:val="nil"/>
              <w:right w:val="nil"/>
            </w:tcBorders>
            <w:shd w:val="clear" w:color="auto" w:fill="auto"/>
            <w:vAlign w:val="bottom"/>
            <w:hideMark/>
          </w:tcPr>
          <w:p w:rsidR="00D34054" w:rsidRPr="0005009A" w:rsidRDefault="00D34054" w:rsidP="00A14E95">
            <w:pPr>
              <w:jc w:val="center"/>
              <w:rPr>
                <w:rFonts w:cs="Arial"/>
                <w:b/>
                <w:bCs/>
                <w:color w:val="000000"/>
                <w:sz w:val="16"/>
                <w:szCs w:val="16"/>
                <w:lang w:eastAsia="en-ZA"/>
              </w:rPr>
            </w:pPr>
          </w:p>
        </w:tc>
        <w:tc>
          <w:tcPr>
            <w:tcW w:w="356" w:type="pct"/>
            <w:tcBorders>
              <w:top w:val="nil"/>
              <w:left w:val="nil"/>
              <w:bottom w:val="nil"/>
              <w:right w:val="nil"/>
            </w:tcBorders>
            <w:shd w:val="clear" w:color="auto" w:fill="auto"/>
            <w:vAlign w:val="bottom"/>
            <w:hideMark/>
          </w:tcPr>
          <w:p w:rsidR="00D34054" w:rsidRPr="0005009A" w:rsidRDefault="00D34054" w:rsidP="00A14E95">
            <w:pPr>
              <w:jc w:val="center"/>
              <w:rPr>
                <w:rFonts w:cs="Arial"/>
                <w:b/>
                <w:bCs/>
                <w:color w:val="000000"/>
                <w:sz w:val="16"/>
                <w:szCs w:val="16"/>
                <w:lang w:eastAsia="en-ZA"/>
              </w:rPr>
            </w:pPr>
            <w:r w:rsidRPr="0005009A">
              <w:rPr>
                <w:rFonts w:cs="Arial"/>
                <w:b/>
                <w:bCs/>
                <w:color w:val="000000"/>
                <w:sz w:val="16"/>
                <w:szCs w:val="16"/>
                <w:lang w:eastAsia="en-ZA"/>
              </w:rPr>
              <w:t>1.i</w:t>
            </w:r>
          </w:p>
        </w:tc>
        <w:tc>
          <w:tcPr>
            <w:tcW w:w="84" w:type="pct"/>
            <w:tcBorders>
              <w:top w:val="nil"/>
              <w:left w:val="nil"/>
              <w:bottom w:val="nil"/>
              <w:right w:val="nil"/>
            </w:tcBorders>
            <w:shd w:val="clear" w:color="auto" w:fill="auto"/>
            <w:vAlign w:val="bottom"/>
            <w:hideMark/>
          </w:tcPr>
          <w:p w:rsidR="00D34054" w:rsidRPr="0005009A" w:rsidRDefault="00D34054"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D34054" w:rsidRPr="0005009A" w:rsidRDefault="00D34054" w:rsidP="00A14E95">
            <w:pPr>
              <w:jc w:val="right"/>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752"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D34054" w:rsidRPr="0005009A" w:rsidRDefault="00D34054" w:rsidP="00A14E95">
            <w:pPr>
              <w:jc w:val="right"/>
              <w:rPr>
                <w:rFonts w:cs="Arial"/>
                <w:b/>
                <w:bCs/>
                <w:color w:val="000000"/>
                <w:sz w:val="16"/>
                <w:szCs w:val="16"/>
                <w:lang w:eastAsia="en-ZA"/>
              </w:rPr>
            </w:pPr>
            <w:r>
              <w:rPr>
                <w:rFonts w:cs="Arial"/>
                <w:b/>
                <w:bCs/>
                <w:color w:val="000000"/>
                <w:sz w:val="16"/>
                <w:szCs w:val="16"/>
                <w:lang w:eastAsia="en-ZA"/>
              </w:rPr>
              <w:t>47%</w:t>
            </w:r>
          </w:p>
        </w:tc>
      </w:tr>
      <w:tr w:rsidR="00D34054" w:rsidRPr="0005009A" w:rsidTr="00D34054">
        <w:trPr>
          <w:trHeight w:val="225"/>
        </w:trPr>
        <w:tc>
          <w:tcPr>
            <w:tcW w:w="2036" w:type="pct"/>
            <w:tcBorders>
              <w:top w:val="nil"/>
              <w:left w:val="nil"/>
              <w:bottom w:val="nil"/>
              <w:right w:val="nil"/>
            </w:tcBorders>
            <w:shd w:val="clear" w:color="auto" w:fill="auto"/>
            <w:vAlign w:val="bottom"/>
            <w:hideMark/>
          </w:tcPr>
          <w:p w:rsidR="00D34054" w:rsidRPr="0005009A" w:rsidRDefault="00D34054" w:rsidP="00A14E95">
            <w:pPr>
              <w:rPr>
                <w:rFonts w:cs="Arial"/>
                <w:b/>
                <w:bCs/>
                <w:color w:val="000000"/>
                <w:sz w:val="16"/>
                <w:szCs w:val="16"/>
                <w:lang w:eastAsia="en-ZA"/>
              </w:rPr>
            </w:pPr>
            <w:r w:rsidRPr="0005009A">
              <w:rPr>
                <w:rFonts w:cs="Arial"/>
                <w:b/>
                <w:bCs/>
                <w:color w:val="000000"/>
                <w:sz w:val="16"/>
                <w:szCs w:val="16"/>
                <w:lang w:eastAsia="en-ZA"/>
              </w:rPr>
              <w:t>Percentage under/(over) spending of the approved capital budget</w:t>
            </w:r>
          </w:p>
        </w:tc>
        <w:tc>
          <w:tcPr>
            <w:tcW w:w="84" w:type="pct"/>
            <w:tcBorders>
              <w:top w:val="nil"/>
              <w:left w:val="nil"/>
              <w:bottom w:val="nil"/>
              <w:right w:val="nil"/>
            </w:tcBorders>
            <w:shd w:val="clear" w:color="auto" w:fill="auto"/>
            <w:vAlign w:val="bottom"/>
            <w:hideMark/>
          </w:tcPr>
          <w:p w:rsidR="00D34054" w:rsidRPr="0005009A" w:rsidRDefault="00D34054" w:rsidP="00A14E95">
            <w:pPr>
              <w:jc w:val="center"/>
              <w:rPr>
                <w:rFonts w:cs="Arial"/>
                <w:b/>
                <w:bCs/>
                <w:color w:val="000000"/>
                <w:sz w:val="16"/>
                <w:szCs w:val="16"/>
                <w:lang w:eastAsia="en-ZA"/>
              </w:rPr>
            </w:pPr>
          </w:p>
        </w:tc>
        <w:tc>
          <w:tcPr>
            <w:tcW w:w="356" w:type="pct"/>
            <w:tcBorders>
              <w:top w:val="nil"/>
              <w:left w:val="nil"/>
              <w:bottom w:val="nil"/>
              <w:right w:val="nil"/>
            </w:tcBorders>
            <w:shd w:val="clear" w:color="auto" w:fill="auto"/>
            <w:vAlign w:val="bottom"/>
            <w:hideMark/>
          </w:tcPr>
          <w:p w:rsidR="00D34054" w:rsidRPr="0005009A" w:rsidRDefault="00D34054" w:rsidP="00A14E95">
            <w:pPr>
              <w:jc w:val="center"/>
              <w:rPr>
                <w:rFonts w:cs="Arial"/>
                <w:b/>
                <w:bCs/>
                <w:color w:val="000000"/>
                <w:sz w:val="16"/>
                <w:szCs w:val="16"/>
                <w:lang w:eastAsia="en-ZA"/>
              </w:rPr>
            </w:pPr>
            <w:r w:rsidRPr="0005009A">
              <w:rPr>
                <w:rFonts w:cs="Arial"/>
                <w:b/>
                <w:bCs/>
                <w:color w:val="000000"/>
                <w:sz w:val="16"/>
                <w:szCs w:val="16"/>
                <w:lang w:eastAsia="en-ZA"/>
              </w:rPr>
              <w:t>1.ii</w:t>
            </w:r>
          </w:p>
        </w:tc>
        <w:tc>
          <w:tcPr>
            <w:tcW w:w="84" w:type="pct"/>
            <w:tcBorders>
              <w:top w:val="nil"/>
              <w:left w:val="nil"/>
              <w:bottom w:val="nil"/>
              <w:right w:val="nil"/>
            </w:tcBorders>
            <w:shd w:val="clear" w:color="auto" w:fill="auto"/>
            <w:vAlign w:val="bottom"/>
            <w:hideMark/>
          </w:tcPr>
          <w:p w:rsidR="00D34054" w:rsidRPr="0005009A" w:rsidRDefault="00D34054"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D34054" w:rsidRPr="0005009A" w:rsidRDefault="00D34054" w:rsidP="00A14E95">
            <w:pPr>
              <w:jc w:val="right"/>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D34054" w:rsidRPr="0005009A" w:rsidRDefault="00D34054" w:rsidP="00A14E95">
            <w:pPr>
              <w:rPr>
                <w:rFonts w:cs="Arial"/>
                <w:color w:val="000000"/>
                <w:sz w:val="16"/>
                <w:szCs w:val="16"/>
                <w:lang w:eastAsia="en-ZA"/>
              </w:rPr>
            </w:pPr>
          </w:p>
        </w:tc>
        <w:tc>
          <w:tcPr>
            <w:tcW w:w="752" w:type="pct"/>
            <w:tcBorders>
              <w:top w:val="nil"/>
              <w:left w:val="single" w:sz="4" w:space="0" w:color="auto"/>
              <w:bottom w:val="single" w:sz="4" w:space="0" w:color="auto"/>
              <w:right w:val="single" w:sz="4" w:space="0" w:color="auto"/>
            </w:tcBorders>
            <w:shd w:val="clear" w:color="000000" w:fill="C5D9F1"/>
            <w:noWrap/>
            <w:vAlign w:val="bottom"/>
            <w:hideMark/>
          </w:tcPr>
          <w:p w:rsidR="00D34054" w:rsidRPr="0005009A" w:rsidRDefault="00D34054" w:rsidP="00A14E95">
            <w:pPr>
              <w:jc w:val="right"/>
              <w:rPr>
                <w:rFonts w:cs="Arial"/>
                <w:b/>
                <w:bCs/>
                <w:color w:val="000000"/>
                <w:sz w:val="16"/>
                <w:szCs w:val="16"/>
                <w:lang w:eastAsia="en-ZA"/>
              </w:rPr>
            </w:pPr>
            <w:r>
              <w:rPr>
                <w:rFonts w:cs="Arial"/>
                <w:b/>
                <w:bCs/>
                <w:color w:val="000000"/>
                <w:sz w:val="16"/>
                <w:szCs w:val="16"/>
                <w:lang w:eastAsia="en-ZA"/>
              </w:rPr>
              <w:t>Not applicable</w:t>
            </w:r>
          </w:p>
        </w:tc>
      </w:tr>
    </w:tbl>
    <w:p w:rsidR="007C6538" w:rsidRPr="0005009A" w:rsidRDefault="007C6538" w:rsidP="007C6538">
      <w:pPr>
        <w:rPr>
          <w:rFonts w:cs="Arial"/>
          <w:sz w:val="16"/>
          <w:szCs w:val="16"/>
        </w:rPr>
      </w:pPr>
    </w:p>
    <w:p w:rsidR="007C6538" w:rsidRPr="0005009A" w:rsidRDefault="007C6538" w:rsidP="007C6538">
      <w:pPr>
        <w:ind w:left="567" w:hanging="567"/>
        <w:rPr>
          <w:rFonts w:eastAsia="MS Mincho" w:cs="Arial"/>
          <w:b/>
        </w:rPr>
      </w:pPr>
      <w:r w:rsidRPr="0005009A">
        <w:rPr>
          <w:rFonts w:eastAsia="MS Mincho" w:cs="Arial"/>
          <w:b/>
        </w:rPr>
        <w:br w:type="page"/>
      </w:r>
    </w:p>
    <w:p w:rsidR="007C6538" w:rsidRPr="0005009A" w:rsidRDefault="007C6538" w:rsidP="007C6538">
      <w:pPr>
        <w:ind w:left="567" w:hanging="567"/>
        <w:rPr>
          <w:rFonts w:eastAsia="MS Mincho" w:cs="Arial"/>
          <w:b/>
          <w:sz w:val="4"/>
          <w:szCs w:val="4"/>
        </w:rPr>
      </w:pPr>
    </w:p>
    <w:p w:rsidR="007C6538" w:rsidRPr="0005009A" w:rsidRDefault="007C6538" w:rsidP="007C6538">
      <w:pPr>
        <w:pBdr>
          <w:top w:val="single" w:sz="4" w:space="1" w:color="auto"/>
          <w:left w:val="single" w:sz="4" w:space="4" w:color="auto"/>
          <w:bottom w:val="single" w:sz="4" w:space="1" w:color="auto"/>
          <w:right w:val="single" w:sz="4" w:space="4" w:color="auto"/>
        </w:pBdr>
        <w:shd w:val="clear" w:color="auto" w:fill="8DB3E2"/>
        <w:ind w:left="567" w:hanging="567"/>
        <w:jc w:val="center"/>
        <w:rPr>
          <w:rFonts w:eastAsia="MS Mincho" w:cs="Arial"/>
          <w:b/>
        </w:rPr>
      </w:pPr>
      <w:r w:rsidRPr="0005009A">
        <w:rPr>
          <w:rFonts w:eastAsia="MS Mincho" w:cs="Arial"/>
          <w:b/>
        </w:rPr>
        <w:t>EXPENDITURE MANAGEMENT</w:t>
      </w:r>
    </w:p>
    <w:p w:rsidR="007C6538" w:rsidRPr="0005009A" w:rsidRDefault="007C6538" w:rsidP="007C6538">
      <w:pPr>
        <w:ind w:left="567" w:hanging="567"/>
        <w:rPr>
          <w:rFonts w:eastAsia="MS Mincho" w:cs="Arial"/>
          <w:b/>
        </w:rPr>
      </w:pPr>
    </w:p>
    <w:tbl>
      <w:tblPr>
        <w:tblW w:w="5000" w:type="pct"/>
        <w:tblLook w:val="04A0"/>
      </w:tblPr>
      <w:tblGrid>
        <w:gridCol w:w="5364"/>
        <w:gridCol w:w="222"/>
        <w:gridCol w:w="938"/>
        <w:gridCol w:w="222"/>
        <w:gridCol w:w="1984"/>
        <w:gridCol w:w="240"/>
        <w:gridCol w:w="1984"/>
        <w:gridCol w:w="240"/>
        <w:gridCol w:w="1982"/>
      </w:tblGrid>
      <w:tr w:rsidR="007C6538" w:rsidRPr="0005009A" w:rsidTr="001E3C54">
        <w:trPr>
          <w:trHeight w:val="379"/>
          <w:tblHeader/>
        </w:trPr>
        <w:tc>
          <w:tcPr>
            <w:tcW w:w="2036" w:type="pct"/>
            <w:shd w:val="clear" w:color="000000" w:fill="auto"/>
            <w:noWrap/>
            <w:vAlign w:val="bottom"/>
            <w:hideMark/>
          </w:tcPr>
          <w:p w:rsidR="007C6538" w:rsidRPr="0005009A" w:rsidRDefault="007C6538" w:rsidP="00A14E95">
            <w:pPr>
              <w:rPr>
                <w:rFonts w:cs="Arial"/>
                <w:b/>
                <w:bCs/>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Indicator reference</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nil"/>
              <w:bottom w:val="nil"/>
              <w:right w:val="nil"/>
            </w:tcBorders>
            <w:shd w:val="clear" w:color="000000" w:fill="BFBFBF"/>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Financial statements amounts</w:t>
            </w:r>
          </w:p>
        </w:tc>
        <w:tc>
          <w:tcPr>
            <w:tcW w:w="91"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753" w:type="pct"/>
            <w:tcBorders>
              <w:top w:val="nil"/>
              <w:left w:val="nil"/>
              <w:bottom w:val="nil"/>
              <w:right w:val="nil"/>
            </w:tcBorders>
            <w:shd w:val="clear" w:color="000000" w:fill="BFBFBF"/>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Adjustments for material uncorrected misstatements</w:t>
            </w:r>
          </w:p>
        </w:tc>
        <w:tc>
          <w:tcPr>
            <w:tcW w:w="91"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752" w:type="pct"/>
            <w:tcBorders>
              <w:top w:val="nil"/>
              <w:left w:val="nil"/>
              <w:bottom w:val="nil"/>
              <w:right w:val="nil"/>
            </w:tcBorders>
            <w:shd w:val="clear" w:color="000000" w:fill="BFBFBF"/>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Financial statements amounts after adjustments for material uncorrected misstatements</w:t>
            </w:r>
          </w:p>
        </w:tc>
      </w:tr>
      <w:tr w:rsidR="007C6538" w:rsidRPr="0005009A" w:rsidTr="001E3C54">
        <w:trPr>
          <w:trHeight w:val="225"/>
          <w:tblHeader/>
        </w:trPr>
        <w:tc>
          <w:tcPr>
            <w:tcW w:w="2036" w:type="pct"/>
            <w:tcBorders>
              <w:left w:val="nil"/>
              <w:bottom w:val="nil"/>
              <w:right w:val="nil"/>
            </w:tcBorders>
            <w:shd w:val="clear" w:color="auto" w:fill="auto"/>
            <w:noWrap/>
            <w:vAlign w:val="bottom"/>
            <w:hideMark/>
          </w:tcPr>
          <w:p w:rsidR="007C6538" w:rsidRPr="0005009A" w:rsidRDefault="007C6538" w:rsidP="00A14E95">
            <w:pP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91"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753"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91"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752"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r>
      <w:tr w:rsidR="007C6538" w:rsidRPr="0005009A" w:rsidTr="001E3C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r>
      <w:tr w:rsidR="007C6538" w:rsidRPr="0005009A" w:rsidTr="001E3C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r>
      <w:tr w:rsidR="007C6538" w:rsidRPr="0005009A" w:rsidTr="001E3C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Material losses through criminal conduct</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single" w:sz="4" w:space="0" w:color="auto"/>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3" w:type="pct"/>
            <w:tcBorders>
              <w:top w:val="single" w:sz="4" w:space="0" w:color="auto"/>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2" w:type="pct"/>
            <w:tcBorders>
              <w:top w:val="single" w:sz="4" w:space="0" w:color="auto"/>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r>
      <w:tr w:rsidR="007C6538" w:rsidRPr="0005009A" w:rsidTr="001E3C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Forex losses</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2"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r>
      <w:tr w:rsidR="007C6538" w:rsidRPr="0005009A" w:rsidTr="001E3C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PPE written-off</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2"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r>
      <w:tr w:rsidR="007C6538" w:rsidRPr="0005009A" w:rsidTr="001E3C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Intangible assets written-off</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2"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r>
      <w:tr w:rsidR="007C6538" w:rsidRPr="0005009A" w:rsidTr="001E3C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Investments written-off</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2"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r>
      <w:tr w:rsidR="007C6538" w:rsidRPr="0005009A" w:rsidTr="001E3C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Loan receivables written-off</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2"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r>
      <w:tr w:rsidR="007C6538" w:rsidRPr="0005009A" w:rsidTr="001E3C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Accounts receivable written-off</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2"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r>
      <w:tr w:rsidR="007C6538" w:rsidRPr="0005009A" w:rsidTr="001E3C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Other financial assets written-off</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3"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2" w:type="pct"/>
            <w:tcBorders>
              <w:top w:val="nil"/>
              <w:left w:val="single" w:sz="4" w:space="0" w:color="auto"/>
              <w:bottom w:val="nil"/>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r>
      <w:tr w:rsidR="007C6538" w:rsidRPr="0005009A" w:rsidTr="001E3C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Other losses</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single" w:sz="4" w:space="0" w:color="auto"/>
              <w:bottom w:val="single" w:sz="4" w:space="0" w:color="auto"/>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3" w:type="pct"/>
            <w:tcBorders>
              <w:top w:val="nil"/>
              <w:left w:val="single" w:sz="4" w:space="0" w:color="auto"/>
              <w:bottom w:val="single" w:sz="4" w:space="0" w:color="auto"/>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2" w:type="pct"/>
            <w:tcBorders>
              <w:top w:val="nil"/>
              <w:left w:val="single" w:sz="4" w:space="0" w:color="auto"/>
              <w:bottom w:val="single" w:sz="4" w:space="0" w:color="auto"/>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r>
      <w:tr w:rsidR="007C6538" w:rsidRPr="0005009A" w:rsidTr="001E3C54">
        <w:trPr>
          <w:trHeight w:val="240"/>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b/>
                <w:bCs/>
                <w:color w:val="000000"/>
                <w:sz w:val="16"/>
                <w:szCs w:val="16"/>
                <w:lang w:eastAsia="en-ZA"/>
              </w:rPr>
            </w:pPr>
            <w:r w:rsidRPr="0005009A">
              <w:rPr>
                <w:rFonts w:cs="Arial"/>
                <w:b/>
                <w:bCs/>
                <w:color w:val="000000"/>
                <w:sz w:val="16"/>
                <w:szCs w:val="16"/>
                <w:lang w:eastAsia="en-ZA"/>
              </w:rPr>
              <w:t>Material losses</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single" w:sz="4" w:space="0" w:color="auto"/>
              <w:bottom w:val="double" w:sz="6" w:space="0" w:color="auto"/>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3" w:type="pct"/>
            <w:tcBorders>
              <w:top w:val="nil"/>
              <w:left w:val="single" w:sz="4" w:space="0" w:color="auto"/>
              <w:bottom w:val="double" w:sz="6" w:space="0" w:color="auto"/>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7C6538" w:rsidRPr="0005009A" w:rsidRDefault="007C6538" w:rsidP="00684C5C">
            <w:pPr>
              <w:jc w:val="right"/>
              <w:rPr>
                <w:rFonts w:cs="Arial"/>
                <w:color w:val="000000"/>
                <w:sz w:val="16"/>
                <w:szCs w:val="16"/>
                <w:lang w:eastAsia="en-ZA"/>
              </w:rPr>
            </w:pPr>
          </w:p>
        </w:tc>
        <w:tc>
          <w:tcPr>
            <w:tcW w:w="752" w:type="pct"/>
            <w:tcBorders>
              <w:top w:val="nil"/>
              <w:left w:val="single" w:sz="4" w:space="0" w:color="auto"/>
              <w:bottom w:val="double" w:sz="6" w:space="0" w:color="auto"/>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w:t>
            </w:r>
          </w:p>
        </w:tc>
      </w:tr>
      <w:tr w:rsidR="007C6538" w:rsidRPr="0005009A" w:rsidTr="001E3C54">
        <w:trPr>
          <w:trHeight w:val="240"/>
        </w:trPr>
        <w:tc>
          <w:tcPr>
            <w:tcW w:w="203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753"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r>
      <w:tr w:rsidR="007C6538" w:rsidRPr="0005009A" w:rsidTr="001E3C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Total revenue for the year</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538" w:rsidRPr="0005009A" w:rsidRDefault="00684C5C" w:rsidP="00684C5C">
            <w:pPr>
              <w:jc w:val="right"/>
              <w:rPr>
                <w:rFonts w:cs="Arial"/>
                <w:color w:val="000000"/>
                <w:sz w:val="16"/>
                <w:szCs w:val="16"/>
                <w:lang w:eastAsia="en-ZA"/>
              </w:rPr>
            </w:pPr>
            <w:r>
              <w:rPr>
                <w:rFonts w:cs="Arial"/>
                <w:color w:val="000000"/>
                <w:sz w:val="16"/>
                <w:szCs w:val="16"/>
                <w:lang w:eastAsia="en-ZA"/>
              </w:rPr>
              <w:t>7 100 219</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right"/>
              <w:rPr>
                <w:rFonts w:cs="Arial"/>
                <w:color w:val="000000"/>
                <w:sz w:val="16"/>
                <w:szCs w:val="16"/>
                <w:lang w:eastAsia="en-ZA"/>
              </w:rPr>
            </w:pPr>
          </w:p>
        </w:tc>
        <w:tc>
          <w:tcPr>
            <w:tcW w:w="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538" w:rsidRPr="00684C5C" w:rsidRDefault="00684C5C" w:rsidP="00A14E95">
            <w:pPr>
              <w:jc w:val="right"/>
              <w:rPr>
                <w:rFonts w:cs="Arial"/>
                <w:sz w:val="16"/>
                <w:szCs w:val="16"/>
              </w:rPr>
            </w:pPr>
            <w:r>
              <w:rPr>
                <w:rFonts w:cs="Arial"/>
                <w:sz w:val="16"/>
                <w:szCs w:val="16"/>
              </w:rPr>
              <w:t>(</w:t>
            </w:r>
            <w:r w:rsidRPr="00684C5C">
              <w:rPr>
                <w:rFonts w:cs="Arial"/>
                <w:sz w:val="16"/>
                <w:szCs w:val="16"/>
              </w:rPr>
              <w:t>649 367)</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right"/>
              <w:rPr>
                <w:rFonts w:cs="Arial"/>
                <w:color w:val="000000"/>
                <w:sz w:val="16"/>
                <w:szCs w:val="16"/>
                <w:lang w:eastAsia="en-ZA"/>
              </w:rPr>
            </w:pP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538" w:rsidRPr="0005009A" w:rsidRDefault="00684C5C" w:rsidP="00A14E95">
            <w:pPr>
              <w:jc w:val="right"/>
              <w:rPr>
                <w:rFonts w:cs="Arial"/>
                <w:color w:val="000000"/>
                <w:sz w:val="16"/>
                <w:szCs w:val="16"/>
                <w:lang w:eastAsia="en-ZA"/>
              </w:rPr>
            </w:pPr>
            <w:r>
              <w:rPr>
                <w:rFonts w:cs="Arial"/>
                <w:color w:val="000000"/>
                <w:sz w:val="16"/>
                <w:szCs w:val="16"/>
                <w:lang w:eastAsia="en-ZA"/>
              </w:rPr>
              <w:t>6 450 852</w:t>
            </w:r>
          </w:p>
        </w:tc>
      </w:tr>
      <w:tr w:rsidR="007C6538" w:rsidRPr="0005009A" w:rsidTr="001E3C54">
        <w:trPr>
          <w:trHeight w:val="225"/>
        </w:trPr>
        <w:tc>
          <w:tcPr>
            <w:tcW w:w="203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753"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r>
      <w:tr w:rsidR="007C6538" w:rsidRPr="0005009A" w:rsidTr="001E3C54">
        <w:trPr>
          <w:trHeight w:val="225"/>
        </w:trPr>
        <w:tc>
          <w:tcPr>
            <w:tcW w:w="203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753"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r>
      <w:tr w:rsidR="007C6538" w:rsidRPr="0005009A" w:rsidTr="001E3C54">
        <w:trPr>
          <w:trHeight w:val="225"/>
        </w:trPr>
        <w:tc>
          <w:tcPr>
            <w:tcW w:w="203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753"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 </w:t>
            </w:r>
          </w:p>
        </w:tc>
      </w:tr>
      <w:tr w:rsidR="007C6538" w:rsidRPr="0005009A" w:rsidTr="001E3C54">
        <w:trPr>
          <w:trHeight w:val="242"/>
        </w:trPr>
        <w:tc>
          <w:tcPr>
            <w:tcW w:w="2036"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r w:rsidRPr="0005009A">
              <w:rPr>
                <w:rFonts w:cs="Arial"/>
                <w:b/>
                <w:bCs/>
                <w:color w:val="000000"/>
                <w:sz w:val="16"/>
                <w:szCs w:val="16"/>
                <w:lang w:eastAsia="en-ZA"/>
              </w:rPr>
              <w:t>Material losses as a percentage of total revenue for the year</w:t>
            </w: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2.i</w:t>
            </w: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753"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2"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7C6538" w:rsidRPr="0005009A" w:rsidRDefault="00684C5C" w:rsidP="00A14E95">
            <w:pPr>
              <w:jc w:val="right"/>
              <w:rPr>
                <w:rFonts w:cs="Arial"/>
                <w:b/>
                <w:bCs/>
                <w:color w:val="000000"/>
                <w:sz w:val="16"/>
                <w:szCs w:val="16"/>
                <w:lang w:eastAsia="en-ZA"/>
              </w:rPr>
            </w:pPr>
            <w:r>
              <w:rPr>
                <w:rFonts w:cs="Arial"/>
                <w:b/>
                <w:bCs/>
                <w:color w:val="000000"/>
                <w:sz w:val="16"/>
                <w:szCs w:val="16"/>
                <w:lang w:eastAsia="en-ZA"/>
              </w:rPr>
              <w:t>-</w:t>
            </w:r>
          </w:p>
        </w:tc>
      </w:tr>
      <w:tr w:rsidR="007C6538" w:rsidRPr="0005009A" w:rsidTr="001E3C54">
        <w:trPr>
          <w:trHeight w:val="225"/>
        </w:trPr>
        <w:tc>
          <w:tcPr>
            <w:tcW w:w="203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753"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r>
      <w:tr w:rsidR="007C6538" w:rsidRPr="0005009A" w:rsidTr="001E3C54">
        <w:trPr>
          <w:trHeight w:val="225"/>
        </w:trPr>
        <w:tc>
          <w:tcPr>
            <w:tcW w:w="203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r>
      <w:tr w:rsidR="007C6538" w:rsidRPr="0005009A" w:rsidTr="001E3C54">
        <w:trPr>
          <w:trHeight w:val="225"/>
        </w:trPr>
        <w:tc>
          <w:tcPr>
            <w:tcW w:w="203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r>
      <w:tr w:rsidR="007C6538" w:rsidRPr="0005009A" w:rsidTr="001E3C54">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Accounts payable</w:t>
            </w:r>
            <w:r w:rsidR="00684C5C">
              <w:rPr>
                <w:rStyle w:val="FootnoteReference"/>
                <w:rFonts w:cs="Arial"/>
                <w:color w:val="000000"/>
                <w:sz w:val="16"/>
                <w:szCs w:val="16"/>
                <w:lang w:eastAsia="en-ZA"/>
              </w:rPr>
              <w:footnoteReference w:id="3"/>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single" w:sz="4" w:space="0" w:color="auto"/>
              <w:left w:val="single" w:sz="4" w:space="0" w:color="auto"/>
              <w:bottom w:val="nil"/>
              <w:right w:val="single" w:sz="4" w:space="0" w:color="auto"/>
            </w:tcBorders>
            <w:shd w:val="clear" w:color="auto" w:fill="auto"/>
            <w:noWrap/>
            <w:vAlign w:val="bottom"/>
            <w:hideMark/>
          </w:tcPr>
          <w:p w:rsidR="007C6538" w:rsidRPr="006B3E96" w:rsidRDefault="006F12ED" w:rsidP="00A14E95">
            <w:pPr>
              <w:jc w:val="right"/>
              <w:rPr>
                <w:rFonts w:cs="Arial"/>
                <w:color w:val="000000"/>
                <w:sz w:val="16"/>
                <w:szCs w:val="16"/>
                <w:lang w:eastAsia="en-ZA"/>
              </w:rPr>
            </w:pPr>
            <w:r>
              <w:rPr>
                <w:rFonts w:cs="Arial"/>
                <w:color w:val="000000"/>
                <w:sz w:val="16"/>
                <w:szCs w:val="16"/>
                <w:lang w:eastAsia="en-ZA"/>
              </w:rPr>
              <w:t>279 074</w:t>
            </w:r>
          </w:p>
        </w:tc>
        <w:tc>
          <w:tcPr>
            <w:tcW w:w="91" w:type="pct"/>
            <w:tcBorders>
              <w:top w:val="nil"/>
              <w:left w:val="nil"/>
              <w:bottom w:val="nil"/>
              <w:right w:val="nil"/>
            </w:tcBorders>
            <w:shd w:val="clear" w:color="auto" w:fill="auto"/>
            <w:noWrap/>
            <w:vAlign w:val="bottom"/>
            <w:hideMark/>
          </w:tcPr>
          <w:p w:rsidR="007C6538" w:rsidRPr="006B3E96" w:rsidRDefault="007C6538" w:rsidP="00A14E95">
            <w:pPr>
              <w:jc w:val="right"/>
              <w:rPr>
                <w:rFonts w:cs="Arial"/>
                <w:color w:val="000000"/>
                <w:sz w:val="16"/>
                <w:szCs w:val="16"/>
                <w:lang w:eastAsia="en-ZA"/>
              </w:rPr>
            </w:pPr>
          </w:p>
        </w:tc>
        <w:tc>
          <w:tcPr>
            <w:tcW w:w="753" w:type="pct"/>
            <w:tcBorders>
              <w:top w:val="single" w:sz="4" w:space="0" w:color="auto"/>
              <w:left w:val="single" w:sz="4" w:space="0" w:color="auto"/>
              <w:bottom w:val="nil"/>
              <w:right w:val="single" w:sz="4" w:space="0" w:color="auto"/>
            </w:tcBorders>
            <w:shd w:val="clear" w:color="auto" w:fill="auto"/>
            <w:noWrap/>
            <w:vAlign w:val="bottom"/>
            <w:hideMark/>
          </w:tcPr>
          <w:p w:rsidR="007C6538" w:rsidRPr="006B3E96" w:rsidRDefault="006F12ED" w:rsidP="00A14E95">
            <w:pPr>
              <w:jc w:val="right"/>
              <w:rPr>
                <w:rFonts w:cs="Arial"/>
                <w:color w:val="000000"/>
                <w:sz w:val="16"/>
                <w:szCs w:val="16"/>
                <w:lang w:eastAsia="en-ZA"/>
              </w:rPr>
            </w:pPr>
            <w:r>
              <w:rPr>
                <w:rFonts w:cs="Arial"/>
                <w:color w:val="000000"/>
                <w:sz w:val="16"/>
                <w:szCs w:val="16"/>
                <w:lang w:eastAsia="en-ZA"/>
              </w:rPr>
              <w:t>12 840</w:t>
            </w:r>
          </w:p>
        </w:tc>
        <w:tc>
          <w:tcPr>
            <w:tcW w:w="91" w:type="pct"/>
            <w:tcBorders>
              <w:top w:val="nil"/>
              <w:left w:val="nil"/>
              <w:bottom w:val="nil"/>
              <w:right w:val="nil"/>
            </w:tcBorders>
            <w:shd w:val="clear" w:color="auto" w:fill="auto"/>
            <w:noWrap/>
            <w:vAlign w:val="bottom"/>
            <w:hideMark/>
          </w:tcPr>
          <w:p w:rsidR="007C6538" w:rsidRPr="006B3E96" w:rsidRDefault="007C6538" w:rsidP="00A14E95">
            <w:pPr>
              <w:jc w:val="right"/>
              <w:rPr>
                <w:rFonts w:cs="Arial"/>
                <w:color w:val="000000"/>
                <w:sz w:val="16"/>
                <w:szCs w:val="16"/>
                <w:lang w:eastAsia="en-ZA"/>
              </w:rPr>
            </w:pP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538" w:rsidRPr="006B3E96" w:rsidRDefault="006F12ED" w:rsidP="00A14E95">
            <w:pPr>
              <w:jc w:val="right"/>
              <w:rPr>
                <w:rFonts w:cs="Arial"/>
                <w:color w:val="000000"/>
                <w:sz w:val="16"/>
                <w:szCs w:val="16"/>
                <w:lang w:eastAsia="en-ZA"/>
              </w:rPr>
            </w:pPr>
            <w:r w:rsidRPr="006F12ED">
              <w:rPr>
                <w:rFonts w:cs="Arial"/>
                <w:color w:val="000000"/>
                <w:sz w:val="16"/>
                <w:szCs w:val="16"/>
                <w:lang w:eastAsia="en-ZA"/>
              </w:rPr>
              <w:t>291 914</w:t>
            </w:r>
          </w:p>
        </w:tc>
      </w:tr>
      <w:tr w:rsidR="001E3C54" w:rsidRPr="0005009A" w:rsidTr="001E3C54">
        <w:trPr>
          <w:trHeight w:val="225"/>
        </w:trPr>
        <w:tc>
          <w:tcPr>
            <w:tcW w:w="2036"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r w:rsidRPr="0005009A">
              <w:rPr>
                <w:rFonts w:cs="Arial"/>
                <w:color w:val="000000"/>
                <w:sz w:val="16"/>
                <w:szCs w:val="16"/>
                <w:lang w:eastAsia="en-ZA"/>
              </w:rPr>
              <w:t>Total credit purchases</w:t>
            </w:r>
          </w:p>
        </w:tc>
        <w:tc>
          <w:tcPr>
            <w:tcW w:w="84"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1E3C54" w:rsidRPr="0005009A" w:rsidRDefault="001E3C54"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C54" w:rsidRDefault="001E3C54" w:rsidP="00A14E95">
            <w:pPr>
              <w:jc w:val="right"/>
              <w:rPr>
                <w:rFonts w:cs="Arial"/>
                <w:color w:val="000000"/>
                <w:sz w:val="16"/>
                <w:szCs w:val="16"/>
                <w:lang w:eastAsia="en-ZA"/>
              </w:rPr>
            </w:pPr>
            <w:r>
              <w:rPr>
                <w:rFonts w:cs="Arial"/>
                <w:color w:val="000000"/>
                <w:sz w:val="16"/>
                <w:szCs w:val="16"/>
                <w:lang w:eastAsia="en-ZA"/>
              </w:rPr>
              <w:t>6 853 500</w:t>
            </w:r>
          </w:p>
        </w:tc>
        <w:tc>
          <w:tcPr>
            <w:tcW w:w="91" w:type="pct"/>
            <w:tcBorders>
              <w:top w:val="nil"/>
              <w:left w:val="nil"/>
              <w:bottom w:val="nil"/>
              <w:right w:val="nil"/>
            </w:tcBorders>
            <w:shd w:val="clear" w:color="auto" w:fill="auto"/>
            <w:noWrap/>
            <w:vAlign w:val="bottom"/>
            <w:hideMark/>
          </w:tcPr>
          <w:p w:rsidR="001E3C54" w:rsidRPr="006B3E96" w:rsidRDefault="001E3C54" w:rsidP="00A14E95">
            <w:pPr>
              <w:jc w:val="right"/>
              <w:rPr>
                <w:rFonts w:cs="Arial"/>
                <w:color w:val="000000"/>
                <w:sz w:val="16"/>
                <w:szCs w:val="16"/>
                <w:lang w:eastAsia="en-ZA"/>
              </w:rPr>
            </w:pPr>
          </w:p>
        </w:tc>
        <w:tc>
          <w:tcPr>
            <w:tcW w:w="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C54" w:rsidRDefault="001E3C54" w:rsidP="00A14E95">
            <w:pPr>
              <w:jc w:val="right"/>
              <w:rPr>
                <w:rFonts w:cs="Arial"/>
                <w:color w:val="000000"/>
                <w:sz w:val="16"/>
                <w:szCs w:val="16"/>
                <w:lang w:eastAsia="en-ZA"/>
              </w:rPr>
            </w:pPr>
            <w:r>
              <w:rPr>
                <w:rFonts w:cs="Arial"/>
                <w:color w:val="000000"/>
                <w:sz w:val="16"/>
                <w:szCs w:val="16"/>
                <w:lang w:eastAsia="en-ZA"/>
              </w:rPr>
              <w:t>(16 415)</w:t>
            </w:r>
          </w:p>
        </w:tc>
        <w:tc>
          <w:tcPr>
            <w:tcW w:w="91" w:type="pct"/>
            <w:tcBorders>
              <w:top w:val="nil"/>
              <w:left w:val="nil"/>
              <w:bottom w:val="nil"/>
              <w:right w:val="nil"/>
            </w:tcBorders>
            <w:shd w:val="clear" w:color="auto" w:fill="auto"/>
            <w:noWrap/>
            <w:vAlign w:val="bottom"/>
            <w:hideMark/>
          </w:tcPr>
          <w:p w:rsidR="001E3C54" w:rsidRPr="006B3E96" w:rsidRDefault="001E3C54" w:rsidP="00A14E95">
            <w:pPr>
              <w:jc w:val="right"/>
              <w:rPr>
                <w:rFonts w:cs="Arial"/>
                <w:color w:val="000000"/>
                <w:sz w:val="16"/>
                <w:szCs w:val="16"/>
                <w:lang w:eastAsia="en-ZA"/>
              </w:rPr>
            </w:pPr>
          </w:p>
        </w:tc>
        <w:tc>
          <w:tcPr>
            <w:tcW w:w="752" w:type="pct"/>
            <w:tcBorders>
              <w:top w:val="nil"/>
              <w:left w:val="single" w:sz="4" w:space="0" w:color="auto"/>
              <w:bottom w:val="single" w:sz="4" w:space="0" w:color="auto"/>
              <w:right w:val="single" w:sz="4" w:space="0" w:color="auto"/>
            </w:tcBorders>
            <w:shd w:val="clear" w:color="auto" w:fill="auto"/>
            <w:noWrap/>
            <w:vAlign w:val="bottom"/>
            <w:hideMark/>
          </w:tcPr>
          <w:p w:rsidR="001E3C54" w:rsidRDefault="001E3C54" w:rsidP="00A14E95">
            <w:pPr>
              <w:jc w:val="right"/>
              <w:rPr>
                <w:rFonts w:cs="Arial"/>
                <w:color w:val="000000"/>
                <w:sz w:val="16"/>
                <w:szCs w:val="16"/>
                <w:lang w:eastAsia="en-ZA"/>
              </w:rPr>
            </w:pPr>
            <w:r w:rsidRPr="00F47188">
              <w:rPr>
                <w:rFonts w:cs="Arial"/>
                <w:color w:val="000000"/>
                <w:sz w:val="16"/>
                <w:szCs w:val="16"/>
                <w:lang w:eastAsia="en-ZA"/>
              </w:rPr>
              <w:t>6 837 085</w:t>
            </w:r>
          </w:p>
        </w:tc>
      </w:tr>
      <w:tr w:rsidR="001E3C54" w:rsidRPr="0005009A" w:rsidTr="001E3C54">
        <w:trPr>
          <w:trHeight w:val="225"/>
        </w:trPr>
        <w:tc>
          <w:tcPr>
            <w:tcW w:w="2036"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753"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1E3C54" w:rsidRPr="0005009A" w:rsidRDefault="001E3C54"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r>
      <w:tr w:rsidR="001E3C54" w:rsidRPr="0005009A" w:rsidTr="001E3C54">
        <w:trPr>
          <w:trHeight w:val="225"/>
        </w:trPr>
        <w:tc>
          <w:tcPr>
            <w:tcW w:w="2036"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753"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1E3C54" w:rsidRPr="0005009A" w:rsidRDefault="001E3C54"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1E3C54" w:rsidRPr="0005009A" w:rsidRDefault="001E3C54" w:rsidP="00A14E95">
            <w:pPr>
              <w:jc w:val="center"/>
              <w:rPr>
                <w:rFonts w:cs="Arial"/>
                <w:b/>
                <w:bCs/>
                <w:sz w:val="16"/>
                <w:szCs w:val="16"/>
                <w:lang w:eastAsia="en-ZA"/>
              </w:rPr>
            </w:pPr>
            <w:r w:rsidRPr="0005009A">
              <w:rPr>
                <w:rFonts w:cs="Arial"/>
                <w:b/>
                <w:bCs/>
                <w:sz w:val="16"/>
                <w:szCs w:val="16"/>
                <w:lang w:eastAsia="en-ZA"/>
              </w:rPr>
              <w:t xml:space="preserve"> 2011/12 </w:t>
            </w:r>
          </w:p>
        </w:tc>
      </w:tr>
      <w:tr w:rsidR="001E3C54" w:rsidRPr="0005009A" w:rsidTr="001E3C54">
        <w:trPr>
          <w:trHeight w:val="225"/>
        </w:trPr>
        <w:tc>
          <w:tcPr>
            <w:tcW w:w="2036"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753" w:type="pct"/>
            <w:tcBorders>
              <w:top w:val="nil"/>
              <w:left w:val="nil"/>
              <w:bottom w:val="nil"/>
              <w:right w:val="nil"/>
            </w:tcBorders>
            <w:shd w:val="clear" w:color="auto" w:fill="auto"/>
            <w:vAlign w:val="bottom"/>
            <w:hideMark/>
          </w:tcPr>
          <w:p w:rsidR="001E3C54" w:rsidRPr="0005009A" w:rsidRDefault="001E3C54"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1E3C54" w:rsidRPr="0005009A" w:rsidRDefault="001E3C54"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1E3C54" w:rsidRPr="0005009A" w:rsidRDefault="001E3C54" w:rsidP="00A14E95">
            <w:pPr>
              <w:jc w:val="center"/>
              <w:rPr>
                <w:rFonts w:cs="Arial"/>
                <w:b/>
                <w:bCs/>
                <w:sz w:val="16"/>
                <w:szCs w:val="16"/>
                <w:lang w:eastAsia="en-ZA"/>
              </w:rPr>
            </w:pPr>
            <w:r w:rsidRPr="0005009A">
              <w:rPr>
                <w:rFonts w:cs="Arial"/>
                <w:b/>
                <w:bCs/>
                <w:sz w:val="16"/>
                <w:szCs w:val="16"/>
                <w:lang w:eastAsia="en-ZA"/>
              </w:rPr>
              <w:t xml:space="preserve"> Days </w:t>
            </w:r>
          </w:p>
        </w:tc>
      </w:tr>
      <w:tr w:rsidR="001E3C54" w:rsidRPr="0005009A" w:rsidTr="001E3C54">
        <w:trPr>
          <w:trHeight w:val="106"/>
        </w:trPr>
        <w:tc>
          <w:tcPr>
            <w:tcW w:w="2036" w:type="pct"/>
            <w:tcBorders>
              <w:top w:val="nil"/>
              <w:left w:val="nil"/>
              <w:bottom w:val="nil"/>
              <w:right w:val="nil"/>
            </w:tcBorders>
            <w:shd w:val="clear" w:color="auto" w:fill="auto"/>
            <w:vAlign w:val="bottom"/>
            <w:hideMark/>
          </w:tcPr>
          <w:p w:rsidR="001E3C54" w:rsidRPr="0005009A" w:rsidRDefault="001E3C54" w:rsidP="00A14E95">
            <w:pPr>
              <w:rPr>
                <w:rFonts w:cs="Arial"/>
                <w:b/>
                <w:bCs/>
                <w:color w:val="000000"/>
                <w:sz w:val="16"/>
                <w:szCs w:val="16"/>
                <w:lang w:eastAsia="en-ZA"/>
              </w:rPr>
            </w:pPr>
            <w:r w:rsidRPr="0005009A">
              <w:rPr>
                <w:rFonts w:cs="Arial"/>
                <w:b/>
                <w:bCs/>
                <w:color w:val="000000"/>
                <w:sz w:val="16"/>
                <w:szCs w:val="16"/>
                <w:lang w:eastAsia="en-ZA"/>
              </w:rPr>
              <w:t>Creditor-payment period</w:t>
            </w:r>
            <w:r w:rsidRPr="0005009A">
              <w:rPr>
                <w:rFonts w:cs="Arial"/>
                <w:b/>
                <w:bCs/>
                <w:color w:val="000000"/>
                <w:sz w:val="16"/>
                <w:szCs w:val="16"/>
                <w:lang w:eastAsia="en-ZA"/>
              </w:rPr>
              <w:br/>
            </w:r>
            <w:r w:rsidRPr="0005009A">
              <w:rPr>
                <w:rFonts w:cs="Arial"/>
                <w:color w:val="000000"/>
                <w:sz w:val="16"/>
                <w:szCs w:val="16"/>
                <w:lang w:eastAsia="en-ZA"/>
              </w:rPr>
              <w:t>(Accounts payable ÷ Total credit purchases x 365)</w:t>
            </w:r>
          </w:p>
        </w:tc>
        <w:tc>
          <w:tcPr>
            <w:tcW w:w="84"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1E3C54" w:rsidRPr="0005009A" w:rsidRDefault="001E3C54" w:rsidP="00A14E95">
            <w:pPr>
              <w:jc w:val="center"/>
              <w:rPr>
                <w:rFonts w:cs="Arial"/>
                <w:b/>
                <w:bCs/>
                <w:color w:val="000000"/>
                <w:sz w:val="16"/>
                <w:szCs w:val="16"/>
                <w:lang w:eastAsia="en-ZA"/>
              </w:rPr>
            </w:pPr>
            <w:r w:rsidRPr="0005009A">
              <w:rPr>
                <w:rFonts w:cs="Arial"/>
                <w:b/>
                <w:bCs/>
                <w:color w:val="000000"/>
                <w:sz w:val="16"/>
                <w:szCs w:val="16"/>
                <w:lang w:eastAsia="en-ZA"/>
              </w:rPr>
              <w:t>2.ii</w:t>
            </w:r>
          </w:p>
        </w:tc>
        <w:tc>
          <w:tcPr>
            <w:tcW w:w="84"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1E3C54" w:rsidRPr="0005009A" w:rsidRDefault="001E3C54" w:rsidP="00A14E95">
            <w:pPr>
              <w:rPr>
                <w:rFonts w:cs="Arial"/>
                <w:color w:val="000000"/>
                <w:sz w:val="16"/>
                <w:szCs w:val="16"/>
                <w:lang w:eastAsia="en-ZA"/>
              </w:rPr>
            </w:pPr>
          </w:p>
        </w:tc>
        <w:tc>
          <w:tcPr>
            <w:tcW w:w="752"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1E3C54" w:rsidRPr="0005009A" w:rsidRDefault="001E3C54" w:rsidP="00A14E95">
            <w:pPr>
              <w:jc w:val="right"/>
              <w:rPr>
                <w:rFonts w:cs="Arial"/>
                <w:b/>
                <w:bCs/>
                <w:color w:val="000000"/>
                <w:sz w:val="16"/>
                <w:szCs w:val="16"/>
                <w:lang w:eastAsia="en-ZA"/>
              </w:rPr>
            </w:pPr>
            <w:r>
              <w:rPr>
                <w:rFonts w:cs="Arial"/>
                <w:b/>
                <w:bCs/>
                <w:color w:val="000000"/>
                <w:sz w:val="16"/>
                <w:szCs w:val="16"/>
                <w:lang w:eastAsia="en-ZA"/>
              </w:rPr>
              <w:t>15</w:t>
            </w:r>
          </w:p>
        </w:tc>
      </w:tr>
    </w:tbl>
    <w:p w:rsidR="007C6538" w:rsidRPr="0005009A" w:rsidRDefault="007C6538" w:rsidP="007C6538">
      <w:pPr>
        <w:ind w:left="567" w:hanging="567"/>
        <w:rPr>
          <w:rFonts w:eastAsia="MS Mincho" w:cs="Arial"/>
          <w:b/>
        </w:rPr>
      </w:pPr>
    </w:p>
    <w:p w:rsidR="007C6538" w:rsidRPr="0005009A" w:rsidRDefault="007C6538" w:rsidP="007C6538">
      <w:pPr>
        <w:ind w:left="567" w:hanging="567"/>
        <w:rPr>
          <w:rFonts w:eastAsia="MS Mincho" w:cs="Arial"/>
          <w:b/>
        </w:rPr>
      </w:pPr>
      <w:r w:rsidRPr="0005009A">
        <w:rPr>
          <w:rFonts w:eastAsia="MS Mincho" w:cs="Arial"/>
          <w:b/>
        </w:rPr>
        <w:br w:type="page"/>
      </w:r>
    </w:p>
    <w:p w:rsidR="007C6538" w:rsidRPr="0005009A" w:rsidRDefault="007C6538" w:rsidP="007C6538">
      <w:pPr>
        <w:ind w:left="567" w:hanging="567"/>
        <w:rPr>
          <w:rFonts w:eastAsia="MS Mincho" w:cs="Arial"/>
          <w:b/>
          <w:sz w:val="4"/>
          <w:szCs w:val="4"/>
        </w:rPr>
      </w:pPr>
    </w:p>
    <w:p w:rsidR="007C6538" w:rsidRPr="0005009A" w:rsidRDefault="007C6538" w:rsidP="007C6538">
      <w:pPr>
        <w:pBdr>
          <w:top w:val="single" w:sz="4" w:space="1" w:color="auto"/>
          <w:left w:val="single" w:sz="4" w:space="4" w:color="auto"/>
          <w:bottom w:val="single" w:sz="4" w:space="1" w:color="auto"/>
          <w:right w:val="single" w:sz="4" w:space="4" w:color="auto"/>
        </w:pBdr>
        <w:shd w:val="clear" w:color="auto" w:fill="8DB3E2"/>
        <w:ind w:left="567" w:hanging="567"/>
        <w:jc w:val="center"/>
        <w:rPr>
          <w:rFonts w:eastAsia="MS Mincho" w:cs="Arial"/>
          <w:b/>
        </w:rPr>
      </w:pPr>
      <w:r w:rsidRPr="0005009A">
        <w:rPr>
          <w:rFonts w:eastAsia="MS Mincho" w:cs="Arial"/>
          <w:b/>
        </w:rPr>
        <w:t>REVENUE MANAGEMENT</w:t>
      </w:r>
    </w:p>
    <w:p w:rsidR="007C6538" w:rsidRPr="0005009A" w:rsidRDefault="007C6538" w:rsidP="007C6538">
      <w:pPr>
        <w:ind w:left="567" w:hanging="567"/>
        <w:rPr>
          <w:rFonts w:eastAsia="MS Mincho" w:cs="Arial"/>
          <w:b/>
        </w:rPr>
      </w:pPr>
    </w:p>
    <w:tbl>
      <w:tblPr>
        <w:tblW w:w="5000" w:type="pct"/>
        <w:tblLook w:val="04A0"/>
      </w:tblPr>
      <w:tblGrid>
        <w:gridCol w:w="5364"/>
        <w:gridCol w:w="222"/>
        <w:gridCol w:w="938"/>
        <w:gridCol w:w="222"/>
        <w:gridCol w:w="1984"/>
        <w:gridCol w:w="240"/>
        <w:gridCol w:w="1984"/>
        <w:gridCol w:w="240"/>
        <w:gridCol w:w="1982"/>
      </w:tblGrid>
      <w:tr w:rsidR="007C6538" w:rsidRPr="0005009A" w:rsidTr="005A368D">
        <w:trPr>
          <w:trHeight w:val="379"/>
          <w:tblHeader/>
        </w:trPr>
        <w:tc>
          <w:tcPr>
            <w:tcW w:w="2036" w:type="pct"/>
            <w:shd w:val="clear" w:color="000000" w:fill="auto"/>
            <w:noWrap/>
            <w:vAlign w:val="bottom"/>
            <w:hideMark/>
          </w:tcPr>
          <w:p w:rsidR="007C6538" w:rsidRPr="0005009A" w:rsidRDefault="007C6538" w:rsidP="00A14E95">
            <w:pPr>
              <w:rPr>
                <w:rFonts w:cs="Arial"/>
                <w:b/>
                <w:bCs/>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Indicator reference</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nil"/>
              <w:left w:val="nil"/>
              <w:bottom w:val="nil"/>
              <w:right w:val="nil"/>
            </w:tcBorders>
            <w:shd w:val="clear" w:color="000000" w:fill="BFBFBF"/>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Financial statements amounts</w:t>
            </w:r>
          </w:p>
        </w:tc>
        <w:tc>
          <w:tcPr>
            <w:tcW w:w="91"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753" w:type="pct"/>
            <w:tcBorders>
              <w:top w:val="nil"/>
              <w:left w:val="nil"/>
              <w:bottom w:val="nil"/>
              <w:right w:val="nil"/>
            </w:tcBorders>
            <w:shd w:val="clear" w:color="000000" w:fill="BFBFBF"/>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Adjustments for material uncorrected misstatements</w:t>
            </w:r>
          </w:p>
        </w:tc>
        <w:tc>
          <w:tcPr>
            <w:tcW w:w="91"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752" w:type="pct"/>
            <w:tcBorders>
              <w:top w:val="nil"/>
              <w:left w:val="nil"/>
              <w:bottom w:val="nil"/>
              <w:right w:val="nil"/>
            </w:tcBorders>
            <w:shd w:val="clear" w:color="000000" w:fill="BFBFBF"/>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Financial statements amounts after adjustments for material uncorrected misstatements</w:t>
            </w:r>
          </w:p>
        </w:tc>
      </w:tr>
      <w:tr w:rsidR="007C6538" w:rsidRPr="0005009A" w:rsidTr="005A368D">
        <w:trPr>
          <w:trHeight w:val="225"/>
          <w:tblHeader/>
        </w:trPr>
        <w:tc>
          <w:tcPr>
            <w:tcW w:w="2036" w:type="pct"/>
            <w:tcBorders>
              <w:left w:val="nil"/>
              <w:bottom w:val="nil"/>
              <w:right w:val="nil"/>
            </w:tcBorders>
            <w:shd w:val="clear" w:color="auto" w:fill="auto"/>
            <w:noWrap/>
            <w:vAlign w:val="bottom"/>
            <w:hideMark/>
          </w:tcPr>
          <w:p w:rsidR="007C6538" w:rsidRPr="0005009A" w:rsidRDefault="007C6538" w:rsidP="00A14E95">
            <w:pP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91"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753"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c>
          <w:tcPr>
            <w:tcW w:w="91"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752"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p>
        </w:tc>
      </w:tr>
      <w:tr w:rsidR="007C6538" w:rsidRPr="0005009A" w:rsidTr="005A368D">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r>
      <w:tr w:rsidR="007C6538" w:rsidRPr="0005009A" w:rsidTr="005A368D">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b/>
                <w:bCs/>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c>
          <w:tcPr>
            <w:tcW w:w="91"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r>
      <w:tr w:rsidR="007C6538" w:rsidRPr="0005009A" w:rsidTr="005A368D">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Accounts receivable (before impairment)</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single" w:sz="4" w:space="0" w:color="auto"/>
              <w:left w:val="single" w:sz="4" w:space="0" w:color="auto"/>
              <w:bottom w:val="nil"/>
              <w:right w:val="single" w:sz="4" w:space="0" w:color="auto"/>
            </w:tcBorders>
            <w:shd w:val="clear" w:color="auto" w:fill="auto"/>
            <w:noWrap/>
            <w:vAlign w:val="bottom"/>
            <w:hideMark/>
          </w:tcPr>
          <w:p w:rsidR="007C6538" w:rsidRPr="0005009A" w:rsidRDefault="007C6538" w:rsidP="00A14E95">
            <w:pPr>
              <w:jc w:val="right"/>
              <w:rPr>
                <w:rFonts w:cs="Arial"/>
                <w:color w:val="000000"/>
                <w:sz w:val="16"/>
                <w:szCs w:val="16"/>
                <w:lang w:eastAsia="en-ZA"/>
              </w:rPr>
            </w:pPr>
            <w:r>
              <w:rPr>
                <w:rFonts w:cs="Arial"/>
                <w:color w:val="000000"/>
                <w:sz w:val="16"/>
                <w:szCs w:val="16"/>
                <w:lang w:eastAsia="en-ZA"/>
              </w:rPr>
              <w:t>4</w:t>
            </w:r>
            <w:r w:rsidR="00BF691C">
              <w:rPr>
                <w:rFonts w:cs="Arial"/>
                <w:color w:val="000000"/>
                <w:sz w:val="16"/>
                <w:szCs w:val="16"/>
                <w:lang w:eastAsia="en-ZA"/>
              </w:rPr>
              <w:t xml:space="preserve"> 120 012</w:t>
            </w:r>
          </w:p>
        </w:tc>
        <w:tc>
          <w:tcPr>
            <w:tcW w:w="91"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single" w:sz="4" w:space="0" w:color="auto"/>
              <w:left w:val="single" w:sz="4" w:space="0" w:color="auto"/>
              <w:bottom w:val="nil"/>
              <w:right w:val="single" w:sz="4" w:space="0" w:color="auto"/>
            </w:tcBorders>
            <w:shd w:val="clear" w:color="auto" w:fill="auto"/>
            <w:noWrap/>
            <w:vAlign w:val="bottom"/>
            <w:hideMark/>
          </w:tcPr>
          <w:p w:rsidR="007C6538" w:rsidRPr="0005009A" w:rsidRDefault="00BF691C" w:rsidP="00A14E95">
            <w:pPr>
              <w:jc w:val="right"/>
              <w:rPr>
                <w:rFonts w:cs="Arial"/>
                <w:color w:val="000000"/>
                <w:sz w:val="16"/>
                <w:szCs w:val="16"/>
                <w:lang w:eastAsia="en-ZA"/>
              </w:rPr>
            </w:pPr>
            <w:r>
              <w:rPr>
                <w:rFonts w:cs="Arial"/>
                <w:color w:val="000000"/>
                <w:sz w:val="16"/>
                <w:szCs w:val="16"/>
                <w:lang w:eastAsia="en-ZA"/>
              </w:rPr>
              <w:t>187 808</w:t>
            </w:r>
          </w:p>
        </w:tc>
        <w:tc>
          <w:tcPr>
            <w:tcW w:w="91"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538" w:rsidRPr="0005009A" w:rsidRDefault="007C6538" w:rsidP="00A14E95">
            <w:pPr>
              <w:jc w:val="right"/>
              <w:rPr>
                <w:rFonts w:cs="Arial"/>
                <w:color w:val="000000"/>
                <w:sz w:val="16"/>
                <w:szCs w:val="16"/>
                <w:lang w:eastAsia="en-ZA"/>
              </w:rPr>
            </w:pPr>
            <w:r>
              <w:rPr>
                <w:rFonts w:cs="Arial"/>
                <w:color w:val="000000"/>
                <w:sz w:val="16"/>
                <w:szCs w:val="16"/>
                <w:lang w:eastAsia="en-ZA"/>
              </w:rPr>
              <w:t xml:space="preserve">4 </w:t>
            </w:r>
            <w:r w:rsidR="005A368D">
              <w:rPr>
                <w:rFonts w:cs="Arial"/>
                <w:color w:val="000000"/>
                <w:sz w:val="16"/>
                <w:szCs w:val="16"/>
                <w:lang w:eastAsia="en-ZA"/>
              </w:rPr>
              <w:t>307 820</w:t>
            </w:r>
          </w:p>
        </w:tc>
      </w:tr>
      <w:tr w:rsidR="007C6538" w:rsidRPr="0005009A" w:rsidTr="005A368D">
        <w:trPr>
          <w:trHeight w:val="225"/>
        </w:trPr>
        <w:tc>
          <w:tcPr>
            <w:tcW w:w="203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r w:rsidRPr="0005009A">
              <w:rPr>
                <w:rFonts w:cs="Arial"/>
                <w:color w:val="000000"/>
                <w:sz w:val="16"/>
                <w:szCs w:val="16"/>
                <w:lang w:eastAsia="en-ZA"/>
              </w:rPr>
              <w:t>Debtors impairment provision at year-end</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single" w:sz="4" w:space="0" w:color="auto"/>
              <w:left w:val="single" w:sz="4" w:space="0" w:color="auto"/>
              <w:bottom w:val="nil"/>
              <w:right w:val="single" w:sz="4" w:space="0" w:color="auto"/>
            </w:tcBorders>
            <w:shd w:val="clear" w:color="auto" w:fill="auto"/>
            <w:noWrap/>
            <w:vAlign w:val="bottom"/>
            <w:hideMark/>
          </w:tcPr>
          <w:p w:rsidR="007C6538" w:rsidRPr="0005009A" w:rsidRDefault="005A368D" w:rsidP="00A14E95">
            <w:pPr>
              <w:jc w:val="right"/>
              <w:rPr>
                <w:rFonts w:cs="Arial"/>
                <w:color w:val="000000"/>
                <w:sz w:val="16"/>
                <w:szCs w:val="16"/>
                <w:lang w:eastAsia="en-ZA"/>
              </w:rPr>
            </w:pPr>
            <w:r>
              <w:rPr>
                <w:rFonts w:cs="Arial"/>
                <w:color w:val="000000"/>
                <w:sz w:val="16"/>
                <w:szCs w:val="16"/>
                <w:lang w:eastAsia="en-ZA"/>
              </w:rPr>
              <w:t>415 455</w:t>
            </w:r>
          </w:p>
        </w:tc>
        <w:tc>
          <w:tcPr>
            <w:tcW w:w="91"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3" w:type="pct"/>
            <w:tcBorders>
              <w:top w:val="single" w:sz="4" w:space="0" w:color="auto"/>
              <w:left w:val="single" w:sz="4" w:space="0" w:color="auto"/>
              <w:bottom w:val="nil"/>
              <w:right w:val="single" w:sz="4" w:space="0" w:color="auto"/>
            </w:tcBorders>
            <w:shd w:val="clear" w:color="auto" w:fill="auto"/>
            <w:noWrap/>
            <w:vAlign w:val="bottom"/>
            <w:hideMark/>
          </w:tcPr>
          <w:p w:rsidR="007C6538" w:rsidRPr="0005009A" w:rsidRDefault="005A368D" w:rsidP="00A14E95">
            <w:pPr>
              <w:jc w:val="right"/>
              <w:rPr>
                <w:rFonts w:cs="Arial"/>
                <w:color w:val="000000"/>
                <w:sz w:val="16"/>
                <w:szCs w:val="16"/>
                <w:lang w:eastAsia="en-ZA"/>
              </w:rPr>
            </w:pPr>
            <w:r>
              <w:rPr>
                <w:rFonts w:cs="Arial"/>
                <w:color w:val="000000"/>
                <w:sz w:val="16"/>
                <w:szCs w:val="16"/>
                <w:lang w:eastAsia="en-ZA"/>
              </w:rPr>
              <w:t>15 680</w:t>
            </w:r>
          </w:p>
        </w:tc>
        <w:tc>
          <w:tcPr>
            <w:tcW w:w="91"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52" w:type="pct"/>
            <w:tcBorders>
              <w:top w:val="nil"/>
              <w:left w:val="single" w:sz="4" w:space="0" w:color="auto"/>
              <w:bottom w:val="single" w:sz="4" w:space="0" w:color="auto"/>
              <w:right w:val="single" w:sz="4" w:space="0" w:color="auto"/>
            </w:tcBorders>
            <w:shd w:val="clear" w:color="auto" w:fill="auto"/>
            <w:noWrap/>
            <w:vAlign w:val="bottom"/>
            <w:hideMark/>
          </w:tcPr>
          <w:p w:rsidR="007C6538" w:rsidRPr="0005009A" w:rsidRDefault="007C6538" w:rsidP="00A14E95">
            <w:pPr>
              <w:jc w:val="right"/>
              <w:rPr>
                <w:rFonts w:cs="Arial"/>
                <w:color w:val="000000"/>
                <w:sz w:val="16"/>
                <w:szCs w:val="16"/>
                <w:lang w:eastAsia="en-ZA"/>
              </w:rPr>
            </w:pPr>
            <w:r>
              <w:rPr>
                <w:rFonts w:cs="Arial"/>
                <w:color w:val="000000"/>
                <w:sz w:val="16"/>
                <w:szCs w:val="16"/>
                <w:lang w:eastAsia="en-ZA"/>
              </w:rPr>
              <w:t>431 135</w:t>
            </w:r>
          </w:p>
        </w:tc>
      </w:tr>
      <w:tr w:rsidR="005A368D" w:rsidRPr="0005009A" w:rsidTr="005A368D">
        <w:trPr>
          <w:trHeight w:val="225"/>
        </w:trPr>
        <w:tc>
          <w:tcPr>
            <w:tcW w:w="2036"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r w:rsidRPr="0005009A">
              <w:rPr>
                <w:rFonts w:cs="Arial"/>
                <w:color w:val="000000"/>
                <w:sz w:val="16"/>
                <w:szCs w:val="16"/>
                <w:lang w:eastAsia="en-ZA"/>
              </w:rPr>
              <w:t>Total revenue for services rendered on credit for the year</w:t>
            </w:r>
          </w:p>
        </w:tc>
        <w:tc>
          <w:tcPr>
            <w:tcW w:w="84"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368D" w:rsidRPr="0005009A" w:rsidRDefault="005A368D" w:rsidP="00A14E95">
            <w:pPr>
              <w:jc w:val="right"/>
              <w:rPr>
                <w:rFonts w:cs="Arial"/>
                <w:color w:val="000000"/>
                <w:sz w:val="16"/>
                <w:szCs w:val="16"/>
                <w:lang w:eastAsia="en-ZA"/>
              </w:rPr>
            </w:pPr>
            <w:r>
              <w:rPr>
                <w:rFonts w:cs="Arial"/>
                <w:color w:val="000000"/>
                <w:sz w:val="16"/>
                <w:szCs w:val="16"/>
                <w:lang w:eastAsia="en-ZA"/>
              </w:rPr>
              <w:t>7 100 219</w:t>
            </w:r>
          </w:p>
        </w:tc>
        <w:tc>
          <w:tcPr>
            <w:tcW w:w="91" w:type="pct"/>
            <w:tcBorders>
              <w:top w:val="nil"/>
              <w:left w:val="nil"/>
              <w:bottom w:val="nil"/>
              <w:right w:val="nil"/>
            </w:tcBorders>
            <w:shd w:val="clear" w:color="auto" w:fill="auto"/>
            <w:noWrap/>
            <w:vAlign w:val="bottom"/>
            <w:hideMark/>
          </w:tcPr>
          <w:p w:rsidR="005A368D" w:rsidRPr="0005009A" w:rsidRDefault="005A368D" w:rsidP="00A14E95">
            <w:pPr>
              <w:jc w:val="right"/>
              <w:rPr>
                <w:rFonts w:cs="Arial"/>
                <w:color w:val="000000"/>
                <w:sz w:val="16"/>
                <w:szCs w:val="16"/>
                <w:lang w:eastAsia="en-ZA"/>
              </w:rPr>
            </w:pPr>
          </w:p>
        </w:tc>
        <w:tc>
          <w:tcPr>
            <w:tcW w:w="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368D" w:rsidRPr="00684C5C" w:rsidRDefault="005A368D" w:rsidP="00A14E95">
            <w:pPr>
              <w:jc w:val="right"/>
              <w:rPr>
                <w:rFonts w:cs="Arial"/>
                <w:sz w:val="16"/>
                <w:szCs w:val="16"/>
              </w:rPr>
            </w:pPr>
            <w:r>
              <w:rPr>
                <w:rFonts w:cs="Arial"/>
                <w:sz w:val="16"/>
                <w:szCs w:val="16"/>
              </w:rPr>
              <w:t>(</w:t>
            </w:r>
            <w:r w:rsidRPr="00684C5C">
              <w:rPr>
                <w:rFonts w:cs="Arial"/>
                <w:sz w:val="16"/>
                <w:szCs w:val="16"/>
              </w:rPr>
              <w:t>649 367)</w:t>
            </w:r>
          </w:p>
        </w:tc>
        <w:tc>
          <w:tcPr>
            <w:tcW w:w="91" w:type="pct"/>
            <w:tcBorders>
              <w:top w:val="nil"/>
              <w:left w:val="nil"/>
              <w:bottom w:val="nil"/>
              <w:right w:val="nil"/>
            </w:tcBorders>
            <w:shd w:val="clear" w:color="auto" w:fill="auto"/>
            <w:noWrap/>
            <w:vAlign w:val="bottom"/>
            <w:hideMark/>
          </w:tcPr>
          <w:p w:rsidR="005A368D" w:rsidRPr="0005009A" w:rsidRDefault="005A368D" w:rsidP="00A14E95">
            <w:pPr>
              <w:jc w:val="right"/>
              <w:rPr>
                <w:rFonts w:cs="Arial"/>
                <w:color w:val="000000"/>
                <w:sz w:val="16"/>
                <w:szCs w:val="16"/>
                <w:lang w:eastAsia="en-ZA"/>
              </w:rPr>
            </w:pPr>
          </w:p>
        </w:tc>
        <w:tc>
          <w:tcPr>
            <w:tcW w:w="752" w:type="pct"/>
            <w:tcBorders>
              <w:top w:val="nil"/>
              <w:left w:val="single" w:sz="4" w:space="0" w:color="auto"/>
              <w:bottom w:val="single" w:sz="4" w:space="0" w:color="auto"/>
              <w:right w:val="single" w:sz="4" w:space="0" w:color="auto"/>
            </w:tcBorders>
            <w:shd w:val="clear" w:color="auto" w:fill="auto"/>
            <w:noWrap/>
            <w:vAlign w:val="bottom"/>
            <w:hideMark/>
          </w:tcPr>
          <w:p w:rsidR="005A368D" w:rsidRPr="0005009A" w:rsidRDefault="005A368D" w:rsidP="00A14E95">
            <w:pPr>
              <w:jc w:val="right"/>
              <w:rPr>
                <w:rFonts w:cs="Arial"/>
                <w:color w:val="000000"/>
                <w:sz w:val="16"/>
                <w:szCs w:val="16"/>
                <w:lang w:eastAsia="en-ZA"/>
              </w:rPr>
            </w:pPr>
            <w:r>
              <w:rPr>
                <w:rFonts w:cs="Arial"/>
                <w:color w:val="000000"/>
                <w:sz w:val="16"/>
                <w:szCs w:val="16"/>
                <w:lang w:eastAsia="en-ZA"/>
              </w:rPr>
              <w:t>6 450 852</w:t>
            </w:r>
          </w:p>
        </w:tc>
      </w:tr>
      <w:tr w:rsidR="005A368D" w:rsidRPr="0005009A" w:rsidTr="005A368D">
        <w:trPr>
          <w:trHeight w:val="225"/>
        </w:trPr>
        <w:tc>
          <w:tcPr>
            <w:tcW w:w="2036"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r w:rsidRPr="0005009A">
              <w:rPr>
                <w:rFonts w:cs="Arial"/>
                <w:color w:val="000000"/>
                <w:sz w:val="16"/>
                <w:szCs w:val="16"/>
                <w:lang w:eastAsia="en-ZA"/>
              </w:rPr>
              <w:t>Debtors written-off for the year</w:t>
            </w: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5A368D" w:rsidRPr="0005009A" w:rsidRDefault="005A368D"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753" w:type="pct"/>
            <w:tcBorders>
              <w:top w:val="nil"/>
              <w:left w:val="single" w:sz="4" w:space="0" w:color="auto"/>
              <w:bottom w:val="single" w:sz="4" w:space="0" w:color="auto"/>
              <w:right w:val="single" w:sz="4" w:space="0" w:color="auto"/>
            </w:tcBorders>
            <w:shd w:val="clear" w:color="auto" w:fill="auto"/>
            <w:noWrap/>
            <w:vAlign w:val="bottom"/>
            <w:hideMark/>
          </w:tcPr>
          <w:p w:rsidR="005A368D" w:rsidRPr="0005009A" w:rsidRDefault="001B2390" w:rsidP="00A14E95">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3" w:type="pct"/>
            <w:tcBorders>
              <w:top w:val="nil"/>
              <w:left w:val="single" w:sz="4" w:space="0" w:color="auto"/>
              <w:bottom w:val="single" w:sz="4" w:space="0" w:color="auto"/>
              <w:right w:val="single" w:sz="4" w:space="0" w:color="auto"/>
            </w:tcBorders>
            <w:shd w:val="clear" w:color="auto" w:fill="auto"/>
            <w:noWrap/>
            <w:vAlign w:val="bottom"/>
            <w:hideMark/>
          </w:tcPr>
          <w:p w:rsidR="005A368D" w:rsidRPr="0005009A" w:rsidRDefault="001B2390" w:rsidP="00A14E95">
            <w:pPr>
              <w:jc w:val="right"/>
              <w:rPr>
                <w:rFonts w:cs="Arial"/>
                <w:color w:val="000000"/>
                <w:sz w:val="16"/>
                <w:szCs w:val="16"/>
                <w:lang w:eastAsia="en-ZA"/>
              </w:rPr>
            </w:pPr>
            <w:r>
              <w:rPr>
                <w:rFonts w:cs="Arial"/>
                <w:color w:val="000000"/>
                <w:sz w:val="16"/>
                <w:szCs w:val="16"/>
                <w:lang w:eastAsia="en-ZA"/>
              </w:rPr>
              <w:t>-</w:t>
            </w: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2" w:type="pct"/>
            <w:tcBorders>
              <w:top w:val="nil"/>
              <w:left w:val="single" w:sz="4" w:space="0" w:color="auto"/>
              <w:bottom w:val="single" w:sz="4" w:space="0" w:color="auto"/>
              <w:right w:val="single" w:sz="4" w:space="0" w:color="auto"/>
            </w:tcBorders>
            <w:shd w:val="clear" w:color="auto" w:fill="auto"/>
            <w:noWrap/>
            <w:vAlign w:val="bottom"/>
            <w:hideMark/>
          </w:tcPr>
          <w:p w:rsidR="005A368D" w:rsidRPr="0005009A" w:rsidRDefault="001B2390" w:rsidP="00A14E95">
            <w:pPr>
              <w:jc w:val="right"/>
              <w:rPr>
                <w:rFonts w:cs="Arial"/>
                <w:color w:val="000000"/>
                <w:sz w:val="16"/>
                <w:szCs w:val="16"/>
                <w:lang w:eastAsia="en-ZA"/>
              </w:rPr>
            </w:pPr>
            <w:r>
              <w:rPr>
                <w:rFonts w:cs="Arial"/>
                <w:color w:val="000000"/>
                <w:sz w:val="16"/>
                <w:szCs w:val="16"/>
                <w:lang w:eastAsia="en-ZA"/>
              </w:rPr>
              <w:t>-</w:t>
            </w:r>
          </w:p>
        </w:tc>
      </w:tr>
      <w:tr w:rsidR="005A368D" w:rsidRPr="0005009A" w:rsidTr="005A368D">
        <w:trPr>
          <w:trHeight w:val="225"/>
        </w:trPr>
        <w:tc>
          <w:tcPr>
            <w:tcW w:w="2036"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r>
      <w:tr w:rsidR="005A368D" w:rsidRPr="0005009A" w:rsidTr="005A368D">
        <w:trPr>
          <w:trHeight w:val="225"/>
        </w:trPr>
        <w:tc>
          <w:tcPr>
            <w:tcW w:w="2036"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5A368D" w:rsidRPr="0005009A" w:rsidRDefault="005A368D" w:rsidP="00A14E95">
            <w:pPr>
              <w:jc w:val="center"/>
              <w:rPr>
                <w:rFonts w:cs="Arial"/>
                <w:b/>
                <w:bCs/>
                <w:sz w:val="16"/>
                <w:szCs w:val="16"/>
                <w:lang w:eastAsia="en-ZA"/>
              </w:rPr>
            </w:pPr>
            <w:r w:rsidRPr="0005009A">
              <w:rPr>
                <w:rFonts w:cs="Arial"/>
                <w:b/>
                <w:bCs/>
                <w:sz w:val="16"/>
                <w:szCs w:val="16"/>
                <w:lang w:eastAsia="en-ZA"/>
              </w:rPr>
              <w:t xml:space="preserve"> 2011/12 </w:t>
            </w:r>
          </w:p>
        </w:tc>
      </w:tr>
      <w:tr w:rsidR="005A368D" w:rsidRPr="0005009A" w:rsidTr="005A368D">
        <w:trPr>
          <w:trHeight w:val="225"/>
        </w:trPr>
        <w:tc>
          <w:tcPr>
            <w:tcW w:w="2036"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jc w:val="center"/>
              <w:rPr>
                <w:rFonts w:cs="Arial"/>
                <w:b/>
                <w:bCs/>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5A368D" w:rsidRPr="0005009A" w:rsidRDefault="005A368D" w:rsidP="00A14E95">
            <w:pPr>
              <w:jc w:val="center"/>
              <w:rPr>
                <w:rFonts w:cs="Arial"/>
                <w:b/>
                <w:bCs/>
                <w:sz w:val="16"/>
                <w:szCs w:val="16"/>
                <w:lang w:eastAsia="en-ZA"/>
              </w:rPr>
            </w:pPr>
            <w:r w:rsidRPr="0005009A">
              <w:rPr>
                <w:rFonts w:cs="Arial"/>
                <w:b/>
                <w:bCs/>
                <w:sz w:val="16"/>
                <w:szCs w:val="16"/>
                <w:lang w:eastAsia="en-ZA"/>
              </w:rPr>
              <w:t xml:space="preserve"> Days </w:t>
            </w:r>
          </w:p>
        </w:tc>
      </w:tr>
      <w:tr w:rsidR="005A368D" w:rsidRPr="0005009A" w:rsidTr="005A368D">
        <w:trPr>
          <w:trHeight w:val="129"/>
        </w:trPr>
        <w:tc>
          <w:tcPr>
            <w:tcW w:w="2036"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r w:rsidRPr="0005009A">
              <w:rPr>
                <w:rFonts w:cs="Arial"/>
                <w:b/>
                <w:bCs/>
                <w:color w:val="000000"/>
                <w:sz w:val="16"/>
                <w:szCs w:val="16"/>
                <w:lang w:eastAsia="en-ZA"/>
              </w:rPr>
              <w:t>Debtor-collection period (Days)</w:t>
            </w:r>
            <w:r w:rsidRPr="0005009A">
              <w:rPr>
                <w:rFonts w:cs="Arial"/>
                <w:color w:val="000000"/>
                <w:sz w:val="16"/>
                <w:szCs w:val="16"/>
                <w:lang w:eastAsia="en-ZA"/>
              </w:rPr>
              <w:br/>
              <w:t>(Accounts receivable [before impairment] ÷ Total revenue for services rendered on credit x 365)</w:t>
            </w: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5A368D" w:rsidRPr="0005009A" w:rsidRDefault="005A368D" w:rsidP="00A14E95">
            <w:pPr>
              <w:jc w:val="center"/>
              <w:rPr>
                <w:rFonts w:cs="Arial"/>
                <w:b/>
                <w:bCs/>
                <w:color w:val="000000"/>
                <w:sz w:val="16"/>
                <w:szCs w:val="16"/>
                <w:lang w:eastAsia="en-ZA"/>
              </w:rPr>
            </w:pPr>
            <w:r w:rsidRPr="0005009A">
              <w:rPr>
                <w:rFonts w:cs="Arial"/>
                <w:b/>
                <w:bCs/>
                <w:color w:val="000000"/>
                <w:sz w:val="16"/>
                <w:szCs w:val="16"/>
                <w:lang w:eastAsia="en-ZA"/>
              </w:rPr>
              <w:t>3.i</w:t>
            </w: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2"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5A368D" w:rsidRPr="0005009A" w:rsidRDefault="005A368D" w:rsidP="00A14E95">
            <w:pPr>
              <w:jc w:val="right"/>
              <w:rPr>
                <w:rFonts w:cs="Arial"/>
                <w:b/>
                <w:bCs/>
                <w:color w:val="000000"/>
                <w:sz w:val="16"/>
                <w:szCs w:val="16"/>
                <w:lang w:eastAsia="en-ZA"/>
              </w:rPr>
            </w:pPr>
            <w:r>
              <w:rPr>
                <w:rFonts w:cs="Arial"/>
                <w:b/>
                <w:bCs/>
                <w:color w:val="000000"/>
                <w:sz w:val="16"/>
                <w:szCs w:val="16"/>
                <w:lang w:eastAsia="en-ZA"/>
              </w:rPr>
              <w:t>2</w:t>
            </w:r>
            <w:r w:rsidR="001B2390">
              <w:rPr>
                <w:rFonts w:cs="Arial"/>
                <w:b/>
                <w:bCs/>
                <w:color w:val="000000"/>
                <w:sz w:val="16"/>
                <w:szCs w:val="16"/>
                <w:lang w:eastAsia="en-ZA"/>
              </w:rPr>
              <w:t>41</w:t>
            </w:r>
            <w:r w:rsidR="008D1107">
              <w:rPr>
                <w:rStyle w:val="FootnoteReference"/>
                <w:rFonts w:cs="Arial"/>
                <w:b/>
                <w:bCs/>
                <w:color w:val="000000"/>
                <w:sz w:val="16"/>
                <w:szCs w:val="16"/>
                <w:lang w:eastAsia="en-ZA"/>
              </w:rPr>
              <w:footnoteReference w:id="4"/>
            </w:r>
          </w:p>
        </w:tc>
      </w:tr>
      <w:tr w:rsidR="005A368D" w:rsidRPr="0005009A" w:rsidTr="005A368D">
        <w:trPr>
          <w:trHeight w:val="225"/>
        </w:trPr>
        <w:tc>
          <w:tcPr>
            <w:tcW w:w="2036"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5A368D" w:rsidRPr="0005009A" w:rsidRDefault="005A368D"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r>
      <w:tr w:rsidR="005A368D" w:rsidRPr="0005009A" w:rsidTr="005A368D">
        <w:trPr>
          <w:trHeight w:val="225"/>
        </w:trPr>
        <w:tc>
          <w:tcPr>
            <w:tcW w:w="2036"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5A368D" w:rsidRPr="0005009A" w:rsidRDefault="005A368D"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5A368D" w:rsidRPr="0005009A" w:rsidRDefault="005A368D" w:rsidP="00A14E95">
            <w:pPr>
              <w:jc w:val="center"/>
              <w:rPr>
                <w:rFonts w:cs="Arial"/>
                <w:b/>
                <w:bCs/>
                <w:sz w:val="16"/>
                <w:szCs w:val="16"/>
                <w:lang w:eastAsia="en-ZA"/>
              </w:rPr>
            </w:pPr>
            <w:r w:rsidRPr="0005009A">
              <w:rPr>
                <w:rFonts w:cs="Arial"/>
                <w:b/>
                <w:bCs/>
                <w:sz w:val="16"/>
                <w:szCs w:val="16"/>
                <w:lang w:eastAsia="en-ZA"/>
              </w:rPr>
              <w:t xml:space="preserve"> 2011/12 </w:t>
            </w:r>
          </w:p>
        </w:tc>
      </w:tr>
      <w:tr w:rsidR="005A368D" w:rsidRPr="0005009A" w:rsidTr="005A368D">
        <w:trPr>
          <w:trHeight w:val="225"/>
        </w:trPr>
        <w:tc>
          <w:tcPr>
            <w:tcW w:w="2036"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5A368D" w:rsidRPr="0005009A" w:rsidRDefault="005A368D"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2" w:type="pct"/>
            <w:tcBorders>
              <w:top w:val="nil"/>
              <w:left w:val="nil"/>
              <w:bottom w:val="nil"/>
              <w:right w:val="nil"/>
            </w:tcBorders>
            <w:shd w:val="clear" w:color="auto" w:fill="auto"/>
            <w:noWrap/>
            <w:vAlign w:val="bottom"/>
            <w:hideMark/>
          </w:tcPr>
          <w:p w:rsidR="005A368D" w:rsidRPr="0005009A" w:rsidRDefault="005A368D" w:rsidP="00A14E95">
            <w:pPr>
              <w:jc w:val="center"/>
              <w:rPr>
                <w:rFonts w:cs="Arial"/>
                <w:b/>
                <w:bCs/>
                <w:sz w:val="16"/>
                <w:szCs w:val="16"/>
                <w:lang w:eastAsia="en-ZA"/>
              </w:rPr>
            </w:pPr>
            <w:r w:rsidRPr="0005009A">
              <w:rPr>
                <w:rFonts w:cs="Arial"/>
                <w:b/>
                <w:bCs/>
                <w:sz w:val="16"/>
                <w:szCs w:val="16"/>
                <w:lang w:eastAsia="en-ZA"/>
              </w:rPr>
              <w:t xml:space="preserve"> % </w:t>
            </w:r>
          </w:p>
        </w:tc>
      </w:tr>
      <w:tr w:rsidR="005A368D" w:rsidRPr="0005009A" w:rsidTr="005A368D">
        <w:trPr>
          <w:trHeight w:val="70"/>
        </w:trPr>
        <w:tc>
          <w:tcPr>
            <w:tcW w:w="2036"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r w:rsidRPr="0005009A">
              <w:rPr>
                <w:rFonts w:cs="Arial"/>
                <w:color w:val="000000"/>
                <w:sz w:val="16"/>
                <w:szCs w:val="16"/>
                <w:lang w:eastAsia="en-ZA"/>
              </w:rPr>
              <w:t>Debtors impairment provision at year-end as a percentage of accounts receivable</w:t>
            </w: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5A368D" w:rsidRPr="0005009A" w:rsidRDefault="005A368D" w:rsidP="00A14E95">
            <w:pPr>
              <w:jc w:val="center"/>
              <w:rPr>
                <w:rFonts w:cs="Arial"/>
                <w:b/>
                <w:bCs/>
                <w:color w:val="000000"/>
                <w:sz w:val="16"/>
                <w:szCs w:val="16"/>
                <w:lang w:eastAsia="en-ZA"/>
              </w:rPr>
            </w:pPr>
            <w:r w:rsidRPr="0005009A">
              <w:rPr>
                <w:rFonts w:cs="Arial"/>
                <w:b/>
                <w:bCs/>
                <w:color w:val="000000"/>
                <w:sz w:val="16"/>
                <w:szCs w:val="16"/>
                <w:lang w:eastAsia="en-ZA"/>
              </w:rPr>
              <w:t>3.ii</w:t>
            </w: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2"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5A368D" w:rsidRPr="0005009A" w:rsidRDefault="005A368D" w:rsidP="00A14E95">
            <w:pPr>
              <w:jc w:val="right"/>
              <w:rPr>
                <w:rFonts w:cs="Arial"/>
                <w:b/>
                <w:bCs/>
                <w:color w:val="000000"/>
                <w:sz w:val="16"/>
                <w:szCs w:val="16"/>
                <w:lang w:eastAsia="en-ZA"/>
              </w:rPr>
            </w:pPr>
            <w:r>
              <w:rPr>
                <w:rFonts w:cs="Arial"/>
                <w:b/>
                <w:bCs/>
                <w:color w:val="000000"/>
                <w:sz w:val="16"/>
                <w:szCs w:val="16"/>
                <w:lang w:eastAsia="en-ZA"/>
              </w:rPr>
              <w:t>10</w:t>
            </w:r>
          </w:p>
        </w:tc>
      </w:tr>
      <w:tr w:rsidR="005A368D" w:rsidRPr="0005009A" w:rsidTr="005A368D">
        <w:trPr>
          <w:trHeight w:val="70"/>
        </w:trPr>
        <w:tc>
          <w:tcPr>
            <w:tcW w:w="2036"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r w:rsidRPr="0005009A">
              <w:rPr>
                <w:rFonts w:cs="Arial"/>
                <w:color w:val="000000"/>
                <w:sz w:val="16"/>
                <w:szCs w:val="16"/>
                <w:lang w:eastAsia="en-ZA"/>
              </w:rPr>
              <w:t>Debtors written-off for the year as a percentage of total revenue for services rendered on credit for the year</w:t>
            </w: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5A368D" w:rsidRPr="0005009A" w:rsidRDefault="005A368D" w:rsidP="00A14E95">
            <w:pPr>
              <w:jc w:val="center"/>
              <w:rPr>
                <w:rFonts w:cs="Arial"/>
                <w:b/>
                <w:bCs/>
                <w:color w:val="000000"/>
                <w:sz w:val="16"/>
                <w:szCs w:val="16"/>
                <w:lang w:eastAsia="en-ZA"/>
              </w:rPr>
            </w:pPr>
            <w:r w:rsidRPr="0005009A">
              <w:rPr>
                <w:rFonts w:cs="Arial"/>
                <w:b/>
                <w:bCs/>
                <w:color w:val="000000"/>
                <w:sz w:val="16"/>
                <w:szCs w:val="16"/>
                <w:lang w:eastAsia="en-ZA"/>
              </w:rPr>
              <w:t>3.iii</w:t>
            </w:r>
          </w:p>
        </w:tc>
        <w:tc>
          <w:tcPr>
            <w:tcW w:w="84" w:type="pct"/>
            <w:tcBorders>
              <w:top w:val="nil"/>
              <w:left w:val="nil"/>
              <w:bottom w:val="nil"/>
              <w:right w:val="nil"/>
            </w:tcBorders>
            <w:shd w:val="clear" w:color="auto" w:fill="auto"/>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3"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91" w:type="pct"/>
            <w:tcBorders>
              <w:top w:val="nil"/>
              <w:left w:val="nil"/>
              <w:bottom w:val="nil"/>
              <w:right w:val="nil"/>
            </w:tcBorders>
            <w:shd w:val="clear" w:color="auto" w:fill="auto"/>
            <w:noWrap/>
            <w:vAlign w:val="bottom"/>
            <w:hideMark/>
          </w:tcPr>
          <w:p w:rsidR="005A368D" w:rsidRPr="0005009A" w:rsidRDefault="005A368D" w:rsidP="00A14E95">
            <w:pPr>
              <w:rPr>
                <w:rFonts w:cs="Arial"/>
                <w:color w:val="000000"/>
                <w:sz w:val="16"/>
                <w:szCs w:val="16"/>
                <w:lang w:eastAsia="en-ZA"/>
              </w:rPr>
            </w:pPr>
          </w:p>
        </w:tc>
        <w:tc>
          <w:tcPr>
            <w:tcW w:w="752" w:type="pct"/>
            <w:tcBorders>
              <w:top w:val="nil"/>
              <w:left w:val="single" w:sz="4" w:space="0" w:color="auto"/>
              <w:bottom w:val="single" w:sz="4" w:space="0" w:color="auto"/>
              <w:right w:val="single" w:sz="4" w:space="0" w:color="auto"/>
            </w:tcBorders>
            <w:shd w:val="clear" w:color="000000" w:fill="C5D9F1"/>
            <w:noWrap/>
            <w:vAlign w:val="bottom"/>
            <w:hideMark/>
          </w:tcPr>
          <w:p w:rsidR="005A368D" w:rsidRPr="0005009A" w:rsidRDefault="005A368D" w:rsidP="00A14E95">
            <w:pPr>
              <w:jc w:val="right"/>
              <w:rPr>
                <w:rFonts w:cs="Arial"/>
                <w:b/>
                <w:bCs/>
                <w:color w:val="000000"/>
                <w:sz w:val="16"/>
                <w:szCs w:val="16"/>
                <w:lang w:eastAsia="en-ZA"/>
              </w:rPr>
            </w:pPr>
            <w:r w:rsidRPr="0005009A">
              <w:rPr>
                <w:rFonts w:cs="Arial"/>
                <w:b/>
                <w:bCs/>
                <w:color w:val="000000"/>
                <w:sz w:val="16"/>
                <w:szCs w:val="16"/>
                <w:lang w:eastAsia="en-ZA"/>
              </w:rPr>
              <w:t>-</w:t>
            </w:r>
          </w:p>
        </w:tc>
      </w:tr>
    </w:tbl>
    <w:p w:rsidR="007C6538" w:rsidRPr="0005009A" w:rsidRDefault="007C6538" w:rsidP="007C6538">
      <w:pPr>
        <w:ind w:left="567" w:hanging="567"/>
        <w:rPr>
          <w:rFonts w:eastAsia="MS Mincho" w:cs="Arial"/>
          <w:b/>
        </w:rPr>
      </w:pPr>
    </w:p>
    <w:p w:rsidR="007C6538" w:rsidRPr="0005009A" w:rsidRDefault="007C6538" w:rsidP="007C6538">
      <w:pPr>
        <w:ind w:left="567" w:hanging="567"/>
        <w:rPr>
          <w:rFonts w:eastAsia="MS Mincho" w:cs="Arial"/>
          <w:b/>
          <w:sz w:val="4"/>
          <w:szCs w:val="4"/>
        </w:rPr>
      </w:pPr>
      <w:r w:rsidRPr="0005009A">
        <w:rPr>
          <w:rFonts w:eastAsia="MS Mincho" w:cs="Arial"/>
          <w:b/>
        </w:rPr>
        <w:br w:type="page"/>
      </w:r>
    </w:p>
    <w:p w:rsidR="007C6538" w:rsidRPr="0005009A" w:rsidRDefault="007C6538" w:rsidP="007C6538">
      <w:pPr>
        <w:pBdr>
          <w:top w:val="single" w:sz="4" w:space="1" w:color="auto"/>
          <w:left w:val="single" w:sz="4" w:space="4" w:color="auto"/>
          <w:bottom w:val="single" w:sz="4" w:space="1" w:color="auto"/>
          <w:right w:val="single" w:sz="4" w:space="4" w:color="auto"/>
        </w:pBdr>
        <w:shd w:val="clear" w:color="auto" w:fill="8DB3E2"/>
        <w:ind w:left="567" w:hanging="567"/>
        <w:jc w:val="center"/>
        <w:rPr>
          <w:rFonts w:eastAsia="MS Mincho" w:cs="Arial"/>
          <w:b/>
        </w:rPr>
      </w:pPr>
      <w:r w:rsidRPr="0005009A">
        <w:rPr>
          <w:rFonts w:eastAsia="MS Mincho" w:cs="Arial"/>
          <w:b/>
        </w:rPr>
        <w:lastRenderedPageBreak/>
        <w:t>ASSET AND LIABILITY MANAGEMENT</w:t>
      </w:r>
    </w:p>
    <w:p w:rsidR="007C6538" w:rsidRPr="00DE363C" w:rsidRDefault="007C6538" w:rsidP="007C6538">
      <w:pPr>
        <w:ind w:left="567" w:hanging="567"/>
        <w:rPr>
          <w:rFonts w:eastAsia="MS Mincho" w:cs="Arial"/>
          <w:b/>
          <w:sz w:val="10"/>
          <w:szCs w:val="10"/>
        </w:rPr>
      </w:pPr>
    </w:p>
    <w:tbl>
      <w:tblPr>
        <w:tblW w:w="5000" w:type="pct"/>
        <w:tblLook w:val="04A0"/>
      </w:tblPr>
      <w:tblGrid>
        <w:gridCol w:w="5012"/>
        <w:gridCol w:w="222"/>
        <w:gridCol w:w="938"/>
        <w:gridCol w:w="222"/>
        <w:gridCol w:w="1845"/>
        <w:gridCol w:w="222"/>
        <w:gridCol w:w="1834"/>
        <w:gridCol w:w="222"/>
        <w:gridCol w:w="2659"/>
      </w:tblGrid>
      <w:tr w:rsidR="007C6538" w:rsidRPr="0005009A" w:rsidTr="004B6143">
        <w:trPr>
          <w:trHeight w:val="80"/>
          <w:tblHeader/>
        </w:trPr>
        <w:tc>
          <w:tcPr>
            <w:tcW w:w="1902" w:type="pct"/>
            <w:shd w:val="clear" w:color="000000" w:fill="auto"/>
            <w:vAlign w:val="bottom"/>
            <w:hideMark/>
          </w:tcPr>
          <w:p w:rsidR="007C6538" w:rsidRPr="0005009A" w:rsidRDefault="007C6538" w:rsidP="00A14E95">
            <w:pPr>
              <w:rPr>
                <w:rFonts w:cs="Arial"/>
                <w:b/>
                <w:bCs/>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Indicator reference</w:t>
            </w: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00" w:type="pct"/>
            <w:tcBorders>
              <w:top w:val="nil"/>
              <w:left w:val="nil"/>
              <w:bottom w:val="nil"/>
              <w:right w:val="nil"/>
            </w:tcBorders>
            <w:shd w:val="clear" w:color="000000" w:fill="BFBFBF"/>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Financial statements amounts</w:t>
            </w: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696" w:type="pct"/>
            <w:tcBorders>
              <w:top w:val="nil"/>
              <w:left w:val="nil"/>
              <w:bottom w:val="nil"/>
              <w:right w:val="nil"/>
            </w:tcBorders>
            <w:shd w:val="clear" w:color="000000" w:fill="BFBFBF"/>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Adjustments for material uncorrected misstatements</w:t>
            </w:r>
          </w:p>
        </w:tc>
        <w:tc>
          <w:tcPr>
            <w:tcW w:w="84" w:type="pct"/>
            <w:tcBorders>
              <w:top w:val="nil"/>
              <w:left w:val="nil"/>
              <w:bottom w:val="nil"/>
              <w:right w:val="nil"/>
            </w:tcBorders>
            <w:shd w:val="clear" w:color="auto" w:fill="auto"/>
            <w:vAlign w:val="bottom"/>
            <w:hideMark/>
          </w:tcPr>
          <w:p w:rsidR="007C6538" w:rsidRPr="0005009A" w:rsidRDefault="007C6538" w:rsidP="00A14E95">
            <w:pPr>
              <w:rPr>
                <w:rFonts w:cs="Arial"/>
                <w:b/>
                <w:bCs/>
                <w:color w:val="000000"/>
                <w:sz w:val="16"/>
                <w:szCs w:val="16"/>
                <w:lang w:eastAsia="en-ZA"/>
              </w:rPr>
            </w:pPr>
          </w:p>
        </w:tc>
        <w:tc>
          <w:tcPr>
            <w:tcW w:w="1009" w:type="pct"/>
            <w:tcBorders>
              <w:top w:val="nil"/>
              <w:left w:val="nil"/>
              <w:bottom w:val="nil"/>
              <w:right w:val="nil"/>
            </w:tcBorders>
            <w:shd w:val="clear" w:color="000000" w:fill="BFBFBF"/>
            <w:vAlign w:val="bottom"/>
            <w:hideMark/>
          </w:tcPr>
          <w:p w:rsidR="007C6538" w:rsidRPr="0005009A" w:rsidRDefault="007C6538" w:rsidP="00A14E95">
            <w:pPr>
              <w:jc w:val="center"/>
              <w:rPr>
                <w:rFonts w:cs="Arial"/>
                <w:b/>
                <w:bCs/>
                <w:color w:val="000000"/>
                <w:sz w:val="16"/>
                <w:szCs w:val="16"/>
                <w:lang w:eastAsia="en-ZA"/>
              </w:rPr>
            </w:pPr>
            <w:r w:rsidRPr="0005009A">
              <w:rPr>
                <w:rFonts w:cs="Arial"/>
                <w:b/>
                <w:bCs/>
                <w:color w:val="000000"/>
                <w:sz w:val="16"/>
                <w:szCs w:val="16"/>
                <w:lang w:eastAsia="en-ZA"/>
              </w:rPr>
              <w:t>Financial statements amounts after adjustments for material uncorrected misstatements</w:t>
            </w:r>
          </w:p>
        </w:tc>
      </w:tr>
      <w:tr w:rsidR="007C6538" w:rsidRPr="0005009A" w:rsidTr="004B6143">
        <w:trPr>
          <w:trHeight w:val="225"/>
        </w:trPr>
        <w:tc>
          <w:tcPr>
            <w:tcW w:w="1902"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color w:val="000000"/>
                <w:sz w:val="16"/>
                <w:szCs w:val="16"/>
                <w:lang w:eastAsia="en-ZA"/>
              </w:rPr>
            </w:pPr>
          </w:p>
        </w:tc>
        <w:tc>
          <w:tcPr>
            <w:tcW w:w="700"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696"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1009"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2011/12 </w:t>
            </w:r>
          </w:p>
        </w:tc>
      </w:tr>
      <w:tr w:rsidR="007C6538" w:rsidRPr="0005009A" w:rsidTr="004B6143">
        <w:trPr>
          <w:trHeight w:val="225"/>
        </w:trPr>
        <w:tc>
          <w:tcPr>
            <w:tcW w:w="1902"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7C6538" w:rsidRPr="0005009A" w:rsidRDefault="007C6538" w:rsidP="00A14E95">
            <w:pPr>
              <w:rPr>
                <w:rFonts w:cs="Arial"/>
                <w:color w:val="000000"/>
                <w:sz w:val="16"/>
                <w:szCs w:val="16"/>
                <w:lang w:eastAsia="en-ZA"/>
              </w:rPr>
            </w:pPr>
          </w:p>
        </w:tc>
        <w:tc>
          <w:tcPr>
            <w:tcW w:w="700"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696"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c>
          <w:tcPr>
            <w:tcW w:w="84"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color w:val="000000"/>
                <w:sz w:val="16"/>
                <w:szCs w:val="16"/>
                <w:lang w:eastAsia="en-ZA"/>
              </w:rPr>
            </w:pPr>
          </w:p>
        </w:tc>
        <w:tc>
          <w:tcPr>
            <w:tcW w:w="1009" w:type="pct"/>
            <w:tcBorders>
              <w:top w:val="nil"/>
              <w:left w:val="nil"/>
              <w:bottom w:val="nil"/>
              <w:right w:val="nil"/>
            </w:tcBorders>
            <w:shd w:val="clear" w:color="auto" w:fill="auto"/>
            <w:noWrap/>
            <w:vAlign w:val="bottom"/>
            <w:hideMark/>
          </w:tcPr>
          <w:p w:rsidR="007C6538" w:rsidRPr="0005009A" w:rsidRDefault="007C6538" w:rsidP="00A14E95">
            <w:pPr>
              <w:jc w:val="center"/>
              <w:rPr>
                <w:rFonts w:cs="Arial"/>
                <w:b/>
                <w:bCs/>
                <w:sz w:val="16"/>
                <w:szCs w:val="16"/>
                <w:lang w:eastAsia="en-ZA"/>
              </w:rPr>
            </w:pPr>
            <w:r w:rsidRPr="0005009A">
              <w:rPr>
                <w:rFonts w:cs="Arial"/>
                <w:b/>
                <w:bCs/>
                <w:sz w:val="16"/>
                <w:szCs w:val="16"/>
                <w:lang w:eastAsia="en-ZA"/>
              </w:rPr>
              <w:t xml:space="preserve"> R'000 </w:t>
            </w:r>
          </w:p>
        </w:tc>
      </w:tr>
      <w:tr w:rsidR="004B6143" w:rsidRPr="0005009A" w:rsidTr="004B6143">
        <w:trPr>
          <w:trHeight w:val="225"/>
        </w:trPr>
        <w:tc>
          <w:tcPr>
            <w:tcW w:w="1902"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r w:rsidRPr="0005009A">
              <w:rPr>
                <w:rFonts w:cs="Arial"/>
                <w:color w:val="000000"/>
                <w:sz w:val="16"/>
                <w:szCs w:val="16"/>
                <w:lang w:eastAsia="en-ZA"/>
              </w:rPr>
              <w:t>Total revenue</w:t>
            </w:r>
            <w:r w:rsidR="003262F8">
              <w:rPr>
                <w:rFonts w:cs="Arial"/>
                <w:color w:val="000000"/>
                <w:sz w:val="16"/>
                <w:szCs w:val="16"/>
                <w:lang w:eastAsia="en-ZA"/>
              </w:rPr>
              <w:t xml:space="preserve"> and other income</w:t>
            </w:r>
            <w:r w:rsidRPr="0005009A">
              <w:rPr>
                <w:rFonts w:cs="Arial"/>
                <w:color w:val="000000"/>
                <w:sz w:val="16"/>
                <w:szCs w:val="16"/>
                <w:lang w:eastAsia="en-ZA"/>
              </w:rPr>
              <w:t xml:space="preserve"> for the year</w:t>
            </w:r>
          </w:p>
        </w:tc>
        <w:tc>
          <w:tcPr>
            <w:tcW w:w="84"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700" w:type="pct"/>
            <w:tcBorders>
              <w:top w:val="single" w:sz="4" w:space="0" w:color="auto"/>
              <w:left w:val="single" w:sz="4" w:space="0" w:color="auto"/>
              <w:bottom w:val="nil"/>
              <w:right w:val="single" w:sz="4" w:space="0" w:color="auto"/>
            </w:tcBorders>
            <w:shd w:val="clear" w:color="auto" w:fill="auto"/>
            <w:noWrap/>
            <w:vAlign w:val="bottom"/>
            <w:hideMark/>
          </w:tcPr>
          <w:p w:rsidR="004B6143" w:rsidRPr="0005009A" w:rsidRDefault="003262F8" w:rsidP="00A14E95">
            <w:pPr>
              <w:jc w:val="right"/>
              <w:rPr>
                <w:rFonts w:cs="Arial"/>
                <w:color w:val="000000"/>
                <w:sz w:val="16"/>
                <w:szCs w:val="16"/>
                <w:lang w:eastAsia="en-ZA"/>
              </w:rPr>
            </w:pPr>
            <w:r>
              <w:rPr>
                <w:rFonts w:cs="Arial"/>
                <w:color w:val="000000"/>
                <w:sz w:val="16"/>
                <w:szCs w:val="16"/>
                <w:lang w:eastAsia="en-ZA"/>
              </w:rPr>
              <w:t>7 191 355</w:t>
            </w:r>
          </w:p>
        </w:tc>
        <w:tc>
          <w:tcPr>
            <w:tcW w:w="84" w:type="pct"/>
            <w:tcBorders>
              <w:top w:val="nil"/>
              <w:left w:val="nil"/>
              <w:bottom w:val="nil"/>
              <w:right w:val="nil"/>
            </w:tcBorders>
            <w:shd w:val="clear" w:color="auto" w:fill="auto"/>
            <w:noWrap/>
            <w:vAlign w:val="bottom"/>
            <w:hideMark/>
          </w:tcPr>
          <w:p w:rsidR="004B6143" w:rsidRPr="0005009A" w:rsidRDefault="004B6143" w:rsidP="00A14E95">
            <w:pPr>
              <w:jc w:val="right"/>
              <w:rPr>
                <w:rFonts w:cs="Arial"/>
                <w:color w:val="000000"/>
                <w:sz w:val="16"/>
                <w:szCs w:val="16"/>
                <w:lang w:eastAsia="en-ZA"/>
              </w:rPr>
            </w:pPr>
          </w:p>
        </w:tc>
        <w:tc>
          <w:tcPr>
            <w:tcW w:w="696" w:type="pct"/>
            <w:tcBorders>
              <w:top w:val="single" w:sz="4" w:space="0" w:color="auto"/>
              <w:left w:val="single" w:sz="4" w:space="0" w:color="auto"/>
              <w:bottom w:val="nil"/>
              <w:right w:val="single" w:sz="4" w:space="0" w:color="auto"/>
            </w:tcBorders>
            <w:shd w:val="clear" w:color="auto" w:fill="auto"/>
            <w:noWrap/>
            <w:vAlign w:val="bottom"/>
            <w:hideMark/>
          </w:tcPr>
          <w:p w:rsidR="004B6143" w:rsidRPr="00684C5C" w:rsidRDefault="003262F8" w:rsidP="00A14E95">
            <w:pPr>
              <w:jc w:val="right"/>
              <w:rPr>
                <w:rFonts w:cs="Arial"/>
                <w:sz w:val="16"/>
                <w:szCs w:val="16"/>
              </w:rPr>
            </w:pPr>
            <w:r>
              <w:rPr>
                <w:rFonts w:cs="Arial"/>
                <w:sz w:val="16"/>
                <w:szCs w:val="16"/>
              </w:rPr>
              <w:t>(76 216)</w:t>
            </w:r>
          </w:p>
        </w:tc>
        <w:tc>
          <w:tcPr>
            <w:tcW w:w="84" w:type="pct"/>
            <w:tcBorders>
              <w:top w:val="nil"/>
              <w:left w:val="nil"/>
              <w:bottom w:val="nil"/>
              <w:right w:val="nil"/>
            </w:tcBorders>
            <w:shd w:val="clear" w:color="auto" w:fill="auto"/>
            <w:noWrap/>
            <w:vAlign w:val="bottom"/>
            <w:hideMark/>
          </w:tcPr>
          <w:p w:rsidR="004B6143" w:rsidRPr="0005009A" w:rsidRDefault="004B6143" w:rsidP="00A14E95">
            <w:pPr>
              <w:jc w:val="right"/>
              <w:rPr>
                <w:rFonts w:cs="Arial"/>
                <w:color w:val="000000"/>
                <w:sz w:val="16"/>
                <w:szCs w:val="16"/>
                <w:lang w:eastAsia="en-ZA"/>
              </w:rPr>
            </w:pPr>
          </w:p>
        </w:tc>
        <w:tc>
          <w:tcPr>
            <w:tcW w:w="1009" w:type="pct"/>
            <w:tcBorders>
              <w:top w:val="single" w:sz="4" w:space="0" w:color="auto"/>
              <w:left w:val="single" w:sz="4" w:space="0" w:color="auto"/>
              <w:bottom w:val="nil"/>
              <w:right w:val="single" w:sz="4" w:space="0" w:color="auto"/>
            </w:tcBorders>
            <w:shd w:val="clear" w:color="auto" w:fill="auto"/>
            <w:noWrap/>
            <w:vAlign w:val="bottom"/>
            <w:hideMark/>
          </w:tcPr>
          <w:p w:rsidR="004B6143" w:rsidRPr="0005009A" w:rsidRDefault="003262F8" w:rsidP="00A14E95">
            <w:pPr>
              <w:jc w:val="right"/>
              <w:rPr>
                <w:rFonts w:cs="Arial"/>
                <w:color w:val="000000"/>
                <w:sz w:val="16"/>
                <w:szCs w:val="16"/>
                <w:lang w:eastAsia="en-ZA"/>
              </w:rPr>
            </w:pPr>
            <w:r>
              <w:rPr>
                <w:rFonts w:cs="Arial"/>
                <w:color w:val="000000"/>
                <w:sz w:val="16"/>
                <w:szCs w:val="16"/>
                <w:lang w:eastAsia="en-ZA"/>
              </w:rPr>
              <w:t>7 115 139</w:t>
            </w:r>
          </w:p>
        </w:tc>
      </w:tr>
      <w:tr w:rsidR="004B6143" w:rsidRPr="0005009A" w:rsidTr="004B6143">
        <w:trPr>
          <w:trHeight w:val="80"/>
        </w:trPr>
        <w:tc>
          <w:tcPr>
            <w:tcW w:w="1902"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r w:rsidRPr="0005009A">
              <w:rPr>
                <w:rFonts w:cs="Arial"/>
                <w:color w:val="000000"/>
                <w:sz w:val="16"/>
                <w:szCs w:val="16"/>
                <w:lang w:eastAsia="en-ZA"/>
              </w:rPr>
              <w:t>Total expenditure for the year</w:t>
            </w:r>
          </w:p>
        </w:tc>
        <w:tc>
          <w:tcPr>
            <w:tcW w:w="84"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4B6143" w:rsidRDefault="004B6143" w:rsidP="00A14E95">
            <w:pPr>
              <w:jc w:val="right"/>
              <w:rPr>
                <w:rFonts w:cs="Arial"/>
                <w:color w:val="000000"/>
                <w:sz w:val="16"/>
                <w:szCs w:val="16"/>
                <w:lang w:eastAsia="en-ZA"/>
              </w:rPr>
            </w:pPr>
            <w:r>
              <w:rPr>
                <w:rFonts w:cs="Arial"/>
                <w:color w:val="000000"/>
                <w:sz w:val="16"/>
                <w:szCs w:val="16"/>
                <w:lang w:eastAsia="en-ZA"/>
              </w:rPr>
              <w:t>6 853 500</w:t>
            </w:r>
          </w:p>
        </w:tc>
        <w:tc>
          <w:tcPr>
            <w:tcW w:w="84" w:type="pct"/>
            <w:tcBorders>
              <w:top w:val="nil"/>
              <w:left w:val="nil"/>
              <w:bottom w:val="nil"/>
              <w:right w:val="nil"/>
            </w:tcBorders>
            <w:shd w:val="clear" w:color="auto" w:fill="auto"/>
            <w:noWrap/>
            <w:vAlign w:val="bottom"/>
            <w:hideMark/>
          </w:tcPr>
          <w:p w:rsidR="004B6143" w:rsidRPr="006B3E96" w:rsidRDefault="004B6143" w:rsidP="00A14E95">
            <w:pPr>
              <w:jc w:val="right"/>
              <w:rPr>
                <w:rFonts w:cs="Arial"/>
                <w:color w:val="000000"/>
                <w:sz w:val="16"/>
                <w:szCs w:val="16"/>
                <w:lang w:eastAsia="en-ZA"/>
              </w:rPr>
            </w:pPr>
          </w:p>
        </w:tc>
        <w:tc>
          <w:tcPr>
            <w:tcW w:w="696" w:type="pct"/>
            <w:tcBorders>
              <w:top w:val="nil"/>
              <w:left w:val="single" w:sz="4" w:space="0" w:color="auto"/>
              <w:bottom w:val="single" w:sz="4" w:space="0" w:color="auto"/>
              <w:right w:val="single" w:sz="4" w:space="0" w:color="auto"/>
            </w:tcBorders>
            <w:shd w:val="clear" w:color="auto" w:fill="auto"/>
            <w:noWrap/>
            <w:vAlign w:val="bottom"/>
            <w:hideMark/>
          </w:tcPr>
          <w:p w:rsidR="004B6143" w:rsidRDefault="0033663F" w:rsidP="00A14E95">
            <w:pPr>
              <w:jc w:val="right"/>
              <w:rPr>
                <w:rFonts w:cs="Arial"/>
                <w:color w:val="000000"/>
                <w:sz w:val="16"/>
                <w:szCs w:val="16"/>
                <w:lang w:eastAsia="en-ZA"/>
              </w:rPr>
            </w:pPr>
            <w:r>
              <w:rPr>
                <w:rFonts w:cs="Arial"/>
                <w:color w:val="000000"/>
                <w:sz w:val="16"/>
                <w:szCs w:val="16"/>
                <w:lang w:eastAsia="en-ZA"/>
              </w:rPr>
              <w:t>(15 874)</w:t>
            </w:r>
          </w:p>
        </w:tc>
        <w:tc>
          <w:tcPr>
            <w:tcW w:w="84" w:type="pct"/>
            <w:tcBorders>
              <w:top w:val="nil"/>
              <w:left w:val="nil"/>
              <w:bottom w:val="nil"/>
              <w:right w:val="nil"/>
            </w:tcBorders>
            <w:shd w:val="clear" w:color="auto" w:fill="auto"/>
            <w:noWrap/>
            <w:vAlign w:val="bottom"/>
            <w:hideMark/>
          </w:tcPr>
          <w:p w:rsidR="004B6143" w:rsidRPr="006B3E96" w:rsidRDefault="004B6143" w:rsidP="00A14E95">
            <w:pPr>
              <w:jc w:val="right"/>
              <w:rPr>
                <w:rFonts w:cs="Arial"/>
                <w:color w:val="000000"/>
                <w:sz w:val="16"/>
                <w:szCs w:val="16"/>
                <w:lang w:eastAsia="en-ZA"/>
              </w:rPr>
            </w:pPr>
          </w:p>
        </w:tc>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4B6143" w:rsidRDefault="004B6143" w:rsidP="00A14E95">
            <w:pPr>
              <w:jc w:val="right"/>
              <w:rPr>
                <w:rFonts w:cs="Arial"/>
                <w:color w:val="000000"/>
                <w:sz w:val="16"/>
                <w:szCs w:val="16"/>
                <w:lang w:eastAsia="en-ZA"/>
              </w:rPr>
            </w:pPr>
            <w:r w:rsidRPr="00F47188">
              <w:rPr>
                <w:rFonts w:cs="Arial"/>
                <w:color w:val="000000"/>
                <w:sz w:val="16"/>
                <w:szCs w:val="16"/>
                <w:lang w:eastAsia="en-ZA"/>
              </w:rPr>
              <w:t xml:space="preserve">6 837 </w:t>
            </w:r>
            <w:r w:rsidR="003262F8">
              <w:rPr>
                <w:rFonts w:cs="Arial"/>
                <w:color w:val="000000"/>
                <w:sz w:val="16"/>
                <w:szCs w:val="16"/>
                <w:lang w:eastAsia="en-ZA"/>
              </w:rPr>
              <w:t>626</w:t>
            </w:r>
          </w:p>
        </w:tc>
      </w:tr>
      <w:tr w:rsidR="004B6143" w:rsidRPr="0005009A" w:rsidTr="004B6143">
        <w:trPr>
          <w:trHeight w:val="96"/>
        </w:trPr>
        <w:tc>
          <w:tcPr>
            <w:tcW w:w="1902" w:type="pct"/>
            <w:tcBorders>
              <w:top w:val="nil"/>
              <w:left w:val="nil"/>
              <w:bottom w:val="nil"/>
              <w:right w:val="nil"/>
            </w:tcBorders>
            <w:shd w:val="clear" w:color="auto" w:fill="auto"/>
            <w:vAlign w:val="bottom"/>
            <w:hideMark/>
          </w:tcPr>
          <w:p w:rsidR="004B6143" w:rsidRPr="0005009A" w:rsidRDefault="004B6143" w:rsidP="00A14E95">
            <w:pPr>
              <w:rPr>
                <w:rFonts w:cs="Arial"/>
                <w:color w:val="000000"/>
                <w:sz w:val="16"/>
                <w:szCs w:val="16"/>
                <w:lang w:eastAsia="en-ZA"/>
              </w:rPr>
            </w:pPr>
            <w:r w:rsidRPr="0005009A">
              <w:rPr>
                <w:rFonts w:cs="Arial"/>
                <w:color w:val="000000"/>
                <w:sz w:val="16"/>
                <w:szCs w:val="16"/>
                <w:lang w:eastAsia="en-ZA"/>
              </w:rPr>
              <w:t>Surplus / (deficit) for the year</w:t>
            </w:r>
          </w:p>
        </w:tc>
        <w:tc>
          <w:tcPr>
            <w:tcW w:w="84"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4B6143" w:rsidRPr="0005009A" w:rsidRDefault="004B6143" w:rsidP="00A14E95">
            <w:pPr>
              <w:jc w:val="center"/>
              <w:rPr>
                <w:rFonts w:cs="Arial"/>
                <w:b/>
                <w:bCs/>
                <w:color w:val="000000"/>
                <w:sz w:val="16"/>
                <w:szCs w:val="16"/>
                <w:lang w:eastAsia="en-ZA"/>
              </w:rPr>
            </w:pPr>
            <w:r w:rsidRPr="0005009A">
              <w:rPr>
                <w:rFonts w:cs="Arial"/>
                <w:b/>
                <w:bCs/>
                <w:color w:val="000000"/>
                <w:sz w:val="16"/>
                <w:szCs w:val="16"/>
                <w:lang w:eastAsia="en-ZA"/>
              </w:rPr>
              <w:t>4.i</w:t>
            </w:r>
          </w:p>
        </w:tc>
        <w:tc>
          <w:tcPr>
            <w:tcW w:w="84"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700" w:type="pct"/>
            <w:tcBorders>
              <w:top w:val="nil"/>
              <w:left w:val="nil"/>
              <w:bottom w:val="double" w:sz="6" w:space="0" w:color="auto"/>
              <w:right w:val="nil"/>
            </w:tcBorders>
            <w:shd w:val="clear" w:color="auto" w:fill="auto"/>
            <w:noWrap/>
            <w:vAlign w:val="bottom"/>
            <w:hideMark/>
          </w:tcPr>
          <w:p w:rsidR="004B6143" w:rsidRPr="005D3782" w:rsidRDefault="003262F8" w:rsidP="00A14E95">
            <w:pPr>
              <w:jc w:val="right"/>
              <w:rPr>
                <w:rFonts w:cs="Arial"/>
                <w:color w:val="000000"/>
                <w:sz w:val="16"/>
                <w:szCs w:val="16"/>
                <w:lang w:eastAsia="en-ZA"/>
              </w:rPr>
            </w:pPr>
            <w:r>
              <w:rPr>
                <w:rFonts w:cs="Arial"/>
                <w:color w:val="000000"/>
                <w:sz w:val="16"/>
                <w:szCs w:val="16"/>
                <w:lang w:eastAsia="en-ZA"/>
              </w:rPr>
              <w:t>337 855</w:t>
            </w:r>
          </w:p>
        </w:tc>
        <w:tc>
          <w:tcPr>
            <w:tcW w:w="84" w:type="pct"/>
            <w:tcBorders>
              <w:top w:val="nil"/>
              <w:left w:val="nil"/>
              <w:bottom w:val="nil"/>
              <w:right w:val="nil"/>
            </w:tcBorders>
            <w:shd w:val="clear" w:color="auto" w:fill="auto"/>
            <w:noWrap/>
            <w:vAlign w:val="bottom"/>
            <w:hideMark/>
          </w:tcPr>
          <w:p w:rsidR="004B6143" w:rsidRPr="005D3782" w:rsidRDefault="004B6143" w:rsidP="00A14E95">
            <w:pPr>
              <w:jc w:val="right"/>
              <w:rPr>
                <w:rFonts w:cs="Arial"/>
                <w:color w:val="000000"/>
                <w:sz w:val="16"/>
                <w:szCs w:val="16"/>
                <w:lang w:eastAsia="en-ZA"/>
              </w:rPr>
            </w:pPr>
          </w:p>
        </w:tc>
        <w:tc>
          <w:tcPr>
            <w:tcW w:w="696" w:type="pct"/>
            <w:tcBorders>
              <w:top w:val="nil"/>
              <w:left w:val="nil"/>
              <w:bottom w:val="double" w:sz="6" w:space="0" w:color="auto"/>
              <w:right w:val="nil"/>
            </w:tcBorders>
            <w:shd w:val="clear" w:color="auto" w:fill="auto"/>
            <w:noWrap/>
            <w:vAlign w:val="bottom"/>
            <w:hideMark/>
          </w:tcPr>
          <w:p w:rsidR="004B6143" w:rsidRPr="005D3782" w:rsidRDefault="0033663F" w:rsidP="00A14E95">
            <w:pPr>
              <w:jc w:val="right"/>
              <w:rPr>
                <w:rFonts w:cs="Arial"/>
                <w:color w:val="000000"/>
                <w:sz w:val="16"/>
                <w:szCs w:val="16"/>
                <w:lang w:eastAsia="en-ZA"/>
              </w:rPr>
            </w:pPr>
            <w:r>
              <w:rPr>
                <w:rFonts w:cs="Arial"/>
                <w:color w:val="000000"/>
                <w:sz w:val="16"/>
                <w:szCs w:val="16"/>
                <w:lang w:eastAsia="en-ZA"/>
              </w:rPr>
              <w:t>(60 342)</w:t>
            </w:r>
          </w:p>
        </w:tc>
        <w:tc>
          <w:tcPr>
            <w:tcW w:w="84" w:type="pct"/>
            <w:tcBorders>
              <w:top w:val="nil"/>
              <w:left w:val="nil"/>
              <w:bottom w:val="nil"/>
              <w:right w:val="nil"/>
            </w:tcBorders>
            <w:shd w:val="clear" w:color="auto" w:fill="auto"/>
            <w:noWrap/>
            <w:vAlign w:val="bottom"/>
            <w:hideMark/>
          </w:tcPr>
          <w:p w:rsidR="004B6143" w:rsidRPr="005D3782" w:rsidRDefault="004B6143" w:rsidP="00A14E95">
            <w:pPr>
              <w:jc w:val="right"/>
              <w:rPr>
                <w:rFonts w:cs="Arial"/>
                <w:color w:val="000000"/>
                <w:sz w:val="16"/>
                <w:szCs w:val="16"/>
                <w:lang w:eastAsia="en-ZA"/>
              </w:rPr>
            </w:pPr>
          </w:p>
        </w:tc>
        <w:tc>
          <w:tcPr>
            <w:tcW w:w="1009" w:type="pct"/>
            <w:tcBorders>
              <w:top w:val="nil"/>
              <w:left w:val="nil"/>
              <w:bottom w:val="double" w:sz="6" w:space="0" w:color="auto"/>
              <w:right w:val="nil"/>
            </w:tcBorders>
            <w:shd w:val="clear" w:color="000000" w:fill="C5D9F1"/>
            <w:noWrap/>
            <w:vAlign w:val="bottom"/>
            <w:hideMark/>
          </w:tcPr>
          <w:p w:rsidR="004B6143" w:rsidRPr="005D3782" w:rsidRDefault="003262F8" w:rsidP="00A14E95">
            <w:pPr>
              <w:jc w:val="right"/>
              <w:rPr>
                <w:rFonts w:cs="Arial"/>
                <w:color w:val="000000"/>
                <w:sz w:val="16"/>
                <w:szCs w:val="16"/>
                <w:lang w:eastAsia="en-ZA"/>
              </w:rPr>
            </w:pPr>
            <w:r>
              <w:rPr>
                <w:rFonts w:cs="Arial"/>
                <w:color w:val="000000"/>
                <w:sz w:val="16"/>
                <w:szCs w:val="16"/>
                <w:lang w:eastAsia="en-ZA"/>
              </w:rPr>
              <w:t>277 513</w:t>
            </w:r>
          </w:p>
        </w:tc>
      </w:tr>
      <w:tr w:rsidR="004B6143" w:rsidRPr="0005009A" w:rsidTr="004B6143">
        <w:trPr>
          <w:trHeight w:val="240"/>
        </w:trPr>
        <w:tc>
          <w:tcPr>
            <w:tcW w:w="1902" w:type="pct"/>
            <w:tcBorders>
              <w:top w:val="nil"/>
              <w:left w:val="nil"/>
              <w:bottom w:val="nil"/>
              <w:right w:val="nil"/>
            </w:tcBorders>
            <w:shd w:val="clear" w:color="auto" w:fill="auto"/>
            <w:vAlign w:val="bottom"/>
            <w:hideMark/>
          </w:tcPr>
          <w:p w:rsidR="004B6143" w:rsidRPr="0005009A" w:rsidRDefault="004B6143"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4B6143" w:rsidRPr="0005009A" w:rsidRDefault="004B6143"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700" w:type="pct"/>
            <w:tcBorders>
              <w:top w:val="single" w:sz="4" w:space="0" w:color="auto"/>
              <w:left w:val="nil"/>
              <w:bottom w:val="nil"/>
              <w:right w:val="nil"/>
            </w:tcBorders>
            <w:shd w:val="clear" w:color="auto" w:fill="auto"/>
            <w:noWrap/>
            <w:vAlign w:val="bottom"/>
            <w:hideMark/>
          </w:tcPr>
          <w:p w:rsidR="004B6143" w:rsidRPr="0005009A" w:rsidRDefault="004B6143" w:rsidP="00A14E95">
            <w:pPr>
              <w:jc w:val="right"/>
              <w:rPr>
                <w:rFonts w:cs="Arial"/>
                <w:color w:val="000000"/>
                <w:sz w:val="16"/>
                <w:szCs w:val="16"/>
                <w:lang w:eastAsia="en-ZA"/>
              </w:rPr>
            </w:pPr>
            <w:r w:rsidRPr="0005009A">
              <w:rPr>
                <w:rFonts w:cs="Arial"/>
                <w:color w:val="000000"/>
                <w:sz w:val="16"/>
                <w:szCs w:val="16"/>
                <w:lang w:eastAsia="en-ZA"/>
              </w:rPr>
              <w:t> </w:t>
            </w:r>
          </w:p>
        </w:tc>
        <w:tc>
          <w:tcPr>
            <w:tcW w:w="84" w:type="pct"/>
            <w:tcBorders>
              <w:top w:val="nil"/>
              <w:left w:val="nil"/>
              <w:bottom w:val="nil"/>
              <w:right w:val="nil"/>
            </w:tcBorders>
            <w:shd w:val="clear" w:color="auto" w:fill="auto"/>
            <w:noWrap/>
            <w:vAlign w:val="bottom"/>
            <w:hideMark/>
          </w:tcPr>
          <w:p w:rsidR="004B6143" w:rsidRPr="0005009A" w:rsidRDefault="004B6143" w:rsidP="00A14E95">
            <w:pPr>
              <w:jc w:val="right"/>
              <w:rPr>
                <w:rFonts w:cs="Arial"/>
                <w:color w:val="000000"/>
                <w:sz w:val="16"/>
                <w:szCs w:val="16"/>
                <w:lang w:eastAsia="en-ZA"/>
              </w:rPr>
            </w:pPr>
          </w:p>
        </w:tc>
        <w:tc>
          <w:tcPr>
            <w:tcW w:w="696" w:type="pct"/>
            <w:tcBorders>
              <w:top w:val="nil"/>
              <w:left w:val="nil"/>
              <w:bottom w:val="nil"/>
              <w:right w:val="nil"/>
            </w:tcBorders>
            <w:shd w:val="clear" w:color="auto" w:fill="auto"/>
            <w:noWrap/>
            <w:vAlign w:val="bottom"/>
            <w:hideMark/>
          </w:tcPr>
          <w:p w:rsidR="004B6143" w:rsidRPr="0005009A" w:rsidRDefault="004B6143" w:rsidP="00A14E95">
            <w:pPr>
              <w:jc w:val="right"/>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1009" w:type="pct"/>
            <w:tcBorders>
              <w:top w:val="nil"/>
              <w:left w:val="nil"/>
              <w:bottom w:val="nil"/>
              <w:right w:val="nil"/>
            </w:tcBorders>
            <w:shd w:val="clear" w:color="auto" w:fill="auto"/>
            <w:noWrap/>
            <w:vAlign w:val="bottom"/>
            <w:hideMark/>
          </w:tcPr>
          <w:p w:rsidR="004B6143" w:rsidRPr="0005009A" w:rsidRDefault="004B6143" w:rsidP="00A14E95">
            <w:pPr>
              <w:jc w:val="right"/>
              <w:rPr>
                <w:rFonts w:cs="Arial"/>
                <w:color w:val="000000"/>
                <w:sz w:val="16"/>
                <w:szCs w:val="16"/>
                <w:lang w:eastAsia="en-ZA"/>
              </w:rPr>
            </w:pPr>
          </w:p>
        </w:tc>
      </w:tr>
      <w:tr w:rsidR="004B6143" w:rsidRPr="0005009A" w:rsidTr="004B6143">
        <w:trPr>
          <w:trHeight w:val="225"/>
        </w:trPr>
        <w:tc>
          <w:tcPr>
            <w:tcW w:w="1902" w:type="pct"/>
            <w:tcBorders>
              <w:top w:val="nil"/>
              <w:left w:val="nil"/>
              <w:bottom w:val="nil"/>
              <w:right w:val="nil"/>
            </w:tcBorders>
            <w:shd w:val="clear" w:color="auto" w:fill="auto"/>
            <w:vAlign w:val="bottom"/>
            <w:hideMark/>
          </w:tcPr>
          <w:p w:rsidR="004B6143" w:rsidRPr="0005009A" w:rsidRDefault="004B6143" w:rsidP="00A14E95">
            <w:pPr>
              <w:rPr>
                <w:rFonts w:cs="Arial"/>
                <w:color w:val="000000"/>
                <w:sz w:val="16"/>
                <w:szCs w:val="16"/>
                <w:lang w:eastAsia="en-ZA"/>
              </w:rPr>
            </w:pPr>
            <w:r w:rsidRPr="0005009A">
              <w:rPr>
                <w:rFonts w:cs="Arial"/>
                <w:color w:val="000000"/>
                <w:sz w:val="16"/>
                <w:szCs w:val="16"/>
                <w:lang w:eastAsia="en-ZA"/>
              </w:rPr>
              <w:t xml:space="preserve">Total current assets </w:t>
            </w:r>
          </w:p>
        </w:tc>
        <w:tc>
          <w:tcPr>
            <w:tcW w:w="84" w:type="pct"/>
            <w:tcBorders>
              <w:top w:val="nil"/>
              <w:left w:val="nil"/>
              <w:bottom w:val="nil"/>
              <w:right w:val="nil"/>
            </w:tcBorders>
            <w:shd w:val="clear" w:color="auto" w:fill="auto"/>
            <w:vAlign w:val="bottom"/>
            <w:hideMark/>
          </w:tcPr>
          <w:p w:rsidR="004B6143" w:rsidRPr="0005009A" w:rsidRDefault="004B6143"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4B6143" w:rsidRPr="0005009A" w:rsidRDefault="004B6143"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4B6143" w:rsidRPr="0005009A" w:rsidRDefault="004B6143" w:rsidP="00A14E95">
            <w:pPr>
              <w:rPr>
                <w:rFonts w:cs="Arial"/>
                <w:color w:val="000000"/>
                <w:sz w:val="16"/>
                <w:szCs w:val="16"/>
                <w:lang w:eastAsia="en-ZA"/>
              </w:rPr>
            </w:pPr>
          </w:p>
        </w:tc>
        <w:tc>
          <w:tcPr>
            <w:tcW w:w="700" w:type="pct"/>
            <w:tcBorders>
              <w:top w:val="single" w:sz="4" w:space="0" w:color="auto"/>
              <w:left w:val="single" w:sz="4" w:space="0" w:color="auto"/>
              <w:bottom w:val="nil"/>
              <w:right w:val="single" w:sz="4" w:space="0" w:color="auto"/>
            </w:tcBorders>
            <w:shd w:val="clear" w:color="auto" w:fill="auto"/>
            <w:noWrap/>
            <w:vAlign w:val="bottom"/>
            <w:hideMark/>
          </w:tcPr>
          <w:p w:rsidR="004B6143" w:rsidRPr="00A14E95" w:rsidRDefault="00A14E95" w:rsidP="00A14E95">
            <w:pPr>
              <w:jc w:val="right"/>
              <w:rPr>
                <w:rFonts w:cs="Arial"/>
                <w:bCs/>
                <w:color w:val="000000"/>
                <w:sz w:val="16"/>
                <w:szCs w:val="16"/>
                <w:lang w:eastAsia="en-ZA"/>
              </w:rPr>
            </w:pPr>
            <w:r w:rsidRPr="00A14E95">
              <w:rPr>
                <w:rFonts w:cs="Arial"/>
                <w:bCs/>
                <w:color w:val="000000"/>
                <w:sz w:val="16"/>
                <w:szCs w:val="16"/>
                <w:lang w:eastAsia="en-ZA"/>
              </w:rPr>
              <w:t>3 766 893</w:t>
            </w:r>
          </w:p>
        </w:tc>
        <w:tc>
          <w:tcPr>
            <w:tcW w:w="84" w:type="pct"/>
            <w:tcBorders>
              <w:top w:val="nil"/>
              <w:left w:val="nil"/>
              <w:bottom w:val="nil"/>
              <w:right w:val="nil"/>
            </w:tcBorders>
            <w:shd w:val="clear" w:color="auto" w:fill="auto"/>
            <w:noWrap/>
            <w:vAlign w:val="bottom"/>
            <w:hideMark/>
          </w:tcPr>
          <w:p w:rsidR="004B6143" w:rsidRPr="00A14E95" w:rsidRDefault="004B6143" w:rsidP="00A14E95">
            <w:pPr>
              <w:jc w:val="right"/>
              <w:rPr>
                <w:rFonts w:cs="Arial"/>
                <w:bCs/>
                <w:color w:val="000000"/>
                <w:sz w:val="16"/>
                <w:szCs w:val="16"/>
                <w:lang w:eastAsia="en-ZA"/>
              </w:rPr>
            </w:pPr>
          </w:p>
        </w:tc>
        <w:tc>
          <w:tcPr>
            <w:tcW w:w="696" w:type="pct"/>
            <w:tcBorders>
              <w:top w:val="single" w:sz="4" w:space="0" w:color="auto"/>
              <w:left w:val="single" w:sz="4" w:space="0" w:color="auto"/>
              <w:bottom w:val="nil"/>
              <w:right w:val="single" w:sz="4" w:space="0" w:color="auto"/>
            </w:tcBorders>
            <w:shd w:val="clear" w:color="auto" w:fill="auto"/>
            <w:noWrap/>
            <w:vAlign w:val="bottom"/>
            <w:hideMark/>
          </w:tcPr>
          <w:p w:rsidR="004B6143" w:rsidRPr="00A14E95" w:rsidRDefault="00A14E95" w:rsidP="00A14E95">
            <w:pPr>
              <w:jc w:val="right"/>
              <w:rPr>
                <w:rFonts w:cs="Arial"/>
                <w:bCs/>
                <w:color w:val="000000"/>
                <w:sz w:val="16"/>
                <w:szCs w:val="16"/>
                <w:lang w:eastAsia="en-ZA"/>
              </w:rPr>
            </w:pPr>
            <w:r>
              <w:rPr>
                <w:rFonts w:cs="Arial"/>
                <w:bCs/>
                <w:color w:val="000000"/>
                <w:sz w:val="16"/>
                <w:szCs w:val="16"/>
                <w:lang w:eastAsia="en-ZA"/>
              </w:rPr>
              <w:t>421 849</w:t>
            </w:r>
          </w:p>
        </w:tc>
        <w:tc>
          <w:tcPr>
            <w:tcW w:w="84" w:type="pct"/>
            <w:tcBorders>
              <w:top w:val="nil"/>
              <w:left w:val="nil"/>
              <w:bottom w:val="nil"/>
              <w:right w:val="nil"/>
            </w:tcBorders>
            <w:shd w:val="clear" w:color="auto" w:fill="auto"/>
            <w:noWrap/>
            <w:vAlign w:val="bottom"/>
            <w:hideMark/>
          </w:tcPr>
          <w:p w:rsidR="004B6143" w:rsidRPr="00A14E95" w:rsidRDefault="004B6143" w:rsidP="00A14E95">
            <w:pPr>
              <w:rPr>
                <w:rFonts w:cs="Arial"/>
                <w:color w:val="000000"/>
                <w:sz w:val="16"/>
                <w:szCs w:val="16"/>
                <w:lang w:eastAsia="en-ZA"/>
              </w:rPr>
            </w:pPr>
          </w:p>
        </w:tc>
        <w:tc>
          <w:tcPr>
            <w:tcW w:w="1009" w:type="pct"/>
            <w:tcBorders>
              <w:top w:val="single" w:sz="4" w:space="0" w:color="auto"/>
              <w:left w:val="single" w:sz="4" w:space="0" w:color="auto"/>
              <w:bottom w:val="nil"/>
              <w:right w:val="single" w:sz="4" w:space="0" w:color="auto"/>
            </w:tcBorders>
            <w:shd w:val="clear" w:color="auto" w:fill="auto"/>
            <w:noWrap/>
            <w:vAlign w:val="bottom"/>
            <w:hideMark/>
          </w:tcPr>
          <w:p w:rsidR="004B6143" w:rsidRPr="00A14E95" w:rsidRDefault="00A14E95" w:rsidP="00A14E95">
            <w:pPr>
              <w:jc w:val="right"/>
              <w:rPr>
                <w:rFonts w:cs="Arial"/>
                <w:bCs/>
                <w:color w:val="000000"/>
                <w:sz w:val="16"/>
                <w:szCs w:val="16"/>
                <w:lang w:eastAsia="en-ZA"/>
              </w:rPr>
            </w:pPr>
            <w:r w:rsidRPr="00A14E95">
              <w:rPr>
                <w:rFonts w:cs="Arial"/>
                <w:bCs/>
                <w:color w:val="000000"/>
                <w:sz w:val="16"/>
                <w:szCs w:val="16"/>
                <w:lang w:eastAsia="en-ZA"/>
              </w:rPr>
              <w:t>4 188 742</w:t>
            </w:r>
          </w:p>
        </w:tc>
      </w:tr>
      <w:tr w:rsidR="004B6143" w:rsidRPr="0005009A" w:rsidTr="004B6143">
        <w:trPr>
          <w:trHeight w:val="80"/>
        </w:trPr>
        <w:tc>
          <w:tcPr>
            <w:tcW w:w="1902" w:type="pct"/>
            <w:tcBorders>
              <w:top w:val="nil"/>
              <w:left w:val="nil"/>
              <w:bottom w:val="nil"/>
              <w:right w:val="nil"/>
            </w:tcBorders>
            <w:shd w:val="clear" w:color="auto" w:fill="auto"/>
            <w:vAlign w:val="bottom"/>
            <w:hideMark/>
          </w:tcPr>
          <w:p w:rsidR="004B6143" w:rsidRPr="0005009A" w:rsidRDefault="004B6143" w:rsidP="00A14E95">
            <w:pPr>
              <w:rPr>
                <w:rFonts w:cs="Arial"/>
                <w:color w:val="000000"/>
                <w:sz w:val="16"/>
                <w:szCs w:val="16"/>
                <w:lang w:eastAsia="en-ZA"/>
              </w:rPr>
            </w:pPr>
            <w:r w:rsidRPr="0005009A">
              <w:rPr>
                <w:rFonts w:cs="Arial"/>
                <w:color w:val="000000"/>
                <w:sz w:val="16"/>
                <w:szCs w:val="16"/>
                <w:lang w:eastAsia="en-ZA"/>
              </w:rPr>
              <w:t xml:space="preserve">Total current liabilities </w:t>
            </w:r>
          </w:p>
        </w:tc>
        <w:tc>
          <w:tcPr>
            <w:tcW w:w="84" w:type="pct"/>
            <w:tcBorders>
              <w:top w:val="nil"/>
              <w:left w:val="nil"/>
              <w:bottom w:val="nil"/>
              <w:right w:val="nil"/>
            </w:tcBorders>
            <w:shd w:val="clear" w:color="auto" w:fill="auto"/>
            <w:vAlign w:val="bottom"/>
            <w:hideMark/>
          </w:tcPr>
          <w:p w:rsidR="004B6143" w:rsidRPr="0005009A" w:rsidRDefault="004B6143"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4B6143" w:rsidRPr="0005009A" w:rsidRDefault="004B6143"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4B6143" w:rsidRPr="0005009A" w:rsidRDefault="004B6143" w:rsidP="00A14E95">
            <w:pPr>
              <w:rPr>
                <w:rFonts w:cs="Arial"/>
                <w:color w:val="000000"/>
                <w:sz w:val="16"/>
                <w:szCs w:val="16"/>
                <w:lang w:eastAsia="en-ZA"/>
              </w:rPr>
            </w:pP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4B6143" w:rsidRPr="005D3782" w:rsidRDefault="00A14E95" w:rsidP="00A14E95">
            <w:pPr>
              <w:jc w:val="right"/>
              <w:rPr>
                <w:rFonts w:cs="Arial"/>
                <w:color w:val="000000"/>
                <w:sz w:val="16"/>
                <w:szCs w:val="16"/>
                <w:lang w:eastAsia="en-ZA"/>
              </w:rPr>
            </w:pPr>
            <w:r>
              <w:rPr>
                <w:rFonts w:cs="Arial"/>
                <w:color w:val="000000"/>
                <w:sz w:val="16"/>
                <w:szCs w:val="16"/>
                <w:lang w:eastAsia="en-ZA"/>
              </w:rPr>
              <w:t xml:space="preserve"> 3 547 189</w:t>
            </w:r>
          </w:p>
        </w:tc>
        <w:tc>
          <w:tcPr>
            <w:tcW w:w="84" w:type="pct"/>
            <w:tcBorders>
              <w:top w:val="nil"/>
              <w:left w:val="nil"/>
              <w:bottom w:val="nil"/>
              <w:right w:val="nil"/>
            </w:tcBorders>
            <w:shd w:val="clear" w:color="auto" w:fill="auto"/>
            <w:noWrap/>
            <w:vAlign w:val="bottom"/>
            <w:hideMark/>
          </w:tcPr>
          <w:p w:rsidR="004B6143" w:rsidRPr="005D3782" w:rsidRDefault="004B6143" w:rsidP="00A14E95">
            <w:pPr>
              <w:jc w:val="right"/>
              <w:rPr>
                <w:rFonts w:cs="Arial"/>
                <w:color w:val="000000"/>
                <w:sz w:val="16"/>
                <w:szCs w:val="16"/>
                <w:lang w:eastAsia="en-ZA"/>
              </w:rPr>
            </w:pPr>
          </w:p>
        </w:tc>
        <w:tc>
          <w:tcPr>
            <w:tcW w:w="696" w:type="pct"/>
            <w:tcBorders>
              <w:top w:val="nil"/>
              <w:left w:val="single" w:sz="4" w:space="0" w:color="auto"/>
              <w:bottom w:val="single" w:sz="4" w:space="0" w:color="auto"/>
              <w:right w:val="single" w:sz="4" w:space="0" w:color="auto"/>
            </w:tcBorders>
            <w:shd w:val="clear" w:color="auto" w:fill="auto"/>
            <w:noWrap/>
            <w:vAlign w:val="bottom"/>
            <w:hideMark/>
          </w:tcPr>
          <w:p w:rsidR="004B6143" w:rsidRPr="005D3782" w:rsidRDefault="00A14E95" w:rsidP="00A14E95">
            <w:pPr>
              <w:jc w:val="right"/>
              <w:rPr>
                <w:rFonts w:cs="Arial"/>
                <w:color w:val="000000"/>
                <w:sz w:val="16"/>
                <w:szCs w:val="16"/>
                <w:lang w:eastAsia="en-ZA"/>
              </w:rPr>
            </w:pPr>
            <w:r>
              <w:rPr>
                <w:rFonts w:cs="Arial"/>
                <w:color w:val="000000"/>
                <w:sz w:val="16"/>
                <w:szCs w:val="16"/>
                <w:lang w:eastAsia="en-ZA"/>
              </w:rPr>
              <w:t>235 910</w:t>
            </w:r>
          </w:p>
        </w:tc>
        <w:tc>
          <w:tcPr>
            <w:tcW w:w="84" w:type="pct"/>
            <w:tcBorders>
              <w:top w:val="nil"/>
              <w:left w:val="nil"/>
              <w:bottom w:val="nil"/>
              <w:right w:val="nil"/>
            </w:tcBorders>
            <w:shd w:val="clear" w:color="auto" w:fill="auto"/>
            <w:noWrap/>
            <w:vAlign w:val="bottom"/>
            <w:hideMark/>
          </w:tcPr>
          <w:p w:rsidR="004B6143" w:rsidRPr="005D3782" w:rsidRDefault="004B6143" w:rsidP="00A14E95">
            <w:pPr>
              <w:rPr>
                <w:rFonts w:cs="Arial"/>
                <w:color w:val="000000"/>
                <w:sz w:val="16"/>
                <w:szCs w:val="16"/>
                <w:lang w:eastAsia="en-ZA"/>
              </w:rPr>
            </w:pPr>
          </w:p>
        </w:tc>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4B6143" w:rsidRPr="005D3782" w:rsidRDefault="00A14E95" w:rsidP="00A14E95">
            <w:pPr>
              <w:jc w:val="right"/>
              <w:rPr>
                <w:rFonts w:cs="Arial"/>
                <w:color w:val="000000"/>
                <w:sz w:val="16"/>
                <w:szCs w:val="16"/>
                <w:lang w:eastAsia="en-ZA"/>
              </w:rPr>
            </w:pPr>
            <w:r w:rsidRPr="00A14E95">
              <w:rPr>
                <w:rFonts w:cs="Arial"/>
                <w:color w:val="000000"/>
                <w:sz w:val="16"/>
                <w:szCs w:val="16"/>
                <w:lang w:eastAsia="en-ZA"/>
              </w:rPr>
              <w:t>3 783 099</w:t>
            </w:r>
          </w:p>
        </w:tc>
      </w:tr>
      <w:tr w:rsidR="004B6143" w:rsidRPr="0005009A" w:rsidTr="004B6143">
        <w:trPr>
          <w:trHeight w:val="70"/>
        </w:trPr>
        <w:tc>
          <w:tcPr>
            <w:tcW w:w="1902"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r w:rsidRPr="0005009A">
              <w:rPr>
                <w:rFonts w:cs="Arial"/>
                <w:color w:val="000000"/>
                <w:sz w:val="16"/>
                <w:szCs w:val="16"/>
                <w:lang w:eastAsia="en-ZA"/>
              </w:rPr>
              <w:t>Net current assets / (liabilities)</w:t>
            </w:r>
          </w:p>
        </w:tc>
        <w:tc>
          <w:tcPr>
            <w:tcW w:w="84" w:type="pct"/>
            <w:tcBorders>
              <w:top w:val="nil"/>
              <w:left w:val="nil"/>
              <w:bottom w:val="nil"/>
              <w:right w:val="nil"/>
            </w:tcBorders>
            <w:shd w:val="clear" w:color="auto" w:fill="auto"/>
            <w:vAlign w:val="bottom"/>
            <w:hideMark/>
          </w:tcPr>
          <w:p w:rsidR="004B6143" w:rsidRPr="0005009A" w:rsidRDefault="004B6143"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4B6143" w:rsidRPr="0005009A" w:rsidRDefault="004B6143" w:rsidP="00A14E95">
            <w:pPr>
              <w:jc w:val="center"/>
              <w:rPr>
                <w:rFonts w:cs="Arial"/>
                <w:b/>
                <w:bCs/>
                <w:color w:val="000000"/>
                <w:sz w:val="16"/>
                <w:szCs w:val="16"/>
                <w:lang w:eastAsia="en-ZA"/>
              </w:rPr>
            </w:pPr>
            <w:r w:rsidRPr="0005009A">
              <w:rPr>
                <w:rFonts w:cs="Arial"/>
                <w:b/>
                <w:bCs/>
                <w:color w:val="000000"/>
                <w:sz w:val="16"/>
                <w:szCs w:val="16"/>
                <w:lang w:eastAsia="en-ZA"/>
              </w:rPr>
              <w:t>4.ii</w:t>
            </w:r>
          </w:p>
        </w:tc>
        <w:tc>
          <w:tcPr>
            <w:tcW w:w="84" w:type="pct"/>
            <w:tcBorders>
              <w:top w:val="nil"/>
              <w:left w:val="nil"/>
              <w:bottom w:val="nil"/>
              <w:right w:val="nil"/>
            </w:tcBorders>
            <w:shd w:val="clear" w:color="auto" w:fill="auto"/>
            <w:vAlign w:val="bottom"/>
            <w:hideMark/>
          </w:tcPr>
          <w:p w:rsidR="004B6143" w:rsidRPr="0005009A" w:rsidRDefault="004B6143" w:rsidP="00A14E95">
            <w:pPr>
              <w:rPr>
                <w:rFonts w:cs="Arial"/>
                <w:color w:val="000000"/>
                <w:sz w:val="16"/>
                <w:szCs w:val="16"/>
                <w:lang w:eastAsia="en-ZA"/>
              </w:rPr>
            </w:pPr>
          </w:p>
        </w:tc>
        <w:tc>
          <w:tcPr>
            <w:tcW w:w="700" w:type="pct"/>
            <w:tcBorders>
              <w:top w:val="nil"/>
              <w:left w:val="nil"/>
              <w:bottom w:val="double" w:sz="6" w:space="0" w:color="auto"/>
              <w:right w:val="nil"/>
            </w:tcBorders>
            <w:shd w:val="clear" w:color="auto" w:fill="auto"/>
            <w:noWrap/>
            <w:vAlign w:val="bottom"/>
            <w:hideMark/>
          </w:tcPr>
          <w:p w:rsidR="004B6143" w:rsidRPr="005D3782" w:rsidRDefault="00A14E95" w:rsidP="00A14E95">
            <w:pPr>
              <w:jc w:val="right"/>
              <w:rPr>
                <w:rFonts w:cs="Arial"/>
                <w:color w:val="000000"/>
                <w:sz w:val="16"/>
                <w:szCs w:val="16"/>
                <w:lang w:eastAsia="en-ZA"/>
              </w:rPr>
            </w:pPr>
            <w:r>
              <w:rPr>
                <w:rFonts w:cs="Arial"/>
                <w:color w:val="000000"/>
                <w:sz w:val="16"/>
                <w:szCs w:val="16"/>
                <w:lang w:eastAsia="en-ZA"/>
              </w:rPr>
              <w:t>219 704</w:t>
            </w:r>
          </w:p>
        </w:tc>
        <w:tc>
          <w:tcPr>
            <w:tcW w:w="84" w:type="pct"/>
            <w:tcBorders>
              <w:top w:val="nil"/>
              <w:left w:val="nil"/>
              <w:bottom w:val="nil"/>
              <w:right w:val="nil"/>
            </w:tcBorders>
            <w:shd w:val="clear" w:color="auto" w:fill="auto"/>
            <w:noWrap/>
            <w:vAlign w:val="bottom"/>
            <w:hideMark/>
          </w:tcPr>
          <w:p w:rsidR="004B6143" w:rsidRPr="005D3782" w:rsidRDefault="004B6143" w:rsidP="00A14E95">
            <w:pPr>
              <w:jc w:val="right"/>
              <w:rPr>
                <w:rFonts w:cs="Arial"/>
                <w:color w:val="000000"/>
                <w:sz w:val="16"/>
                <w:szCs w:val="16"/>
                <w:lang w:eastAsia="en-ZA"/>
              </w:rPr>
            </w:pPr>
          </w:p>
        </w:tc>
        <w:tc>
          <w:tcPr>
            <w:tcW w:w="696" w:type="pct"/>
            <w:tcBorders>
              <w:top w:val="nil"/>
              <w:left w:val="nil"/>
              <w:bottom w:val="double" w:sz="6" w:space="0" w:color="auto"/>
              <w:right w:val="nil"/>
            </w:tcBorders>
            <w:shd w:val="clear" w:color="auto" w:fill="auto"/>
            <w:noWrap/>
            <w:vAlign w:val="bottom"/>
            <w:hideMark/>
          </w:tcPr>
          <w:p w:rsidR="004B6143" w:rsidRPr="005D3782" w:rsidRDefault="00A14E95" w:rsidP="00A14E95">
            <w:pPr>
              <w:jc w:val="right"/>
              <w:rPr>
                <w:rFonts w:cs="Arial"/>
                <w:color w:val="000000"/>
                <w:sz w:val="16"/>
                <w:szCs w:val="16"/>
                <w:lang w:eastAsia="en-ZA"/>
              </w:rPr>
            </w:pPr>
            <w:r>
              <w:rPr>
                <w:rFonts w:cs="Arial"/>
                <w:color w:val="000000"/>
                <w:sz w:val="16"/>
                <w:szCs w:val="16"/>
                <w:lang w:eastAsia="en-ZA"/>
              </w:rPr>
              <w:t>185 939</w:t>
            </w:r>
          </w:p>
        </w:tc>
        <w:tc>
          <w:tcPr>
            <w:tcW w:w="84" w:type="pct"/>
            <w:tcBorders>
              <w:top w:val="nil"/>
              <w:left w:val="nil"/>
              <w:bottom w:val="nil"/>
              <w:right w:val="nil"/>
            </w:tcBorders>
            <w:shd w:val="clear" w:color="auto" w:fill="auto"/>
            <w:noWrap/>
            <w:vAlign w:val="bottom"/>
            <w:hideMark/>
          </w:tcPr>
          <w:p w:rsidR="004B6143" w:rsidRPr="005D3782" w:rsidRDefault="004B6143" w:rsidP="00A14E95">
            <w:pPr>
              <w:rPr>
                <w:rFonts w:cs="Arial"/>
                <w:color w:val="000000"/>
                <w:sz w:val="16"/>
                <w:szCs w:val="16"/>
                <w:lang w:eastAsia="en-ZA"/>
              </w:rPr>
            </w:pPr>
          </w:p>
        </w:tc>
        <w:tc>
          <w:tcPr>
            <w:tcW w:w="1009" w:type="pct"/>
            <w:tcBorders>
              <w:top w:val="nil"/>
              <w:left w:val="nil"/>
              <w:bottom w:val="double" w:sz="6" w:space="0" w:color="auto"/>
              <w:right w:val="nil"/>
            </w:tcBorders>
            <w:shd w:val="clear" w:color="000000" w:fill="C5D9F1"/>
            <w:noWrap/>
            <w:vAlign w:val="bottom"/>
            <w:hideMark/>
          </w:tcPr>
          <w:p w:rsidR="004B6143" w:rsidRPr="005D3782" w:rsidRDefault="00A14E95" w:rsidP="00A14E95">
            <w:pPr>
              <w:jc w:val="right"/>
              <w:rPr>
                <w:rFonts w:cs="Arial"/>
                <w:color w:val="000000"/>
                <w:sz w:val="16"/>
                <w:szCs w:val="16"/>
                <w:lang w:eastAsia="en-ZA"/>
              </w:rPr>
            </w:pPr>
            <w:r>
              <w:rPr>
                <w:rFonts w:cs="Arial"/>
                <w:color w:val="000000"/>
                <w:sz w:val="16"/>
                <w:szCs w:val="16"/>
                <w:lang w:eastAsia="en-ZA"/>
              </w:rPr>
              <w:t>405 643</w:t>
            </w:r>
          </w:p>
        </w:tc>
      </w:tr>
      <w:tr w:rsidR="004B6143" w:rsidRPr="0005009A" w:rsidTr="004B6143">
        <w:trPr>
          <w:trHeight w:val="240"/>
        </w:trPr>
        <w:tc>
          <w:tcPr>
            <w:tcW w:w="1902"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4B6143" w:rsidRPr="0005009A" w:rsidRDefault="004B6143"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700" w:type="pct"/>
            <w:tcBorders>
              <w:top w:val="nil"/>
              <w:left w:val="nil"/>
              <w:bottom w:val="nil"/>
              <w:right w:val="nil"/>
            </w:tcBorders>
            <w:shd w:val="clear" w:color="auto" w:fill="auto"/>
            <w:noWrap/>
            <w:vAlign w:val="bottom"/>
            <w:hideMark/>
          </w:tcPr>
          <w:p w:rsidR="004B6143" w:rsidRPr="0005009A" w:rsidRDefault="004B6143" w:rsidP="00A14E95">
            <w:pPr>
              <w:jc w:val="right"/>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4B6143" w:rsidRPr="0005009A" w:rsidRDefault="004B6143" w:rsidP="00A14E95">
            <w:pPr>
              <w:jc w:val="right"/>
              <w:rPr>
                <w:rFonts w:cs="Arial"/>
                <w:color w:val="000000"/>
                <w:sz w:val="16"/>
                <w:szCs w:val="16"/>
                <w:lang w:eastAsia="en-ZA"/>
              </w:rPr>
            </w:pPr>
          </w:p>
        </w:tc>
        <w:tc>
          <w:tcPr>
            <w:tcW w:w="696" w:type="pct"/>
            <w:tcBorders>
              <w:top w:val="nil"/>
              <w:left w:val="nil"/>
              <w:bottom w:val="nil"/>
              <w:right w:val="nil"/>
            </w:tcBorders>
            <w:shd w:val="clear" w:color="auto" w:fill="auto"/>
            <w:noWrap/>
            <w:vAlign w:val="bottom"/>
            <w:hideMark/>
          </w:tcPr>
          <w:p w:rsidR="004B6143" w:rsidRPr="0005009A" w:rsidRDefault="004B6143" w:rsidP="00A14E95">
            <w:pPr>
              <w:jc w:val="right"/>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4B6143" w:rsidRPr="0005009A" w:rsidRDefault="004B6143" w:rsidP="00A14E95">
            <w:pPr>
              <w:rPr>
                <w:rFonts w:cs="Arial"/>
                <w:color w:val="000000"/>
                <w:sz w:val="16"/>
                <w:szCs w:val="16"/>
                <w:lang w:eastAsia="en-ZA"/>
              </w:rPr>
            </w:pPr>
          </w:p>
        </w:tc>
        <w:tc>
          <w:tcPr>
            <w:tcW w:w="1009" w:type="pct"/>
            <w:tcBorders>
              <w:top w:val="nil"/>
              <w:left w:val="nil"/>
              <w:bottom w:val="nil"/>
              <w:right w:val="nil"/>
            </w:tcBorders>
            <w:shd w:val="clear" w:color="auto" w:fill="auto"/>
            <w:noWrap/>
            <w:vAlign w:val="bottom"/>
            <w:hideMark/>
          </w:tcPr>
          <w:p w:rsidR="004B6143" w:rsidRPr="0005009A" w:rsidRDefault="004B6143" w:rsidP="00A14E95">
            <w:pPr>
              <w:jc w:val="right"/>
              <w:rPr>
                <w:rFonts w:cs="Arial"/>
                <w:color w:val="000000"/>
                <w:sz w:val="16"/>
                <w:szCs w:val="16"/>
                <w:lang w:eastAsia="en-ZA"/>
              </w:rPr>
            </w:pPr>
          </w:p>
        </w:tc>
      </w:tr>
      <w:tr w:rsidR="00A14E95" w:rsidRPr="0005009A" w:rsidTr="004B6143">
        <w:trPr>
          <w:trHeight w:val="225"/>
        </w:trPr>
        <w:tc>
          <w:tcPr>
            <w:tcW w:w="1902"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r w:rsidRPr="0005009A">
              <w:rPr>
                <w:rFonts w:cs="Arial"/>
                <w:color w:val="000000"/>
                <w:sz w:val="16"/>
                <w:szCs w:val="16"/>
                <w:lang w:eastAsia="en-ZA"/>
              </w:rPr>
              <w:t xml:space="preserve">Total assets </w:t>
            </w:r>
          </w:p>
        </w:tc>
        <w:tc>
          <w:tcPr>
            <w:tcW w:w="84"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A14E95" w:rsidRPr="0005009A" w:rsidRDefault="00A14E95"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p>
        </w:tc>
        <w:tc>
          <w:tcPr>
            <w:tcW w:w="700" w:type="pct"/>
            <w:tcBorders>
              <w:top w:val="single" w:sz="4" w:space="0" w:color="auto"/>
              <w:left w:val="single" w:sz="4" w:space="0" w:color="auto"/>
              <w:bottom w:val="nil"/>
              <w:right w:val="single" w:sz="4" w:space="0" w:color="auto"/>
            </w:tcBorders>
            <w:shd w:val="clear" w:color="auto" w:fill="auto"/>
            <w:noWrap/>
            <w:vAlign w:val="bottom"/>
            <w:hideMark/>
          </w:tcPr>
          <w:p w:rsidR="00A14E95" w:rsidRPr="00A14E95" w:rsidRDefault="00A14E95" w:rsidP="00A14E95">
            <w:pPr>
              <w:jc w:val="right"/>
              <w:rPr>
                <w:rFonts w:cs="Arial"/>
                <w:bCs/>
                <w:color w:val="000000"/>
                <w:sz w:val="16"/>
                <w:szCs w:val="16"/>
                <w:lang w:eastAsia="en-ZA"/>
              </w:rPr>
            </w:pPr>
            <w:r w:rsidRPr="00A14E95">
              <w:rPr>
                <w:rFonts w:cs="Arial"/>
                <w:bCs/>
                <w:color w:val="000000"/>
                <w:sz w:val="16"/>
                <w:szCs w:val="16"/>
                <w:lang w:eastAsia="en-ZA"/>
              </w:rPr>
              <w:t>3 766 893</w:t>
            </w:r>
          </w:p>
        </w:tc>
        <w:tc>
          <w:tcPr>
            <w:tcW w:w="84" w:type="pct"/>
            <w:tcBorders>
              <w:top w:val="nil"/>
              <w:left w:val="nil"/>
              <w:bottom w:val="nil"/>
              <w:right w:val="nil"/>
            </w:tcBorders>
            <w:shd w:val="clear" w:color="auto" w:fill="auto"/>
            <w:noWrap/>
            <w:vAlign w:val="bottom"/>
            <w:hideMark/>
          </w:tcPr>
          <w:p w:rsidR="00A14E95" w:rsidRPr="00A14E95" w:rsidRDefault="00A14E95" w:rsidP="00A14E95">
            <w:pPr>
              <w:jc w:val="right"/>
              <w:rPr>
                <w:rFonts w:cs="Arial"/>
                <w:bCs/>
                <w:color w:val="000000"/>
                <w:sz w:val="16"/>
                <w:szCs w:val="16"/>
                <w:lang w:eastAsia="en-ZA"/>
              </w:rPr>
            </w:pPr>
          </w:p>
        </w:tc>
        <w:tc>
          <w:tcPr>
            <w:tcW w:w="696" w:type="pct"/>
            <w:tcBorders>
              <w:top w:val="single" w:sz="4" w:space="0" w:color="auto"/>
              <w:left w:val="single" w:sz="4" w:space="0" w:color="auto"/>
              <w:bottom w:val="nil"/>
              <w:right w:val="single" w:sz="4" w:space="0" w:color="auto"/>
            </w:tcBorders>
            <w:shd w:val="clear" w:color="auto" w:fill="auto"/>
            <w:noWrap/>
            <w:vAlign w:val="bottom"/>
            <w:hideMark/>
          </w:tcPr>
          <w:p w:rsidR="00A14E95" w:rsidRPr="00A14E95" w:rsidRDefault="00A14E95" w:rsidP="00A14E95">
            <w:pPr>
              <w:jc w:val="right"/>
              <w:rPr>
                <w:rFonts w:cs="Arial"/>
                <w:bCs/>
                <w:color w:val="000000"/>
                <w:sz w:val="16"/>
                <w:szCs w:val="16"/>
                <w:lang w:eastAsia="en-ZA"/>
              </w:rPr>
            </w:pPr>
            <w:r>
              <w:rPr>
                <w:rFonts w:cs="Arial"/>
                <w:bCs/>
                <w:color w:val="000000"/>
                <w:sz w:val="16"/>
                <w:szCs w:val="16"/>
                <w:lang w:eastAsia="en-ZA"/>
              </w:rPr>
              <w:t>421 849</w:t>
            </w:r>
          </w:p>
        </w:tc>
        <w:tc>
          <w:tcPr>
            <w:tcW w:w="84" w:type="pct"/>
            <w:tcBorders>
              <w:top w:val="nil"/>
              <w:left w:val="nil"/>
              <w:bottom w:val="nil"/>
              <w:right w:val="nil"/>
            </w:tcBorders>
            <w:shd w:val="clear" w:color="auto" w:fill="auto"/>
            <w:noWrap/>
            <w:vAlign w:val="bottom"/>
            <w:hideMark/>
          </w:tcPr>
          <w:p w:rsidR="00A14E95" w:rsidRPr="00A14E95" w:rsidRDefault="00A14E95" w:rsidP="00A14E95">
            <w:pPr>
              <w:rPr>
                <w:rFonts w:cs="Arial"/>
                <w:color w:val="000000"/>
                <w:sz w:val="16"/>
                <w:szCs w:val="16"/>
                <w:lang w:eastAsia="en-ZA"/>
              </w:rPr>
            </w:pPr>
          </w:p>
        </w:tc>
        <w:tc>
          <w:tcPr>
            <w:tcW w:w="1009" w:type="pct"/>
            <w:tcBorders>
              <w:top w:val="single" w:sz="4" w:space="0" w:color="auto"/>
              <w:left w:val="single" w:sz="4" w:space="0" w:color="auto"/>
              <w:bottom w:val="nil"/>
              <w:right w:val="single" w:sz="4" w:space="0" w:color="auto"/>
            </w:tcBorders>
            <w:shd w:val="clear" w:color="auto" w:fill="auto"/>
            <w:noWrap/>
            <w:vAlign w:val="bottom"/>
            <w:hideMark/>
          </w:tcPr>
          <w:p w:rsidR="00A14E95" w:rsidRPr="00A14E95" w:rsidRDefault="00A14E95" w:rsidP="00A14E95">
            <w:pPr>
              <w:jc w:val="right"/>
              <w:rPr>
                <w:rFonts w:cs="Arial"/>
                <w:bCs/>
                <w:color w:val="000000"/>
                <w:sz w:val="16"/>
                <w:szCs w:val="16"/>
                <w:lang w:eastAsia="en-ZA"/>
              </w:rPr>
            </w:pPr>
            <w:r w:rsidRPr="00A14E95">
              <w:rPr>
                <w:rFonts w:cs="Arial"/>
                <w:bCs/>
                <w:color w:val="000000"/>
                <w:sz w:val="16"/>
                <w:szCs w:val="16"/>
                <w:lang w:eastAsia="en-ZA"/>
              </w:rPr>
              <w:t>4 188 742</w:t>
            </w:r>
          </w:p>
        </w:tc>
      </w:tr>
      <w:tr w:rsidR="00A14E95" w:rsidRPr="0005009A" w:rsidTr="004B6143">
        <w:trPr>
          <w:trHeight w:val="80"/>
        </w:trPr>
        <w:tc>
          <w:tcPr>
            <w:tcW w:w="1902"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r w:rsidRPr="0005009A">
              <w:rPr>
                <w:rFonts w:cs="Arial"/>
                <w:color w:val="000000"/>
                <w:sz w:val="16"/>
                <w:szCs w:val="16"/>
                <w:lang w:eastAsia="en-ZA"/>
              </w:rPr>
              <w:t xml:space="preserve">Total liabilities </w:t>
            </w:r>
          </w:p>
        </w:tc>
        <w:tc>
          <w:tcPr>
            <w:tcW w:w="84"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A14E95" w:rsidRPr="0005009A" w:rsidRDefault="00A14E95"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A14E95" w:rsidRPr="005D3782" w:rsidRDefault="00A14E95" w:rsidP="00A14E95">
            <w:pPr>
              <w:jc w:val="right"/>
              <w:rPr>
                <w:rFonts w:cs="Arial"/>
                <w:color w:val="000000"/>
                <w:sz w:val="16"/>
                <w:szCs w:val="16"/>
                <w:lang w:eastAsia="en-ZA"/>
              </w:rPr>
            </w:pPr>
            <w:r>
              <w:rPr>
                <w:rFonts w:cs="Arial"/>
                <w:color w:val="000000"/>
                <w:sz w:val="16"/>
                <w:szCs w:val="16"/>
                <w:lang w:eastAsia="en-ZA"/>
              </w:rPr>
              <w:t xml:space="preserve"> 3 547 189</w:t>
            </w:r>
          </w:p>
        </w:tc>
        <w:tc>
          <w:tcPr>
            <w:tcW w:w="84" w:type="pct"/>
            <w:tcBorders>
              <w:top w:val="nil"/>
              <w:left w:val="nil"/>
              <w:bottom w:val="nil"/>
              <w:right w:val="nil"/>
            </w:tcBorders>
            <w:shd w:val="clear" w:color="auto" w:fill="auto"/>
            <w:noWrap/>
            <w:vAlign w:val="bottom"/>
            <w:hideMark/>
          </w:tcPr>
          <w:p w:rsidR="00A14E95" w:rsidRPr="005D3782" w:rsidRDefault="00A14E95" w:rsidP="00A14E95">
            <w:pPr>
              <w:jc w:val="right"/>
              <w:rPr>
                <w:rFonts w:cs="Arial"/>
                <w:color w:val="000000"/>
                <w:sz w:val="16"/>
                <w:szCs w:val="16"/>
                <w:lang w:eastAsia="en-ZA"/>
              </w:rPr>
            </w:pPr>
          </w:p>
        </w:tc>
        <w:tc>
          <w:tcPr>
            <w:tcW w:w="696" w:type="pct"/>
            <w:tcBorders>
              <w:top w:val="nil"/>
              <w:left w:val="single" w:sz="4" w:space="0" w:color="auto"/>
              <w:bottom w:val="single" w:sz="4" w:space="0" w:color="auto"/>
              <w:right w:val="single" w:sz="4" w:space="0" w:color="auto"/>
            </w:tcBorders>
            <w:shd w:val="clear" w:color="auto" w:fill="auto"/>
            <w:noWrap/>
            <w:vAlign w:val="bottom"/>
            <w:hideMark/>
          </w:tcPr>
          <w:p w:rsidR="00A14E95" w:rsidRPr="005D3782" w:rsidRDefault="00A14E95" w:rsidP="00A14E95">
            <w:pPr>
              <w:jc w:val="right"/>
              <w:rPr>
                <w:rFonts w:cs="Arial"/>
                <w:color w:val="000000"/>
                <w:sz w:val="16"/>
                <w:szCs w:val="16"/>
                <w:lang w:eastAsia="en-ZA"/>
              </w:rPr>
            </w:pPr>
            <w:r>
              <w:rPr>
                <w:rFonts w:cs="Arial"/>
                <w:color w:val="000000"/>
                <w:sz w:val="16"/>
                <w:szCs w:val="16"/>
                <w:lang w:eastAsia="en-ZA"/>
              </w:rPr>
              <w:t>235 910</w:t>
            </w:r>
          </w:p>
        </w:tc>
        <w:tc>
          <w:tcPr>
            <w:tcW w:w="84" w:type="pct"/>
            <w:tcBorders>
              <w:top w:val="nil"/>
              <w:left w:val="nil"/>
              <w:bottom w:val="nil"/>
              <w:right w:val="nil"/>
            </w:tcBorders>
            <w:shd w:val="clear" w:color="auto" w:fill="auto"/>
            <w:noWrap/>
            <w:vAlign w:val="bottom"/>
            <w:hideMark/>
          </w:tcPr>
          <w:p w:rsidR="00A14E95" w:rsidRPr="005D3782" w:rsidRDefault="00A14E95" w:rsidP="00A14E95">
            <w:pPr>
              <w:rPr>
                <w:rFonts w:cs="Arial"/>
                <w:color w:val="000000"/>
                <w:sz w:val="16"/>
                <w:szCs w:val="16"/>
                <w:lang w:eastAsia="en-ZA"/>
              </w:rPr>
            </w:pPr>
          </w:p>
        </w:tc>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A14E95" w:rsidRPr="005D3782" w:rsidRDefault="00A14E95" w:rsidP="00A14E95">
            <w:pPr>
              <w:jc w:val="right"/>
              <w:rPr>
                <w:rFonts w:cs="Arial"/>
                <w:color w:val="000000"/>
                <w:sz w:val="16"/>
                <w:szCs w:val="16"/>
                <w:lang w:eastAsia="en-ZA"/>
              </w:rPr>
            </w:pPr>
            <w:r w:rsidRPr="00A14E95">
              <w:rPr>
                <w:rFonts w:cs="Arial"/>
                <w:color w:val="000000"/>
                <w:sz w:val="16"/>
                <w:szCs w:val="16"/>
                <w:lang w:eastAsia="en-ZA"/>
              </w:rPr>
              <w:t>3 783 099</w:t>
            </w:r>
          </w:p>
        </w:tc>
      </w:tr>
      <w:tr w:rsidR="00A14E95" w:rsidRPr="0005009A" w:rsidTr="004B6143">
        <w:trPr>
          <w:trHeight w:val="150"/>
        </w:trPr>
        <w:tc>
          <w:tcPr>
            <w:tcW w:w="1902"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r w:rsidRPr="0005009A">
              <w:rPr>
                <w:rFonts w:cs="Arial"/>
                <w:color w:val="000000"/>
                <w:sz w:val="16"/>
                <w:szCs w:val="16"/>
                <w:lang w:eastAsia="en-ZA"/>
              </w:rPr>
              <w:t>Net assets / (liabilities)</w:t>
            </w:r>
          </w:p>
        </w:tc>
        <w:tc>
          <w:tcPr>
            <w:tcW w:w="84"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A14E95" w:rsidRPr="0005009A" w:rsidRDefault="00A14E95" w:rsidP="00A14E95">
            <w:pPr>
              <w:jc w:val="center"/>
              <w:rPr>
                <w:rFonts w:cs="Arial"/>
                <w:b/>
                <w:bCs/>
                <w:color w:val="000000"/>
                <w:sz w:val="16"/>
                <w:szCs w:val="16"/>
                <w:lang w:eastAsia="en-ZA"/>
              </w:rPr>
            </w:pPr>
            <w:r w:rsidRPr="0005009A">
              <w:rPr>
                <w:rFonts w:cs="Arial"/>
                <w:b/>
                <w:bCs/>
                <w:color w:val="000000"/>
                <w:sz w:val="16"/>
                <w:szCs w:val="16"/>
                <w:lang w:eastAsia="en-ZA"/>
              </w:rPr>
              <w:t>4.iii</w:t>
            </w:r>
          </w:p>
        </w:tc>
        <w:tc>
          <w:tcPr>
            <w:tcW w:w="84"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p>
        </w:tc>
        <w:tc>
          <w:tcPr>
            <w:tcW w:w="700" w:type="pct"/>
            <w:tcBorders>
              <w:top w:val="nil"/>
              <w:left w:val="nil"/>
              <w:bottom w:val="double" w:sz="6" w:space="0" w:color="auto"/>
              <w:right w:val="nil"/>
            </w:tcBorders>
            <w:shd w:val="clear" w:color="auto" w:fill="auto"/>
            <w:noWrap/>
            <w:vAlign w:val="bottom"/>
            <w:hideMark/>
          </w:tcPr>
          <w:p w:rsidR="00A14E95" w:rsidRPr="005D3782" w:rsidRDefault="00A14E95" w:rsidP="00A14E95">
            <w:pPr>
              <w:jc w:val="right"/>
              <w:rPr>
                <w:rFonts w:cs="Arial"/>
                <w:color w:val="000000"/>
                <w:sz w:val="16"/>
                <w:szCs w:val="16"/>
                <w:lang w:eastAsia="en-ZA"/>
              </w:rPr>
            </w:pPr>
            <w:r>
              <w:rPr>
                <w:rFonts w:cs="Arial"/>
                <w:color w:val="000000"/>
                <w:sz w:val="16"/>
                <w:szCs w:val="16"/>
                <w:lang w:eastAsia="en-ZA"/>
              </w:rPr>
              <w:t>219 704</w:t>
            </w:r>
          </w:p>
        </w:tc>
        <w:tc>
          <w:tcPr>
            <w:tcW w:w="84" w:type="pct"/>
            <w:tcBorders>
              <w:top w:val="nil"/>
              <w:left w:val="nil"/>
              <w:bottom w:val="nil"/>
              <w:right w:val="nil"/>
            </w:tcBorders>
            <w:shd w:val="clear" w:color="auto" w:fill="auto"/>
            <w:noWrap/>
            <w:vAlign w:val="bottom"/>
            <w:hideMark/>
          </w:tcPr>
          <w:p w:rsidR="00A14E95" w:rsidRPr="005D3782" w:rsidRDefault="00A14E95" w:rsidP="00A14E95">
            <w:pPr>
              <w:jc w:val="right"/>
              <w:rPr>
                <w:rFonts w:cs="Arial"/>
                <w:color w:val="000000"/>
                <w:sz w:val="16"/>
                <w:szCs w:val="16"/>
                <w:lang w:eastAsia="en-ZA"/>
              </w:rPr>
            </w:pPr>
          </w:p>
        </w:tc>
        <w:tc>
          <w:tcPr>
            <w:tcW w:w="696" w:type="pct"/>
            <w:tcBorders>
              <w:top w:val="nil"/>
              <w:left w:val="nil"/>
              <w:bottom w:val="double" w:sz="6" w:space="0" w:color="auto"/>
              <w:right w:val="nil"/>
            </w:tcBorders>
            <w:shd w:val="clear" w:color="auto" w:fill="auto"/>
            <w:noWrap/>
            <w:vAlign w:val="bottom"/>
            <w:hideMark/>
          </w:tcPr>
          <w:p w:rsidR="00A14E95" w:rsidRPr="005D3782" w:rsidRDefault="00A14E95" w:rsidP="00A14E95">
            <w:pPr>
              <w:jc w:val="right"/>
              <w:rPr>
                <w:rFonts w:cs="Arial"/>
                <w:color w:val="000000"/>
                <w:sz w:val="16"/>
                <w:szCs w:val="16"/>
                <w:lang w:eastAsia="en-ZA"/>
              </w:rPr>
            </w:pPr>
            <w:r>
              <w:rPr>
                <w:rFonts w:cs="Arial"/>
                <w:color w:val="000000"/>
                <w:sz w:val="16"/>
                <w:szCs w:val="16"/>
                <w:lang w:eastAsia="en-ZA"/>
              </w:rPr>
              <w:t>185 939</w:t>
            </w:r>
          </w:p>
        </w:tc>
        <w:tc>
          <w:tcPr>
            <w:tcW w:w="84" w:type="pct"/>
            <w:tcBorders>
              <w:top w:val="nil"/>
              <w:left w:val="nil"/>
              <w:bottom w:val="nil"/>
              <w:right w:val="nil"/>
            </w:tcBorders>
            <w:shd w:val="clear" w:color="auto" w:fill="auto"/>
            <w:noWrap/>
            <w:vAlign w:val="bottom"/>
            <w:hideMark/>
          </w:tcPr>
          <w:p w:rsidR="00A14E95" w:rsidRPr="005D3782" w:rsidRDefault="00A14E95" w:rsidP="00A14E95">
            <w:pPr>
              <w:rPr>
                <w:rFonts w:cs="Arial"/>
                <w:color w:val="000000"/>
                <w:sz w:val="16"/>
                <w:szCs w:val="16"/>
                <w:lang w:eastAsia="en-ZA"/>
              </w:rPr>
            </w:pPr>
          </w:p>
        </w:tc>
        <w:tc>
          <w:tcPr>
            <w:tcW w:w="1009" w:type="pct"/>
            <w:tcBorders>
              <w:top w:val="nil"/>
              <w:left w:val="nil"/>
              <w:bottom w:val="double" w:sz="6" w:space="0" w:color="auto"/>
              <w:right w:val="nil"/>
            </w:tcBorders>
            <w:shd w:val="clear" w:color="000000" w:fill="C5D9F1"/>
            <w:noWrap/>
            <w:vAlign w:val="bottom"/>
            <w:hideMark/>
          </w:tcPr>
          <w:p w:rsidR="00A14E95" w:rsidRPr="005D3782" w:rsidRDefault="00A14E95" w:rsidP="00A14E95">
            <w:pPr>
              <w:jc w:val="right"/>
              <w:rPr>
                <w:rFonts w:cs="Arial"/>
                <w:color w:val="000000"/>
                <w:sz w:val="16"/>
                <w:szCs w:val="16"/>
                <w:lang w:eastAsia="en-ZA"/>
              </w:rPr>
            </w:pPr>
            <w:r>
              <w:rPr>
                <w:rFonts w:cs="Arial"/>
                <w:color w:val="000000"/>
                <w:sz w:val="16"/>
                <w:szCs w:val="16"/>
                <w:lang w:eastAsia="en-ZA"/>
              </w:rPr>
              <w:t>405 643</w:t>
            </w:r>
          </w:p>
        </w:tc>
      </w:tr>
      <w:tr w:rsidR="00A14E95" w:rsidRPr="0005009A" w:rsidTr="004B6143">
        <w:trPr>
          <w:trHeight w:val="240"/>
        </w:trPr>
        <w:tc>
          <w:tcPr>
            <w:tcW w:w="1902"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jc w:val="center"/>
              <w:rPr>
                <w:rFonts w:cs="Arial"/>
                <w:b/>
                <w:bCs/>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nil"/>
              <w:bottom w:val="nil"/>
              <w:right w:val="nil"/>
            </w:tcBorders>
            <w:shd w:val="clear" w:color="auto" w:fill="auto"/>
            <w:noWrap/>
            <w:vAlign w:val="bottom"/>
            <w:hideMark/>
          </w:tcPr>
          <w:p w:rsidR="00A14E95" w:rsidRPr="0005009A" w:rsidRDefault="00A14E95" w:rsidP="00A14E95">
            <w:pPr>
              <w:jc w:val="right"/>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jc w:val="right"/>
              <w:rPr>
                <w:rFonts w:cs="Arial"/>
                <w:color w:val="000000"/>
                <w:sz w:val="16"/>
                <w:szCs w:val="16"/>
                <w:lang w:eastAsia="en-ZA"/>
              </w:rPr>
            </w:pPr>
          </w:p>
        </w:tc>
        <w:tc>
          <w:tcPr>
            <w:tcW w:w="696" w:type="pct"/>
            <w:tcBorders>
              <w:top w:val="nil"/>
              <w:left w:val="nil"/>
              <w:bottom w:val="nil"/>
              <w:right w:val="nil"/>
            </w:tcBorders>
            <w:shd w:val="clear" w:color="auto" w:fill="auto"/>
            <w:noWrap/>
            <w:vAlign w:val="bottom"/>
            <w:hideMark/>
          </w:tcPr>
          <w:p w:rsidR="00A14E95" w:rsidRPr="0005009A" w:rsidRDefault="00A14E95" w:rsidP="00A14E95">
            <w:pPr>
              <w:jc w:val="right"/>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nil"/>
              <w:bottom w:val="nil"/>
              <w:right w:val="nil"/>
            </w:tcBorders>
            <w:shd w:val="clear" w:color="auto" w:fill="auto"/>
            <w:noWrap/>
            <w:vAlign w:val="bottom"/>
            <w:hideMark/>
          </w:tcPr>
          <w:p w:rsidR="00A14E95" w:rsidRPr="0005009A" w:rsidRDefault="00A14E95" w:rsidP="00A14E95">
            <w:pPr>
              <w:jc w:val="right"/>
              <w:rPr>
                <w:rFonts w:cs="Arial"/>
                <w:color w:val="000000"/>
                <w:sz w:val="16"/>
                <w:szCs w:val="16"/>
                <w:lang w:eastAsia="en-ZA"/>
              </w:rPr>
            </w:pPr>
          </w:p>
        </w:tc>
      </w:tr>
      <w:tr w:rsidR="00A14E95" w:rsidRPr="0005009A" w:rsidTr="004B6143">
        <w:trPr>
          <w:trHeight w:val="225"/>
        </w:trPr>
        <w:tc>
          <w:tcPr>
            <w:tcW w:w="1902" w:type="pct"/>
            <w:tcBorders>
              <w:top w:val="nil"/>
              <w:left w:val="nil"/>
              <w:bottom w:val="nil"/>
              <w:right w:val="nil"/>
            </w:tcBorders>
            <w:shd w:val="clear" w:color="auto" w:fill="auto"/>
            <w:vAlign w:val="bottom"/>
            <w:hideMark/>
          </w:tcPr>
          <w:p w:rsidR="00A14E95" w:rsidRPr="0005009A" w:rsidRDefault="00A14E95" w:rsidP="00A14E95">
            <w:pPr>
              <w:rPr>
                <w:rFonts w:cs="Arial"/>
                <w:b/>
                <w:bCs/>
                <w:color w:val="000000"/>
                <w:sz w:val="16"/>
                <w:szCs w:val="16"/>
                <w:lang w:eastAsia="en-ZA"/>
              </w:rPr>
            </w:pPr>
            <w:r w:rsidRPr="0005009A">
              <w:rPr>
                <w:rFonts w:cs="Arial"/>
                <w:b/>
                <w:bCs/>
                <w:color w:val="000000"/>
                <w:sz w:val="16"/>
                <w:szCs w:val="16"/>
                <w:lang w:eastAsia="en-ZA"/>
              </w:rPr>
              <w:t>Cash and cash equivalents / (Bank overdraft)</w:t>
            </w:r>
          </w:p>
        </w:tc>
        <w:tc>
          <w:tcPr>
            <w:tcW w:w="84"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A14E95" w:rsidRPr="0005009A" w:rsidRDefault="00A14E95" w:rsidP="00A14E95">
            <w:pPr>
              <w:jc w:val="center"/>
              <w:rPr>
                <w:rFonts w:cs="Arial"/>
                <w:b/>
                <w:bCs/>
                <w:color w:val="000000"/>
                <w:sz w:val="16"/>
                <w:szCs w:val="16"/>
                <w:lang w:eastAsia="en-ZA"/>
              </w:rPr>
            </w:pPr>
            <w:r w:rsidRPr="0005009A">
              <w:rPr>
                <w:rFonts w:cs="Arial"/>
                <w:b/>
                <w:bCs/>
                <w:color w:val="000000"/>
                <w:sz w:val="16"/>
                <w:szCs w:val="16"/>
                <w:lang w:eastAsia="en-ZA"/>
              </w:rPr>
              <w:t>4.iv</w:t>
            </w:r>
          </w:p>
        </w:tc>
        <w:tc>
          <w:tcPr>
            <w:tcW w:w="84"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p>
        </w:tc>
        <w:tc>
          <w:tcPr>
            <w:tcW w:w="7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4E95" w:rsidRPr="00A14E95" w:rsidRDefault="00A14E95" w:rsidP="00A14E95">
            <w:pPr>
              <w:jc w:val="right"/>
              <w:rPr>
                <w:rFonts w:cs="Arial"/>
                <w:bCs/>
                <w:color w:val="000000"/>
                <w:sz w:val="16"/>
                <w:szCs w:val="16"/>
                <w:lang w:eastAsia="en-ZA"/>
              </w:rPr>
            </w:pPr>
            <w:r w:rsidRPr="00A14E95">
              <w:rPr>
                <w:rFonts w:cs="Arial"/>
                <w:bCs/>
                <w:color w:val="000000"/>
                <w:sz w:val="16"/>
                <w:szCs w:val="16"/>
                <w:lang w:eastAsia="en-ZA"/>
              </w:rPr>
              <w:t> </w:t>
            </w:r>
            <w:r>
              <w:rPr>
                <w:rFonts w:cs="Arial"/>
                <w:bCs/>
                <w:color w:val="000000"/>
                <w:sz w:val="16"/>
                <w:szCs w:val="16"/>
                <w:lang w:eastAsia="en-ZA"/>
              </w:rPr>
              <w:t>(1 102 491</w:t>
            </w:r>
            <w:r w:rsidRPr="00A14E95">
              <w:rPr>
                <w:rFonts w:cs="Arial"/>
                <w:bCs/>
                <w:color w:val="000000"/>
                <w:sz w:val="16"/>
                <w:szCs w:val="16"/>
                <w:lang w:eastAsia="en-ZA"/>
              </w:rPr>
              <w:t>)</w:t>
            </w:r>
          </w:p>
        </w:tc>
        <w:tc>
          <w:tcPr>
            <w:tcW w:w="84" w:type="pct"/>
            <w:tcBorders>
              <w:top w:val="nil"/>
              <w:left w:val="nil"/>
              <w:bottom w:val="nil"/>
              <w:right w:val="nil"/>
            </w:tcBorders>
            <w:shd w:val="clear" w:color="auto" w:fill="auto"/>
            <w:noWrap/>
            <w:hideMark/>
          </w:tcPr>
          <w:p w:rsidR="00A14E95" w:rsidRPr="00A14E95" w:rsidRDefault="00A14E95" w:rsidP="00A14E95">
            <w:pPr>
              <w:jc w:val="right"/>
              <w:rPr>
                <w:rFonts w:cs="Arial"/>
                <w:color w:val="000000"/>
                <w:sz w:val="16"/>
                <w:szCs w:val="16"/>
                <w:lang w:eastAsia="en-ZA"/>
              </w:rPr>
            </w:pPr>
          </w:p>
        </w:tc>
        <w:tc>
          <w:tcPr>
            <w:tcW w:w="6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4E95" w:rsidRPr="00A14E95" w:rsidRDefault="00A14E95" w:rsidP="00A14E95">
            <w:pPr>
              <w:jc w:val="right"/>
              <w:rPr>
                <w:rFonts w:cs="Arial"/>
                <w:bCs/>
                <w:color w:val="000000"/>
                <w:sz w:val="16"/>
                <w:szCs w:val="16"/>
                <w:lang w:eastAsia="en-ZA"/>
              </w:rPr>
            </w:pPr>
            <w:r>
              <w:rPr>
                <w:rFonts w:cs="Arial"/>
                <w:bCs/>
                <w:color w:val="000000"/>
                <w:sz w:val="16"/>
                <w:szCs w:val="16"/>
                <w:lang w:eastAsia="en-ZA"/>
              </w:rPr>
              <w:t>(152 497)</w:t>
            </w:r>
          </w:p>
        </w:tc>
        <w:tc>
          <w:tcPr>
            <w:tcW w:w="84" w:type="pct"/>
            <w:tcBorders>
              <w:top w:val="nil"/>
              <w:left w:val="nil"/>
              <w:bottom w:val="nil"/>
              <w:right w:val="nil"/>
            </w:tcBorders>
            <w:shd w:val="clear" w:color="auto" w:fill="auto"/>
            <w:noWrap/>
            <w:vAlign w:val="bottom"/>
            <w:hideMark/>
          </w:tcPr>
          <w:p w:rsidR="00A14E95" w:rsidRPr="00A14E95" w:rsidRDefault="00A14E95" w:rsidP="00A14E95">
            <w:pPr>
              <w:rPr>
                <w:rFonts w:cs="Arial"/>
                <w:color w:val="000000"/>
                <w:sz w:val="16"/>
                <w:szCs w:val="16"/>
                <w:lang w:eastAsia="en-ZA"/>
              </w:rPr>
            </w:pPr>
          </w:p>
        </w:tc>
        <w:tc>
          <w:tcPr>
            <w:tcW w:w="1009"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A14E95" w:rsidRPr="00A14E95" w:rsidRDefault="00A14E95" w:rsidP="00A14E95">
            <w:pPr>
              <w:jc w:val="right"/>
              <w:rPr>
                <w:rFonts w:cs="Arial"/>
                <w:color w:val="000000"/>
                <w:sz w:val="16"/>
                <w:szCs w:val="16"/>
                <w:lang w:eastAsia="en-ZA"/>
              </w:rPr>
            </w:pPr>
            <w:r w:rsidRPr="00A14E95">
              <w:rPr>
                <w:rFonts w:cs="Arial"/>
                <w:bCs/>
                <w:color w:val="000000"/>
                <w:sz w:val="16"/>
                <w:szCs w:val="16"/>
                <w:lang w:eastAsia="en-ZA"/>
              </w:rPr>
              <w:t> (1 254 988)</w:t>
            </w:r>
          </w:p>
        </w:tc>
      </w:tr>
      <w:tr w:rsidR="00A14E95" w:rsidRPr="0005009A" w:rsidTr="004B6143">
        <w:trPr>
          <w:trHeight w:val="225"/>
        </w:trPr>
        <w:tc>
          <w:tcPr>
            <w:tcW w:w="1902"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r>
      <w:tr w:rsidR="00A14E95" w:rsidRPr="0005009A" w:rsidTr="004B6143">
        <w:trPr>
          <w:trHeight w:val="166"/>
        </w:trPr>
        <w:tc>
          <w:tcPr>
            <w:tcW w:w="1902"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r w:rsidRPr="0005009A">
              <w:rPr>
                <w:rFonts w:cs="Arial"/>
                <w:color w:val="000000"/>
                <w:sz w:val="16"/>
                <w:szCs w:val="16"/>
                <w:lang w:eastAsia="en-ZA"/>
              </w:rPr>
              <w:t xml:space="preserve">Year-end carrying amount of the category(ies) of PPE that were subject to write-off </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single" w:sz="4" w:space="0" w:color="auto"/>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single" w:sz="4" w:space="0" w:color="auto"/>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single" w:sz="4" w:space="0" w:color="auto"/>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r>
      <w:tr w:rsidR="00A14E95" w:rsidRPr="0005009A" w:rsidTr="004B6143">
        <w:trPr>
          <w:trHeight w:val="83"/>
        </w:trPr>
        <w:tc>
          <w:tcPr>
            <w:tcW w:w="1902"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r w:rsidRPr="0005009A">
              <w:rPr>
                <w:rFonts w:cs="Arial"/>
                <w:color w:val="000000"/>
                <w:sz w:val="16"/>
                <w:szCs w:val="16"/>
                <w:lang w:eastAsia="en-ZA"/>
              </w:rPr>
              <w:t xml:space="preserve">Year-end carrying amount of the category(ies) intangible assets that were subject to write-off </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r>
      <w:tr w:rsidR="00A14E95" w:rsidRPr="0005009A" w:rsidTr="004B6143">
        <w:trPr>
          <w:trHeight w:val="225"/>
        </w:trPr>
        <w:tc>
          <w:tcPr>
            <w:tcW w:w="1902"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r w:rsidRPr="0005009A">
              <w:rPr>
                <w:rFonts w:cs="Arial"/>
                <w:color w:val="000000"/>
                <w:sz w:val="16"/>
                <w:szCs w:val="16"/>
                <w:lang w:eastAsia="en-ZA"/>
              </w:rPr>
              <w:t xml:space="preserve">Year-end carrying amount of investments that were subject to write-off </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r>
      <w:tr w:rsidR="00A14E95" w:rsidRPr="0005009A" w:rsidTr="004B6143">
        <w:trPr>
          <w:trHeight w:val="80"/>
        </w:trPr>
        <w:tc>
          <w:tcPr>
            <w:tcW w:w="1902"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r w:rsidRPr="0005009A">
              <w:rPr>
                <w:rFonts w:cs="Arial"/>
                <w:color w:val="000000"/>
                <w:sz w:val="16"/>
                <w:szCs w:val="16"/>
                <w:lang w:eastAsia="en-ZA"/>
              </w:rPr>
              <w:t xml:space="preserve">Year-end carrying amount of loan receivables that were subject to write-off </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single" w:sz="4" w:space="0" w:color="auto"/>
              <w:bottom w:val="single" w:sz="4" w:space="0" w:color="auto"/>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r>
      <w:tr w:rsidR="00A14E95" w:rsidRPr="0005009A" w:rsidTr="004B6143">
        <w:trPr>
          <w:trHeight w:val="240"/>
        </w:trPr>
        <w:tc>
          <w:tcPr>
            <w:tcW w:w="1902"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nil"/>
              <w:bottom w:val="double" w:sz="6" w:space="0" w:color="auto"/>
              <w:right w:val="nil"/>
            </w:tcBorders>
            <w:shd w:val="clear" w:color="auto" w:fill="auto"/>
            <w:noWrap/>
            <w:vAlign w:val="bottom"/>
            <w:hideMark/>
          </w:tcPr>
          <w:p w:rsidR="00A14E95" w:rsidRPr="00A14E95" w:rsidRDefault="00A14E95" w:rsidP="00A14E95">
            <w:pPr>
              <w:jc w:val="right"/>
              <w:rPr>
                <w:rFonts w:cs="Arial"/>
                <w:b/>
                <w:color w:val="000000"/>
                <w:sz w:val="16"/>
                <w:szCs w:val="16"/>
                <w:lang w:eastAsia="en-ZA"/>
              </w:rPr>
            </w:pPr>
            <w:r w:rsidRPr="00A14E95">
              <w:rPr>
                <w:rFonts w:cs="Arial"/>
                <w:b/>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nil"/>
              <w:bottom w:val="double" w:sz="6" w:space="0" w:color="auto"/>
              <w:right w:val="nil"/>
            </w:tcBorders>
            <w:shd w:val="clear" w:color="auto" w:fill="auto"/>
            <w:noWrap/>
            <w:vAlign w:val="bottom"/>
            <w:hideMark/>
          </w:tcPr>
          <w:p w:rsidR="00A14E95" w:rsidRPr="00A14E95" w:rsidRDefault="00A14E95" w:rsidP="00A14E95">
            <w:pPr>
              <w:jc w:val="right"/>
              <w:rPr>
                <w:rFonts w:cs="Arial"/>
                <w:b/>
                <w:color w:val="000000"/>
                <w:sz w:val="16"/>
                <w:szCs w:val="16"/>
                <w:lang w:eastAsia="en-ZA"/>
              </w:rPr>
            </w:pPr>
            <w:r w:rsidRPr="00A14E95">
              <w:rPr>
                <w:rFonts w:cs="Arial"/>
                <w:b/>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nil"/>
              <w:bottom w:val="double" w:sz="6" w:space="0" w:color="auto"/>
              <w:right w:val="nil"/>
            </w:tcBorders>
            <w:shd w:val="clear" w:color="auto" w:fill="auto"/>
            <w:noWrap/>
            <w:vAlign w:val="bottom"/>
            <w:hideMark/>
          </w:tcPr>
          <w:p w:rsidR="00A14E95" w:rsidRPr="00A14E95" w:rsidRDefault="00A14E95" w:rsidP="00A14E95">
            <w:pPr>
              <w:jc w:val="right"/>
              <w:rPr>
                <w:rFonts w:cs="Arial"/>
                <w:b/>
                <w:color w:val="000000"/>
                <w:sz w:val="16"/>
                <w:szCs w:val="16"/>
                <w:lang w:eastAsia="en-ZA"/>
              </w:rPr>
            </w:pPr>
            <w:r w:rsidRPr="00A14E95">
              <w:rPr>
                <w:rFonts w:cs="Arial"/>
                <w:b/>
                <w:color w:val="000000"/>
                <w:sz w:val="16"/>
                <w:szCs w:val="16"/>
                <w:lang w:eastAsia="en-ZA"/>
              </w:rPr>
              <w:t>-</w:t>
            </w:r>
          </w:p>
        </w:tc>
      </w:tr>
      <w:tr w:rsidR="00A14E95" w:rsidRPr="0005009A" w:rsidTr="004B6143">
        <w:trPr>
          <w:trHeight w:val="240"/>
        </w:trPr>
        <w:tc>
          <w:tcPr>
            <w:tcW w:w="1902"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r>
      <w:tr w:rsidR="00A14E95" w:rsidRPr="0005009A" w:rsidTr="004B6143">
        <w:trPr>
          <w:trHeight w:val="225"/>
        </w:trPr>
        <w:tc>
          <w:tcPr>
            <w:tcW w:w="1902"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r w:rsidRPr="0005009A">
              <w:rPr>
                <w:rFonts w:cs="Arial"/>
                <w:color w:val="000000"/>
                <w:sz w:val="16"/>
                <w:szCs w:val="16"/>
                <w:lang w:eastAsia="en-ZA"/>
              </w:rPr>
              <w:t>PPE written-off for the year</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single" w:sz="4" w:space="0" w:color="auto"/>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single" w:sz="4" w:space="0" w:color="auto"/>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single" w:sz="4" w:space="0" w:color="auto"/>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r>
      <w:tr w:rsidR="00A14E95" w:rsidRPr="0005009A" w:rsidTr="004B6143">
        <w:trPr>
          <w:trHeight w:val="225"/>
        </w:trPr>
        <w:tc>
          <w:tcPr>
            <w:tcW w:w="1902"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r w:rsidRPr="0005009A">
              <w:rPr>
                <w:rFonts w:cs="Arial"/>
                <w:color w:val="000000"/>
                <w:sz w:val="16"/>
                <w:szCs w:val="16"/>
                <w:lang w:eastAsia="en-ZA"/>
              </w:rPr>
              <w:t>Intangible assets written-off for the year</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r>
      <w:tr w:rsidR="00A14E95" w:rsidRPr="0005009A" w:rsidTr="004B6143">
        <w:trPr>
          <w:trHeight w:val="225"/>
        </w:trPr>
        <w:tc>
          <w:tcPr>
            <w:tcW w:w="1902"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r w:rsidRPr="0005009A">
              <w:rPr>
                <w:rFonts w:cs="Arial"/>
                <w:color w:val="000000"/>
                <w:sz w:val="16"/>
                <w:szCs w:val="16"/>
                <w:lang w:eastAsia="en-ZA"/>
              </w:rPr>
              <w:t>Investments written-off for the year</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single" w:sz="4" w:space="0" w:color="auto"/>
              <w:bottom w:val="nil"/>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r>
      <w:tr w:rsidR="00A14E95" w:rsidRPr="0005009A" w:rsidTr="004B6143">
        <w:trPr>
          <w:trHeight w:val="80"/>
        </w:trPr>
        <w:tc>
          <w:tcPr>
            <w:tcW w:w="1902"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r w:rsidRPr="0005009A">
              <w:rPr>
                <w:rFonts w:cs="Arial"/>
                <w:color w:val="000000"/>
                <w:sz w:val="16"/>
                <w:szCs w:val="16"/>
                <w:lang w:eastAsia="en-ZA"/>
              </w:rPr>
              <w:t>Loan receivables written-off for the year</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single" w:sz="4" w:space="0" w:color="auto"/>
              <w:bottom w:val="single" w:sz="4" w:space="0" w:color="auto"/>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A14E95" w:rsidRPr="0005009A" w:rsidRDefault="00A14E95" w:rsidP="00A14E95">
            <w:pPr>
              <w:jc w:val="right"/>
              <w:rPr>
                <w:rFonts w:cs="Arial"/>
                <w:color w:val="000000"/>
                <w:sz w:val="16"/>
                <w:szCs w:val="16"/>
                <w:lang w:eastAsia="en-ZA"/>
              </w:rPr>
            </w:pPr>
            <w:r>
              <w:rPr>
                <w:rFonts w:cs="Arial"/>
                <w:color w:val="000000"/>
                <w:sz w:val="16"/>
                <w:szCs w:val="16"/>
                <w:lang w:eastAsia="en-ZA"/>
              </w:rPr>
              <w:t>-</w:t>
            </w:r>
          </w:p>
        </w:tc>
      </w:tr>
      <w:tr w:rsidR="00A14E95" w:rsidRPr="0005009A" w:rsidTr="004B6143">
        <w:trPr>
          <w:trHeight w:val="240"/>
        </w:trPr>
        <w:tc>
          <w:tcPr>
            <w:tcW w:w="1902"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nil"/>
              <w:bottom w:val="double" w:sz="6" w:space="0" w:color="auto"/>
              <w:right w:val="nil"/>
            </w:tcBorders>
            <w:shd w:val="clear" w:color="auto" w:fill="auto"/>
            <w:noWrap/>
            <w:vAlign w:val="bottom"/>
            <w:hideMark/>
          </w:tcPr>
          <w:p w:rsidR="00A14E95" w:rsidRPr="00A14E95" w:rsidRDefault="00A14E95" w:rsidP="00A14E95">
            <w:pPr>
              <w:jc w:val="right"/>
              <w:rPr>
                <w:rFonts w:cs="Arial"/>
                <w:b/>
                <w:color w:val="000000"/>
                <w:sz w:val="16"/>
                <w:szCs w:val="16"/>
                <w:lang w:eastAsia="en-ZA"/>
              </w:rPr>
            </w:pPr>
            <w:r w:rsidRPr="00A14E95">
              <w:rPr>
                <w:rFonts w:cs="Arial"/>
                <w:b/>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nil"/>
              <w:bottom w:val="double" w:sz="6" w:space="0" w:color="auto"/>
              <w:right w:val="nil"/>
            </w:tcBorders>
            <w:shd w:val="clear" w:color="auto" w:fill="auto"/>
            <w:noWrap/>
            <w:vAlign w:val="bottom"/>
            <w:hideMark/>
          </w:tcPr>
          <w:p w:rsidR="00A14E95" w:rsidRPr="00A14E95" w:rsidRDefault="00A14E95" w:rsidP="00A14E95">
            <w:pPr>
              <w:jc w:val="right"/>
              <w:rPr>
                <w:rFonts w:cs="Arial"/>
                <w:b/>
                <w:color w:val="000000"/>
                <w:sz w:val="16"/>
                <w:szCs w:val="16"/>
                <w:lang w:eastAsia="en-ZA"/>
              </w:rPr>
            </w:pPr>
            <w:r w:rsidRPr="00A14E95">
              <w:rPr>
                <w:rFonts w:cs="Arial"/>
                <w:b/>
                <w:color w:val="000000"/>
                <w:sz w:val="16"/>
                <w:szCs w:val="16"/>
                <w:lang w:eastAsia="en-ZA"/>
              </w:rPr>
              <w:t>-</w:t>
            </w: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nil"/>
              <w:bottom w:val="double" w:sz="6" w:space="0" w:color="auto"/>
              <w:right w:val="nil"/>
            </w:tcBorders>
            <w:shd w:val="clear" w:color="auto" w:fill="auto"/>
            <w:noWrap/>
            <w:vAlign w:val="bottom"/>
            <w:hideMark/>
          </w:tcPr>
          <w:p w:rsidR="00A14E95" w:rsidRPr="00A14E95" w:rsidRDefault="00A14E95" w:rsidP="00A14E95">
            <w:pPr>
              <w:jc w:val="right"/>
              <w:rPr>
                <w:rFonts w:cs="Arial"/>
                <w:b/>
                <w:color w:val="000000"/>
                <w:sz w:val="16"/>
                <w:szCs w:val="16"/>
                <w:lang w:eastAsia="en-ZA"/>
              </w:rPr>
            </w:pPr>
            <w:r w:rsidRPr="00A14E95">
              <w:rPr>
                <w:rFonts w:cs="Arial"/>
                <w:b/>
                <w:color w:val="000000"/>
                <w:sz w:val="16"/>
                <w:szCs w:val="16"/>
                <w:lang w:eastAsia="en-ZA"/>
              </w:rPr>
              <w:t>-</w:t>
            </w:r>
          </w:p>
        </w:tc>
      </w:tr>
      <w:tr w:rsidR="00A14E95" w:rsidRPr="0005009A" w:rsidTr="004B6143">
        <w:trPr>
          <w:trHeight w:val="99"/>
        </w:trPr>
        <w:tc>
          <w:tcPr>
            <w:tcW w:w="1902"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r>
      <w:tr w:rsidR="00A14E95" w:rsidRPr="0005009A" w:rsidTr="004B6143">
        <w:trPr>
          <w:trHeight w:val="225"/>
        </w:trPr>
        <w:tc>
          <w:tcPr>
            <w:tcW w:w="1902"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nil"/>
              <w:bottom w:val="nil"/>
              <w:right w:val="nil"/>
            </w:tcBorders>
            <w:shd w:val="clear" w:color="auto" w:fill="auto"/>
            <w:noWrap/>
            <w:vAlign w:val="bottom"/>
            <w:hideMark/>
          </w:tcPr>
          <w:p w:rsidR="00A14E95" w:rsidRPr="0005009A" w:rsidRDefault="00A14E95" w:rsidP="00A14E95">
            <w:pPr>
              <w:jc w:val="center"/>
              <w:rPr>
                <w:rFonts w:cs="Arial"/>
                <w:b/>
                <w:bCs/>
                <w:sz w:val="16"/>
                <w:szCs w:val="16"/>
                <w:lang w:eastAsia="en-ZA"/>
              </w:rPr>
            </w:pPr>
            <w:r w:rsidRPr="0005009A">
              <w:rPr>
                <w:rFonts w:cs="Arial"/>
                <w:b/>
                <w:bCs/>
                <w:sz w:val="16"/>
                <w:szCs w:val="16"/>
                <w:lang w:eastAsia="en-ZA"/>
              </w:rPr>
              <w:t xml:space="preserve"> 2011/12 </w:t>
            </w:r>
          </w:p>
        </w:tc>
      </w:tr>
      <w:tr w:rsidR="00A14E95" w:rsidRPr="0005009A" w:rsidTr="004B6143">
        <w:trPr>
          <w:trHeight w:val="225"/>
        </w:trPr>
        <w:tc>
          <w:tcPr>
            <w:tcW w:w="1902"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700"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nil"/>
              <w:left w:val="nil"/>
              <w:bottom w:val="nil"/>
              <w:right w:val="nil"/>
            </w:tcBorders>
            <w:shd w:val="clear" w:color="auto" w:fill="auto"/>
            <w:noWrap/>
            <w:vAlign w:val="bottom"/>
            <w:hideMark/>
          </w:tcPr>
          <w:p w:rsidR="00A14E95" w:rsidRPr="0005009A" w:rsidRDefault="00A14E95" w:rsidP="00A14E95">
            <w:pPr>
              <w:jc w:val="center"/>
              <w:rPr>
                <w:rFonts w:cs="Arial"/>
                <w:b/>
                <w:bCs/>
                <w:sz w:val="16"/>
                <w:szCs w:val="16"/>
                <w:lang w:eastAsia="en-ZA"/>
              </w:rPr>
            </w:pPr>
            <w:r w:rsidRPr="0005009A">
              <w:rPr>
                <w:rFonts w:cs="Arial"/>
                <w:b/>
                <w:bCs/>
                <w:sz w:val="16"/>
                <w:szCs w:val="16"/>
                <w:lang w:eastAsia="en-ZA"/>
              </w:rPr>
              <w:t xml:space="preserve"> % </w:t>
            </w:r>
          </w:p>
        </w:tc>
      </w:tr>
      <w:tr w:rsidR="00A14E95" w:rsidRPr="0005009A" w:rsidTr="004B6143">
        <w:trPr>
          <w:trHeight w:val="118"/>
        </w:trPr>
        <w:tc>
          <w:tcPr>
            <w:tcW w:w="1902" w:type="pct"/>
            <w:tcBorders>
              <w:top w:val="nil"/>
              <w:left w:val="nil"/>
              <w:bottom w:val="nil"/>
              <w:right w:val="nil"/>
            </w:tcBorders>
            <w:shd w:val="clear" w:color="auto" w:fill="auto"/>
            <w:vAlign w:val="bottom"/>
            <w:hideMark/>
          </w:tcPr>
          <w:p w:rsidR="00A14E95" w:rsidRPr="0005009A" w:rsidRDefault="00A14E95" w:rsidP="00A14E95">
            <w:pPr>
              <w:rPr>
                <w:rFonts w:cs="Arial"/>
                <w:b/>
                <w:bCs/>
                <w:color w:val="000000"/>
                <w:sz w:val="16"/>
                <w:szCs w:val="16"/>
                <w:lang w:eastAsia="en-ZA"/>
              </w:rPr>
            </w:pPr>
            <w:r w:rsidRPr="0005009A">
              <w:rPr>
                <w:rFonts w:cs="Arial"/>
                <w:b/>
                <w:bCs/>
                <w:color w:val="000000"/>
                <w:sz w:val="16"/>
                <w:szCs w:val="16"/>
                <w:lang w:eastAsia="en-ZA"/>
              </w:rPr>
              <w:t xml:space="preserve">PPE &amp; intangible assets, investments and loans written-off for the year as a percentage of the carrying amount of the category(ies) of PPE &amp; intangible assets, investments and loans subject to write-off </w:t>
            </w:r>
          </w:p>
        </w:tc>
        <w:tc>
          <w:tcPr>
            <w:tcW w:w="84"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p>
        </w:tc>
        <w:tc>
          <w:tcPr>
            <w:tcW w:w="356" w:type="pct"/>
            <w:tcBorders>
              <w:top w:val="nil"/>
              <w:left w:val="nil"/>
              <w:bottom w:val="nil"/>
              <w:right w:val="nil"/>
            </w:tcBorders>
            <w:shd w:val="clear" w:color="auto" w:fill="auto"/>
            <w:vAlign w:val="bottom"/>
            <w:hideMark/>
          </w:tcPr>
          <w:p w:rsidR="00A14E95" w:rsidRPr="0005009A" w:rsidRDefault="00A14E95" w:rsidP="00A14E95">
            <w:pPr>
              <w:jc w:val="center"/>
              <w:rPr>
                <w:rFonts w:cs="Arial"/>
                <w:b/>
                <w:bCs/>
                <w:color w:val="000000"/>
                <w:sz w:val="16"/>
                <w:szCs w:val="16"/>
                <w:lang w:eastAsia="en-ZA"/>
              </w:rPr>
            </w:pPr>
            <w:r w:rsidRPr="0005009A">
              <w:rPr>
                <w:rFonts w:cs="Arial"/>
                <w:b/>
                <w:bCs/>
                <w:color w:val="000000"/>
                <w:sz w:val="16"/>
                <w:szCs w:val="16"/>
                <w:lang w:eastAsia="en-ZA"/>
              </w:rPr>
              <w:t>4.v</w:t>
            </w:r>
          </w:p>
        </w:tc>
        <w:tc>
          <w:tcPr>
            <w:tcW w:w="84" w:type="pct"/>
            <w:tcBorders>
              <w:top w:val="nil"/>
              <w:left w:val="nil"/>
              <w:bottom w:val="nil"/>
              <w:right w:val="nil"/>
            </w:tcBorders>
            <w:shd w:val="clear" w:color="auto" w:fill="auto"/>
            <w:vAlign w:val="bottom"/>
            <w:hideMark/>
          </w:tcPr>
          <w:p w:rsidR="00A14E95" w:rsidRPr="0005009A" w:rsidRDefault="00A14E95" w:rsidP="00A14E95">
            <w:pPr>
              <w:rPr>
                <w:rFonts w:cs="Arial"/>
                <w:color w:val="000000"/>
                <w:sz w:val="16"/>
                <w:szCs w:val="16"/>
                <w:lang w:eastAsia="en-ZA"/>
              </w:rPr>
            </w:pPr>
          </w:p>
        </w:tc>
        <w:tc>
          <w:tcPr>
            <w:tcW w:w="700"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696"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84" w:type="pct"/>
            <w:tcBorders>
              <w:top w:val="nil"/>
              <w:left w:val="nil"/>
              <w:bottom w:val="nil"/>
              <w:right w:val="nil"/>
            </w:tcBorders>
            <w:shd w:val="clear" w:color="auto" w:fill="auto"/>
            <w:noWrap/>
            <w:vAlign w:val="bottom"/>
            <w:hideMark/>
          </w:tcPr>
          <w:p w:rsidR="00A14E95" w:rsidRPr="0005009A" w:rsidRDefault="00A14E95" w:rsidP="00A14E95">
            <w:pPr>
              <w:rPr>
                <w:rFonts w:cs="Arial"/>
                <w:color w:val="000000"/>
                <w:sz w:val="16"/>
                <w:szCs w:val="16"/>
                <w:lang w:eastAsia="en-ZA"/>
              </w:rPr>
            </w:pPr>
          </w:p>
        </w:tc>
        <w:tc>
          <w:tcPr>
            <w:tcW w:w="1009"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A14E95" w:rsidRPr="0005009A" w:rsidRDefault="00A14E95" w:rsidP="00A14E95">
            <w:pPr>
              <w:jc w:val="right"/>
              <w:rPr>
                <w:rFonts w:cs="Arial"/>
                <w:b/>
                <w:bCs/>
                <w:color w:val="000000"/>
                <w:sz w:val="16"/>
                <w:szCs w:val="16"/>
                <w:lang w:eastAsia="en-ZA"/>
              </w:rPr>
            </w:pPr>
            <w:r>
              <w:rPr>
                <w:rFonts w:cs="Arial"/>
                <w:b/>
                <w:bCs/>
                <w:color w:val="000000"/>
                <w:sz w:val="16"/>
                <w:szCs w:val="16"/>
                <w:lang w:eastAsia="en-ZA"/>
              </w:rPr>
              <w:t>-</w:t>
            </w:r>
          </w:p>
        </w:tc>
      </w:tr>
    </w:tbl>
    <w:p w:rsidR="00251A4A" w:rsidRDefault="00251A4A" w:rsidP="00D018D2"/>
    <w:sectPr w:rsidR="00251A4A" w:rsidSect="00D57BCC">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pgNumType w:start="4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A63" w:rsidRDefault="00EE2A63" w:rsidP="000C3EE0">
      <w:r>
        <w:separator/>
      </w:r>
    </w:p>
  </w:endnote>
  <w:endnote w:type="continuationSeparator" w:id="0">
    <w:p w:rsidR="00EE2A63" w:rsidRDefault="00EE2A63" w:rsidP="000C3E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1D0" w:rsidRDefault="002361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05297"/>
      <w:docPartObj>
        <w:docPartGallery w:val="Page Numbers (Bottom of Page)"/>
        <w:docPartUnique/>
      </w:docPartObj>
    </w:sdtPr>
    <w:sdtContent>
      <w:p w:rsidR="007F0551" w:rsidRDefault="00CD7238">
        <w:pPr>
          <w:pStyle w:val="Footer"/>
          <w:jc w:val="right"/>
        </w:pPr>
        <w:fldSimple w:instr=" PAGE   \* MERGEFORMAT ">
          <w:r w:rsidR="002361D0">
            <w:rPr>
              <w:noProof/>
            </w:rPr>
            <w:t>47</w:t>
          </w:r>
        </w:fldSimple>
      </w:p>
    </w:sdtContent>
  </w:sdt>
  <w:p w:rsidR="007F0551" w:rsidRDefault="007F05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1D0" w:rsidRDefault="002361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A63" w:rsidRDefault="00EE2A63" w:rsidP="000C3EE0">
      <w:r>
        <w:separator/>
      </w:r>
    </w:p>
  </w:footnote>
  <w:footnote w:type="continuationSeparator" w:id="0">
    <w:p w:rsidR="00EE2A63" w:rsidRDefault="00EE2A63" w:rsidP="000C3EE0">
      <w:r>
        <w:continuationSeparator/>
      </w:r>
    </w:p>
  </w:footnote>
  <w:footnote w:id="1">
    <w:p w:rsidR="00A14E95" w:rsidRPr="00537C9F" w:rsidRDefault="00A14E95">
      <w:pPr>
        <w:pStyle w:val="FootnoteText"/>
        <w:rPr>
          <w:sz w:val="16"/>
          <w:szCs w:val="16"/>
          <w:lang w:val="en-US"/>
        </w:rPr>
      </w:pPr>
      <w:r>
        <w:rPr>
          <w:rStyle w:val="FootnoteReference"/>
        </w:rPr>
        <w:footnoteRef/>
      </w:r>
      <w:r>
        <w:t xml:space="preserve"> </w:t>
      </w:r>
      <w:r w:rsidRPr="000C3EE0">
        <w:rPr>
          <w:sz w:val="16"/>
          <w:szCs w:val="16"/>
          <w:lang w:val="en-US"/>
        </w:rPr>
        <w:t>Per approved ENE</w:t>
      </w:r>
    </w:p>
  </w:footnote>
  <w:footnote w:id="2">
    <w:p w:rsidR="00A14E95" w:rsidRPr="00D34054" w:rsidRDefault="00A14E95">
      <w:pPr>
        <w:pStyle w:val="FootnoteText"/>
        <w:rPr>
          <w:lang w:val="en-US"/>
        </w:rPr>
      </w:pPr>
      <w:r w:rsidRPr="00537C9F">
        <w:rPr>
          <w:rStyle w:val="FootnoteReference"/>
          <w:sz w:val="16"/>
          <w:szCs w:val="16"/>
        </w:rPr>
        <w:footnoteRef/>
      </w:r>
      <w:r w:rsidRPr="00537C9F">
        <w:rPr>
          <w:sz w:val="16"/>
          <w:szCs w:val="16"/>
        </w:rPr>
        <w:t xml:space="preserve"> </w:t>
      </w:r>
      <w:r w:rsidRPr="00537C9F">
        <w:rPr>
          <w:sz w:val="16"/>
          <w:szCs w:val="16"/>
          <w:lang w:val="en-US"/>
        </w:rPr>
        <w:t>PMTE does not budget or reflect capital expenditure on its statement of financial performance, it is capitalised to debtors (client departments).</w:t>
      </w:r>
    </w:p>
  </w:footnote>
  <w:footnote w:id="3">
    <w:p w:rsidR="00A14E95" w:rsidRPr="00684C5C" w:rsidRDefault="00A14E95">
      <w:pPr>
        <w:pStyle w:val="FootnoteText"/>
        <w:rPr>
          <w:lang w:val="en-US"/>
        </w:rPr>
      </w:pPr>
      <w:r>
        <w:rPr>
          <w:rStyle w:val="FootnoteReference"/>
        </w:rPr>
        <w:footnoteRef/>
      </w:r>
      <w:r>
        <w:t xml:space="preserve"> </w:t>
      </w:r>
      <w:r w:rsidRPr="00684C5C">
        <w:rPr>
          <w:sz w:val="16"/>
          <w:szCs w:val="16"/>
          <w:lang w:val="en-US"/>
        </w:rPr>
        <w:t>Accrual figure was utilised as remaining trade and other payables do not relate to expenditure incurred.</w:t>
      </w:r>
    </w:p>
  </w:footnote>
  <w:footnote w:id="4">
    <w:p w:rsidR="00A14E95" w:rsidRPr="008D1107" w:rsidRDefault="00A14E95">
      <w:pPr>
        <w:pStyle w:val="FootnoteText"/>
        <w:rPr>
          <w:lang w:val="en-US"/>
        </w:rPr>
      </w:pPr>
      <w:r>
        <w:rPr>
          <w:rStyle w:val="FootnoteReference"/>
        </w:rPr>
        <w:footnoteRef/>
      </w:r>
      <w:r>
        <w:t xml:space="preserve"> </w:t>
      </w:r>
      <w:r w:rsidRPr="008D1107">
        <w:rPr>
          <w:sz w:val="18"/>
          <w:szCs w:val="18"/>
        </w:rPr>
        <w:t xml:space="preserve">Despite the ratio indicating that the debtor-collection period amounts to 241 days </w:t>
      </w:r>
      <w:r w:rsidRPr="008D1107">
        <w:rPr>
          <w:rFonts w:cs="Arial"/>
          <w:sz w:val="18"/>
          <w:szCs w:val="18"/>
        </w:rPr>
        <w:t>we are actually unable to calculate this ratio in a meaningful way due to the fact that not all debtors is made up of revenue items, but rather capitalised expenditure. In addition, it was noted that the ageing analysis prepared by the e</w:t>
      </w:r>
      <w:r w:rsidRPr="00CB0853">
        <w:rPr>
          <w:rFonts w:cs="Arial"/>
          <w:sz w:val="18"/>
          <w:szCs w:val="18"/>
        </w:rPr>
        <w:t>ntity was misstated.</w:t>
      </w:r>
      <w:r>
        <w:rPr>
          <w:rFonts w:cs="Arial"/>
          <w:sz w:val="18"/>
          <w:szCs w:val="18"/>
        </w:rPr>
        <w:t xml:space="preserve">  Therefore it will be indicated as a limitation of scope in the executive summary to the management report.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1D0" w:rsidRDefault="002361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19172" o:spid="_x0000_s7170" type="#_x0000_t136" style="position:absolute;margin-left:0;margin-top:0;width:471.3pt;height:188.5pt;rotation:315;z-index:-251654144;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1D0" w:rsidRDefault="002361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19173" o:spid="_x0000_s7171" type="#_x0000_t136" style="position:absolute;margin-left:0;margin-top:0;width:471.3pt;height:188.5pt;rotation:315;z-index:-251652096;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1D0" w:rsidRDefault="002361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19171" o:spid="_x0000_s7169" type="#_x0000_t136" style="position:absolute;margin-left:0;margin-top:0;width:471.3pt;height:188.5pt;rotation:315;z-index:-251656192;mso-position-horizontal:center;mso-position-horizontal-relative:margin;mso-position-vertical:center;mso-position-vertical-relative:margin" o:allowincell="f" fillcolor="silver" stroked="f">
          <v:fill opacity=".5"/>
          <v:textpath style="font-family:&quot;Arial&quot;;font-size:1pt" string="DRAFT"/>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hdrShapeDefaults>
    <o:shapedefaults v:ext="edit" spidmax="8194"/>
    <o:shapelayout v:ext="edit">
      <o:idmap v:ext="edit" data="7"/>
    </o:shapelayout>
  </w:hdrShapeDefaults>
  <w:footnotePr>
    <w:footnote w:id="-1"/>
    <w:footnote w:id="0"/>
  </w:footnotePr>
  <w:endnotePr>
    <w:endnote w:id="-1"/>
    <w:endnote w:id="0"/>
  </w:endnotePr>
  <w:compat/>
  <w:rsids>
    <w:rsidRoot w:val="007C6538"/>
    <w:rsid w:val="00097BE8"/>
    <w:rsid w:val="000C3EE0"/>
    <w:rsid w:val="0018669B"/>
    <w:rsid w:val="001B126C"/>
    <w:rsid w:val="001B2390"/>
    <w:rsid w:val="001C6369"/>
    <w:rsid w:val="001E3C54"/>
    <w:rsid w:val="002361D0"/>
    <w:rsid w:val="00251A4A"/>
    <w:rsid w:val="003262F8"/>
    <w:rsid w:val="0033663F"/>
    <w:rsid w:val="004B6143"/>
    <w:rsid w:val="004C1328"/>
    <w:rsid w:val="00537C9F"/>
    <w:rsid w:val="005A368D"/>
    <w:rsid w:val="00684C5C"/>
    <w:rsid w:val="006F12ED"/>
    <w:rsid w:val="00776E9A"/>
    <w:rsid w:val="00786E70"/>
    <w:rsid w:val="007C6538"/>
    <w:rsid w:val="007F0551"/>
    <w:rsid w:val="008D1107"/>
    <w:rsid w:val="009D49D5"/>
    <w:rsid w:val="00A14E95"/>
    <w:rsid w:val="00B5425C"/>
    <w:rsid w:val="00BF691C"/>
    <w:rsid w:val="00CD7238"/>
    <w:rsid w:val="00D018D2"/>
    <w:rsid w:val="00D34054"/>
    <w:rsid w:val="00D5612C"/>
    <w:rsid w:val="00D57BCC"/>
    <w:rsid w:val="00E3478F"/>
    <w:rsid w:val="00EE2A63"/>
    <w:rsid w:val="00F471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538"/>
    <w:pPr>
      <w:spacing w:after="0" w:line="240" w:lineRule="auto"/>
    </w:pPr>
    <w:rPr>
      <w:rFonts w:ascii="Arial" w:eastAsia="Times New Roman" w:hAnsi="Arial" w:cs="Times New Roman"/>
      <w:szCs w:val="24"/>
      <w:lang w:val="en-Z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C3EE0"/>
    <w:rPr>
      <w:sz w:val="20"/>
      <w:szCs w:val="20"/>
    </w:rPr>
  </w:style>
  <w:style w:type="character" w:customStyle="1" w:styleId="FootnoteTextChar">
    <w:name w:val="Footnote Text Char"/>
    <w:basedOn w:val="DefaultParagraphFont"/>
    <w:link w:val="FootnoteText"/>
    <w:uiPriority w:val="99"/>
    <w:semiHidden/>
    <w:rsid w:val="000C3EE0"/>
    <w:rPr>
      <w:rFonts w:ascii="Arial" w:eastAsia="Times New Roman" w:hAnsi="Arial" w:cs="Times New Roman"/>
      <w:sz w:val="20"/>
      <w:szCs w:val="20"/>
      <w:lang w:val="en-ZA" w:eastAsia="en-GB"/>
    </w:rPr>
  </w:style>
  <w:style w:type="character" w:styleId="FootnoteReference">
    <w:name w:val="footnote reference"/>
    <w:basedOn w:val="DefaultParagraphFont"/>
    <w:uiPriority w:val="99"/>
    <w:semiHidden/>
    <w:unhideWhenUsed/>
    <w:rsid w:val="000C3EE0"/>
    <w:rPr>
      <w:vertAlign w:val="superscript"/>
    </w:rPr>
  </w:style>
  <w:style w:type="paragraph" w:styleId="Header">
    <w:name w:val="header"/>
    <w:basedOn w:val="Normal"/>
    <w:link w:val="HeaderChar"/>
    <w:uiPriority w:val="99"/>
    <w:semiHidden/>
    <w:unhideWhenUsed/>
    <w:rsid w:val="007F0551"/>
    <w:pPr>
      <w:tabs>
        <w:tab w:val="center" w:pos="4680"/>
        <w:tab w:val="right" w:pos="9360"/>
      </w:tabs>
    </w:pPr>
  </w:style>
  <w:style w:type="character" w:customStyle="1" w:styleId="HeaderChar">
    <w:name w:val="Header Char"/>
    <w:basedOn w:val="DefaultParagraphFont"/>
    <w:link w:val="Header"/>
    <w:uiPriority w:val="99"/>
    <w:semiHidden/>
    <w:rsid w:val="007F0551"/>
    <w:rPr>
      <w:rFonts w:ascii="Arial" w:eastAsia="Times New Roman" w:hAnsi="Arial" w:cs="Times New Roman"/>
      <w:szCs w:val="24"/>
      <w:lang w:val="en-ZA" w:eastAsia="en-GB"/>
    </w:rPr>
  </w:style>
  <w:style w:type="paragraph" w:styleId="Footer">
    <w:name w:val="footer"/>
    <w:basedOn w:val="Normal"/>
    <w:link w:val="FooterChar"/>
    <w:uiPriority w:val="99"/>
    <w:unhideWhenUsed/>
    <w:rsid w:val="007F0551"/>
    <w:pPr>
      <w:tabs>
        <w:tab w:val="center" w:pos="4680"/>
        <w:tab w:val="right" w:pos="9360"/>
      </w:tabs>
    </w:pPr>
  </w:style>
  <w:style w:type="character" w:customStyle="1" w:styleId="FooterChar">
    <w:name w:val="Footer Char"/>
    <w:basedOn w:val="DefaultParagraphFont"/>
    <w:link w:val="Footer"/>
    <w:uiPriority w:val="99"/>
    <w:rsid w:val="007F0551"/>
    <w:rPr>
      <w:rFonts w:ascii="Arial" w:eastAsia="Times New Roman" w:hAnsi="Arial" w:cs="Times New Roman"/>
      <w:szCs w:val="24"/>
      <w:lang w:val="en-ZA"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95D0E-3CAA-4549-8E98-C7B2C0475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Auditor General</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IlzeS</dc:creator>
  <cp:keywords/>
  <dc:description/>
  <cp:lastModifiedBy>IlzeS</cp:lastModifiedBy>
  <cp:revision>19</cp:revision>
  <dcterms:created xsi:type="dcterms:W3CDTF">2012-09-04T13:50:00Z</dcterms:created>
  <dcterms:modified xsi:type="dcterms:W3CDTF">2012-09-05T21:18:00Z</dcterms:modified>
</cp:coreProperties>
</file>