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5B7" w:rsidRPr="00455791" w:rsidRDefault="00C02CD9" w:rsidP="009027DD">
      <w:pPr>
        <w:spacing w:after="0"/>
        <w:jc w:val="both"/>
        <w:rPr>
          <w:rFonts w:ascii="Arial" w:hAnsi="Arial" w:cs="Arial"/>
          <w:b/>
        </w:rPr>
      </w:pPr>
      <w:r>
        <w:rPr>
          <w:rFonts w:ascii="Arial" w:hAnsi="Arial" w:cs="Arial"/>
          <w:b/>
        </w:rPr>
        <w:t>Annexure B:</w:t>
      </w:r>
      <w:r w:rsidR="00AC45B7" w:rsidRPr="00455791">
        <w:rPr>
          <w:rFonts w:ascii="Arial" w:hAnsi="Arial" w:cs="Arial"/>
          <w:b/>
        </w:rPr>
        <w:t xml:space="preserve"> </w:t>
      </w:r>
    </w:p>
    <w:p w:rsidR="00AC45B7" w:rsidRPr="00455791" w:rsidRDefault="00AC45B7" w:rsidP="009027DD">
      <w:pPr>
        <w:spacing w:after="0"/>
        <w:jc w:val="both"/>
        <w:rPr>
          <w:rFonts w:ascii="Arial" w:hAnsi="Arial" w:cs="Arial"/>
          <w:b/>
        </w:rPr>
      </w:pPr>
      <w:r>
        <w:rPr>
          <w:rFonts w:ascii="Arial" w:hAnsi="Arial" w:cs="Arial"/>
          <w:b/>
        </w:rPr>
        <w:t xml:space="preserve">Summary of Findings with regard to the </w:t>
      </w:r>
      <w:r w:rsidRPr="00455791">
        <w:rPr>
          <w:rFonts w:ascii="Arial" w:hAnsi="Arial" w:cs="Arial"/>
          <w:b/>
        </w:rPr>
        <w:t>Leasing</w:t>
      </w:r>
      <w:r>
        <w:rPr>
          <w:rFonts w:ascii="Arial" w:hAnsi="Arial" w:cs="Arial"/>
          <w:b/>
        </w:rPr>
        <w:t xml:space="preserve"> of Accommodation</w:t>
      </w:r>
    </w:p>
    <w:p w:rsidR="00AC45B7" w:rsidRDefault="00AC45B7" w:rsidP="009027DD">
      <w:pPr>
        <w:spacing w:after="0"/>
        <w:jc w:val="both"/>
        <w:rPr>
          <w:rFonts w:ascii="Arial" w:hAnsi="Arial" w:cs="Arial"/>
        </w:rPr>
      </w:pPr>
    </w:p>
    <w:p w:rsidR="00AC45B7" w:rsidRDefault="00AC45B7" w:rsidP="009027DD">
      <w:pPr>
        <w:spacing w:after="0"/>
        <w:ind w:left="720" w:hanging="720"/>
        <w:jc w:val="both"/>
        <w:rPr>
          <w:rFonts w:ascii="Arial" w:hAnsi="Arial" w:cs="Arial"/>
          <w:b/>
        </w:rPr>
      </w:pPr>
      <w:r>
        <w:rPr>
          <w:rFonts w:ascii="Arial" w:hAnsi="Arial" w:cs="Arial"/>
          <w:b/>
        </w:rPr>
        <w:t>1.</w:t>
      </w:r>
      <w:r>
        <w:rPr>
          <w:rFonts w:ascii="Arial" w:hAnsi="Arial" w:cs="Arial"/>
          <w:b/>
        </w:rPr>
        <w:tab/>
      </w:r>
      <w:r w:rsidRPr="00EF4390">
        <w:rPr>
          <w:rFonts w:ascii="Arial" w:hAnsi="Arial" w:cs="Arial"/>
          <w:b/>
        </w:rPr>
        <w:t>Background</w:t>
      </w:r>
    </w:p>
    <w:p w:rsidR="00AC45B7" w:rsidRPr="00EF4390" w:rsidRDefault="00AC45B7" w:rsidP="009027DD">
      <w:pPr>
        <w:spacing w:after="0"/>
        <w:ind w:left="720" w:hanging="720"/>
        <w:jc w:val="both"/>
        <w:rPr>
          <w:rFonts w:ascii="Arial" w:hAnsi="Arial" w:cs="Arial"/>
          <w:b/>
        </w:rPr>
      </w:pPr>
    </w:p>
    <w:p w:rsidR="00AC45B7" w:rsidRDefault="00AC45B7" w:rsidP="009027DD">
      <w:pPr>
        <w:spacing w:after="0"/>
        <w:ind w:left="720" w:hanging="720"/>
        <w:jc w:val="both"/>
        <w:rPr>
          <w:rFonts w:ascii="Arial" w:hAnsi="Arial" w:cs="Arial"/>
        </w:rPr>
      </w:pPr>
      <w:r>
        <w:rPr>
          <w:rFonts w:ascii="Arial" w:hAnsi="Arial" w:cs="Arial"/>
        </w:rPr>
        <w:t>1.1</w:t>
      </w:r>
      <w:r>
        <w:rPr>
          <w:rFonts w:ascii="Arial" w:hAnsi="Arial" w:cs="Arial"/>
        </w:rPr>
        <w:tab/>
        <w:t xml:space="preserve">In terms of the Constitution of the </w:t>
      </w:r>
      <w:smartTag w:uri="urn:schemas-microsoft-com:office:smarttags" w:element="place">
        <w:smartTag w:uri="urn:schemas-microsoft-com:office:smarttags" w:element="PlaceType">
          <w:r>
            <w:rPr>
              <w:rFonts w:ascii="Arial" w:hAnsi="Arial" w:cs="Arial"/>
            </w:rPr>
            <w:t>Republic</w:t>
          </w:r>
        </w:smartTag>
        <w:r>
          <w:rPr>
            <w:rFonts w:ascii="Arial" w:hAnsi="Arial" w:cs="Arial"/>
          </w:rPr>
          <w:t xml:space="preserve"> of </w:t>
        </w:r>
        <w:smartTag w:uri="urn:schemas-microsoft-com:office:smarttags" w:element="PlaceName">
          <w:r>
            <w:rPr>
              <w:rFonts w:ascii="Arial" w:hAnsi="Arial" w:cs="Arial"/>
            </w:rPr>
            <w:t>South Africa</w:t>
          </w:r>
        </w:smartTag>
      </w:smartTag>
      <w:r>
        <w:rPr>
          <w:rFonts w:ascii="Arial" w:hAnsi="Arial" w:cs="Arial"/>
        </w:rPr>
        <w:t>, 1996 (Act No. 108 of 1996) (the Constitution) and other relevant legislation, the custodianship and management of national government’s immovable assets is within the mandate of the Department of Public Works (DPW). This mandate includes the provision of accommodation; the rendering of expert built environment services to user departments and the acquisition, management, maintenance and disposal of such assets.</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1.2</w:t>
      </w:r>
      <w:r>
        <w:rPr>
          <w:rFonts w:ascii="Arial" w:hAnsi="Arial" w:cs="Arial"/>
        </w:rPr>
        <w:tab/>
        <w:t>As the custodian of the Government Immovable Asset Management Act, 2007 (Act No. 19 of 2007) (GIAMA), DPW has to ensure that Accounting Officers of various national departments, account for assets properly and utilise immovable assets under their jurisdiction optimally. The Property Management Trading Entity was created within DPW to fulfill the role of property manager.</w:t>
      </w:r>
    </w:p>
    <w:p w:rsidR="00AC45B7" w:rsidRDefault="00AC45B7" w:rsidP="009027DD">
      <w:pPr>
        <w:spacing w:after="0"/>
        <w:ind w:left="720" w:hanging="720"/>
        <w:jc w:val="both"/>
        <w:rPr>
          <w:rFonts w:ascii="Arial" w:hAnsi="Arial" w:cs="Arial"/>
        </w:rPr>
      </w:pPr>
    </w:p>
    <w:p w:rsidR="00AC45B7" w:rsidRPr="00F74153" w:rsidRDefault="00AC45B7" w:rsidP="009027DD">
      <w:pPr>
        <w:spacing w:after="0"/>
        <w:ind w:left="720" w:hanging="720"/>
        <w:jc w:val="both"/>
        <w:rPr>
          <w:rFonts w:ascii="Arial" w:hAnsi="Arial" w:cs="Arial"/>
        </w:rPr>
      </w:pPr>
      <w:r>
        <w:rPr>
          <w:rFonts w:ascii="Arial" w:hAnsi="Arial" w:cs="Arial"/>
        </w:rPr>
        <w:t>1.3</w:t>
      </w:r>
      <w:r>
        <w:rPr>
          <w:rFonts w:ascii="Arial" w:hAnsi="Arial" w:cs="Arial"/>
        </w:rPr>
        <w:tab/>
        <w:t>The PMTE’s</w:t>
      </w:r>
      <w:r w:rsidRPr="00F74153">
        <w:rPr>
          <w:rFonts w:ascii="Arial" w:hAnsi="Arial" w:cs="Arial"/>
        </w:rPr>
        <w:t xml:space="preserve"> purpose </w:t>
      </w:r>
      <w:r>
        <w:rPr>
          <w:rFonts w:ascii="Arial" w:hAnsi="Arial" w:cs="Arial"/>
        </w:rPr>
        <w:t xml:space="preserve">is </w:t>
      </w:r>
      <w:r w:rsidRPr="00F74153">
        <w:rPr>
          <w:rFonts w:ascii="Arial" w:hAnsi="Arial" w:cs="Arial"/>
        </w:rPr>
        <w:t xml:space="preserve">to ensure the long term sustainability of DPW and </w:t>
      </w:r>
      <w:r>
        <w:rPr>
          <w:rFonts w:ascii="Arial" w:hAnsi="Arial" w:cs="Arial"/>
        </w:rPr>
        <w:t xml:space="preserve">of </w:t>
      </w:r>
      <w:r w:rsidRPr="00F74153">
        <w:rPr>
          <w:rFonts w:ascii="Arial" w:hAnsi="Arial" w:cs="Arial"/>
        </w:rPr>
        <w:t>the immovable assets it manages</w:t>
      </w:r>
      <w:r>
        <w:rPr>
          <w:rFonts w:ascii="Arial" w:hAnsi="Arial" w:cs="Arial"/>
        </w:rPr>
        <w:t xml:space="preserve">. It operates within </w:t>
      </w:r>
      <w:r w:rsidRPr="00F74153">
        <w:rPr>
          <w:rFonts w:ascii="Arial" w:hAnsi="Arial" w:cs="Arial"/>
        </w:rPr>
        <w:t>the requirement</w:t>
      </w:r>
      <w:r>
        <w:rPr>
          <w:rFonts w:ascii="Arial" w:hAnsi="Arial" w:cs="Arial"/>
        </w:rPr>
        <w:t>s</w:t>
      </w:r>
      <w:r w:rsidRPr="00F74153">
        <w:rPr>
          <w:rFonts w:ascii="Arial" w:hAnsi="Arial" w:cs="Arial"/>
        </w:rPr>
        <w:t xml:space="preserve"> of the Public Finance Management Act, 1999 (Act No. 29 of 1999)</w:t>
      </w:r>
      <w:r>
        <w:rPr>
          <w:rFonts w:ascii="Arial" w:hAnsi="Arial" w:cs="Arial"/>
        </w:rPr>
        <w:t xml:space="preserve"> and its aim is </w:t>
      </w:r>
      <w:r w:rsidRPr="00F74153">
        <w:rPr>
          <w:rFonts w:ascii="Arial" w:hAnsi="Arial" w:cs="Arial"/>
        </w:rPr>
        <w:t xml:space="preserve">to reflect the full cost of </w:t>
      </w:r>
      <w:r>
        <w:rPr>
          <w:rFonts w:ascii="Arial" w:hAnsi="Arial" w:cs="Arial"/>
        </w:rPr>
        <w:t xml:space="preserve">its </w:t>
      </w:r>
      <w:r w:rsidRPr="00F74153">
        <w:rPr>
          <w:rFonts w:ascii="Arial" w:hAnsi="Arial" w:cs="Arial"/>
        </w:rPr>
        <w:t xml:space="preserve">service </w:t>
      </w:r>
      <w:r>
        <w:rPr>
          <w:rFonts w:ascii="Arial" w:hAnsi="Arial" w:cs="Arial"/>
        </w:rPr>
        <w:t xml:space="preserve">under </w:t>
      </w:r>
      <w:r w:rsidRPr="00F74153">
        <w:rPr>
          <w:rFonts w:ascii="Arial" w:hAnsi="Arial" w:cs="Arial"/>
        </w:rPr>
        <w:t xml:space="preserve">the budget of </w:t>
      </w:r>
      <w:r>
        <w:rPr>
          <w:rFonts w:ascii="Arial" w:hAnsi="Arial" w:cs="Arial"/>
        </w:rPr>
        <w:t xml:space="preserve">its </w:t>
      </w:r>
      <w:r w:rsidRPr="00F74153">
        <w:rPr>
          <w:rFonts w:ascii="Arial" w:hAnsi="Arial" w:cs="Arial"/>
        </w:rPr>
        <w:t xml:space="preserve">clients. </w:t>
      </w:r>
      <w:r>
        <w:rPr>
          <w:rFonts w:ascii="Arial" w:hAnsi="Arial" w:cs="Arial"/>
        </w:rPr>
        <w:t xml:space="preserve">Although the </w:t>
      </w:r>
      <w:r w:rsidRPr="00234142">
        <w:rPr>
          <w:rFonts w:ascii="Arial" w:hAnsi="Arial" w:cs="Arial"/>
          <w:lang w:eastAsia="en-GB"/>
        </w:rPr>
        <w:t>business case</w:t>
      </w:r>
      <w:r>
        <w:rPr>
          <w:rFonts w:ascii="Arial" w:hAnsi="Arial" w:cs="Arial"/>
          <w:lang w:eastAsia="en-GB"/>
        </w:rPr>
        <w:t xml:space="preserve"> for establishing PMTE was submitted on </w:t>
      </w:r>
      <w:r w:rsidRPr="00234142">
        <w:rPr>
          <w:rFonts w:ascii="Arial" w:hAnsi="Arial" w:cs="Arial"/>
          <w:lang w:eastAsia="en-GB"/>
        </w:rPr>
        <w:t>28 November 2005</w:t>
      </w:r>
      <w:r>
        <w:rPr>
          <w:rFonts w:ascii="Arial" w:hAnsi="Arial" w:cs="Arial"/>
          <w:lang w:eastAsia="en-GB"/>
        </w:rPr>
        <w:t xml:space="preserve">, and has still not been finalised, National Treasury granted approval on 14 March 2006 that it be established in the interim subject to certain conditions. It enters </w:t>
      </w:r>
      <w:r w:rsidRPr="00F74153">
        <w:rPr>
          <w:rFonts w:ascii="Arial" w:hAnsi="Arial" w:cs="Arial"/>
        </w:rPr>
        <w:t xml:space="preserve">into </w:t>
      </w:r>
      <w:r>
        <w:rPr>
          <w:rFonts w:ascii="Arial" w:hAnsi="Arial" w:cs="Arial"/>
        </w:rPr>
        <w:t xml:space="preserve">leases </w:t>
      </w:r>
      <w:r w:rsidRPr="00F74153">
        <w:rPr>
          <w:rFonts w:ascii="Arial" w:hAnsi="Arial" w:cs="Arial"/>
        </w:rPr>
        <w:t xml:space="preserve">on behalf of </w:t>
      </w:r>
      <w:r>
        <w:rPr>
          <w:rFonts w:ascii="Arial" w:hAnsi="Arial" w:cs="Arial"/>
        </w:rPr>
        <w:t xml:space="preserve">its </w:t>
      </w:r>
      <w:r w:rsidRPr="00F74153">
        <w:rPr>
          <w:rFonts w:ascii="Arial" w:hAnsi="Arial" w:cs="Arial"/>
        </w:rPr>
        <w:t>client</w:t>
      </w:r>
      <w:r>
        <w:rPr>
          <w:rFonts w:ascii="Arial" w:hAnsi="Arial" w:cs="Arial"/>
        </w:rPr>
        <w:t>’s a</w:t>
      </w:r>
      <w:r w:rsidRPr="00F74153">
        <w:rPr>
          <w:rFonts w:ascii="Arial" w:hAnsi="Arial" w:cs="Arial"/>
        </w:rPr>
        <w:t>nd</w:t>
      </w:r>
      <w:r>
        <w:rPr>
          <w:rFonts w:ascii="Arial" w:hAnsi="Arial" w:cs="Arial"/>
        </w:rPr>
        <w:t xml:space="preserve"> recovers </w:t>
      </w:r>
      <w:r w:rsidRPr="00F74153">
        <w:rPr>
          <w:rFonts w:ascii="Arial" w:hAnsi="Arial" w:cs="Arial"/>
        </w:rPr>
        <w:t>the cost</w:t>
      </w:r>
      <w:r>
        <w:rPr>
          <w:rFonts w:ascii="Arial" w:hAnsi="Arial" w:cs="Arial"/>
        </w:rPr>
        <w:t xml:space="preserve"> fr</w:t>
      </w:r>
      <w:r w:rsidRPr="00F74153">
        <w:rPr>
          <w:rFonts w:ascii="Arial" w:hAnsi="Arial" w:cs="Arial"/>
        </w:rPr>
        <w:t xml:space="preserve">om them. </w:t>
      </w:r>
    </w:p>
    <w:p w:rsidR="00AC45B7" w:rsidRPr="00F74153" w:rsidRDefault="00AC45B7" w:rsidP="009027DD">
      <w:pPr>
        <w:spacing w:after="0"/>
        <w:ind w:left="720" w:hanging="720"/>
        <w:jc w:val="both"/>
        <w:rPr>
          <w:rFonts w:ascii="Arial" w:hAnsi="Arial" w:cs="Arial"/>
        </w:rPr>
      </w:pPr>
    </w:p>
    <w:p w:rsidR="00AC45B7" w:rsidRDefault="00AC45B7" w:rsidP="009027DD">
      <w:pPr>
        <w:pStyle w:val="Default"/>
        <w:spacing w:line="276" w:lineRule="auto"/>
        <w:ind w:left="720" w:hanging="720"/>
        <w:jc w:val="both"/>
        <w:rPr>
          <w:rFonts w:ascii="Arial" w:hAnsi="Arial" w:cs="Arial"/>
          <w:sz w:val="22"/>
          <w:szCs w:val="22"/>
        </w:rPr>
      </w:pPr>
      <w:r>
        <w:rPr>
          <w:rFonts w:ascii="Arial" w:hAnsi="Arial" w:cs="Arial"/>
          <w:sz w:val="22"/>
          <w:szCs w:val="22"/>
        </w:rPr>
        <w:t>1.4</w:t>
      </w:r>
      <w:r>
        <w:rPr>
          <w:rFonts w:ascii="Arial" w:hAnsi="Arial" w:cs="Arial"/>
          <w:sz w:val="22"/>
          <w:szCs w:val="22"/>
        </w:rPr>
        <w:tab/>
        <w:t xml:space="preserve">In </w:t>
      </w:r>
      <w:r w:rsidRPr="00F74153">
        <w:rPr>
          <w:rFonts w:ascii="Arial" w:hAnsi="Arial" w:cs="Arial"/>
          <w:sz w:val="22"/>
          <w:szCs w:val="22"/>
        </w:rPr>
        <w:t>the budget vote speech of 2012, the Minister of Public Works stated the department’s long term infrastructure plan</w:t>
      </w:r>
      <w:r>
        <w:rPr>
          <w:rFonts w:ascii="Arial" w:hAnsi="Arial" w:cs="Arial"/>
          <w:sz w:val="22"/>
          <w:szCs w:val="22"/>
        </w:rPr>
        <w:t xml:space="preserve">, includes </w:t>
      </w:r>
      <w:r w:rsidRPr="00F74153">
        <w:rPr>
          <w:rFonts w:ascii="Arial" w:hAnsi="Arial" w:cs="Arial"/>
          <w:sz w:val="22"/>
          <w:szCs w:val="22"/>
        </w:rPr>
        <w:t>the rehabilitation and renovation</w:t>
      </w:r>
      <w:r>
        <w:rPr>
          <w:rFonts w:ascii="Arial" w:hAnsi="Arial" w:cs="Arial"/>
          <w:sz w:val="22"/>
          <w:szCs w:val="22"/>
        </w:rPr>
        <w:t xml:space="preserve"> </w:t>
      </w:r>
      <w:r w:rsidRPr="00F74153">
        <w:rPr>
          <w:rFonts w:ascii="Arial" w:hAnsi="Arial" w:cs="Arial"/>
          <w:sz w:val="22"/>
          <w:szCs w:val="22"/>
        </w:rPr>
        <w:t xml:space="preserve">of </w:t>
      </w:r>
      <w:r>
        <w:rPr>
          <w:rFonts w:ascii="Arial" w:hAnsi="Arial" w:cs="Arial"/>
          <w:sz w:val="22"/>
          <w:szCs w:val="22"/>
        </w:rPr>
        <w:t xml:space="preserve">the </w:t>
      </w:r>
      <w:r w:rsidRPr="00F74153">
        <w:rPr>
          <w:rFonts w:ascii="Arial" w:hAnsi="Arial" w:cs="Arial"/>
          <w:sz w:val="22"/>
          <w:szCs w:val="22"/>
        </w:rPr>
        <w:t>state</w:t>
      </w:r>
      <w:r>
        <w:rPr>
          <w:rFonts w:ascii="Arial" w:hAnsi="Arial" w:cs="Arial"/>
          <w:sz w:val="22"/>
          <w:szCs w:val="22"/>
        </w:rPr>
        <w:t>’s</w:t>
      </w:r>
      <w:r w:rsidRPr="00F74153">
        <w:rPr>
          <w:rFonts w:ascii="Arial" w:hAnsi="Arial" w:cs="Arial"/>
          <w:sz w:val="22"/>
          <w:szCs w:val="22"/>
        </w:rPr>
        <w:t xml:space="preserve"> buildings</w:t>
      </w:r>
      <w:r>
        <w:rPr>
          <w:rFonts w:ascii="Arial" w:hAnsi="Arial" w:cs="Arial"/>
          <w:sz w:val="22"/>
          <w:szCs w:val="22"/>
        </w:rPr>
        <w:t xml:space="preserve"> and re-considering the basis of occupation</w:t>
      </w:r>
      <w:r w:rsidRPr="00F74153">
        <w:rPr>
          <w:rFonts w:ascii="Arial" w:hAnsi="Arial" w:cs="Arial"/>
          <w:sz w:val="22"/>
          <w:szCs w:val="22"/>
        </w:rPr>
        <w:t xml:space="preserve">. </w:t>
      </w:r>
      <w:r>
        <w:rPr>
          <w:rFonts w:ascii="Arial" w:hAnsi="Arial" w:cs="Arial"/>
          <w:sz w:val="22"/>
          <w:szCs w:val="22"/>
        </w:rPr>
        <w:t xml:space="preserve">DPW has set itself the strategic goal </w:t>
      </w:r>
      <w:r w:rsidRPr="00F74153">
        <w:rPr>
          <w:rFonts w:ascii="Arial" w:hAnsi="Arial" w:cs="Arial"/>
          <w:sz w:val="22"/>
          <w:szCs w:val="22"/>
        </w:rPr>
        <w:t xml:space="preserve">of shifting </w:t>
      </w:r>
      <w:r>
        <w:rPr>
          <w:rFonts w:ascii="Arial" w:hAnsi="Arial" w:cs="Arial"/>
          <w:sz w:val="22"/>
          <w:szCs w:val="22"/>
        </w:rPr>
        <w:t xml:space="preserve">occupation from leased properties to state-owned properties. </w:t>
      </w:r>
      <w:r w:rsidRPr="00F74153">
        <w:rPr>
          <w:rFonts w:ascii="Arial" w:hAnsi="Arial" w:cs="Arial"/>
          <w:sz w:val="22"/>
          <w:szCs w:val="22"/>
        </w:rPr>
        <w:t xml:space="preserve">However, </w:t>
      </w:r>
      <w:r>
        <w:rPr>
          <w:rFonts w:ascii="Arial" w:hAnsi="Arial" w:cs="Arial"/>
          <w:sz w:val="22"/>
          <w:szCs w:val="22"/>
        </w:rPr>
        <w:t xml:space="preserve">the </w:t>
      </w:r>
      <w:r w:rsidRPr="00F74153">
        <w:rPr>
          <w:rFonts w:ascii="Arial" w:hAnsi="Arial" w:cs="Arial"/>
          <w:sz w:val="22"/>
          <w:szCs w:val="22"/>
        </w:rPr>
        <w:t>increase in operating lease expenditure</w:t>
      </w:r>
      <w:r>
        <w:rPr>
          <w:rFonts w:ascii="Arial" w:hAnsi="Arial" w:cs="Arial"/>
          <w:sz w:val="22"/>
          <w:szCs w:val="22"/>
        </w:rPr>
        <w:t xml:space="preserve"> illustrated in the graph below, shows that the intention of changing the basis of occupation is not changing.</w:t>
      </w:r>
    </w:p>
    <w:p w:rsidR="00AC45B7" w:rsidRDefault="00AC45B7" w:rsidP="009027DD">
      <w:pPr>
        <w:pStyle w:val="Default"/>
        <w:spacing w:line="276" w:lineRule="auto"/>
        <w:jc w:val="both"/>
        <w:rPr>
          <w:rFonts w:ascii="Arial" w:hAnsi="Arial" w:cs="Arial"/>
          <w:sz w:val="22"/>
          <w:szCs w:val="22"/>
        </w:rPr>
      </w:pPr>
    </w:p>
    <w:p w:rsidR="00AC45B7" w:rsidRPr="009027DD" w:rsidRDefault="00AC45B7" w:rsidP="009027DD">
      <w:pPr>
        <w:pStyle w:val="Default"/>
        <w:spacing w:line="276" w:lineRule="auto"/>
        <w:jc w:val="both"/>
      </w:pPr>
      <w:r w:rsidRPr="002E2D49">
        <w:rPr>
          <w:rFonts w:ascii="Arial" w:hAnsi="Arial" w:cs="Arial"/>
          <w:noProof/>
          <w:sz w:val="22"/>
          <w:szCs w:val="22"/>
          <w:lang w:val="en-US"/>
        </w:rPr>
        <w:object w:dxaOrig="8890" w:dyaOrig="4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i1025" type="#_x0000_t75" style="width:368.15pt;height:169.8pt;visibility:visible" o:ole="">
            <v:imagedata r:id="rId7" o:title=""/>
            <o:lock v:ext="edit" aspectratio="f"/>
          </v:shape>
          <o:OLEObject Type="Embed" ProgID="Excel.Sheet.8" ShapeID="Chart 2" DrawAspect="Content" ObjectID="_1408392563" r:id="rId8"/>
        </w:object>
      </w:r>
    </w:p>
    <w:p w:rsidR="00AC45B7" w:rsidRDefault="00AC45B7" w:rsidP="009027DD">
      <w:pPr>
        <w:pStyle w:val="Default"/>
        <w:spacing w:line="276" w:lineRule="auto"/>
        <w:jc w:val="both"/>
        <w:rPr>
          <w:rFonts w:ascii="Arial" w:hAnsi="Arial" w:cs="Arial"/>
          <w:sz w:val="22"/>
          <w:szCs w:val="22"/>
        </w:rPr>
      </w:pPr>
      <w:r w:rsidRPr="002E2D49">
        <w:rPr>
          <w:rFonts w:ascii="Arial" w:hAnsi="Arial" w:cs="Arial"/>
          <w:noProof/>
          <w:sz w:val="22"/>
          <w:szCs w:val="22"/>
          <w:lang w:val="en-US"/>
        </w:rPr>
        <w:object w:dxaOrig="8881" w:dyaOrig="3283">
          <v:shape id="Chart 4" o:spid="_x0000_i1026" type="#_x0000_t75" style="width:377.65pt;height:144.7pt;visibility:visible" o:ole="">
            <v:imagedata r:id="rId9" o:title=""/>
            <o:lock v:ext="edit" aspectratio="f"/>
          </v:shape>
          <o:OLEObject Type="Embed" ProgID="Excel.Sheet.8" ShapeID="Chart 4" DrawAspect="Content" ObjectID="_1408392564" r:id="rId10"/>
        </w:object>
      </w:r>
    </w:p>
    <w:p w:rsidR="00AC45B7" w:rsidRPr="000A42FB" w:rsidRDefault="00AC45B7" w:rsidP="009027DD">
      <w:pPr>
        <w:spacing w:after="0"/>
        <w:jc w:val="both"/>
        <w:rPr>
          <w:rFonts w:ascii="Arial" w:hAnsi="Arial" w:cs="Arial"/>
          <w:b/>
        </w:rPr>
      </w:pPr>
    </w:p>
    <w:p w:rsidR="00AC45B7" w:rsidRDefault="00AC45B7" w:rsidP="009027DD">
      <w:pPr>
        <w:spacing w:after="0"/>
        <w:jc w:val="both"/>
        <w:rPr>
          <w:rFonts w:ascii="Arial" w:hAnsi="Arial" w:cs="Arial"/>
          <w:b/>
        </w:rPr>
      </w:pPr>
    </w:p>
    <w:p w:rsidR="00AC45B7" w:rsidRPr="00AD0D68" w:rsidRDefault="00AC45B7" w:rsidP="009027DD">
      <w:pPr>
        <w:spacing w:after="0"/>
        <w:ind w:left="720" w:hanging="720"/>
        <w:jc w:val="both"/>
        <w:rPr>
          <w:rFonts w:ascii="Arial" w:hAnsi="Arial" w:cs="Arial"/>
          <w:b/>
        </w:rPr>
      </w:pPr>
      <w:r>
        <w:rPr>
          <w:rFonts w:ascii="Arial" w:hAnsi="Arial" w:cs="Arial"/>
          <w:b/>
        </w:rPr>
        <w:t>2.</w:t>
      </w:r>
      <w:r>
        <w:rPr>
          <w:rFonts w:ascii="Arial" w:hAnsi="Arial" w:cs="Arial"/>
          <w:b/>
        </w:rPr>
        <w:tab/>
      </w:r>
      <w:r w:rsidRPr="00AD0D68">
        <w:rPr>
          <w:rFonts w:ascii="Arial" w:hAnsi="Arial" w:cs="Arial"/>
          <w:b/>
        </w:rPr>
        <w:t>Needs assessment</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2.1</w:t>
      </w:r>
      <w:r>
        <w:rPr>
          <w:rFonts w:ascii="Arial" w:hAnsi="Arial" w:cs="Arial"/>
        </w:rPr>
        <w:tab/>
        <w:t xml:space="preserve">The GIAMA requires client departments to compile a user asset management plan (U-AMP). These U-AMPs must be consolidated by DPW into a custodial asset management plan (C-AMP). The client departments however, did not submit comprehensive U-AMPs to allow DPW to compile a comprehensive C-AMP and PMTE did not always update the C-AMP with the client department’s information. This impacted negatively on DPW’s ability to proactively address the accommodation needs of client departments. Client departments identified needs which DPW had to address as a matter of urgency. </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2.2</w:t>
      </w:r>
      <w:r>
        <w:rPr>
          <w:rFonts w:ascii="Arial" w:hAnsi="Arial" w:cs="Arial"/>
        </w:rPr>
        <w:tab/>
        <w:t xml:space="preserve">The </w:t>
      </w:r>
      <w:r w:rsidRPr="00AD0D68">
        <w:rPr>
          <w:rFonts w:ascii="Arial" w:hAnsi="Arial" w:cs="Arial"/>
        </w:rPr>
        <w:t>Middestad Sanlam Centre building is an example where the client department, Department of Police, identified the need to house the unit responsible for the 2010 World Cup although it was not included in their U</w:t>
      </w:r>
      <w:r>
        <w:rPr>
          <w:rFonts w:ascii="Arial" w:hAnsi="Arial" w:cs="Arial"/>
        </w:rPr>
        <w:t>-</w:t>
      </w:r>
      <w:r w:rsidRPr="00AD0D68">
        <w:rPr>
          <w:rFonts w:ascii="Arial" w:hAnsi="Arial" w:cs="Arial"/>
        </w:rPr>
        <w:t xml:space="preserve">AMP. The Department of Police also identified a building that they could lease and according to the report of the Public Protector, the client adjusted the need for accommodation not according to its real requirements but to fit the specification of a single supplier in respect of the Middestad Sanlam Centre building in </w:t>
      </w:r>
      <w:smartTag w:uri="urn:schemas-microsoft-com:office:smarttags" w:element="City">
        <w:smartTag w:uri="urn:schemas-microsoft-com:office:smarttags" w:element="place">
          <w:r w:rsidRPr="00AD0D68">
            <w:rPr>
              <w:rFonts w:ascii="Arial" w:hAnsi="Arial" w:cs="Arial"/>
            </w:rPr>
            <w:t>Pretoria</w:t>
          </w:r>
        </w:smartTag>
      </w:smartTag>
      <w:r w:rsidRPr="00AD0D68">
        <w:rPr>
          <w:rFonts w:ascii="Arial" w:hAnsi="Arial" w:cs="Arial"/>
        </w:rPr>
        <w:t xml:space="preserve">. Furthermore, Department of Police identified the </w:t>
      </w:r>
      <w:bookmarkStart w:id="0" w:name="OLE_LINK3"/>
      <w:bookmarkStart w:id="1" w:name="OLE_LINK4"/>
      <w:r w:rsidRPr="00AD0D68">
        <w:rPr>
          <w:rFonts w:ascii="Arial" w:hAnsi="Arial" w:cs="Arial"/>
        </w:rPr>
        <w:t xml:space="preserve">Transnet building </w:t>
      </w:r>
      <w:bookmarkEnd w:id="0"/>
      <w:bookmarkEnd w:id="1"/>
      <w:r w:rsidRPr="00AD0D68">
        <w:rPr>
          <w:rFonts w:ascii="Arial" w:hAnsi="Arial" w:cs="Arial"/>
        </w:rPr>
        <w:t xml:space="preserve">in </w:t>
      </w:r>
      <w:smartTag w:uri="urn:schemas-microsoft-com:office:smarttags" w:element="City">
        <w:smartTag w:uri="urn:schemas-microsoft-com:office:smarttags" w:element="place">
          <w:r w:rsidRPr="00AD0D68">
            <w:rPr>
              <w:rFonts w:ascii="Arial" w:hAnsi="Arial" w:cs="Arial"/>
            </w:rPr>
            <w:t>Durban</w:t>
          </w:r>
        </w:smartTag>
      </w:smartTag>
      <w:r w:rsidRPr="00AD0D68">
        <w:rPr>
          <w:rFonts w:ascii="Arial" w:hAnsi="Arial" w:cs="Arial"/>
        </w:rPr>
        <w:t xml:space="preserve"> although this need was also not included in the U</w:t>
      </w:r>
      <w:r>
        <w:rPr>
          <w:rFonts w:ascii="Arial" w:hAnsi="Arial" w:cs="Arial"/>
        </w:rPr>
        <w:t>-</w:t>
      </w:r>
      <w:r w:rsidRPr="00AD0D68">
        <w:rPr>
          <w:rFonts w:ascii="Arial" w:hAnsi="Arial" w:cs="Arial"/>
        </w:rPr>
        <w:t>AMP. According to the report of the Public Protector, the building was identified prior to the determination</w:t>
      </w:r>
      <w:r>
        <w:rPr>
          <w:rFonts w:ascii="Arial" w:hAnsi="Arial" w:cs="Arial"/>
        </w:rPr>
        <w:t xml:space="preserve"> of the specific nature and extent of the need for accommodation by the client department.</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lastRenderedPageBreak/>
        <w:t>2.3</w:t>
      </w:r>
      <w:r>
        <w:rPr>
          <w:rFonts w:ascii="Arial" w:hAnsi="Arial" w:cs="Arial"/>
        </w:rPr>
        <w:tab/>
      </w:r>
      <w:r w:rsidRPr="003A3C1E">
        <w:rPr>
          <w:rFonts w:ascii="Arial" w:hAnsi="Arial" w:cs="Arial"/>
        </w:rPr>
        <w:t xml:space="preserve">The PFMA indicates that accounting officers must ensure that budgeted funds are available before entering into procurement agreements. Due to  incomplete </w:t>
      </w:r>
      <w:r>
        <w:rPr>
          <w:rFonts w:ascii="Arial" w:hAnsi="Arial" w:cs="Arial"/>
        </w:rPr>
        <w:t>U</w:t>
      </w:r>
      <w:r w:rsidRPr="003A3C1E">
        <w:rPr>
          <w:rFonts w:ascii="Arial" w:hAnsi="Arial" w:cs="Arial"/>
        </w:rPr>
        <w:t>-AMP</w:t>
      </w:r>
      <w:r>
        <w:rPr>
          <w:rFonts w:ascii="Arial" w:hAnsi="Arial" w:cs="Arial"/>
        </w:rPr>
        <w:t>’s</w:t>
      </w:r>
      <w:r w:rsidRPr="003A3C1E">
        <w:rPr>
          <w:rFonts w:ascii="Arial" w:hAnsi="Arial" w:cs="Arial"/>
        </w:rPr>
        <w:t xml:space="preserve"> however, client departments did not </w:t>
      </w:r>
      <w:r>
        <w:rPr>
          <w:rFonts w:ascii="Arial" w:hAnsi="Arial" w:cs="Arial"/>
        </w:rPr>
        <w:t xml:space="preserve">always </w:t>
      </w:r>
      <w:r w:rsidRPr="003A3C1E">
        <w:rPr>
          <w:rFonts w:ascii="Arial" w:hAnsi="Arial" w:cs="Arial"/>
        </w:rPr>
        <w:t>include sufficient funds for leases in their budgets. For example, the</w:t>
      </w:r>
      <w:r>
        <w:rPr>
          <w:rFonts w:ascii="Arial" w:hAnsi="Arial" w:cs="Arial"/>
        </w:rPr>
        <w:t xml:space="preserve"> Department of Police did not have sufficient funds for the </w:t>
      </w:r>
      <w:r w:rsidRPr="00AD0D68">
        <w:rPr>
          <w:rFonts w:ascii="Arial" w:hAnsi="Arial" w:cs="Arial"/>
        </w:rPr>
        <w:t>Middestad Sanlam Centre building</w:t>
      </w:r>
      <w:r>
        <w:rPr>
          <w:rFonts w:ascii="Arial" w:hAnsi="Arial" w:cs="Arial"/>
        </w:rPr>
        <w:t xml:space="preserve"> and the Transnet building and funds had to be reallocated from other parts of the budget. </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2.4</w:t>
      </w:r>
      <w:r>
        <w:rPr>
          <w:rFonts w:ascii="Arial" w:hAnsi="Arial" w:cs="Arial"/>
        </w:rPr>
        <w:tab/>
        <w:t>The following route causes were identified:</w:t>
      </w:r>
    </w:p>
    <w:p w:rsidR="00AC45B7" w:rsidRPr="00F679C6" w:rsidRDefault="00AC45B7" w:rsidP="009027DD">
      <w:pPr>
        <w:pStyle w:val="ListParagraph"/>
        <w:numPr>
          <w:ilvl w:val="0"/>
          <w:numId w:val="2"/>
        </w:numPr>
        <w:spacing w:after="0"/>
        <w:ind w:left="1440" w:hanging="720"/>
        <w:jc w:val="both"/>
        <w:rPr>
          <w:rFonts w:ascii="Arial" w:hAnsi="Arial" w:cs="Arial"/>
        </w:rPr>
      </w:pPr>
      <w:r>
        <w:rPr>
          <w:rFonts w:ascii="Arial" w:hAnsi="Arial" w:cs="Arial"/>
          <w:lang w:val="en-GB"/>
        </w:rPr>
        <w:t>Poor</w:t>
      </w:r>
      <w:r w:rsidRPr="006F3632">
        <w:rPr>
          <w:rFonts w:ascii="Arial" w:hAnsi="Arial" w:cs="Arial"/>
          <w:lang w:val="en-GB"/>
        </w:rPr>
        <w:t xml:space="preserve"> coordination</w:t>
      </w:r>
      <w:r>
        <w:rPr>
          <w:rFonts w:ascii="Arial" w:hAnsi="Arial" w:cs="Arial"/>
          <w:lang w:val="en-GB"/>
        </w:rPr>
        <w:t xml:space="preserve"> by PMTE to obtain accurate accommodation needs from client departments to enable them to plan strategically for their accommodation needs.</w:t>
      </w:r>
      <w:r w:rsidRPr="006F3632">
        <w:rPr>
          <w:rFonts w:ascii="Arial" w:hAnsi="Arial" w:cs="Arial"/>
          <w:lang w:val="en-GB"/>
        </w:rPr>
        <w:t xml:space="preserve"> </w:t>
      </w:r>
    </w:p>
    <w:p w:rsidR="00AC45B7" w:rsidRDefault="00AC45B7" w:rsidP="009027DD">
      <w:pPr>
        <w:pStyle w:val="ListParagraph"/>
        <w:numPr>
          <w:ilvl w:val="0"/>
          <w:numId w:val="2"/>
        </w:numPr>
        <w:spacing w:after="0"/>
        <w:ind w:left="1440" w:hanging="720"/>
        <w:jc w:val="both"/>
        <w:rPr>
          <w:rFonts w:ascii="Arial" w:hAnsi="Arial" w:cs="Arial"/>
        </w:rPr>
      </w:pPr>
      <w:r>
        <w:rPr>
          <w:rFonts w:ascii="Arial" w:hAnsi="Arial" w:cs="Arial"/>
        </w:rPr>
        <w:t xml:space="preserve">Client departments overstated their needs when compiling needs assessments. </w:t>
      </w:r>
    </w:p>
    <w:p w:rsidR="00AC45B7" w:rsidRDefault="00AC45B7" w:rsidP="009027DD">
      <w:pPr>
        <w:pStyle w:val="ListParagraph"/>
        <w:numPr>
          <w:ilvl w:val="0"/>
          <w:numId w:val="2"/>
        </w:numPr>
        <w:spacing w:after="0"/>
        <w:ind w:left="1440" w:hanging="720"/>
        <w:jc w:val="both"/>
        <w:rPr>
          <w:rFonts w:ascii="Arial" w:hAnsi="Arial" w:cs="Arial"/>
        </w:rPr>
      </w:pPr>
      <w:r>
        <w:rPr>
          <w:rFonts w:ascii="Arial" w:hAnsi="Arial" w:cs="Arial"/>
        </w:rPr>
        <w:t>Client departments do not inform PMTE timeously of changes in their circumstances with regard to accommodation,</w:t>
      </w:r>
      <w:r w:rsidRPr="00F679C6">
        <w:rPr>
          <w:rFonts w:ascii="Arial" w:hAnsi="Arial" w:cs="Arial"/>
        </w:rPr>
        <w:t xml:space="preserve"> </w:t>
      </w:r>
      <w:r>
        <w:rPr>
          <w:rFonts w:ascii="Arial" w:hAnsi="Arial" w:cs="Arial"/>
        </w:rPr>
        <w:t xml:space="preserve">this contributed to fruitless and wasteful expenditure as indicated in the utilisation paragraph. </w:t>
      </w:r>
    </w:p>
    <w:p w:rsidR="00AC45B7" w:rsidRPr="006F3632" w:rsidRDefault="00AC45B7" w:rsidP="009027DD">
      <w:pPr>
        <w:pStyle w:val="ListParagraph"/>
        <w:spacing w:after="0"/>
        <w:ind w:left="1440" w:hanging="720"/>
        <w:jc w:val="both"/>
        <w:rPr>
          <w:rFonts w:ascii="Arial" w:hAnsi="Arial" w:cs="Arial"/>
        </w:rPr>
      </w:pP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b/>
        </w:rPr>
      </w:pPr>
      <w:r>
        <w:rPr>
          <w:rFonts w:ascii="Arial" w:hAnsi="Arial" w:cs="Arial"/>
          <w:b/>
        </w:rPr>
        <w:t>3.</w:t>
      </w:r>
      <w:r>
        <w:rPr>
          <w:rFonts w:ascii="Arial" w:hAnsi="Arial" w:cs="Arial"/>
          <w:b/>
        </w:rPr>
        <w:tab/>
      </w:r>
      <w:r w:rsidRPr="00AD0D68">
        <w:rPr>
          <w:rFonts w:ascii="Arial" w:hAnsi="Arial" w:cs="Arial"/>
          <w:b/>
        </w:rPr>
        <w:t>Procurement</w:t>
      </w:r>
    </w:p>
    <w:p w:rsidR="00AC45B7" w:rsidRPr="00AD0D68" w:rsidRDefault="00AC45B7" w:rsidP="009027DD">
      <w:pPr>
        <w:spacing w:after="0"/>
        <w:ind w:left="720" w:hanging="720"/>
        <w:jc w:val="both"/>
        <w:rPr>
          <w:rFonts w:ascii="Arial" w:hAnsi="Arial" w:cs="Arial"/>
          <w:b/>
        </w:rPr>
      </w:pPr>
    </w:p>
    <w:p w:rsidR="00AC45B7" w:rsidRDefault="00AC45B7" w:rsidP="009027DD">
      <w:pPr>
        <w:spacing w:after="0"/>
        <w:ind w:left="720" w:hanging="720"/>
        <w:jc w:val="both"/>
        <w:rPr>
          <w:rFonts w:ascii="Arial" w:hAnsi="Arial" w:cs="Arial"/>
        </w:rPr>
      </w:pPr>
      <w:r>
        <w:rPr>
          <w:rFonts w:ascii="Arial" w:hAnsi="Arial" w:cs="Arial"/>
        </w:rPr>
        <w:t>3.1</w:t>
      </w:r>
      <w:r>
        <w:rPr>
          <w:rFonts w:ascii="Arial" w:hAnsi="Arial" w:cs="Arial"/>
        </w:rPr>
        <w:tab/>
      </w:r>
      <w:r w:rsidRPr="00CE1D30">
        <w:rPr>
          <w:rFonts w:ascii="Arial" w:hAnsi="Arial" w:cs="Arial"/>
        </w:rPr>
        <w:t>Based on the needs</w:t>
      </w:r>
      <w:r>
        <w:rPr>
          <w:rFonts w:ascii="Arial" w:hAnsi="Arial" w:cs="Arial"/>
        </w:rPr>
        <w:t xml:space="preserve"> of client departments, PMTE must source accommodation to fill these needs. In most instances the PMTE did not follow proper supply chain management processes and did not always request bids on an open tender to address these needs. The most common method used by PMTE was to negotiate leases and according to the Public Works management information system (PMIS</w:t>
      </w:r>
      <w:r w:rsidRPr="00EF4390">
        <w:rPr>
          <w:rFonts w:ascii="Arial" w:hAnsi="Arial" w:cs="Arial"/>
        </w:rPr>
        <w:t>), 2 179 leases were negotiated compared to the 260</w:t>
      </w:r>
      <w:r>
        <w:rPr>
          <w:rFonts w:ascii="Arial" w:hAnsi="Arial" w:cs="Arial"/>
        </w:rPr>
        <w:t xml:space="preserve"> leases where the department requested open tenders. It must be noted that only the last information entered onto PMIS was visible and where the lease was continued month to month after expiry it could not be determined how the original lease was awarded. In a limited number of instances, PMTE requested quotations for accommodation but in certain instances the amount of the lease exceeded the threshold of R500 000. </w:t>
      </w:r>
    </w:p>
    <w:p w:rsidR="00AC45B7" w:rsidRDefault="00AC45B7" w:rsidP="009027DD">
      <w:pPr>
        <w:spacing w:after="0"/>
        <w:ind w:left="720" w:hanging="720"/>
        <w:jc w:val="both"/>
        <w:rPr>
          <w:rFonts w:ascii="Arial" w:hAnsi="Arial" w:cs="Arial"/>
        </w:rPr>
      </w:pPr>
    </w:p>
    <w:p w:rsidR="00AC45B7" w:rsidRDefault="00AC45B7" w:rsidP="009027DD">
      <w:pPr>
        <w:autoSpaceDE w:val="0"/>
        <w:autoSpaceDN w:val="0"/>
        <w:adjustRightInd w:val="0"/>
        <w:spacing w:after="0"/>
        <w:ind w:left="720" w:hanging="720"/>
        <w:jc w:val="both"/>
        <w:rPr>
          <w:rFonts w:ascii="Arial" w:hAnsi="Arial" w:cs="Arial"/>
        </w:rPr>
      </w:pPr>
      <w:r>
        <w:rPr>
          <w:rFonts w:ascii="Arial" w:hAnsi="Arial" w:cs="Arial"/>
        </w:rPr>
        <w:t>3.2</w:t>
      </w:r>
      <w:r>
        <w:rPr>
          <w:rFonts w:ascii="Arial" w:hAnsi="Arial" w:cs="Arial"/>
        </w:rPr>
        <w:tab/>
        <w:t xml:space="preserve">To deviate from the prescribed supply chain management process and not go out on tender, PMTE must have proper justification to do so. In a number of instances it was indicated that it was impractical to go out on tender as it was urgent to procure the accommodation. However, the SCM guide for accounting officers/authorities states that a lack of proper planning should not constitute an urgent case. The Public Protector concluded that there was no legitimate justification for a deviation from the prescribed tender process for the </w:t>
      </w:r>
      <w:r w:rsidRPr="00AD0D68">
        <w:rPr>
          <w:rFonts w:ascii="Arial" w:hAnsi="Arial" w:cs="Arial"/>
        </w:rPr>
        <w:t>Middestad Sanlam Centre building</w:t>
      </w:r>
      <w:r>
        <w:rPr>
          <w:rFonts w:ascii="Arial" w:hAnsi="Arial" w:cs="Arial"/>
        </w:rPr>
        <w:t xml:space="preserve"> and </w:t>
      </w:r>
      <w:r w:rsidRPr="00AD0D68">
        <w:rPr>
          <w:rFonts w:ascii="Arial" w:hAnsi="Arial" w:cs="Arial"/>
        </w:rPr>
        <w:t>Transnet building</w:t>
      </w:r>
      <w:r>
        <w:rPr>
          <w:rFonts w:ascii="Arial" w:hAnsi="Arial" w:cs="Arial"/>
        </w:rPr>
        <w:t xml:space="preserve"> and that the procurement process did not comply with the requirement of fairness, equitability and transparency.  </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3.3</w:t>
      </w:r>
      <w:r>
        <w:rPr>
          <w:rFonts w:ascii="Arial" w:hAnsi="Arial" w:cs="Arial"/>
        </w:rPr>
        <w:tab/>
        <w:t>The following are examples of instances where PMTE negotiated leases in contravention with the applicable procurement rules and regulations:</w:t>
      </w:r>
    </w:p>
    <w:p w:rsidR="00AC45B7" w:rsidRDefault="00AC45B7" w:rsidP="009027DD">
      <w:pPr>
        <w:spacing w:after="0"/>
        <w:jc w:val="both"/>
        <w:rPr>
          <w:rFonts w:ascii="Arial" w:hAnsi="Arial" w:cs="Arial"/>
        </w:rPr>
      </w:pPr>
    </w:p>
    <w:p w:rsidR="00AC45B7" w:rsidRPr="00241D20" w:rsidRDefault="00AC45B7" w:rsidP="009027DD">
      <w:pPr>
        <w:spacing w:after="0"/>
        <w:jc w:val="both"/>
        <w:rPr>
          <w:rFonts w:ascii="Arial" w:hAnsi="Arial" w:cs="Arial"/>
        </w:rPr>
      </w:pPr>
      <w:r>
        <w:rPr>
          <w:rFonts w:ascii="Arial" w:hAnsi="Arial" w:cs="Arial"/>
        </w:rPr>
        <w:t>Table 1: Examples of negotiated leases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60"/>
        <w:gridCol w:w="2552"/>
        <w:gridCol w:w="1842"/>
      </w:tblGrid>
      <w:tr w:rsidR="00AC45B7" w:rsidRPr="003354D5" w:rsidTr="003354D5">
        <w:tc>
          <w:tcPr>
            <w:tcW w:w="3260"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lastRenderedPageBreak/>
              <w:t>Name of building</w:t>
            </w:r>
          </w:p>
        </w:tc>
        <w:tc>
          <w:tcPr>
            <w:tcW w:w="2552"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Client department</w:t>
            </w:r>
          </w:p>
        </w:tc>
        <w:tc>
          <w:tcPr>
            <w:tcW w:w="1842" w:type="dxa"/>
            <w:shd w:val="clear" w:color="auto" w:fill="1F497D"/>
          </w:tcPr>
          <w:p w:rsidR="00AC45B7" w:rsidRDefault="00AC45B7" w:rsidP="009027DD">
            <w:pPr>
              <w:spacing w:after="0"/>
              <w:jc w:val="both"/>
              <w:rPr>
                <w:rFonts w:ascii="Arial" w:hAnsi="Arial" w:cs="Arial"/>
                <w:b/>
                <w:color w:val="FFFFFF"/>
                <w:sz w:val="20"/>
              </w:rPr>
            </w:pPr>
            <w:r w:rsidRPr="003354D5">
              <w:rPr>
                <w:rFonts w:ascii="Arial" w:hAnsi="Arial" w:cs="Arial"/>
                <w:b/>
                <w:color w:val="FFFFFF"/>
                <w:sz w:val="20"/>
              </w:rPr>
              <w:t xml:space="preserve">Value of lease </w:t>
            </w:r>
          </w:p>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(R</w:t>
            </w:r>
            <w:r>
              <w:rPr>
                <w:rFonts w:ascii="Arial" w:hAnsi="Arial" w:cs="Arial"/>
                <w:b/>
                <w:color w:val="FFFFFF"/>
                <w:sz w:val="20"/>
              </w:rPr>
              <w:t xml:space="preserve"> million</w:t>
            </w:r>
            <w:r w:rsidRPr="003354D5">
              <w:rPr>
                <w:rFonts w:ascii="Arial" w:hAnsi="Arial" w:cs="Arial"/>
                <w:b/>
                <w:color w:val="FFFFFF"/>
                <w:sz w:val="20"/>
              </w:rPr>
              <w:t>)</w:t>
            </w:r>
          </w:p>
        </w:tc>
      </w:tr>
      <w:tr w:rsidR="00AC45B7" w:rsidRPr="003354D5" w:rsidTr="003354D5">
        <w:tc>
          <w:tcPr>
            <w:tcW w:w="3260" w:type="dxa"/>
          </w:tcPr>
          <w:p w:rsidR="00AC45B7" w:rsidRPr="003354D5" w:rsidRDefault="00AC45B7" w:rsidP="009027DD">
            <w:pPr>
              <w:spacing w:after="0"/>
              <w:jc w:val="both"/>
              <w:rPr>
                <w:rFonts w:ascii="Arial" w:hAnsi="Arial" w:cs="Arial"/>
                <w:sz w:val="20"/>
              </w:rPr>
            </w:pPr>
            <w:r w:rsidRPr="003354D5">
              <w:rPr>
                <w:rFonts w:ascii="Arial" w:hAnsi="Arial" w:cs="Arial"/>
              </w:rPr>
              <w:t>Middestad</w:t>
            </w:r>
            <w:r w:rsidRPr="003354D5">
              <w:rPr>
                <w:rFonts w:ascii="Arial" w:hAnsi="Arial" w:cs="Arial"/>
                <w:sz w:val="20"/>
              </w:rPr>
              <w:t xml:space="preserve"> Sanlam Centre</w:t>
            </w:r>
          </w:p>
        </w:tc>
        <w:tc>
          <w:tcPr>
            <w:tcW w:w="2552" w:type="dxa"/>
          </w:tcPr>
          <w:p w:rsidR="00AC45B7" w:rsidRPr="003354D5" w:rsidRDefault="00AC45B7" w:rsidP="009027DD">
            <w:pPr>
              <w:spacing w:after="0"/>
              <w:jc w:val="both"/>
              <w:rPr>
                <w:rFonts w:ascii="Arial" w:hAnsi="Arial" w:cs="Arial"/>
                <w:sz w:val="20"/>
              </w:rPr>
            </w:pPr>
            <w:r w:rsidRPr="003354D5">
              <w:rPr>
                <w:rFonts w:ascii="Arial" w:hAnsi="Arial" w:cs="Arial"/>
                <w:sz w:val="20"/>
              </w:rPr>
              <w:t>Department of Police</w:t>
            </w:r>
          </w:p>
        </w:tc>
        <w:tc>
          <w:tcPr>
            <w:tcW w:w="1842" w:type="dxa"/>
          </w:tcPr>
          <w:p w:rsidR="00AC45B7" w:rsidRPr="003354D5" w:rsidRDefault="00AC45B7" w:rsidP="009027DD">
            <w:pPr>
              <w:spacing w:after="0"/>
              <w:jc w:val="both"/>
              <w:rPr>
                <w:rFonts w:ascii="Arial" w:hAnsi="Arial" w:cs="Arial"/>
                <w:sz w:val="20"/>
              </w:rPr>
            </w:pPr>
            <w:r>
              <w:rPr>
                <w:rFonts w:ascii="Arial" w:hAnsi="Arial" w:cs="Arial"/>
                <w:sz w:val="20"/>
              </w:rPr>
              <w:t>614</w:t>
            </w:r>
          </w:p>
        </w:tc>
      </w:tr>
      <w:tr w:rsidR="00AC45B7" w:rsidRPr="003354D5" w:rsidTr="003354D5">
        <w:tc>
          <w:tcPr>
            <w:tcW w:w="3260" w:type="dxa"/>
          </w:tcPr>
          <w:p w:rsidR="00AC45B7" w:rsidRPr="003354D5" w:rsidRDefault="00AC45B7" w:rsidP="009027DD">
            <w:pPr>
              <w:spacing w:after="0"/>
              <w:jc w:val="both"/>
              <w:rPr>
                <w:rFonts w:ascii="Arial" w:hAnsi="Arial" w:cs="Arial"/>
                <w:sz w:val="20"/>
              </w:rPr>
            </w:pPr>
            <w:smartTag w:uri="urn:schemas-microsoft-com:office:smarttags" w:element="PlaceName">
              <w:smartTag w:uri="urn:schemas-microsoft-com:office:smarttags" w:element="place">
                <w:r w:rsidRPr="003354D5">
                  <w:rPr>
                    <w:rFonts w:ascii="Arial" w:hAnsi="Arial" w:cs="Arial"/>
                    <w:sz w:val="20"/>
                  </w:rPr>
                  <w:t>Transnet</w:t>
                </w:r>
              </w:smartTag>
              <w:r w:rsidRPr="003354D5">
                <w:rPr>
                  <w:rFonts w:ascii="Arial" w:hAnsi="Arial" w:cs="Arial"/>
                  <w:sz w:val="20"/>
                </w:rPr>
                <w:t xml:space="preserve"> </w:t>
              </w:r>
              <w:smartTag w:uri="urn:schemas-microsoft-com:office:smarttags" w:element="PlaceType">
                <w:r w:rsidRPr="003354D5">
                  <w:rPr>
                    <w:rFonts w:ascii="Arial" w:hAnsi="Arial" w:cs="Arial"/>
                    <w:sz w:val="20"/>
                  </w:rPr>
                  <w:t>Building</w:t>
                </w:r>
              </w:smartTag>
            </w:smartTag>
          </w:p>
        </w:tc>
        <w:tc>
          <w:tcPr>
            <w:tcW w:w="2552" w:type="dxa"/>
          </w:tcPr>
          <w:p w:rsidR="00AC45B7" w:rsidRPr="003354D5" w:rsidRDefault="00AC45B7" w:rsidP="009027DD">
            <w:pPr>
              <w:spacing w:after="0"/>
              <w:jc w:val="both"/>
              <w:rPr>
                <w:rFonts w:ascii="Arial" w:hAnsi="Arial" w:cs="Arial"/>
                <w:sz w:val="20"/>
              </w:rPr>
            </w:pPr>
            <w:r w:rsidRPr="003354D5">
              <w:rPr>
                <w:rFonts w:ascii="Arial" w:hAnsi="Arial" w:cs="Arial"/>
                <w:sz w:val="20"/>
              </w:rPr>
              <w:t>Department of Police</w:t>
            </w:r>
          </w:p>
        </w:tc>
        <w:tc>
          <w:tcPr>
            <w:tcW w:w="1842" w:type="dxa"/>
          </w:tcPr>
          <w:p w:rsidR="00AC45B7" w:rsidRPr="003354D5" w:rsidRDefault="00AC45B7" w:rsidP="009027DD">
            <w:pPr>
              <w:spacing w:after="0"/>
              <w:jc w:val="both"/>
              <w:rPr>
                <w:rFonts w:ascii="Arial" w:hAnsi="Arial" w:cs="Arial"/>
                <w:sz w:val="20"/>
              </w:rPr>
            </w:pPr>
            <w:r>
              <w:rPr>
                <w:rFonts w:ascii="Arial" w:hAnsi="Arial" w:cs="Arial"/>
                <w:sz w:val="20"/>
              </w:rPr>
              <w:t>1160</w:t>
            </w:r>
          </w:p>
        </w:tc>
      </w:tr>
      <w:tr w:rsidR="00AC45B7" w:rsidRPr="003354D5" w:rsidTr="003354D5">
        <w:tc>
          <w:tcPr>
            <w:tcW w:w="3260" w:type="dxa"/>
          </w:tcPr>
          <w:p w:rsidR="00AC45B7" w:rsidRPr="003354D5" w:rsidRDefault="00AC45B7" w:rsidP="009027DD">
            <w:pPr>
              <w:spacing w:after="0"/>
              <w:jc w:val="both"/>
              <w:rPr>
                <w:rFonts w:ascii="Arial" w:hAnsi="Arial" w:cs="Arial"/>
                <w:sz w:val="20"/>
              </w:rPr>
            </w:pPr>
            <w:r w:rsidRPr="006502A2">
              <w:rPr>
                <w:rFonts w:ascii="Arial" w:hAnsi="Arial" w:cs="Arial"/>
                <w:lang w:eastAsia="en-GB"/>
              </w:rPr>
              <w:t>Voortrekker Gedink building</w:t>
            </w:r>
          </w:p>
        </w:tc>
        <w:tc>
          <w:tcPr>
            <w:tcW w:w="2552" w:type="dxa"/>
          </w:tcPr>
          <w:p w:rsidR="00AC45B7" w:rsidRPr="003354D5" w:rsidRDefault="00AC45B7" w:rsidP="009027DD">
            <w:pPr>
              <w:spacing w:after="0"/>
              <w:jc w:val="both"/>
              <w:rPr>
                <w:rFonts w:ascii="Arial" w:hAnsi="Arial" w:cs="Arial"/>
                <w:sz w:val="20"/>
              </w:rPr>
            </w:pPr>
            <w:r w:rsidRPr="006502A2">
              <w:rPr>
                <w:rFonts w:ascii="Arial" w:hAnsi="Arial" w:cs="Arial"/>
                <w:lang w:eastAsia="en-GB"/>
              </w:rPr>
              <w:t>South African National Defence Force</w:t>
            </w:r>
          </w:p>
        </w:tc>
        <w:tc>
          <w:tcPr>
            <w:tcW w:w="1842" w:type="dxa"/>
          </w:tcPr>
          <w:p w:rsidR="00AC45B7" w:rsidRDefault="00AC45B7" w:rsidP="009027DD">
            <w:pPr>
              <w:spacing w:after="0"/>
              <w:jc w:val="both"/>
              <w:rPr>
                <w:rFonts w:ascii="Arial" w:hAnsi="Arial" w:cs="Arial"/>
                <w:sz w:val="20"/>
              </w:rPr>
            </w:pPr>
            <w:r>
              <w:rPr>
                <w:rFonts w:ascii="Arial" w:hAnsi="Arial" w:cs="Arial"/>
                <w:sz w:val="20"/>
              </w:rPr>
              <w:t>11</w:t>
            </w:r>
          </w:p>
        </w:tc>
      </w:tr>
      <w:tr w:rsidR="00AC45B7" w:rsidRPr="00D91DA1" w:rsidTr="003354D5">
        <w:tc>
          <w:tcPr>
            <w:tcW w:w="3260" w:type="dxa"/>
          </w:tcPr>
          <w:p w:rsidR="00AC45B7" w:rsidRPr="00D91DA1" w:rsidRDefault="00AC45B7" w:rsidP="009027DD">
            <w:pPr>
              <w:spacing w:after="0"/>
              <w:jc w:val="both"/>
              <w:rPr>
                <w:rFonts w:ascii="Arial" w:hAnsi="Arial" w:cs="Arial"/>
                <w:lang w:eastAsia="en-GB"/>
              </w:rPr>
            </w:pPr>
            <w:smartTag w:uri="urn:schemas-microsoft-com:office:smarttags" w:element="address">
              <w:smartTag w:uri="urn:schemas-microsoft-com:office:smarttags" w:element="Street">
                <w:r w:rsidRPr="00D91DA1">
                  <w:rPr>
                    <w:rFonts w:ascii="Arial" w:hAnsi="Arial" w:cs="Arial"/>
                    <w:bCs/>
                  </w:rPr>
                  <w:t>140 Byrons Place</w:t>
                </w:r>
              </w:smartTag>
            </w:smartTag>
            <w:r w:rsidRPr="00D91DA1">
              <w:rPr>
                <w:rFonts w:ascii="Arial" w:hAnsi="Arial" w:cs="Arial"/>
                <w:bCs/>
              </w:rPr>
              <w:t xml:space="preserve"> building</w:t>
            </w:r>
          </w:p>
        </w:tc>
        <w:tc>
          <w:tcPr>
            <w:tcW w:w="2552" w:type="dxa"/>
          </w:tcPr>
          <w:p w:rsidR="00AC45B7" w:rsidRPr="00D91DA1" w:rsidRDefault="00AC45B7" w:rsidP="009027DD">
            <w:pPr>
              <w:spacing w:after="0"/>
              <w:jc w:val="both"/>
              <w:rPr>
                <w:rFonts w:ascii="Arial" w:hAnsi="Arial" w:cs="Arial"/>
                <w:lang w:eastAsia="en-GB"/>
              </w:rPr>
            </w:pPr>
            <w:r w:rsidRPr="00D91DA1">
              <w:rPr>
                <w:rFonts w:ascii="Arial" w:hAnsi="Arial" w:cs="Arial"/>
                <w:bCs/>
              </w:rPr>
              <w:t>Department of Home Affairs</w:t>
            </w:r>
          </w:p>
        </w:tc>
        <w:tc>
          <w:tcPr>
            <w:tcW w:w="1842" w:type="dxa"/>
          </w:tcPr>
          <w:p w:rsidR="00AC45B7" w:rsidRPr="00D91DA1" w:rsidRDefault="00AC45B7" w:rsidP="009027DD">
            <w:pPr>
              <w:spacing w:after="0"/>
              <w:jc w:val="both"/>
              <w:rPr>
                <w:rFonts w:ascii="Arial" w:hAnsi="Arial" w:cs="Arial"/>
                <w:sz w:val="20"/>
              </w:rPr>
            </w:pPr>
            <w:r>
              <w:rPr>
                <w:rFonts w:ascii="Arial" w:hAnsi="Arial" w:cs="Arial"/>
                <w:sz w:val="20"/>
              </w:rPr>
              <w:t>31</w:t>
            </w:r>
          </w:p>
        </w:tc>
      </w:tr>
    </w:tbl>
    <w:p w:rsidR="00AC45B7" w:rsidRPr="00D91DA1" w:rsidRDefault="00AC45B7" w:rsidP="009027DD">
      <w:pPr>
        <w:spacing w:after="0"/>
        <w:jc w:val="both"/>
        <w:rPr>
          <w:rFonts w:ascii="Arial" w:hAnsi="Arial" w:cs="Arial"/>
        </w:rPr>
      </w:pPr>
    </w:p>
    <w:p w:rsidR="00AC45B7" w:rsidRDefault="00AC45B7" w:rsidP="009027DD">
      <w:pPr>
        <w:spacing w:after="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3.4</w:t>
      </w:r>
      <w:r>
        <w:rPr>
          <w:rFonts w:ascii="Arial" w:hAnsi="Arial" w:cs="Arial"/>
        </w:rPr>
        <w:tab/>
        <w:t xml:space="preserve">A special national bid adjudication committee (SNBAC) was established at DPW to inter alia, adjudicate leases. This committee accepted the practice of negotiating leases and the Public Protector indicated in her report that the failure of SNBAC to properly interrogate the procurement strategy amounted to maladministration. </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3.5</w:t>
      </w:r>
      <w:r>
        <w:rPr>
          <w:rFonts w:ascii="Arial" w:hAnsi="Arial" w:cs="Arial"/>
        </w:rPr>
        <w:tab/>
        <w:t xml:space="preserve">Leases were also entered into without the approval of the SNBAC. For example </w:t>
      </w:r>
      <w:r w:rsidRPr="00970F81">
        <w:rPr>
          <w:rFonts w:ascii="Arial" w:hAnsi="Arial" w:cs="Arial"/>
        </w:rPr>
        <w:t>the internal memorandums requesting approval for the procurement of residential accommodation for Cuban professionals</w:t>
      </w:r>
      <w:r>
        <w:rPr>
          <w:rFonts w:ascii="Arial" w:hAnsi="Arial" w:cs="Arial"/>
        </w:rPr>
        <w:t xml:space="preserve"> were not approved by the SNBAC during 2008. However </w:t>
      </w:r>
      <w:r w:rsidRPr="00970F81">
        <w:rPr>
          <w:rFonts w:ascii="Arial" w:hAnsi="Arial" w:cs="Arial"/>
        </w:rPr>
        <w:t>expenditure incurred in relat</w:t>
      </w:r>
      <w:r>
        <w:rPr>
          <w:rFonts w:ascii="Arial" w:hAnsi="Arial" w:cs="Arial"/>
        </w:rPr>
        <w:t>ion to the above totalled R18 million.</w:t>
      </w:r>
    </w:p>
    <w:p w:rsidR="00AC45B7" w:rsidRDefault="00AC45B7" w:rsidP="009027DD">
      <w:pPr>
        <w:spacing w:after="0"/>
        <w:ind w:left="720" w:hanging="720"/>
        <w:jc w:val="both"/>
        <w:rPr>
          <w:rFonts w:ascii="Arial" w:hAnsi="Arial" w:cs="Arial"/>
        </w:rPr>
      </w:pPr>
    </w:p>
    <w:p w:rsidR="00AC45B7" w:rsidRPr="00DE1A51" w:rsidRDefault="00AC45B7" w:rsidP="009027DD">
      <w:pPr>
        <w:spacing w:after="0"/>
        <w:ind w:left="720" w:hanging="720"/>
        <w:jc w:val="both"/>
        <w:rPr>
          <w:rFonts w:ascii="Arial" w:hAnsi="Arial" w:cs="Arial"/>
        </w:rPr>
      </w:pPr>
      <w:r>
        <w:rPr>
          <w:rFonts w:ascii="Arial" w:hAnsi="Arial" w:cs="Arial"/>
        </w:rPr>
        <w:t>3.6</w:t>
      </w:r>
      <w:r>
        <w:rPr>
          <w:rFonts w:ascii="Arial" w:hAnsi="Arial" w:cs="Arial"/>
        </w:rPr>
        <w:tab/>
        <w:t xml:space="preserve">Other contraventions of the supply chain laws and regulations were also identified such as the </w:t>
      </w:r>
      <w:r w:rsidRPr="009D6E1A">
        <w:rPr>
          <w:rFonts w:ascii="Arial" w:hAnsi="Arial" w:cs="Arial"/>
        </w:rPr>
        <w:t xml:space="preserve">tender for the procurement of the </w:t>
      </w:r>
      <w:r w:rsidRPr="009D6E1A">
        <w:rPr>
          <w:rFonts w:ascii="Arial" w:hAnsi="Arial" w:cs="Arial"/>
          <w:bCs/>
        </w:rPr>
        <w:t>Landbank Building</w:t>
      </w:r>
      <w:r w:rsidRPr="009D6E1A">
        <w:rPr>
          <w:rFonts w:ascii="Arial" w:hAnsi="Arial" w:cs="Arial"/>
          <w:b/>
          <w:bCs/>
        </w:rPr>
        <w:t xml:space="preserve"> </w:t>
      </w:r>
      <w:r w:rsidRPr="009D6E1A">
        <w:rPr>
          <w:rFonts w:ascii="Arial" w:hAnsi="Arial" w:cs="Arial"/>
        </w:rPr>
        <w:t>was advertised from 14 February 2011 to 22 February 2011, thus for a period of eight days which is less than the  21 days as required by the Treasury Regulations.</w:t>
      </w:r>
      <w:r>
        <w:rPr>
          <w:rFonts w:ascii="Arial" w:hAnsi="Arial" w:cs="Arial"/>
        </w:rPr>
        <w:t xml:space="preserve">  The </w:t>
      </w:r>
      <w:smartTag w:uri="urn:schemas-microsoft-com:office:smarttags" w:element="place">
        <w:smartTag w:uri="urn:schemas-microsoft-com:office:smarttags" w:element="PlaceName">
          <w:r w:rsidRPr="00DE1A51">
            <w:rPr>
              <w:rFonts w:ascii="Arial" w:hAnsi="Arial" w:cs="Arial"/>
              <w:bCs/>
            </w:rPr>
            <w:t>Infotech</w:t>
          </w:r>
        </w:smartTag>
        <w:r w:rsidRPr="00DE1A51">
          <w:rPr>
            <w:rFonts w:ascii="Arial" w:hAnsi="Arial" w:cs="Arial"/>
            <w:bCs/>
          </w:rPr>
          <w:t xml:space="preserve"> </w:t>
        </w:r>
        <w:smartTag w:uri="urn:schemas-microsoft-com:office:smarttags" w:element="PlaceType">
          <w:r w:rsidRPr="00DE1A51">
            <w:rPr>
              <w:rFonts w:ascii="Arial" w:hAnsi="Arial" w:cs="Arial"/>
              <w:bCs/>
            </w:rPr>
            <w:t>Building</w:t>
          </w:r>
        </w:smartTag>
      </w:smartTag>
      <w:r w:rsidRPr="00DE1A51">
        <w:rPr>
          <w:rFonts w:ascii="Arial" w:hAnsi="Arial" w:cs="Arial"/>
          <w:bCs/>
        </w:rPr>
        <w:t xml:space="preserve"> was leased with</w:t>
      </w:r>
      <w:r>
        <w:rPr>
          <w:rFonts w:ascii="Arial" w:hAnsi="Arial" w:cs="Arial"/>
          <w:bCs/>
        </w:rPr>
        <w:t>out</w:t>
      </w:r>
      <w:r w:rsidRPr="00DE1A51">
        <w:rPr>
          <w:rFonts w:ascii="Arial" w:hAnsi="Arial" w:cs="Arial"/>
          <w:b/>
          <w:bCs/>
        </w:rPr>
        <w:t xml:space="preserve"> </w:t>
      </w:r>
      <w:r w:rsidRPr="00DE1A51">
        <w:rPr>
          <w:rFonts w:ascii="Arial" w:hAnsi="Arial" w:cs="Arial"/>
          <w:bCs/>
        </w:rPr>
        <w:t>a</w:t>
      </w:r>
      <w:r w:rsidRPr="00DE1A51">
        <w:rPr>
          <w:rFonts w:ascii="Arial" w:hAnsi="Arial" w:cs="Arial"/>
        </w:rPr>
        <w:t xml:space="preserve"> valid tax clearance certificate</w:t>
      </w:r>
      <w:r w:rsidRPr="00DE1A51">
        <w:rPr>
          <w:rFonts w:ascii="Arial" w:hAnsi="Arial" w:cs="Arial"/>
          <w:b/>
          <w:bCs/>
        </w:rPr>
        <w:t xml:space="preserve"> </w:t>
      </w:r>
      <w:r>
        <w:rPr>
          <w:rFonts w:ascii="Arial" w:hAnsi="Arial" w:cs="Arial"/>
          <w:bCs/>
        </w:rPr>
        <w:t xml:space="preserve">on file. </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3.7</w:t>
      </w:r>
      <w:r>
        <w:rPr>
          <w:rFonts w:ascii="Arial" w:hAnsi="Arial" w:cs="Arial"/>
        </w:rPr>
        <w:tab/>
        <w:t xml:space="preserve">As PMTE did not test the market by obtaining bids from prospective service providers, it could not be determined if PMTE was </w:t>
      </w:r>
      <w:r w:rsidRPr="00AD0D68">
        <w:rPr>
          <w:rFonts w:ascii="Arial" w:hAnsi="Arial" w:cs="Arial"/>
        </w:rPr>
        <w:t>renting at the lowest possible cost. For example, the Public Protector indicated in her report that the Transnet building was leased at a cost of R125,30 per m</w:t>
      </w:r>
      <w:r w:rsidRPr="00AD0D68">
        <w:rPr>
          <w:rFonts w:ascii="Arial" w:hAnsi="Arial" w:cs="Arial"/>
          <w:vertAlign w:val="superscript"/>
        </w:rPr>
        <w:t>2</w:t>
      </w:r>
      <w:r w:rsidRPr="00AD0D68">
        <w:rPr>
          <w:rFonts w:ascii="Arial" w:hAnsi="Arial" w:cs="Arial"/>
        </w:rPr>
        <w:t xml:space="preserve"> although a market related rent for a similar building amounted to R40,00 per m</w:t>
      </w:r>
      <w:r w:rsidRPr="00AD0D68">
        <w:rPr>
          <w:rFonts w:ascii="Arial" w:hAnsi="Arial" w:cs="Arial"/>
          <w:vertAlign w:val="superscript"/>
        </w:rPr>
        <w:t>2</w:t>
      </w:r>
      <w:r w:rsidRPr="00AD0D68">
        <w:rPr>
          <w:rFonts w:ascii="Arial" w:hAnsi="Arial" w:cs="Arial"/>
        </w:rPr>
        <w:t>.</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3.8</w:t>
      </w:r>
      <w:r>
        <w:rPr>
          <w:rFonts w:ascii="Arial" w:hAnsi="Arial" w:cs="Arial"/>
        </w:rPr>
        <w:tab/>
        <w:t>During the audit it was also identified that PMTE entered into lease agreements for the different client departments in the same building at approximately the same time at considerably different rates per m</w:t>
      </w:r>
      <w:r>
        <w:rPr>
          <w:rFonts w:ascii="Arial" w:hAnsi="Arial" w:cs="Arial"/>
          <w:vertAlign w:val="superscript"/>
        </w:rPr>
        <w:t>2</w:t>
      </w:r>
      <w:r>
        <w:rPr>
          <w:rFonts w:ascii="Arial" w:hAnsi="Arial" w:cs="Arial"/>
        </w:rPr>
        <w:t>. The following serve as examples:</w:t>
      </w:r>
    </w:p>
    <w:p w:rsidR="00AC45B7" w:rsidRDefault="00AC45B7" w:rsidP="009027DD">
      <w:pPr>
        <w:spacing w:after="0"/>
        <w:ind w:left="720" w:hanging="720"/>
        <w:jc w:val="both"/>
        <w:rPr>
          <w:rFonts w:ascii="Arial" w:hAnsi="Arial" w:cs="Arial"/>
        </w:rPr>
      </w:pPr>
    </w:p>
    <w:p w:rsidR="00AC45B7" w:rsidRDefault="00AC45B7" w:rsidP="009027DD">
      <w:pPr>
        <w:spacing w:after="0"/>
        <w:jc w:val="both"/>
        <w:rPr>
          <w:rFonts w:ascii="Arial" w:hAnsi="Arial" w:cs="Arial"/>
        </w:rPr>
      </w:pPr>
    </w:p>
    <w:p w:rsidR="00AC45B7" w:rsidRPr="000206DB" w:rsidRDefault="00AC45B7" w:rsidP="009027DD">
      <w:pPr>
        <w:spacing w:after="0"/>
        <w:jc w:val="both"/>
        <w:rPr>
          <w:rFonts w:ascii="Arial" w:hAnsi="Arial" w:cs="Arial"/>
        </w:rPr>
      </w:pPr>
      <w:r>
        <w:rPr>
          <w:rFonts w:ascii="Arial" w:hAnsi="Arial" w:cs="Arial"/>
        </w:rPr>
        <w:t>Table 2: Different rates per m</w:t>
      </w:r>
      <w:r w:rsidRPr="000206DB">
        <w:rPr>
          <w:rFonts w:ascii="Arial" w:hAnsi="Arial" w:cs="Arial"/>
        </w:rPr>
        <w:t>²</w:t>
      </w:r>
      <w:r>
        <w:rPr>
          <w:rFonts w:ascii="Arial" w:hAnsi="Arial" w:cs="Arial"/>
        </w:rPr>
        <w:t xml:space="preserve"> in the same building</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97"/>
        <w:gridCol w:w="1424"/>
        <w:gridCol w:w="4200"/>
        <w:gridCol w:w="1559"/>
      </w:tblGrid>
      <w:tr w:rsidR="00AC45B7" w:rsidRPr="003354D5" w:rsidTr="003354D5">
        <w:tc>
          <w:tcPr>
            <w:tcW w:w="1997"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Name of building</w:t>
            </w:r>
          </w:p>
        </w:tc>
        <w:tc>
          <w:tcPr>
            <w:tcW w:w="1424"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Property number</w:t>
            </w:r>
          </w:p>
        </w:tc>
        <w:tc>
          <w:tcPr>
            <w:tcW w:w="4200"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Client department</w:t>
            </w:r>
          </w:p>
        </w:tc>
        <w:tc>
          <w:tcPr>
            <w:tcW w:w="1559" w:type="dxa"/>
            <w:shd w:val="clear" w:color="auto" w:fill="1F497D"/>
          </w:tcPr>
          <w:p w:rsidR="00AC45B7" w:rsidRPr="003354D5" w:rsidRDefault="00AC45B7" w:rsidP="009027DD">
            <w:pPr>
              <w:spacing w:after="0"/>
              <w:jc w:val="both"/>
              <w:rPr>
                <w:rFonts w:ascii="Arial" w:hAnsi="Arial" w:cs="Arial"/>
                <w:b/>
                <w:color w:val="FFFFFF"/>
                <w:sz w:val="20"/>
                <w:vertAlign w:val="superscript"/>
              </w:rPr>
            </w:pPr>
            <w:r w:rsidRPr="003354D5">
              <w:rPr>
                <w:rFonts w:ascii="Arial" w:hAnsi="Arial" w:cs="Arial"/>
                <w:b/>
                <w:color w:val="FFFFFF"/>
                <w:sz w:val="20"/>
              </w:rPr>
              <w:t>Rate/m</w:t>
            </w:r>
            <w:r w:rsidRPr="003354D5">
              <w:rPr>
                <w:rFonts w:ascii="Arial" w:hAnsi="Arial" w:cs="Arial"/>
                <w:b/>
                <w:color w:val="FFFFFF"/>
                <w:sz w:val="20"/>
                <w:vertAlign w:val="superscript"/>
              </w:rPr>
              <w:t>2</w:t>
            </w:r>
          </w:p>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(R)</w:t>
            </w:r>
          </w:p>
        </w:tc>
      </w:tr>
      <w:tr w:rsidR="00AC45B7" w:rsidRPr="003354D5" w:rsidTr="003354D5">
        <w:tc>
          <w:tcPr>
            <w:tcW w:w="1997" w:type="dxa"/>
            <w:vMerge w:val="restart"/>
            <w:vAlign w:val="center"/>
          </w:tcPr>
          <w:p w:rsidR="00AC45B7" w:rsidRPr="003354D5" w:rsidRDefault="00AC45B7" w:rsidP="009027DD">
            <w:pPr>
              <w:spacing w:after="0"/>
              <w:jc w:val="both"/>
              <w:rPr>
                <w:rFonts w:ascii="Arial" w:hAnsi="Arial" w:cs="Arial"/>
                <w:sz w:val="20"/>
              </w:rPr>
            </w:pPr>
            <w:r w:rsidRPr="003354D5">
              <w:rPr>
                <w:rFonts w:ascii="Arial" w:hAnsi="Arial" w:cs="Arial"/>
                <w:sz w:val="20"/>
              </w:rPr>
              <w:t>Nedbank building</w:t>
            </w:r>
          </w:p>
        </w:tc>
        <w:tc>
          <w:tcPr>
            <w:tcW w:w="1424" w:type="dxa"/>
          </w:tcPr>
          <w:p w:rsidR="00AC45B7" w:rsidRPr="003354D5" w:rsidRDefault="00AC45B7" w:rsidP="009027DD">
            <w:pPr>
              <w:spacing w:after="0"/>
              <w:jc w:val="both"/>
              <w:rPr>
                <w:rFonts w:ascii="Arial" w:hAnsi="Arial" w:cs="Arial"/>
                <w:sz w:val="20"/>
              </w:rPr>
            </w:pPr>
            <w:r w:rsidRPr="003354D5">
              <w:rPr>
                <w:rFonts w:ascii="Arial" w:hAnsi="Arial" w:cs="Arial"/>
                <w:sz w:val="20"/>
              </w:rPr>
              <w:t>155822</w:t>
            </w:r>
          </w:p>
        </w:tc>
        <w:tc>
          <w:tcPr>
            <w:tcW w:w="4200" w:type="dxa"/>
          </w:tcPr>
          <w:p w:rsidR="00AC45B7" w:rsidRPr="003354D5" w:rsidRDefault="00AC45B7" w:rsidP="009027DD">
            <w:pPr>
              <w:spacing w:after="0"/>
              <w:jc w:val="both"/>
              <w:rPr>
                <w:rFonts w:ascii="Arial" w:hAnsi="Arial" w:cs="Arial"/>
                <w:sz w:val="20"/>
              </w:rPr>
            </w:pPr>
            <w:r>
              <w:rPr>
                <w:rFonts w:ascii="Arial" w:hAnsi="Arial" w:cs="Arial"/>
                <w:sz w:val="20"/>
              </w:rPr>
              <w:t xml:space="preserve">National: </w:t>
            </w:r>
            <w:r w:rsidRPr="003354D5">
              <w:rPr>
                <w:rFonts w:ascii="Arial" w:hAnsi="Arial" w:cs="Arial"/>
                <w:sz w:val="20"/>
              </w:rPr>
              <w:t>Correctional Services</w:t>
            </w:r>
          </w:p>
        </w:tc>
        <w:tc>
          <w:tcPr>
            <w:tcW w:w="1559" w:type="dxa"/>
          </w:tcPr>
          <w:p w:rsidR="00AC45B7" w:rsidRPr="003354D5" w:rsidRDefault="00AC45B7" w:rsidP="009027DD">
            <w:pPr>
              <w:spacing w:after="0"/>
              <w:jc w:val="both"/>
              <w:rPr>
                <w:rFonts w:ascii="Arial" w:hAnsi="Arial" w:cs="Arial"/>
                <w:sz w:val="20"/>
              </w:rPr>
            </w:pPr>
            <w:r w:rsidRPr="003354D5">
              <w:rPr>
                <w:rFonts w:ascii="Arial" w:hAnsi="Arial" w:cs="Arial"/>
                <w:sz w:val="20"/>
              </w:rPr>
              <w:t>99,05</w:t>
            </w:r>
          </w:p>
        </w:tc>
      </w:tr>
      <w:tr w:rsidR="00AC45B7" w:rsidRPr="003354D5" w:rsidTr="003354D5">
        <w:tc>
          <w:tcPr>
            <w:tcW w:w="1997" w:type="dxa"/>
            <w:vMerge/>
          </w:tcPr>
          <w:p w:rsidR="00AC45B7" w:rsidRPr="003354D5" w:rsidRDefault="00AC45B7" w:rsidP="009027DD">
            <w:pPr>
              <w:spacing w:after="0"/>
              <w:jc w:val="both"/>
              <w:rPr>
                <w:rFonts w:ascii="Arial" w:hAnsi="Arial" w:cs="Arial"/>
                <w:sz w:val="20"/>
              </w:rPr>
            </w:pPr>
          </w:p>
        </w:tc>
        <w:tc>
          <w:tcPr>
            <w:tcW w:w="1424" w:type="dxa"/>
          </w:tcPr>
          <w:p w:rsidR="00AC45B7" w:rsidRPr="003354D5" w:rsidRDefault="00AC45B7" w:rsidP="009027DD">
            <w:pPr>
              <w:spacing w:after="0"/>
              <w:jc w:val="both"/>
              <w:rPr>
                <w:rFonts w:ascii="Arial" w:hAnsi="Arial" w:cs="Arial"/>
                <w:sz w:val="20"/>
              </w:rPr>
            </w:pPr>
            <w:r w:rsidRPr="003354D5">
              <w:rPr>
                <w:rFonts w:ascii="Arial" w:hAnsi="Arial" w:cs="Arial"/>
                <w:sz w:val="20"/>
              </w:rPr>
              <w:t>299390</w:t>
            </w:r>
          </w:p>
        </w:tc>
        <w:tc>
          <w:tcPr>
            <w:tcW w:w="4200" w:type="dxa"/>
          </w:tcPr>
          <w:p w:rsidR="00AC45B7" w:rsidRPr="003354D5" w:rsidRDefault="00AC45B7" w:rsidP="009027DD">
            <w:pPr>
              <w:spacing w:after="0"/>
              <w:jc w:val="both"/>
              <w:rPr>
                <w:rFonts w:ascii="Arial" w:hAnsi="Arial" w:cs="Arial"/>
                <w:sz w:val="20"/>
              </w:rPr>
            </w:pPr>
            <w:r w:rsidRPr="003354D5">
              <w:rPr>
                <w:rFonts w:ascii="Arial" w:hAnsi="Arial" w:cs="Arial"/>
                <w:sz w:val="20"/>
              </w:rPr>
              <w:t>Justice and Constitutional Development</w:t>
            </w:r>
          </w:p>
        </w:tc>
        <w:tc>
          <w:tcPr>
            <w:tcW w:w="1559" w:type="dxa"/>
          </w:tcPr>
          <w:p w:rsidR="00AC45B7" w:rsidRPr="003354D5" w:rsidRDefault="00AC45B7" w:rsidP="009027DD">
            <w:pPr>
              <w:spacing w:after="0"/>
              <w:jc w:val="both"/>
              <w:rPr>
                <w:rFonts w:ascii="Arial" w:hAnsi="Arial" w:cs="Arial"/>
                <w:sz w:val="20"/>
              </w:rPr>
            </w:pPr>
            <w:r w:rsidRPr="003354D5">
              <w:rPr>
                <w:rFonts w:ascii="Arial" w:hAnsi="Arial" w:cs="Arial"/>
                <w:sz w:val="20"/>
              </w:rPr>
              <w:t>83,79</w:t>
            </w:r>
          </w:p>
        </w:tc>
      </w:tr>
      <w:tr w:rsidR="00AC45B7" w:rsidRPr="003354D5" w:rsidTr="003354D5">
        <w:tc>
          <w:tcPr>
            <w:tcW w:w="1997" w:type="dxa"/>
            <w:vMerge/>
          </w:tcPr>
          <w:p w:rsidR="00AC45B7" w:rsidRPr="003354D5" w:rsidRDefault="00AC45B7" w:rsidP="009027DD">
            <w:pPr>
              <w:spacing w:after="0"/>
              <w:jc w:val="both"/>
              <w:rPr>
                <w:rFonts w:ascii="Arial" w:hAnsi="Arial" w:cs="Arial"/>
                <w:sz w:val="20"/>
              </w:rPr>
            </w:pPr>
          </w:p>
        </w:tc>
        <w:tc>
          <w:tcPr>
            <w:tcW w:w="1424" w:type="dxa"/>
          </w:tcPr>
          <w:p w:rsidR="00AC45B7" w:rsidRPr="003354D5" w:rsidRDefault="00AC45B7" w:rsidP="009027DD">
            <w:pPr>
              <w:spacing w:after="0"/>
              <w:jc w:val="both"/>
              <w:rPr>
                <w:rFonts w:ascii="Arial" w:hAnsi="Arial" w:cs="Arial"/>
                <w:sz w:val="20"/>
              </w:rPr>
            </w:pPr>
            <w:r w:rsidRPr="003354D5">
              <w:rPr>
                <w:rFonts w:ascii="Arial" w:hAnsi="Arial" w:cs="Arial"/>
                <w:sz w:val="20"/>
              </w:rPr>
              <w:t>299475</w:t>
            </w:r>
          </w:p>
        </w:tc>
        <w:tc>
          <w:tcPr>
            <w:tcW w:w="4200" w:type="dxa"/>
          </w:tcPr>
          <w:p w:rsidR="00AC45B7" w:rsidRPr="003354D5" w:rsidRDefault="00AC45B7" w:rsidP="009027DD">
            <w:pPr>
              <w:spacing w:after="0"/>
              <w:jc w:val="both"/>
              <w:rPr>
                <w:rFonts w:ascii="Arial" w:hAnsi="Arial" w:cs="Arial"/>
                <w:sz w:val="20"/>
              </w:rPr>
            </w:pPr>
            <w:r>
              <w:rPr>
                <w:rFonts w:ascii="Arial" w:hAnsi="Arial" w:cs="Arial"/>
                <w:sz w:val="20"/>
              </w:rPr>
              <w:t xml:space="preserve">National: </w:t>
            </w:r>
            <w:r w:rsidRPr="003354D5">
              <w:rPr>
                <w:rFonts w:ascii="Arial" w:hAnsi="Arial" w:cs="Arial"/>
                <w:sz w:val="20"/>
              </w:rPr>
              <w:t>Public Works</w:t>
            </w:r>
          </w:p>
        </w:tc>
        <w:tc>
          <w:tcPr>
            <w:tcW w:w="1559" w:type="dxa"/>
          </w:tcPr>
          <w:p w:rsidR="00AC45B7" w:rsidRPr="003354D5" w:rsidRDefault="00AC45B7" w:rsidP="009027DD">
            <w:pPr>
              <w:spacing w:after="0"/>
              <w:jc w:val="both"/>
              <w:rPr>
                <w:rFonts w:ascii="Arial" w:hAnsi="Arial" w:cs="Arial"/>
                <w:sz w:val="20"/>
              </w:rPr>
            </w:pPr>
            <w:r w:rsidRPr="003354D5">
              <w:rPr>
                <w:rFonts w:ascii="Arial" w:hAnsi="Arial" w:cs="Arial"/>
                <w:sz w:val="20"/>
              </w:rPr>
              <w:t>102,39</w:t>
            </w:r>
          </w:p>
        </w:tc>
      </w:tr>
      <w:tr w:rsidR="00AC45B7" w:rsidRPr="003354D5" w:rsidTr="003354D5">
        <w:tc>
          <w:tcPr>
            <w:tcW w:w="1997" w:type="dxa"/>
            <w:vMerge/>
          </w:tcPr>
          <w:p w:rsidR="00AC45B7" w:rsidRPr="003354D5" w:rsidRDefault="00AC45B7" w:rsidP="009027DD">
            <w:pPr>
              <w:spacing w:after="0"/>
              <w:jc w:val="both"/>
              <w:rPr>
                <w:rFonts w:ascii="Arial" w:hAnsi="Arial" w:cs="Arial"/>
                <w:sz w:val="20"/>
              </w:rPr>
            </w:pPr>
          </w:p>
        </w:tc>
        <w:tc>
          <w:tcPr>
            <w:tcW w:w="1424" w:type="dxa"/>
          </w:tcPr>
          <w:p w:rsidR="00AC45B7" w:rsidRPr="003354D5" w:rsidRDefault="00AC45B7" w:rsidP="009027DD">
            <w:pPr>
              <w:spacing w:after="0"/>
              <w:jc w:val="both"/>
              <w:rPr>
                <w:rFonts w:ascii="Arial" w:hAnsi="Arial" w:cs="Arial"/>
                <w:sz w:val="20"/>
              </w:rPr>
            </w:pPr>
            <w:r w:rsidRPr="003354D5">
              <w:rPr>
                <w:rFonts w:ascii="Arial" w:hAnsi="Arial" w:cs="Arial"/>
                <w:sz w:val="20"/>
              </w:rPr>
              <w:t>299476</w:t>
            </w:r>
          </w:p>
        </w:tc>
        <w:tc>
          <w:tcPr>
            <w:tcW w:w="4200" w:type="dxa"/>
          </w:tcPr>
          <w:p w:rsidR="00AC45B7" w:rsidRPr="003354D5" w:rsidRDefault="00AC45B7" w:rsidP="009027DD">
            <w:pPr>
              <w:spacing w:after="0"/>
              <w:jc w:val="both"/>
              <w:rPr>
                <w:rFonts w:ascii="Arial" w:hAnsi="Arial" w:cs="Arial"/>
                <w:sz w:val="20"/>
              </w:rPr>
            </w:pPr>
            <w:r w:rsidRPr="003354D5">
              <w:rPr>
                <w:rFonts w:ascii="Arial" w:hAnsi="Arial" w:cs="Arial"/>
                <w:sz w:val="20"/>
              </w:rPr>
              <w:t>Police</w:t>
            </w:r>
          </w:p>
        </w:tc>
        <w:tc>
          <w:tcPr>
            <w:tcW w:w="1559" w:type="dxa"/>
          </w:tcPr>
          <w:p w:rsidR="00AC45B7" w:rsidRPr="003354D5" w:rsidRDefault="00AC45B7" w:rsidP="009027DD">
            <w:pPr>
              <w:spacing w:after="0"/>
              <w:jc w:val="both"/>
              <w:rPr>
                <w:rFonts w:ascii="Arial" w:hAnsi="Arial" w:cs="Arial"/>
                <w:sz w:val="20"/>
              </w:rPr>
            </w:pPr>
            <w:r w:rsidRPr="003354D5">
              <w:rPr>
                <w:rFonts w:ascii="Arial" w:hAnsi="Arial" w:cs="Arial"/>
                <w:sz w:val="20"/>
              </w:rPr>
              <w:t>72,05</w:t>
            </w:r>
          </w:p>
        </w:tc>
      </w:tr>
      <w:tr w:rsidR="00AC45B7" w:rsidRPr="003354D5" w:rsidTr="003354D5">
        <w:tc>
          <w:tcPr>
            <w:tcW w:w="1997" w:type="dxa"/>
            <w:vMerge/>
          </w:tcPr>
          <w:p w:rsidR="00AC45B7" w:rsidRPr="003354D5" w:rsidRDefault="00AC45B7" w:rsidP="009027DD">
            <w:pPr>
              <w:spacing w:after="0"/>
              <w:jc w:val="both"/>
              <w:rPr>
                <w:rFonts w:ascii="Arial" w:hAnsi="Arial" w:cs="Arial"/>
                <w:sz w:val="20"/>
              </w:rPr>
            </w:pPr>
          </w:p>
        </w:tc>
        <w:tc>
          <w:tcPr>
            <w:tcW w:w="1424" w:type="dxa"/>
          </w:tcPr>
          <w:p w:rsidR="00AC45B7" w:rsidRPr="003354D5" w:rsidRDefault="00AC45B7" w:rsidP="009027DD">
            <w:pPr>
              <w:spacing w:after="0"/>
              <w:jc w:val="both"/>
              <w:rPr>
                <w:rFonts w:ascii="Arial" w:hAnsi="Arial" w:cs="Arial"/>
                <w:sz w:val="20"/>
              </w:rPr>
            </w:pPr>
            <w:r w:rsidRPr="003354D5">
              <w:rPr>
                <w:rFonts w:ascii="Arial" w:hAnsi="Arial" w:cs="Arial"/>
                <w:sz w:val="20"/>
              </w:rPr>
              <w:t>301324</w:t>
            </w:r>
          </w:p>
        </w:tc>
        <w:tc>
          <w:tcPr>
            <w:tcW w:w="4200" w:type="dxa"/>
          </w:tcPr>
          <w:p w:rsidR="00AC45B7" w:rsidRPr="003354D5" w:rsidRDefault="00AC45B7" w:rsidP="009027DD">
            <w:pPr>
              <w:spacing w:after="0"/>
              <w:jc w:val="both"/>
              <w:rPr>
                <w:rFonts w:ascii="Arial" w:hAnsi="Arial" w:cs="Arial"/>
                <w:sz w:val="20"/>
              </w:rPr>
            </w:pPr>
            <w:r w:rsidRPr="003354D5">
              <w:rPr>
                <w:rFonts w:ascii="Arial" w:hAnsi="Arial" w:cs="Arial"/>
                <w:sz w:val="20"/>
              </w:rPr>
              <w:t>Police</w:t>
            </w:r>
          </w:p>
        </w:tc>
        <w:tc>
          <w:tcPr>
            <w:tcW w:w="1559" w:type="dxa"/>
          </w:tcPr>
          <w:p w:rsidR="00AC45B7" w:rsidRPr="003354D5" w:rsidRDefault="00AC45B7" w:rsidP="009027DD">
            <w:pPr>
              <w:spacing w:after="0"/>
              <w:jc w:val="both"/>
              <w:rPr>
                <w:rFonts w:ascii="Arial" w:hAnsi="Arial" w:cs="Arial"/>
                <w:sz w:val="20"/>
              </w:rPr>
            </w:pPr>
            <w:r w:rsidRPr="003354D5">
              <w:rPr>
                <w:rFonts w:ascii="Arial" w:hAnsi="Arial" w:cs="Arial"/>
                <w:sz w:val="20"/>
              </w:rPr>
              <w:t>104,75</w:t>
            </w:r>
          </w:p>
        </w:tc>
      </w:tr>
      <w:tr w:rsidR="00AC45B7" w:rsidRPr="003354D5" w:rsidTr="003354D5">
        <w:tc>
          <w:tcPr>
            <w:tcW w:w="1997" w:type="dxa"/>
            <w:vMerge/>
          </w:tcPr>
          <w:p w:rsidR="00AC45B7" w:rsidRPr="003354D5" w:rsidRDefault="00AC45B7" w:rsidP="009027DD">
            <w:pPr>
              <w:spacing w:after="0"/>
              <w:jc w:val="both"/>
              <w:rPr>
                <w:rFonts w:ascii="Arial" w:hAnsi="Arial" w:cs="Arial"/>
                <w:sz w:val="20"/>
              </w:rPr>
            </w:pPr>
          </w:p>
        </w:tc>
        <w:tc>
          <w:tcPr>
            <w:tcW w:w="1424" w:type="dxa"/>
          </w:tcPr>
          <w:p w:rsidR="00AC45B7" w:rsidRPr="003354D5" w:rsidRDefault="00AC45B7" w:rsidP="009027DD">
            <w:pPr>
              <w:spacing w:after="0"/>
              <w:jc w:val="both"/>
              <w:rPr>
                <w:rFonts w:ascii="Arial" w:hAnsi="Arial" w:cs="Arial"/>
                <w:sz w:val="20"/>
              </w:rPr>
            </w:pPr>
            <w:r w:rsidRPr="003354D5">
              <w:rPr>
                <w:rFonts w:ascii="Arial" w:hAnsi="Arial" w:cs="Arial"/>
                <w:sz w:val="20"/>
              </w:rPr>
              <w:t>316941</w:t>
            </w:r>
          </w:p>
        </w:tc>
        <w:tc>
          <w:tcPr>
            <w:tcW w:w="4200" w:type="dxa"/>
          </w:tcPr>
          <w:p w:rsidR="00AC45B7" w:rsidRPr="003354D5" w:rsidRDefault="00AC45B7" w:rsidP="009027DD">
            <w:pPr>
              <w:spacing w:after="0"/>
              <w:jc w:val="both"/>
              <w:rPr>
                <w:rFonts w:ascii="Arial" w:hAnsi="Arial" w:cs="Arial"/>
                <w:sz w:val="20"/>
              </w:rPr>
            </w:pPr>
            <w:r w:rsidRPr="003354D5">
              <w:rPr>
                <w:rFonts w:ascii="Arial" w:hAnsi="Arial" w:cs="Arial"/>
                <w:sz w:val="20"/>
              </w:rPr>
              <w:t>Independent Complaints Directorate</w:t>
            </w:r>
          </w:p>
        </w:tc>
        <w:tc>
          <w:tcPr>
            <w:tcW w:w="1559" w:type="dxa"/>
          </w:tcPr>
          <w:p w:rsidR="00AC45B7" w:rsidRPr="003354D5" w:rsidRDefault="00AC45B7" w:rsidP="009027DD">
            <w:pPr>
              <w:spacing w:after="0"/>
              <w:jc w:val="both"/>
              <w:rPr>
                <w:rFonts w:ascii="Arial" w:hAnsi="Arial" w:cs="Arial"/>
                <w:sz w:val="20"/>
              </w:rPr>
            </w:pPr>
            <w:r w:rsidRPr="003354D5">
              <w:rPr>
                <w:rFonts w:ascii="Arial" w:hAnsi="Arial" w:cs="Arial"/>
                <w:sz w:val="20"/>
              </w:rPr>
              <w:t>105,21</w:t>
            </w:r>
          </w:p>
        </w:tc>
      </w:tr>
    </w:tbl>
    <w:p w:rsidR="00AC45B7" w:rsidRDefault="00AC45B7" w:rsidP="009027DD">
      <w:pPr>
        <w:spacing w:after="0"/>
        <w:jc w:val="both"/>
        <w:rPr>
          <w:rFonts w:ascii="Arial" w:hAnsi="Arial" w:cs="Arial"/>
        </w:rPr>
      </w:pPr>
    </w:p>
    <w:p w:rsidR="00AC45B7" w:rsidRDefault="00AC45B7" w:rsidP="009027DD">
      <w:pPr>
        <w:spacing w:after="0"/>
        <w:jc w:val="both"/>
        <w:rPr>
          <w:rFonts w:ascii="Arial" w:hAnsi="Arial" w:cs="Arial"/>
        </w:rPr>
      </w:pPr>
      <w:r>
        <w:rPr>
          <w:rFonts w:ascii="Arial" w:hAnsi="Arial" w:cs="Arial"/>
        </w:rPr>
        <w:lastRenderedPageBreak/>
        <w:t>The highest rental of R105,21 is 46% more than the lowest rental of R72,05.</w:t>
      </w:r>
    </w:p>
    <w:p w:rsidR="00AC45B7" w:rsidRDefault="00AC45B7" w:rsidP="009027DD">
      <w:pPr>
        <w:spacing w:after="0"/>
        <w:jc w:val="both"/>
        <w:rPr>
          <w:rFonts w:ascii="Arial" w:hAnsi="Arial" w:cs="Arial"/>
        </w:rPr>
      </w:pPr>
    </w:p>
    <w:p w:rsidR="00AC45B7" w:rsidRPr="00F55E3E" w:rsidRDefault="00AC45B7" w:rsidP="009027DD">
      <w:pPr>
        <w:spacing w:after="0"/>
        <w:ind w:left="720" w:hanging="720"/>
        <w:jc w:val="both"/>
        <w:rPr>
          <w:rFonts w:ascii="Arial" w:hAnsi="Arial" w:cs="Arial"/>
        </w:rPr>
      </w:pPr>
      <w:r>
        <w:rPr>
          <w:rFonts w:ascii="Arial" w:hAnsi="Arial" w:cs="Arial"/>
        </w:rPr>
        <w:t>3.9</w:t>
      </w:r>
      <w:r>
        <w:rPr>
          <w:rFonts w:ascii="Arial" w:hAnsi="Arial" w:cs="Arial"/>
        </w:rPr>
        <w:tab/>
        <w:t xml:space="preserve">The percentage escalation provided for in the different lease agreements varied between </w:t>
      </w:r>
      <w:r w:rsidRPr="00E03BF0">
        <w:rPr>
          <w:rFonts w:ascii="Arial" w:hAnsi="Arial" w:cs="Arial"/>
        </w:rPr>
        <w:t>1% and 12% according to PMIS. The percentage escalation provided for could be identified</w:t>
      </w:r>
      <w:r>
        <w:rPr>
          <w:rFonts w:ascii="Arial" w:hAnsi="Arial" w:cs="Arial"/>
        </w:rPr>
        <w:t xml:space="preserve"> for 1 636 leases on PMIS. For most of these leases, the escalation percentage exceeded the current inflation rate of 6,1% as at April 2012. For 1 578 leases it exceeded 7% per annum. The effect of escalation is significant on the rental being paid to landlords. If the escalation percentage is 7%, the amount of rent per m</w:t>
      </w:r>
      <w:r>
        <w:rPr>
          <w:rFonts w:ascii="Arial" w:hAnsi="Arial" w:cs="Arial"/>
          <w:vertAlign w:val="superscript"/>
        </w:rPr>
        <w:t>2</w:t>
      </w:r>
      <w:r>
        <w:rPr>
          <w:rFonts w:ascii="Arial" w:hAnsi="Arial" w:cs="Arial"/>
        </w:rPr>
        <w:t xml:space="preserve"> will double over a period of 12 years and if the escalation is 12%, the rent will double over a period of only 8 years.</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3.10</w:t>
      </w:r>
      <w:r>
        <w:rPr>
          <w:rFonts w:ascii="Arial" w:hAnsi="Arial" w:cs="Arial"/>
        </w:rPr>
        <w:tab/>
        <w:t>The floor space required by client departments in their needs assessment were not always in line with the DPW norm and the Public Protector calculated a difference of 4 058,87m</w:t>
      </w:r>
      <w:r w:rsidRPr="00D97574">
        <w:rPr>
          <w:rFonts w:ascii="Arial" w:hAnsi="Arial" w:cs="Arial"/>
          <w:vertAlign w:val="superscript"/>
        </w:rPr>
        <w:t>2</w:t>
      </w:r>
      <w:r>
        <w:rPr>
          <w:rFonts w:ascii="Arial" w:hAnsi="Arial" w:cs="Arial"/>
        </w:rPr>
        <w:t xml:space="preserve"> for the </w:t>
      </w:r>
      <w:r w:rsidRPr="007644C4">
        <w:rPr>
          <w:rFonts w:ascii="Arial" w:hAnsi="Arial" w:cs="Arial"/>
        </w:rPr>
        <w:t>Transnet building</w:t>
      </w:r>
      <w:r>
        <w:rPr>
          <w:rFonts w:ascii="Arial" w:hAnsi="Arial" w:cs="Arial"/>
        </w:rPr>
        <w:t xml:space="preserve"> with an additional cost implication of R77,7 million for the duration of the lease.</w:t>
      </w:r>
      <w:r w:rsidRPr="00B06C4E">
        <w:rPr>
          <w:rFonts w:ascii="Arial" w:hAnsi="Arial" w:cs="Arial"/>
        </w:rPr>
        <w:t xml:space="preserve"> </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3.11</w:t>
      </w:r>
      <w:r>
        <w:rPr>
          <w:rFonts w:ascii="Arial" w:hAnsi="Arial" w:cs="Arial"/>
        </w:rPr>
        <w:tab/>
        <w:t>The following route causes were identified:</w:t>
      </w:r>
    </w:p>
    <w:p w:rsidR="00AC45B7" w:rsidRDefault="00AC45B7" w:rsidP="009027DD">
      <w:pPr>
        <w:numPr>
          <w:ilvl w:val="0"/>
          <w:numId w:val="19"/>
        </w:numPr>
        <w:tabs>
          <w:tab w:val="clear" w:pos="720"/>
          <w:tab w:val="num" w:pos="1440"/>
        </w:tabs>
        <w:spacing w:after="0"/>
        <w:ind w:left="1440" w:hanging="720"/>
        <w:jc w:val="both"/>
        <w:rPr>
          <w:rFonts w:ascii="Arial" w:hAnsi="Arial" w:cs="Arial"/>
        </w:rPr>
      </w:pPr>
      <w:r>
        <w:rPr>
          <w:rFonts w:ascii="Arial" w:hAnsi="Arial" w:cs="Arial"/>
          <w:lang w:val="en-GB"/>
        </w:rPr>
        <w:t>M</w:t>
      </w:r>
      <w:r w:rsidRPr="007D6C04">
        <w:rPr>
          <w:rFonts w:ascii="Arial" w:hAnsi="Arial" w:cs="Arial"/>
        </w:rPr>
        <w:t>anagement not implementing the necessary monitoring measures and exercising sufficient oversight to ensure compliance with relevant laws and regulations and that contracts awarded to landlords for leases are in terms of the principles of SCM i.e. ensuring that the processes are fair, transparent, cost effective and equitable before allowing deviations</w:t>
      </w:r>
      <w:r>
        <w:rPr>
          <w:rFonts w:ascii="Arial" w:hAnsi="Arial" w:cs="Arial"/>
        </w:rPr>
        <w:t>.</w:t>
      </w:r>
    </w:p>
    <w:p w:rsidR="00AC45B7" w:rsidRDefault="00AC45B7" w:rsidP="009027DD">
      <w:pPr>
        <w:numPr>
          <w:ilvl w:val="0"/>
          <w:numId w:val="19"/>
        </w:numPr>
        <w:tabs>
          <w:tab w:val="clear" w:pos="720"/>
          <w:tab w:val="num" w:pos="1440"/>
        </w:tabs>
        <w:spacing w:after="0"/>
        <w:ind w:left="1440" w:hanging="720"/>
        <w:jc w:val="both"/>
        <w:rPr>
          <w:rFonts w:ascii="Arial" w:hAnsi="Arial" w:cs="Arial"/>
        </w:rPr>
      </w:pPr>
      <w:r>
        <w:rPr>
          <w:rFonts w:ascii="Arial" w:hAnsi="Arial" w:cs="Arial"/>
        </w:rPr>
        <w:t>PMTE did not always ensured that rental was market related and that escalation was inline with inflation rate.</w:t>
      </w:r>
    </w:p>
    <w:p w:rsidR="00AC45B7" w:rsidRDefault="00AC45B7" w:rsidP="009027DD">
      <w:pPr>
        <w:spacing w:after="0"/>
        <w:jc w:val="both"/>
        <w:rPr>
          <w:rFonts w:ascii="Arial" w:hAnsi="Arial" w:cs="Arial"/>
        </w:rPr>
      </w:pPr>
      <w:r w:rsidRPr="006502A2">
        <w:rPr>
          <w:rFonts w:cs="Arial"/>
          <w:lang w:val="en-US"/>
        </w:rPr>
        <w:t xml:space="preserve"> </w:t>
      </w:r>
    </w:p>
    <w:p w:rsidR="00AC45B7" w:rsidRDefault="00AC45B7" w:rsidP="009027DD">
      <w:pPr>
        <w:spacing w:after="0"/>
        <w:ind w:left="720" w:hanging="720"/>
        <w:jc w:val="both"/>
        <w:rPr>
          <w:rFonts w:ascii="Arial" w:hAnsi="Arial" w:cs="Arial"/>
          <w:b/>
        </w:rPr>
      </w:pPr>
      <w:r>
        <w:rPr>
          <w:rFonts w:ascii="Arial" w:hAnsi="Arial" w:cs="Arial"/>
          <w:b/>
        </w:rPr>
        <w:t>4.</w:t>
      </w:r>
      <w:r>
        <w:rPr>
          <w:rFonts w:ascii="Arial" w:hAnsi="Arial" w:cs="Arial"/>
          <w:b/>
        </w:rPr>
        <w:tab/>
      </w:r>
      <w:r w:rsidRPr="00CF4223">
        <w:rPr>
          <w:rFonts w:ascii="Arial" w:hAnsi="Arial" w:cs="Arial"/>
          <w:b/>
        </w:rPr>
        <w:t>Lease agreements</w:t>
      </w:r>
    </w:p>
    <w:p w:rsidR="00AC45B7" w:rsidRPr="00CF4223" w:rsidRDefault="00AC45B7" w:rsidP="009027DD">
      <w:pPr>
        <w:spacing w:after="0"/>
        <w:ind w:left="720" w:hanging="720"/>
        <w:jc w:val="both"/>
        <w:rPr>
          <w:rFonts w:ascii="Arial" w:hAnsi="Arial" w:cs="Arial"/>
          <w:b/>
        </w:rPr>
      </w:pPr>
    </w:p>
    <w:p w:rsidR="00AC45B7" w:rsidRDefault="00AC45B7" w:rsidP="009027DD">
      <w:pPr>
        <w:autoSpaceDE w:val="0"/>
        <w:autoSpaceDN w:val="0"/>
        <w:adjustRightInd w:val="0"/>
        <w:spacing w:after="0"/>
        <w:ind w:left="720" w:hanging="720"/>
        <w:jc w:val="both"/>
        <w:rPr>
          <w:rFonts w:ascii="Arial" w:hAnsi="Arial" w:cs="Arial"/>
        </w:rPr>
      </w:pPr>
      <w:r>
        <w:rPr>
          <w:rFonts w:ascii="Arial" w:hAnsi="Arial" w:cs="Arial"/>
        </w:rPr>
        <w:t>4.1</w:t>
      </w:r>
      <w:r>
        <w:rPr>
          <w:rFonts w:ascii="Arial" w:hAnsi="Arial" w:cs="Arial"/>
        </w:rPr>
        <w:tab/>
      </w:r>
      <w:r w:rsidRPr="00CC35CA">
        <w:rPr>
          <w:rFonts w:ascii="Arial" w:hAnsi="Arial" w:cs="Arial"/>
        </w:rPr>
        <w:t>After PMTE negotiate</w:t>
      </w:r>
      <w:r>
        <w:rPr>
          <w:rFonts w:ascii="Arial" w:hAnsi="Arial" w:cs="Arial"/>
        </w:rPr>
        <w:t xml:space="preserve">s </w:t>
      </w:r>
      <w:r w:rsidRPr="00CC35CA">
        <w:rPr>
          <w:rFonts w:ascii="Arial" w:hAnsi="Arial" w:cs="Arial"/>
        </w:rPr>
        <w:t xml:space="preserve">a lease with a landlord, a lease agreement is entered into by </w:t>
      </w:r>
      <w:r>
        <w:rPr>
          <w:rFonts w:ascii="Arial" w:hAnsi="Arial" w:cs="Arial"/>
        </w:rPr>
        <w:t>PMTE</w:t>
      </w:r>
      <w:r w:rsidRPr="00CC35CA">
        <w:rPr>
          <w:rFonts w:ascii="Arial" w:hAnsi="Arial" w:cs="Arial"/>
        </w:rPr>
        <w:t xml:space="preserve"> and the landlord.</w:t>
      </w:r>
      <w:r>
        <w:rPr>
          <w:rFonts w:ascii="Arial" w:hAnsi="Arial" w:cs="Arial"/>
        </w:rPr>
        <w:t xml:space="preserve"> The Public Protector however indicated in her reports that the leases were not valid as the procurement of the lease was done in a manner that did not comply with the requirements of the </w:t>
      </w:r>
      <w:r w:rsidRPr="000A6051">
        <w:rPr>
          <w:rFonts w:ascii="Arial" w:hAnsi="Arial" w:cs="Arial"/>
        </w:rPr>
        <w:t xml:space="preserve">Constitution, the PFMA and the Treasury Regulations </w:t>
      </w:r>
      <w:r w:rsidRPr="000A6051">
        <w:rPr>
          <w:rFonts w:ascii="Arial" w:hAnsi="Arial" w:cs="Arial"/>
          <w:bCs/>
        </w:rPr>
        <w:t>for departments, trading entities,</w:t>
      </w:r>
      <w:r>
        <w:rPr>
          <w:rFonts w:ascii="Arial" w:hAnsi="Arial" w:cs="Arial"/>
          <w:bCs/>
        </w:rPr>
        <w:t xml:space="preserve"> </w:t>
      </w:r>
      <w:r w:rsidRPr="000A6051">
        <w:rPr>
          <w:rFonts w:ascii="Arial" w:hAnsi="Arial" w:cs="Arial"/>
          <w:bCs/>
        </w:rPr>
        <w:t>constitutional institutions and public</w:t>
      </w:r>
      <w:r>
        <w:rPr>
          <w:rFonts w:ascii="Arial" w:hAnsi="Arial" w:cs="Arial"/>
          <w:bCs/>
        </w:rPr>
        <w:t xml:space="preserve"> </w:t>
      </w:r>
      <w:r w:rsidRPr="000A6051">
        <w:rPr>
          <w:rFonts w:ascii="Arial" w:hAnsi="Arial" w:cs="Arial"/>
          <w:bCs/>
        </w:rPr>
        <w:t>entities</w:t>
      </w:r>
      <w:r w:rsidRPr="000A6051">
        <w:rPr>
          <w:rFonts w:ascii="Arial" w:hAnsi="Arial" w:cs="Arial"/>
        </w:rPr>
        <w:t xml:space="preserve"> </w:t>
      </w:r>
      <w:r w:rsidRPr="000A6051">
        <w:rPr>
          <w:rFonts w:ascii="Arial" w:hAnsi="Arial" w:cs="Arial"/>
          <w:bCs/>
        </w:rPr>
        <w:t>Issued in terms of the</w:t>
      </w:r>
      <w:r w:rsidRPr="000A6051">
        <w:rPr>
          <w:rFonts w:ascii="Arial" w:hAnsi="Arial" w:cs="Arial"/>
        </w:rPr>
        <w:t xml:space="preserve"> PFMA</w:t>
      </w:r>
      <w:r w:rsidRPr="005267FA">
        <w:rPr>
          <w:rFonts w:ascii="Arial" w:hAnsi="Arial" w:cs="Arial"/>
        </w:rPr>
        <w:t>.</w:t>
      </w:r>
    </w:p>
    <w:p w:rsidR="00AC45B7" w:rsidRDefault="00AC45B7" w:rsidP="009027DD">
      <w:pPr>
        <w:autoSpaceDE w:val="0"/>
        <w:autoSpaceDN w:val="0"/>
        <w:adjustRightInd w:val="0"/>
        <w:spacing w:after="0"/>
        <w:ind w:left="720" w:hanging="720"/>
        <w:jc w:val="both"/>
        <w:rPr>
          <w:rFonts w:ascii="Arial" w:hAnsi="Arial" w:cs="Arial"/>
        </w:rPr>
      </w:pPr>
    </w:p>
    <w:p w:rsidR="00AC45B7" w:rsidRDefault="00AC45B7" w:rsidP="009027DD">
      <w:pPr>
        <w:autoSpaceDE w:val="0"/>
        <w:autoSpaceDN w:val="0"/>
        <w:adjustRightInd w:val="0"/>
        <w:spacing w:after="0"/>
        <w:ind w:left="720" w:hanging="720"/>
        <w:jc w:val="both"/>
        <w:rPr>
          <w:rFonts w:ascii="Arial" w:hAnsi="Arial" w:cs="Arial"/>
        </w:rPr>
      </w:pPr>
      <w:r>
        <w:rPr>
          <w:rFonts w:ascii="Arial" w:hAnsi="Arial" w:cs="Arial"/>
        </w:rPr>
        <w:t>4.2</w:t>
      </w:r>
      <w:r>
        <w:rPr>
          <w:rFonts w:ascii="Arial" w:hAnsi="Arial" w:cs="Arial"/>
        </w:rPr>
        <w:tab/>
        <w:t xml:space="preserve">In the course of the audit instances were noted where lease agreements were not signed by lessors due to a lack of monitoring. Agreements by PMTE with Redefine Properties (222123) and JHI Properties (59114) in Cape Town are two examples where contracts were not signed at the time of the audit. An unsigned undated addendum to the existing lease agreement for the </w:t>
      </w:r>
      <w:r w:rsidRPr="0091392E">
        <w:rPr>
          <w:rFonts w:ascii="Arial" w:hAnsi="Arial" w:cs="Arial"/>
          <w:bCs/>
        </w:rPr>
        <w:t>Ndinaye Building</w:t>
      </w:r>
      <w:r>
        <w:rPr>
          <w:rFonts w:ascii="Arial" w:hAnsi="Arial" w:cs="Arial"/>
          <w:bCs/>
        </w:rPr>
        <w:t xml:space="preserve"> was also identified.</w:t>
      </w:r>
    </w:p>
    <w:p w:rsidR="00AC45B7" w:rsidRDefault="00AC45B7" w:rsidP="009027DD">
      <w:pPr>
        <w:autoSpaceDE w:val="0"/>
        <w:autoSpaceDN w:val="0"/>
        <w:adjustRightInd w:val="0"/>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4.3</w:t>
      </w:r>
      <w:r>
        <w:rPr>
          <w:rFonts w:ascii="Arial" w:hAnsi="Arial" w:cs="Arial"/>
        </w:rPr>
        <w:tab/>
        <w:t>It also came to the attention of the auditors that it is common for PMTE to continue with the lease on a month-to-month basis after the expiry of the contract. This places PMTE at risk as the contract can be terminated by the landlord with one month’s notice. From the available information from PMIS, 28% of the leases were running on a month-to-month basis.</w:t>
      </w:r>
    </w:p>
    <w:p w:rsidR="00AC45B7" w:rsidRDefault="00AC45B7" w:rsidP="009027DD">
      <w:pPr>
        <w:spacing w:after="0"/>
        <w:ind w:left="720" w:hanging="720"/>
        <w:jc w:val="both"/>
        <w:rPr>
          <w:rFonts w:ascii="Arial" w:hAnsi="Arial" w:cs="Arial"/>
        </w:rPr>
      </w:pPr>
      <w:r>
        <w:rPr>
          <w:rFonts w:ascii="Arial" w:hAnsi="Arial" w:cs="Arial"/>
        </w:rPr>
        <w:t xml:space="preserve"> </w:t>
      </w:r>
    </w:p>
    <w:p w:rsidR="00AC45B7" w:rsidRDefault="00AC45B7" w:rsidP="009027DD">
      <w:pPr>
        <w:spacing w:after="0"/>
        <w:ind w:left="720" w:hanging="720"/>
        <w:jc w:val="both"/>
        <w:rPr>
          <w:rFonts w:ascii="Arial" w:hAnsi="Arial" w:cs="Arial"/>
        </w:rPr>
      </w:pPr>
      <w:r>
        <w:rPr>
          <w:rFonts w:ascii="Arial" w:hAnsi="Arial" w:cs="Arial"/>
        </w:rPr>
        <w:lastRenderedPageBreak/>
        <w:t>4.4</w:t>
      </w:r>
      <w:r>
        <w:rPr>
          <w:rFonts w:ascii="Arial" w:hAnsi="Arial" w:cs="Arial"/>
        </w:rPr>
        <w:tab/>
        <w:t>Once a lease expires, PMTE don’t agree new contractual arrangements timeously with the landlord. The landlords expect a new long term lease including escalation to be in place, once a lease has expired. However, PMTE revert to a month to month arrangement, without any guarantee of business, the landlord then refuses to sign the lease agreement. This leads to buildings being occupied and leases paid without signed lease agreements in place. The practice of granting extensions on leases up for renewal is accordance with an internal policy promulgated by the DG: Public Works. The internal policy allows extensions for one to twelve months at existing terms and conditions when the inability to renew is beyond the control of the department. For examples refer to the table below.</w:t>
      </w:r>
    </w:p>
    <w:p w:rsidR="00AC45B7" w:rsidRDefault="00AC45B7" w:rsidP="009027DD">
      <w:pPr>
        <w:spacing w:after="0"/>
        <w:jc w:val="both"/>
        <w:rPr>
          <w:rFonts w:ascii="Arial" w:hAnsi="Arial" w:cs="Arial"/>
        </w:rPr>
      </w:pPr>
      <w:r>
        <w:rPr>
          <w:rFonts w:ascii="Arial" w:hAnsi="Arial" w:cs="Arial"/>
        </w:rPr>
        <w:br w:type="page"/>
      </w:r>
    </w:p>
    <w:p w:rsidR="00AC45B7" w:rsidRPr="005239C9" w:rsidRDefault="00AC45B7" w:rsidP="009027DD">
      <w:pPr>
        <w:spacing w:after="0"/>
        <w:jc w:val="both"/>
        <w:rPr>
          <w:rFonts w:ascii="Arial" w:hAnsi="Arial" w:cs="Arial"/>
        </w:rPr>
      </w:pPr>
      <w:r>
        <w:rPr>
          <w:rFonts w:ascii="Arial" w:hAnsi="Arial" w:cs="Arial"/>
        </w:rPr>
        <w:t>Table 3: Example as buildings leased month to month after the end of the lease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02"/>
        <w:gridCol w:w="2209"/>
        <w:gridCol w:w="1397"/>
        <w:gridCol w:w="1542"/>
      </w:tblGrid>
      <w:tr w:rsidR="00AC45B7" w:rsidRPr="003354D5" w:rsidTr="003354D5">
        <w:tc>
          <w:tcPr>
            <w:tcW w:w="2702"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Name of building</w:t>
            </w:r>
          </w:p>
        </w:tc>
        <w:tc>
          <w:tcPr>
            <w:tcW w:w="2209"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Client department</w:t>
            </w:r>
          </w:p>
        </w:tc>
        <w:tc>
          <w:tcPr>
            <w:tcW w:w="1397"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Lease period end</w:t>
            </w:r>
          </w:p>
        </w:tc>
        <w:tc>
          <w:tcPr>
            <w:tcW w:w="1542"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Period on month-to-month (months)</w:t>
            </w:r>
          </w:p>
        </w:tc>
      </w:tr>
      <w:tr w:rsidR="00AC45B7" w:rsidRPr="003354D5" w:rsidTr="003354D5">
        <w:tc>
          <w:tcPr>
            <w:tcW w:w="2702" w:type="dxa"/>
          </w:tcPr>
          <w:p w:rsidR="00AC45B7" w:rsidRPr="003354D5" w:rsidRDefault="00AC45B7" w:rsidP="009027DD">
            <w:pPr>
              <w:spacing w:after="0"/>
              <w:jc w:val="both"/>
              <w:rPr>
                <w:rFonts w:ascii="Arial" w:hAnsi="Arial" w:cs="Arial"/>
                <w:sz w:val="20"/>
              </w:rPr>
            </w:pPr>
            <w:r>
              <w:rPr>
                <w:rFonts w:ascii="Arial" w:hAnsi="Arial" w:cs="Arial"/>
                <w:sz w:val="20"/>
              </w:rPr>
              <w:t>Waltloo building</w:t>
            </w:r>
          </w:p>
        </w:tc>
        <w:tc>
          <w:tcPr>
            <w:tcW w:w="2209" w:type="dxa"/>
          </w:tcPr>
          <w:p w:rsidR="00AC45B7" w:rsidRPr="003354D5" w:rsidRDefault="00AC45B7" w:rsidP="009027DD">
            <w:pPr>
              <w:spacing w:after="0"/>
              <w:jc w:val="both"/>
              <w:rPr>
                <w:rFonts w:ascii="Arial" w:hAnsi="Arial" w:cs="Arial"/>
                <w:sz w:val="20"/>
              </w:rPr>
            </w:pPr>
            <w:r>
              <w:rPr>
                <w:rFonts w:ascii="Arial" w:hAnsi="Arial" w:cs="Arial"/>
                <w:sz w:val="20"/>
              </w:rPr>
              <w:t>Home Affairs</w:t>
            </w:r>
          </w:p>
        </w:tc>
        <w:tc>
          <w:tcPr>
            <w:tcW w:w="1397" w:type="dxa"/>
          </w:tcPr>
          <w:p w:rsidR="00AC45B7" w:rsidRPr="003354D5" w:rsidRDefault="00AC45B7" w:rsidP="009027DD">
            <w:pPr>
              <w:spacing w:after="0"/>
              <w:jc w:val="both"/>
              <w:rPr>
                <w:rFonts w:ascii="Arial" w:hAnsi="Arial" w:cs="Arial"/>
                <w:sz w:val="20"/>
              </w:rPr>
            </w:pPr>
            <w:r w:rsidRPr="003354D5">
              <w:rPr>
                <w:rFonts w:ascii="Arial" w:hAnsi="Arial" w:cs="Arial"/>
                <w:sz w:val="20"/>
              </w:rPr>
              <w:t>31/</w:t>
            </w:r>
            <w:r>
              <w:rPr>
                <w:rFonts w:ascii="Arial" w:hAnsi="Arial" w:cs="Arial"/>
                <w:sz w:val="20"/>
              </w:rPr>
              <w:t>8</w:t>
            </w:r>
            <w:r w:rsidRPr="003354D5">
              <w:rPr>
                <w:rFonts w:ascii="Arial" w:hAnsi="Arial" w:cs="Arial"/>
                <w:sz w:val="20"/>
              </w:rPr>
              <w:t>/201</w:t>
            </w:r>
            <w:r>
              <w:rPr>
                <w:rFonts w:ascii="Arial" w:hAnsi="Arial" w:cs="Arial"/>
                <w:sz w:val="20"/>
              </w:rPr>
              <w:t>1</w:t>
            </w:r>
          </w:p>
        </w:tc>
        <w:tc>
          <w:tcPr>
            <w:tcW w:w="1542" w:type="dxa"/>
          </w:tcPr>
          <w:p w:rsidR="00AC45B7" w:rsidRPr="003354D5" w:rsidRDefault="00AC45B7" w:rsidP="009027DD">
            <w:pPr>
              <w:spacing w:after="0"/>
              <w:jc w:val="both"/>
              <w:rPr>
                <w:rFonts w:ascii="Arial" w:hAnsi="Arial" w:cs="Arial"/>
                <w:sz w:val="20"/>
              </w:rPr>
            </w:pPr>
            <w:r>
              <w:rPr>
                <w:rFonts w:ascii="Arial" w:hAnsi="Arial" w:cs="Arial"/>
                <w:sz w:val="20"/>
              </w:rPr>
              <w:t>11</w:t>
            </w:r>
          </w:p>
        </w:tc>
      </w:tr>
      <w:tr w:rsidR="00AC45B7" w:rsidRPr="003354D5" w:rsidTr="003354D5">
        <w:tc>
          <w:tcPr>
            <w:tcW w:w="2702" w:type="dxa"/>
          </w:tcPr>
          <w:p w:rsidR="00AC45B7" w:rsidRPr="003354D5" w:rsidRDefault="00AC45B7" w:rsidP="009027DD">
            <w:pPr>
              <w:spacing w:after="0"/>
              <w:jc w:val="both"/>
              <w:rPr>
                <w:rFonts w:ascii="Arial" w:hAnsi="Arial" w:cs="Arial"/>
                <w:sz w:val="20"/>
              </w:rPr>
            </w:pPr>
            <w:r>
              <w:rPr>
                <w:rFonts w:ascii="Arial" w:hAnsi="Arial" w:cs="Arial"/>
                <w:sz w:val="20"/>
              </w:rPr>
              <w:t>Sedibeng building</w:t>
            </w:r>
          </w:p>
        </w:tc>
        <w:tc>
          <w:tcPr>
            <w:tcW w:w="2209" w:type="dxa"/>
          </w:tcPr>
          <w:p w:rsidR="00AC45B7" w:rsidRPr="003354D5" w:rsidRDefault="00AC45B7" w:rsidP="009027DD">
            <w:pPr>
              <w:spacing w:after="0"/>
              <w:jc w:val="both"/>
              <w:rPr>
                <w:rFonts w:ascii="Arial" w:hAnsi="Arial" w:cs="Arial"/>
                <w:sz w:val="20"/>
              </w:rPr>
            </w:pPr>
            <w:r>
              <w:rPr>
                <w:rFonts w:ascii="Arial" w:hAnsi="Arial" w:cs="Arial"/>
                <w:sz w:val="20"/>
              </w:rPr>
              <w:t>National: Water Affairs</w:t>
            </w:r>
          </w:p>
        </w:tc>
        <w:tc>
          <w:tcPr>
            <w:tcW w:w="1397" w:type="dxa"/>
          </w:tcPr>
          <w:p w:rsidR="00AC45B7" w:rsidRPr="003354D5" w:rsidRDefault="00AC45B7" w:rsidP="009027DD">
            <w:pPr>
              <w:spacing w:after="0"/>
              <w:jc w:val="both"/>
              <w:rPr>
                <w:rFonts w:ascii="Arial" w:hAnsi="Arial" w:cs="Arial"/>
                <w:sz w:val="20"/>
              </w:rPr>
            </w:pPr>
            <w:r w:rsidRPr="003354D5">
              <w:rPr>
                <w:rFonts w:ascii="Arial" w:hAnsi="Arial" w:cs="Arial"/>
                <w:sz w:val="20"/>
              </w:rPr>
              <w:t>3</w:t>
            </w:r>
            <w:r>
              <w:rPr>
                <w:rFonts w:ascii="Arial" w:hAnsi="Arial" w:cs="Arial"/>
                <w:sz w:val="20"/>
              </w:rPr>
              <w:t>0</w:t>
            </w:r>
            <w:r w:rsidRPr="003354D5">
              <w:rPr>
                <w:rFonts w:ascii="Arial" w:hAnsi="Arial" w:cs="Arial"/>
                <w:sz w:val="20"/>
              </w:rPr>
              <w:t>/</w:t>
            </w:r>
            <w:r>
              <w:rPr>
                <w:rFonts w:ascii="Arial" w:hAnsi="Arial" w:cs="Arial"/>
                <w:sz w:val="20"/>
              </w:rPr>
              <w:t>6</w:t>
            </w:r>
            <w:r w:rsidRPr="003354D5">
              <w:rPr>
                <w:rFonts w:ascii="Arial" w:hAnsi="Arial" w:cs="Arial"/>
                <w:sz w:val="20"/>
              </w:rPr>
              <w:t>/20</w:t>
            </w:r>
            <w:r>
              <w:rPr>
                <w:rFonts w:ascii="Arial" w:hAnsi="Arial" w:cs="Arial"/>
                <w:sz w:val="20"/>
              </w:rPr>
              <w:t>08</w:t>
            </w:r>
          </w:p>
        </w:tc>
        <w:tc>
          <w:tcPr>
            <w:tcW w:w="1542" w:type="dxa"/>
          </w:tcPr>
          <w:p w:rsidR="00AC45B7" w:rsidRPr="003354D5" w:rsidRDefault="00AC45B7" w:rsidP="009027DD">
            <w:pPr>
              <w:spacing w:after="0"/>
              <w:jc w:val="both"/>
              <w:rPr>
                <w:rFonts w:ascii="Arial" w:hAnsi="Arial" w:cs="Arial"/>
                <w:sz w:val="20"/>
              </w:rPr>
            </w:pPr>
            <w:r>
              <w:rPr>
                <w:rFonts w:ascii="Arial" w:hAnsi="Arial" w:cs="Arial"/>
                <w:sz w:val="20"/>
              </w:rPr>
              <w:t>49</w:t>
            </w:r>
          </w:p>
        </w:tc>
      </w:tr>
      <w:tr w:rsidR="00AC45B7" w:rsidRPr="003354D5" w:rsidTr="003354D5">
        <w:tc>
          <w:tcPr>
            <w:tcW w:w="2702" w:type="dxa"/>
          </w:tcPr>
          <w:p w:rsidR="00AC45B7" w:rsidRPr="003354D5" w:rsidRDefault="00AC45B7" w:rsidP="009027DD">
            <w:pPr>
              <w:spacing w:after="0"/>
              <w:jc w:val="both"/>
              <w:rPr>
                <w:rFonts w:ascii="Arial" w:hAnsi="Arial" w:cs="Arial"/>
                <w:sz w:val="20"/>
              </w:rPr>
            </w:pPr>
            <w:r>
              <w:rPr>
                <w:rFonts w:ascii="Arial" w:hAnsi="Arial" w:cs="Arial"/>
                <w:sz w:val="20"/>
              </w:rPr>
              <w:t>Sanlam Plaza West</w:t>
            </w:r>
          </w:p>
        </w:tc>
        <w:tc>
          <w:tcPr>
            <w:tcW w:w="2209" w:type="dxa"/>
          </w:tcPr>
          <w:p w:rsidR="00AC45B7" w:rsidRPr="003354D5" w:rsidRDefault="00AC45B7" w:rsidP="009027DD">
            <w:pPr>
              <w:spacing w:after="0"/>
              <w:jc w:val="both"/>
              <w:rPr>
                <w:rFonts w:ascii="Arial" w:hAnsi="Arial" w:cs="Arial"/>
                <w:sz w:val="20"/>
              </w:rPr>
            </w:pPr>
            <w:r>
              <w:rPr>
                <w:rFonts w:ascii="Arial" w:hAnsi="Arial" w:cs="Arial"/>
                <w:sz w:val="20"/>
              </w:rPr>
              <w:t>SA Police Services</w:t>
            </w:r>
          </w:p>
        </w:tc>
        <w:tc>
          <w:tcPr>
            <w:tcW w:w="1397" w:type="dxa"/>
          </w:tcPr>
          <w:p w:rsidR="00AC45B7" w:rsidRPr="003354D5" w:rsidRDefault="00AC45B7" w:rsidP="009027DD">
            <w:pPr>
              <w:spacing w:after="0"/>
              <w:jc w:val="both"/>
              <w:rPr>
                <w:rFonts w:ascii="Arial" w:hAnsi="Arial" w:cs="Arial"/>
                <w:sz w:val="20"/>
              </w:rPr>
            </w:pPr>
            <w:r w:rsidRPr="003354D5">
              <w:rPr>
                <w:rFonts w:ascii="Arial" w:hAnsi="Arial" w:cs="Arial"/>
                <w:sz w:val="20"/>
              </w:rPr>
              <w:t>3</w:t>
            </w:r>
            <w:r>
              <w:rPr>
                <w:rFonts w:ascii="Arial" w:hAnsi="Arial" w:cs="Arial"/>
                <w:sz w:val="20"/>
              </w:rPr>
              <w:t>0</w:t>
            </w:r>
            <w:r w:rsidRPr="003354D5">
              <w:rPr>
                <w:rFonts w:ascii="Arial" w:hAnsi="Arial" w:cs="Arial"/>
                <w:sz w:val="20"/>
              </w:rPr>
              <w:t>/</w:t>
            </w:r>
            <w:r>
              <w:rPr>
                <w:rFonts w:ascii="Arial" w:hAnsi="Arial" w:cs="Arial"/>
                <w:sz w:val="20"/>
              </w:rPr>
              <w:t>6</w:t>
            </w:r>
            <w:r w:rsidRPr="003354D5">
              <w:rPr>
                <w:rFonts w:ascii="Arial" w:hAnsi="Arial" w:cs="Arial"/>
                <w:sz w:val="20"/>
              </w:rPr>
              <w:t>/20</w:t>
            </w:r>
            <w:r>
              <w:rPr>
                <w:rFonts w:ascii="Arial" w:hAnsi="Arial" w:cs="Arial"/>
                <w:sz w:val="20"/>
              </w:rPr>
              <w:t>07</w:t>
            </w:r>
          </w:p>
        </w:tc>
        <w:tc>
          <w:tcPr>
            <w:tcW w:w="1542" w:type="dxa"/>
          </w:tcPr>
          <w:p w:rsidR="00AC45B7" w:rsidRPr="003354D5" w:rsidRDefault="00AC45B7" w:rsidP="009027DD">
            <w:pPr>
              <w:spacing w:after="0"/>
              <w:jc w:val="both"/>
              <w:rPr>
                <w:rFonts w:ascii="Arial" w:hAnsi="Arial" w:cs="Arial"/>
                <w:sz w:val="20"/>
              </w:rPr>
            </w:pPr>
            <w:r>
              <w:rPr>
                <w:rFonts w:ascii="Arial" w:hAnsi="Arial" w:cs="Arial"/>
                <w:sz w:val="20"/>
              </w:rPr>
              <w:t>20</w:t>
            </w:r>
          </w:p>
        </w:tc>
      </w:tr>
      <w:tr w:rsidR="00AC45B7" w:rsidRPr="003354D5" w:rsidTr="003354D5">
        <w:tc>
          <w:tcPr>
            <w:tcW w:w="2702" w:type="dxa"/>
          </w:tcPr>
          <w:p w:rsidR="00AC45B7" w:rsidRDefault="00AC45B7" w:rsidP="009027DD">
            <w:pPr>
              <w:spacing w:after="0"/>
              <w:jc w:val="both"/>
              <w:rPr>
                <w:rFonts w:ascii="Arial" w:hAnsi="Arial" w:cs="Arial"/>
                <w:sz w:val="20"/>
              </w:rPr>
            </w:pPr>
            <w:r>
              <w:rPr>
                <w:rFonts w:ascii="Arial" w:hAnsi="Arial" w:cs="Arial"/>
                <w:sz w:val="20"/>
              </w:rPr>
              <w:t>CBS Property Group (lessor)</w:t>
            </w:r>
          </w:p>
        </w:tc>
        <w:tc>
          <w:tcPr>
            <w:tcW w:w="2209" w:type="dxa"/>
          </w:tcPr>
          <w:p w:rsidR="00AC45B7" w:rsidRDefault="00AC45B7" w:rsidP="009027DD">
            <w:pPr>
              <w:spacing w:after="0"/>
              <w:jc w:val="both"/>
              <w:rPr>
                <w:rFonts w:ascii="Arial" w:hAnsi="Arial" w:cs="Arial"/>
                <w:sz w:val="20"/>
              </w:rPr>
            </w:pPr>
            <w:r>
              <w:rPr>
                <w:rFonts w:ascii="Arial" w:hAnsi="Arial" w:cs="Arial"/>
                <w:sz w:val="20"/>
              </w:rPr>
              <w:t>Mthatha Regional PMTE: EC Water Affairs &amp; Forestry</w:t>
            </w:r>
          </w:p>
        </w:tc>
        <w:tc>
          <w:tcPr>
            <w:tcW w:w="1397" w:type="dxa"/>
          </w:tcPr>
          <w:p w:rsidR="00AC45B7" w:rsidRPr="003354D5" w:rsidRDefault="00AC45B7" w:rsidP="009027DD">
            <w:pPr>
              <w:spacing w:after="0"/>
              <w:jc w:val="both"/>
              <w:rPr>
                <w:rFonts w:ascii="Arial" w:hAnsi="Arial" w:cs="Arial"/>
                <w:sz w:val="20"/>
              </w:rPr>
            </w:pPr>
            <w:r w:rsidRPr="003354D5">
              <w:rPr>
                <w:rFonts w:ascii="Arial" w:hAnsi="Arial" w:cs="Arial"/>
                <w:sz w:val="20"/>
              </w:rPr>
              <w:t>3</w:t>
            </w:r>
            <w:r>
              <w:rPr>
                <w:rFonts w:ascii="Arial" w:hAnsi="Arial" w:cs="Arial"/>
                <w:sz w:val="20"/>
              </w:rPr>
              <w:t>1</w:t>
            </w:r>
            <w:r w:rsidRPr="003354D5">
              <w:rPr>
                <w:rFonts w:ascii="Arial" w:hAnsi="Arial" w:cs="Arial"/>
                <w:sz w:val="20"/>
              </w:rPr>
              <w:t>/</w:t>
            </w:r>
            <w:r>
              <w:rPr>
                <w:rFonts w:ascii="Arial" w:hAnsi="Arial" w:cs="Arial"/>
                <w:sz w:val="20"/>
              </w:rPr>
              <w:t>3</w:t>
            </w:r>
            <w:r w:rsidRPr="003354D5">
              <w:rPr>
                <w:rFonts w:ascii="Arial" w:hAnsi="Arial" w:cs="Arial"/>
                <w:sz w:val="20"/>
              </w:rPr>
              <w:t>/20</w:t>
            </w:r>
            <w:r>
              <w:rPr>
                <w:rFonts w:ascii="Arial" w:hAnsi="Arial" w:cs="Arial"/>
                <w:sz w:val="20"/>
              </w:rPr>
              <w:t>10</w:t>
            </w:r>
          </w:p>
        </w:tc>
        <w:tc>
          <w:tcPr>
            <w:tcW w:w="1542" w:type="dxa"/>
          </w:tcPr>
          <w:p w:rsidR="00AC45B7" w:rsidRPr="003354D5" w:rsidRDefault="00AC45B7" w:rsidP="009027DD">
            <w:pPr>
              <w:spacing w:after="0"/>
              <w:jc w:val="both"/>
              <w:rPr>
                <w:rFonts w:ascii="Arial" w:hAnsi="Arial" w:cs="Arial"/>
                <w:sz w:val="20"/>
              </w:rPr>
            </w:pPr>
            <w:r>
              <w:rPr>
                <w:rFonts w:ascii="Arial" w:hAnsi="Arial" w:cs="Arial"/>
                <w:sz w:val="20"/>
              </w:rPr>
              <w:t>24</w:t>
            </w:r>
          </w:p>
        </w:tc>
      </w:tr>
    </w:tbl>
    <w:p w:rsidR="00AC45B7" w:rsidRDefault="00AC45B7" w:rsidP="009027DD">
      <w:pPr>
        <w:spacing w:after="0"/>
        <w:jc w:val="both"/>
        <w:rPr>
          <w:rFonts w:ascii="Arial" w:hAnsi="Arial" w:cs="Arial"/>
        </w:rPr>
      </w:pPr>
    </w:p>
    <w:p w:rsidR="00AC45B7" w:rsidRDefault="00AC45B7" w:rsidP="009027DD">
      <w:pPr>
        <w:spacing w:before="100" w:beforeAutospacing="1" w:after="100" w:afterAutospacing="1" w:line="23" w:lineRule="atLeast"/>
        <w:ind w:left="720" w:hanging="720"/>
        <w:jc w:val="both"/>
        <w:rPr>
          <w:rFonts w:cs="Arial"/>
          <w:lang w:val="en-US"/>
        </w:rPr>
      </w:pPr>
      <w:r>
        <w:rPr>
          <w:rFonts w:ascii="Arial" w:hAnsi="Arial" w:cs="Arial"/>
        </w:rPr>
        <w:t>4.5</w:t>
      </w:r>
      <w:r>
        <w:rPr>
          <w:rFonts w:ascii="Arial" w:hAnsi="Arial" w:cs="Arial"/>
        </w:rPr>
        <w:tab/>
        <w:t xml:space="preserve">When the PMTE continue with the lease on a month-to-month basis the landlord can terminate the lease by giving one month notice. For example, </w:t>
      </w:r>
      <w:r>
        <w:rPr>
          <w:rFonts w:ascii="Arial" w:hAnsi="Arial" w:cs="Arial"/>
          <w:lang w:eastAsia="en-GB"/>
        </w:rPr>
        <w:t>t</w:t>
      </w:r>
      <w:r w:rsidRPr="006502A2">
        <w:rPr>
          <w:rFonts w:ascii="Arial" w:hAnsi="Arial" w:cs="Arial"/>
          <w:lang w:eastAsia="en-GB"/>
        </w:rPr>
        <w:t>he SA Law Commission (Depa</w:t>
      </w:r>
      <w:r>
        <w:rPr>
          <w:rFonts w:ascii="Arial" w:hAnsi="Arial" w:cs="Arial"/>
          <w:lang w:eastAsia="en-GB"/>
        </w:rPr>
        <w:t xml:space="preserve">rtment of Justice) and </w:t>
      </w:r>
      <w:r w:rsidRPr="006502A2">
        <w:rPr>
          <w:rFonts w:ascii="Arial" w:hAnsi="Arial" w:cs="Arial"/>
          <w:lang w:eastAsia="en-GB"/>
        </w:rPr>
        <w:t xml:space="preserve"> the Department of Home Affairs were given notice to vacate the Sanlam Middestad premises by 31 August 2010, as per letter dated 1 July 2010 from the landlord. </w:t>
      </w:r>
      <w:r>
        <w:rPr>
          <w:rFonts w:ascii="Arial" w:hAnsi="Arial" w:cs="Arial"/>
          <w:lang w:eastAsia="en-GB"/>
        </w:rPr>
        <w:t>According to the letter the lease had continued</w:t>
      </w:r>
      <w:r w:rsidRPr="006502A2">
        <w:rPr>
          <w:rFonts w:ascii="Arial" w:hAnsi="Arial" w:cs="Arial"/>
          <w:lang w:eastAsia="en-GB"/>
        </w:rPr>
        <w:t xml:space="preserve"> on a month to month basis </w:t>
      </w:r>
      <w:r>
        <w:rPr>
          <w:rFonts w:ascii="Arial" w:hAnsi="Arial" w:cs="Arial"/>
          <w:lang w:eastAsia="en-GB"/>
        </w:rPr>
        <w:t>since 31 May 2006</w:t>
      </w:r>
      <w:r w:rsidRPr="006502A2">
        <w:rPr>
          <w:rFonts w:ascii="Arial" w:hAnsi="Arial" w:cs="Arial"/>
          <w:lang w:eastAsia="en-GB"/>
        </w:rPr>
        <w:t>.</w:t>
      </w:r>
      <w:r>
        <w:rPr>
          <w:rFonts w:ascii="Arial" w:hAnsi="Arial" w:cs="Arial"/>
          <w:lang w:eastAsia="en-GB"/>
        </w:rPr>
        <w:t xml:space="preserve"> The </w:t>
      </w:r>
      <w:r w:rsidRPr="0056261F">
        <w:rPr>
          <w:rFonts w:ascii="Arial" w:hAnsi="Arial" w:cs="Arial"/>
          <w:lang w:eastAsia="en-GB"/>
        </w:rPr>
        <w:t>r</w:t>
      </w:r>
      <w:r w:rsidRPr="0056261F">
        <w:rPr>
          <w:rFonts w:ascii="Arial" w:hAnsi="Arial" w:cs="Arial"/>
          <w:iCs/>
          <w:lang w:eastAsia="en-GB"/>
        </w:rPr>
        <w:t>equest for approval of the procurement strategy</w:t>
      </w:r>
      <w:r w:rsidRPr="0056261F">
        <w:rPr>
          <w:rFonts w:ascii="Arial" w:hAnsi="Arial" w:cs="Arial"/>
          <w:lang w:eastAsia="en-GB"/>
        </w:rPr>
        <w:t xml:space="preserve"> dated 22 September 2010 indicated that</w:t>
      </w:r>
      <w:r>
        <w:rPr>
          <w:rFonts w:ascii="Arial" w:hAnsi="Arial" w:cs="Arial"/>
          <w:lang w:eastAsia="en-GB"/>
        </w:rPr>
        <w:t xml:space="preserve"> t</w:t>
      </w:r>
      <w:r w:rsidRPr="006502A2">
        <w:rPr>
          <w:rFonts w:ascii="Arial" w:hAnsi="Arial" w:cs="Arial"/>
          <w:lang w:eastAsia="en-GB"/>
        </w:rPr>
        <w:t>h</w:t>
      </w:r>
      <w:r w:rsidRPr="0056261F">
        <w:rPr>
          <w:rFonts w:ascii="Arial" w:hAnsi="Arial" w:cs="Arial"/>
          <w:iCs/>
          <w:lang w:eastAsia="en-GB"/>
        </w:rPr>
        <w:t>e SA Law Commission moved to temporary accommodat</w:t>
      </w:r>
      <w:r w:rsidRPr="0056261F">
        <w:rPr>
          <w:rFonts w:ascii="Arial" w:hAnsi="Arial" w:cs="Arial"/>
          <w:lang w:eastAsia="en-GB"/>
        </w:rPr>
        <w:t>ion but was unable to work due to the lack of infrastructure.</w:t>
      </w:r>
      <w:r w:rsidRPr="001D3FFF">
        <w:rPr>
          <w:rFonts w:cs="Arial"/>
          <w:lang w:val="en-US"/>
        </w:rPr>
        <w:t xml:space="preserve"> </w:t>
      </w:r>
    </w:p>
    <w:p w:rsidR="00AC45B7" w:rsidRDefault="00AC45B7" w:rsidP="009027DD">
      <w:pPr>
        <w:spacing w:after="0" w:line="23" w:lineRule="atLeast"/>
        <w:ind w:left="720" w:hanging="720"/>
        <w:jc w:val="both"/>
        <w:rPr>
          <w:rFonts w:ascii="Arial" w:hAnsi="Arial" w:cs="Arial"/>
        </w:rPr>
      </w:pPr>
      <w:r>
        <w:rPr>
          <w:rFonts w:ascii="Arial" w:hAnsi="Arial" w:cs="Arial"/>
        </w:rPr>
        <w:t>4.6</w:t>
      </w:r>
      <w:r>
        <w:rPr>
          <w:rFonts w:ascii="Arial" w:hAnsi="Arial" w:cs="Arial"/>
        </w:rPr>
        <w:tab/>
        <w:t>The following route causes were identified:</w:t>
      </w:r>
    </w:p>
    <w:p w:rsidR="00AC45B7" w:rsidRDefault="00AC45B7" w:rsidP="009027DD">
      <w:pPr>
        <w:numPr>
          <w:ilvl w:val="0"/>
          <w:numId w:val="19"/>
        </w:numPr>
        <w:tabs>
          <w:tab w:val="clear" w:pos="720"/>
          <w:tab w:val="num" w:pos="1440"/>
        </w:tabs>
        <w:spacing w:before="100" w:beforeAutospacing="1" w:after="100" w:afterAutospacing="1" w:line="23" w:lineRule="atLeast"/>
        <w:ind w:left="1440" w:hanging="720"/>
        <w:jc w:val="both"/>
        <w:rPr>
          <w:rFonts w:ascii="Arial" w:hAnsi="Arial" w:cs="Arial"/>
          <w:lang w:val="en-US"/>
        </w:rPr>
      </w:pPr>
      <w:r w:rsidRPr="001D3FFF">
        <w:rPr>
          <w:rFonts w:ascii="Arial" w:hAnsi="Arial" w:cs="Arial"/>
          <w:lang w:val="en-US"/>
        </w:rPr>
        <w:t xml:space="preserve">The property management officials did not take sufficient action and perform sufficient follow up to ensure that the new lease agreement was signed by both parties subsequent to the letter of acceptance being issued.  </w:t>
      </w:r>
    </w:p>
    <w:p w:rsidR="00AC45B7" w:rsidRPr="00BC74E9" w:rsidRDefault="00AC45B7" w:rsidP="009027DD">
      <w:pPr>
        <w:numPr>
          <w:ilvl w:val="0"/>
          <w:numId w:val="19"/>
        </w:numPr>
        <w:tabs>
          <w:tab w:val="clear" w:pos="720"/>
          <w:tab w:val="num" w:pos="1440"/>
        </w:tabs>
        <w:spacing w:before="100" w:beforeAutospacing="1" w:after="100" w:afterAutospacing="1" w:line="23" w:lineRule="atLeast"/>
        <w:ind w:left="1440" w:hanging="720"/>
        <w:jc w:val="both"/>
        <w:rPr>
          <w:rFonts w:ascii="Arial" w:hAnsi="Arial" w:cs="Arial"/>
          <w:lang w:val="en-US"/>
        </w:rPr>
      </w:pPr>
      <w:r w:rsidRPr="00BC74E9">
        <w:rPr>
          <w:rFonts w:ascii="Arial" w:hAnsi="Arial" w:cs="Arial"/>
          <w:lang w:val="en-US"/>
        </w:rPr>
        <w:t>The PMTE does not have proper controls and processes in place for filing of procurement and lease documentation</w:t>
      </w:r>
    </w:p>
    <w:p w:rsidR="00AC45B7" w:rsidRDefault="00AC45B7" w:rsidP="009027DD">
      <w:pPr>
        <w:tabs>
          <w:tab w:val="left" w:pos="720"/>
        </w:tabs>
        <w:spacing w:after="0" w:line="23" w:lineRule="atLeast"/>
        <w:ind w:left="720" w:hanging="720"/>
        <w:jc w:val="both"/>
        <w:rPr>
          <w:rFonts w:ascii="Arial" w:hAnsi="Arial" w:cs="Arial"/>
          <w:b/>
        </w:rPr>
      </w:pPr>
      <w:r>
        <w:rPr>
          <w:rFonts w:ascii="Arial" w:hAnsi="Arial" w:cs="Arial"/>
          <w:b/>
        </w:rPr>
        <w:t>5.</w:t>
      </w:r>
      <w:r>
        <w:rPr>
          <w:rFonts w:ascii="Arial" w:hAnsi="Arial" w:cs="Arial"/>
          <w:b/>
        </w:rPr>
        <w:tab/>
      </w:r>
      <w:r w:rsidRPr="006B07AF">
        <w:rPr>
          <w:rFonts w:ascii="Arial" w:hAnsi="Arial" w:cs="Arial"/>
          <w:b/>
        </w:rPr>
        <w:t>Accounting</w:t>
      </w:r>
    </w:p>
    <w:p w:rsidR="00AC45B7" w:rsidRPr="006B07AF" w:rsidRDefault="00AC45B7" w:rsidP="009027DD">
      <w:pPr>
        <w:tabs>
          <w:tab w:val="left" w:pos="720"/>
        </w:tabs>
        <w:spacing w:after="0"/>
        <w:ind w:left="720" w:hanging="720"/>
        <w:jc w:val="both"/>
        <w:rPr>
          <w:rFonts w:ascii="Arial" w:hAnsi="Arial" w:cs="Arial"/>
          <w:b/>
        </w:rPr>
      </w:pPr>
    </w:p>
    <w:p w:rsidR="00AC45B7" w:rsidRDefault="00AC45B7" w:rsidP="009027DD">
      <w:pPr>
        <w:tabs>
          <w:tab w:val="left" w:pos="720"/>
        </w:tabs>
        <w:spacing w:after="0"/>
        <w:ind w:left="720" w:hanging="720"/>
        <w:jc w:val="both"/>
        <w:rPr>
          <w:rFonts w:ascii="Arial" w:hAnsi="Arial" w:cs="Arial"/>
        </w:rPr>
      </w:pPr>
      <w:r>
        <w:rPr>
          <w:rFonts w:ascii="Arial" w:hAnsi="Arial" w:cs="Arial"/>
        </w:rPr>
        <w:t>5.1</w:t>
      </w:r>
      <w:r>
        <w:rPr>
          <w:rFonts w:ascii="Arial" w:hAnsi="Arial" w:cs="Arial"/>
        </w:rPr>
        <w:tab/>
        <w:t>The PMIS plays a pivotal role in the management of leases at PMTE. PMIS does not only serve as a database of leas</w:t>
      </w:r>
      <w:r w:rsidRPr="006B07AF">
        <w:rPr>
          <w:rFonts w:ascii="Arial" w:hAnsi="Arial" w:cs="Arial"/>
        </w:rPr>
        <w:t>es but it also triggers the payment to the landlords on the Basic Accounting System (BAS)</w:t>
      </w:r>
      <w:r>
        <w:rPr>
          <w:rFonts w:ascii="Arial" w:hAnsi="Arial" w:cs="Arial"/>
        </w:rPr>
        <w:t xml:space="preserve">. Although PMTE indicated in 2009-10 that they are planning to migrate to a new management information system (iEWorks), they are still using PMIS. </w:t>
      </w:r>
    </w:p>
    <w:p w:rsidR="00AC45B7" w:rsidRDefault="00AC45B7" w:rsidP="009027DD">
      <w:pPr>
        <w:tabs>
          <w:tab w:val="left" w:pos="720"/>
        </w:tabs>
        <w:spacing w:after="0"/>
        <w:ind w:left="720" w:hanging="720"/>
        <w:jc w:val="both"/>
        <w:rPr>
          <w:rFonts w:ascii="Arial" w:hAnsi="Arial" w:cs="Arial"/>
        </w:rPr>
      </w:pPr>
    </w:p>
    <w:p w:rsidR="00AC45B7" w:rsidRDefault="00AC45B7" w:rsidP="009027DD">
      <w:pPr>
        <w:tabs>
          <w:tab w:val="left" w:pos="720"/>
        </w:tabs>
        <w:spacing w:after="0"/>
        <w:ind w:left="720" w:hanging="720"/>
        <w:jc w:val="both"/>
        <w:rPr>
          <w:rFonts w:ascii="Arial" w:hAnsi="Arial" w:cs="Arial"/>
        </w:rPr>
      </w:pPr>
      <w:r>
        <w:rPr>
          <w:rFonts w:ascii="Arial" w:hAnsi="Arial" w:cs="Arial"/>
        </w:rPr>
        <w:t>5.2</w:t>
      </w:r>
      <w:r>
        <w:rPr>
          <w:rFonts w:ascii="Arial" w:hAnsi="Arial" w:cs="Arial"/>
        </w:rPr>
        <w:tab/>
        <w:t>During the general control audit conducted on PMIS major shortcomings were identified for example:</w:t>
      </w:r>
    </w:p>
    <w:p w:rsidR="00AC45B7" w:rsidRDefault="00AC45B7" w:rsidP="009027DD">
      <w:pPr>
        <w:tabs>
          <w:tab w:val="left" w:pos="720"/>
        </w:tabs>
        <w:spacing w:after="0"/>
        <w:ind w:left="720" w:hanging="720"/>
        <w:jc w:val="both"/>
        <w:rPr>
          <w:rFonts w:ascii="Arial" w:hAnsi="Arial" w:cs="Arial"/>
        </w:rPr>
      </w:pPr>
    </w:p>
    <w:p w:rsidR="00AC45B7" w:rsidRDefault="00AC45B7" w:rsidP="009027DD">
      <w:pPr>
        <w:jc w:val="both"/>
        <w:rPr>
          <w:rFonts w:ascii="Arial" w:hAnsi="Arial" w:cs="Arial"/>
        </w:rPr>
      </w:pPr>
      <w:r>
        <w:rPr>
          <w:rFonts w:ascii="Arial" w:hAnsi="Arial" w:cs="Arial"/>
        </w:rPr>
        <w:t>5.2.1</w:t>
      </w:r>
      <w:r>
        <w:rPr>
          <w:rFonts w:ascii="Arial" w:hAnsi="Arial" w:cs="Arial"/>
        </w:rPr>
        <w:tab/>
        <w:t>User access control:</w:t>
      </w:r>
    </w:p>
    <w:p w:rsidR="00AC45B7" w:rsidRPr="00802D62" w:rsidRDefault="00AC45B7" w:rsidP="009027DD">
      <w:pPr>
        <w:pStyle w:val="ListParagraph"/>
        <w:numPr>
          <w:ilvl w:val="0"/>
          <w:numId w:val="5"/>
        </w:numPr>
        <w:ind w:left="1440" w:hanging="720"/>
        <w:jc w:val="both"/>
        <w:rPr>
          <w:rFonts w:ascii="Arial" w:hAnsi="Arial" w:cs="Arial"/>
        </w:rPr>
      </w:pPr>
      <w:r w:rsidRPr="00802D62">
        <w:rPr>
          <w:rFonts w:ascii="Arial" w:hAnsi="Arial" w:cs="Arial"/>
        </w:rPr>
        <w:t>Inadequate implementation of user access controls at U</w:t>
      </w:r>
      <w:r>
        <w:rPr>
          <w:rFonts w:ascii="Arial" w:hAnsi="Arial" w:cs="Arial"/>
        </w:rPr>
        <w:t>NIX operating system level, for example</w:t>
      </w:r>
      <w:r w:rsidRPr="00802D62">
        <w:rPr>
          <w:rFonts w:ascii="Arial" w:hAnsi="Arial" w:cs="Arial"/>
        </w:rPr>
        <w:t xml:space="preserve"> 16 user accounts with “root” access defined. This type of access allows the users unlimited access to the operating system resources and utilities which can indirectly be used to gain access to PMIS.</w:t>
      </w:r>
    </w:p>
    <w:p w:rsidR="00AC45B7" w:rsidRPr="00802D62" w:rsidRDefault="00AC45B7" w:rsidP="009027DD">
      <w:pPr>
        <w:pStyle w:val="ListParagraph"/>
        <w:numPr>
          <w:ilvl w:val="0"/>
          <w:numId w:val="5"/>
        </w:numPr>
        <w:ind w:left="1440" w:hanging="720"/>
        <w:jc w:val="both"/>
        <w:rPr>
          <w:rFonts w:ascii="Arial" w:hAnsi="Arial" w:cs="Arial"/>
        </w:rPr>
      </w:pPr>
      <w:r w:rsidRPr="00802D62">
        <w:rPr>
          <w:rFonts w:ascii="Arial" w:hAnsi="Arial" w:cs="Arial"/>
        </w:rPr>
        <w:lastRenderedPageBreak/>
        <w:t>Inadequate implementation of user access controls on PMIS, i.e. user account created and never used, user accounts created but not linked to the login names, old profiles confirmed to be no longer in use, etc</w:t>
      </w:r>
    </w:p>
    <w:p w:rsidR="00AC45B7" w:rsidRPr="00510DF6" w:rsidRDefault="00AC45B7" w:rsidP="009027DD">
      <w:pPr>
        <w:ind w:left="720" w:hanging="720"/>
        <w:jc w:val="both"/>
        <w:rPr>
          <w:rFonts w:ascii="Arial" w:hAnsi="Arial" w:cs="Arial"/>
        </w:rPr>
      </w:pPr>
      <w:r>
        <w:rPr>
          <w:rFonts w:ascii="Arial" w:hAnsi="Arial" w:cs="Arial"/>
        </w:rPr>
        <w:t>5.2.2</w:t>
      </w:r>
      <w:r>
        <w:rPr>
          <w:rFonts w:ascii="Arial" w:hAnsi="Arial" w:cs="Arial"/>
        </w:rPr>
        <w:tab/>
      </w:r>
      <w:r w:rsidRPr="00510DF6">
        <w:rPr>
          <w:rFonts w:ascii="Arial" w:hAnsi="Arial" w:cs="Arial"/>
        </w:rPr>
        <w:t>Aging PMIS infrastructure that is no longer supported by the manufacturer, listed below are the infrastructure issues the department experienced:</w:t>
      </w:r>
    </w:p>
    <w:p w:rsidR="00AC45B7" w:rsidRPr="00630834" w:rsidRDefault="00AC45B7" w:rsidP="009027DD">
      <w:pPr>
        <w:pStyle w:val="ListParagraph"/>
        <w:numPr>
          <w:ilvl w:val="1"/>
          <w:numId w:val="4"/>
        </w:numPr>
        <w:ind w:hanging="720"/>
        <w:jc w:val="both"/>
        <w:rPr>
          <w:rFonts w:ascii="Arial" w:hAnsi="Arial" w:cs="Arial"/>
        </w:rPr>
      </w:pPr>
      <w:r w:rsidRPr="00630834">
        <w:rPr>
          <w:rFonts w:ascii="Arial" w:hAnsi="Arial" w:cs="Arial"/>
        </w:rPr>
        <w:t>Most of the system files are 90% utilised</w:t>
      </w:r>
    </w:p>
    <w:p w:rsidR="00AC45B7" w:rsidRPr="00630834" w:rsidRDefault="00AC45B7" w:rsidP="009027DD">
      <w:pPr>
        <w:pStyle w:val="ListParagraph"/>
        <w:numPr>
          <w:ilvl w:val="1"/>
          <w:numId w:val="4"/>
        </w:numPr>
        <w:ind w:hanging="720"/>
        <w:jc w:val="both"/>
        <w:rPr>
          <w:rFonts w:ascii="Arial" w:hAnsi="Arial" w:cs="Arial"/>
        </w:rPr>
      </w:pPr>
      <w:r w:rsidRPr="00630834">
        <w:rPr>
          <w:rFonts w:ascii="Arial" w:hAnsi="Arial" w:cs="Arial"/>
        </w:rPr>
        <w:t>The UNIX 11</w:t>
      </w:r>
      <w:r>
        <w:rPr>
          <w:rFonts w:ascii="Arial" w:hAnsi="Arial" w:cs="Arial"/>
        </w:rPr>
        <w:t>operating system is</w:t>
      </w:r>
      <w:r w:rsidRPr="00630834">
        <w:rPr>
          <w:rFonts w:ascii="Arial" w:hAnsi="Arial" w:cs="Arial"/>
        </w:rPr>
        <w:t xml:space="preserve"> no longer supported by Hewlett Packard</w:t>
      </w:r>
    </w:p>
    <w:p w:rsidR="00AC45B7" w:rsidRPr="00630834" w:rsidRDefault="00AC45B7" w:rsidP="009027DD">
      <w:pPr>
        <w:pStyle w:val="ListParagraph"/>
        <w:numPr>
          <w:ilvl w:val="1"/>
          <w:numId w:val="4"/>
        </w:numPr>
        <w:ind w:hanging="720"/>
        <w:jc w:val="both"/>
        <w:rPr>
          <w:rFonts w:ascii="Arial" w:hAnsi="Arial" w:cs="Arial"/>
        </w:rPr>
      </w:pPr>
      <w:r w:rsidRPr="00630834">
        <w:rPr>
          <w:rFonts w:ascii="Arial" w:hAnsi="Arial" w:cs="Arial"/>
        </w:rPr>
        <w:t xml:space="preserve">The Processor Dependent Code (PDC) firmware </w:t>
      </w:r>
      <w:r>
        <w:rPr>
          <w:rFonts w:ascii="Arial" w:hAnsi="Arial" w:cs="Arial"/>
        </w:rPr>
        <w:t xml:space="preserve">is </w:t>
      </w:r>
      <w:r w:rsidRPr="00630834">
        <w:rPr>
          <w:rFonts w:ascii="Arial" w:hAnsi="Arial" w:cs="Arial"/>
        </w:rPr>
        <w:t>no longer accessible as the master processor password cannot be reset</w:t>
      </w:r>
    </w:p>
    <w:p w:rsidR="00AC45B7" w:rsidRPr="00630834" w:rsidRDefault="00AC45B7" w:rsidP="009027DD">
      <w:pPr>
        <w:pStyle w:val="ListParagraph"/>
        <w:numPr>
          <w:ilvl w:val="1"/>
          <w:numId w:val="4"/>
        </w:numPr>
        <w:ind w:hanging="720"/>
        <w:jc w:val="both"/>
        <w:rPr>
          <w:rFonts w:ascii="Arial" w:hAnsi="Arial" w:cs="Arial"/>
        </w:rPr>
      </w:pPr>
      <w:r w:rsidRPr="00630834">
        <w:rPr>
          <w:rFonts w:ascii="Arial" w:hAnsi="Arial" w:cs="Arial"/>
        </w:rPr>
        <w:t xml:space="preserve">The current version of the operating system (UNIX 11) is outdated and renders </w:t>
      </w:r>
      <w:r>
        <w:rPr>
          <w:rFonts w:ascii="Arial" w:hAnsi="Arial" w:cs="Arial"/>
        </w:rPr>
        <w:t>the applied patches ineffective</w:t>
      </w:r>
    </w:p>
    <w:p w:rsidR="00AC45B7" w:rsidRPr="00510DF6" w:rsidRDefault="00AC45B7" w:rsidP="009027DD">
      <w:pPr>
        <w:tabs>
          <w:tab w:val="left" w:pos="720"/>
        </w:tabs>
        <w:spacing w:before="120" w:after="120"/>
        <w:jc w:val="both"/>
        <w:rPr>
          <w:rFonts w:ascii="Arial" w:hAnsi="Arial" w:cs="Arial"/>
        </w:rPr>
      </w:pPr>
      <w:r>
        <w:rPr>
          <w:rFonts w:ascii="Arial" w:hAnsi="Arial" w:cs="Arial"/>
        </w:rPr>
        <w:t>5.2.3</w:t>
      </w:r>
      <w:r>
        <w:rPr>
          <w:rFonts w:ascii="Arial" w:hAnsi="Arial" w:cs="Arial"/>
        </w:rPr>
        <w:tab/>
      </w:r>
      <w:r w:rsidRPr="00510DF6">
        <w:rPr>
          <w:rFonts w:ascii="Arial" w:hAnsi="Arial" w:cs="Arial"/>
        </w:rPr>
        <w:t>Delays in migrating PMIS application to new infrastructure/platform:</w:t>
      </w:r>
    </w:p>
    <w:p w:rsidR="00AC45B7" w:rsidRPr="00630834" w:rsidRDefault="00AC45B7" w:rsidP="009027DD">
      <w:pPr>
        <w:pStyle w:val="ListParagraph"/>
        <w:numPr>
          <w:ilvl w:val="1"/>
          <w:numId w:val="4"/>
        </w:numPr>
        <w:tabs>
          <w:tab w:val="left" w:pos="1440"/>
        </w:tabs>
        <w:spacing w:before="120" w:after="120"/>
        <w:ind w:hanging="720"/>
        <w:jc w:val="both"/>
        <w:rPr>
          <w:rFonts w:ascii="Arial" w:hAnsi="Arial" w:cs="Arial"/>
        </w:rPr>
      </w:pPr>
      <w:r w:rsidRPr="00630834">
        <w:rPr>
          <w:rFonts w:ascii="Arial" w:hAnsi="Arial" w:cs="Arial"/>
        </w:rPr>
        <w:t xml:space="preserve">The new server required a printing spooler that took the department over a year to procure.  The latest update </w:t>
      </w:r>
      <w:r>
        <w:rPr>
          <w:rFonts w:ascii="Arial" w:hAnsi="Arial" w:cs="Arial"/>
        </w:rPr>
        <w:t xml:space="preserve">from management </w:t>
      </w:r>
      <w:r w:rsidRPr="00630834">
        <w:rPr>
          <w:rFonts w:ascii="Arial" w:hAnsi="Arial" w:cs="Arial"/>
        </w:rPr>
        <w:t>is that the spooler has since been installed.</w:t>
      </w:r>
      <w:r>
        <w:rPr>
          <w:rFonts w:ascii="Arial" w:hAnsi="Arial" w:cs="Arial"/>
        </w:rPr>
        <w:t xml:space="preserve"> This will be confirmed during the week.</w:t>
      </w:r>
    </w:p>
    <w:p w:rsidR="00AC45B7" w:rsidRPr="00630834" w:rsidRDefault="00AC45B7" w:rsidP="009027DD">
      <w:pPr>
        <w:pStyle w:val="NormalWeb"/>
        <w:numPr>
          <w:ilvl w:val="1"/>
          <w:numId w:val="4"/>
        </w:numPr>
        <w:tabs>
          <w:tab w:val="left" w:pos="1440"/>
        </w:tabs>
        <w:spacing w:before="120" w:after="120"/>
        <w:ind w:hanging="720"/>
        <w:jc w:val="both"/>
        <w:rPr>
          <w:rFonts w:ascii="Arial" w:hAnsi="Arial" w:cs="Arial"/>
          <w:sz w:val="22"/>
          <w:szCs w:val="22"/>
        </w:rPr>
      </w:pPr>
      <w:r w:rsidRPr="00630834">
        <w:rPr>
          <w:rFonts w:ascii="Arial" w:hAnsi="Arial" w:cs="Arial"/>
          <w:sz w:val="22"/>
          <w:szCs w:val="22"/>
        </w:rPr>
        <w:t xml:space="preserve">The current license for </w:t>
      </w:r>
      <w:r>
        <w:rPr>
          <w:rFonts w:ascii="Arial" w:hAnsi="Arial" w:cs="Arial"/>
          <w:sz w:val="22"/>
          <w:szCs w:val="22"/>
        </w:rPr>
        <w:t>the database (</w:t>
      </w:r>
      <w:r w:rsidRPr="00630834">
        <w:rPr>
          <w:rFonts w:ascii="Arial" w:hAnsi="Arial" w:cs="Arial"/>
          <w:sz w:val="22"/>
          <w:szCs w:val="22"/>
        </w:rPr>
        <w:t>DB2/Universe</w:t>
      </w:r>
      <w:r>
        <w:rPr>
          <w:rFonts w:ascii="Arial" w:hAnsi="Arial" w:cs="Arial"/>
          <w:sz w:val="22"/>
          <w:szCs w:val="22"/>
        </w:rPr>
        <w:t>)</w:t>
      </w:r>
      <w:r w:rsidRPr="00630834">
        <w:rPr>
          <w:rFonts w:ascii="Arial" w:hAnsi="Arial" w:cs="Arial"/>
          <w:sz w:val="22"/>
          <w:szCs w:val="22"/>
        </w:rPr>
        <w:t xml:space="preserve"> is not active and the department is in the process of resolving matter with the software vendor.</w:t>
      </w:r>
    </w:p>
    <w:p w:rsidR="00AC45B7" w:rsidRPr="00630834" w:rsidRDefault="00AC45B7" w:rsidP="009027DD">
      <w:pPr>
        <w:tabs>
          <w:tab w:val="left" w:pos="720"/>
        </w:tabs>
        <w:ind w:left="720"/>
        <w:jc w:val="both"/>
        <w:rPr>
          <w:rFonts w:ascii="Arial" w:hAnsi="Arial" w:cs="Arial"/>
        </w:rPr>
      </w:pPr>
      <w:r>
        <w:rPr>
          <w:rFonts w:ascii="Arial" w:hAnsi="Arial" w:cs="Arial"/>
        </w:rPr>
        <w:t>T</w:t>
      </w:r>
      <w:r w:rsidRPr="00630834">
        <w:rPr>
          <w:rFonts w:ascii="Arial" w:hAnsi="Arial" w:cs="Arial"/>
        </w:rPr>
        <w:t xml:space="preserve">he </w:t>
      </w:r>
      <w:r>
        <w:rPr>
          <w:rFonts w:ascii="Arial" w:hAnsi="Arial" w:cs="Arial"/>
        </w:rPr>
        <w:t xml:space="preserve">department indicated that they are in the process to address the </w:t>
      </w:r>
      <w:r w:rsidRPr="00630834">
        <w:rPr>
          <w:rFonts w:ascii="Arial" w:hAnsi="Arial" w:cs="Arial"/>
        </w:rPr>
        <w:t xml:space="preserve">above issues </w:t>
      </w:r>
      <w:r>
        <w:rPr>
          <w:rFonts w:ascii="Arial" w:hAnsi="Arial" w:cs="Arial"/>
        </w:rPr>
        <w:t>as PMIS is</w:t>
      </w:r>
      <w:r w:rsidRPr="00630834">
        <w:rPr>
          <w:rFonts w:ascii="Arial" w:hAnsi="Arial" w:cs="Arial"/>
        </w:rPr>
        <w:t xml:space="preserve"> in the process of being migrated to a new hosting environment with adequate system resources and processing capacity.</w:t>
      </w:r>
      <w:r>
        <w:rPr>
          <w:rFonts w:ascii="Arial" w:hAnsi="Arial" w:cs="Arial"/>
        </w:rPr>
        <w:t xml:space="preserve"> </w:t>
      </w:r>
    </w:p>
    <w:p w:rsidR="00AC45B7" w:rsidRPr="00510DF6" w:rsidRDefault="00AC45B7" w:rsidP="009027DD">
      <w:pPr>
        <w:ind w:left="720" w:hanging="720"/>
        <w:jc w:val="both"/>
        <w:rPr>
          <w:rFonts w:ascii="Arial" w:hAnsi="Arial" w:cs="Arial"/>
        </w:rPr>
      </w:pPr>
      <w:r>
        <w:rPr>
          <w:rFonts w:ascii="Arial" w:hAnsi="Arial" w:cs="Arial"/>
        </w:rPr>
        <w:t>5.2.4</w:t>
      </w:r>
      <w:r>
        <w:rPr>
          <w:rFonts w:ascii="Arial" w:hAnsi="Arial" w:cs="Arial"/>
        </w:rPr>
        <w:tab/>
      </w:r>
      <w:r w:rsidRPr="00510DF6">
        <w:rPr>
          <w:rFonts w:ascii="Arial" w:hAnsi="Arial" w:cs="Arial"/>
        </w:rPr>
        <w:t>Inadequate backup solution for PMIS, for example the following are issues that the department is facing:</w:t>
      </w:r>
    </w:p>
    <w:p w:rsidR="00AC45B7" w:rsidRPr="00BC6076" w:rsidRDefault="00AC45B7" w:rsidP="00494802">
      <w:pPr>
        <w:pStyle w:val="NormalWeb"/>
        <w:numPr>
          <w:ilvl w:val="1"/>
          <w:numId w:val="4"/>
        </w:numPr>
        <w:tabs>
          <w:tab w:val="left" w:pos="1440"/>
        </w:tabs>
        <w:spacing w:before="120" w:after="120"/>
        <w:ind w:hanging="720"/>
        <w:jc w:val="both"/>
        <w:rPr>
          <w:rFonts w:ascii="Arial" w:hAnsi="Arial" w:cs="Arial"/>
          <w:sz w:val="22"/>
          <w:szCs w:val="22"/>
        </w:rPr>
      </w:pPr>
      <w:r w:rsidRPr="00630834">
        <w:rPr>
          <w:rFonts w:ascii="Arial" w:hAnsi="Arial" w:cs="Arial"/>
          <w:sz w:val="22"/>
          <w:szCs w:val="22"/>
        </w:rPr>
        <w:t xml:space="preserve">Backups are not verified due to the volumes of data being backed up and the media used which is no longer practical to use, i.e. there is approximately 130GB of data to be backed up using 24GB DDS tapes which translate to </w:t>
      </w:r>
      <w:r w:rsidRPr="00BC6076">
        <w:rPr>
          <w:rFonts w:ascii="Arial" w:hAnsi="Arial" w:cs="Arial"/>
          <w:sz w:val="22"/>
          <w:szCs w:val="22"/>
        </w:rPr>
        <w:t xml:space="preserve">approximately 6 tapes being used for one set of backup. </w:t>
      </w:r>
    </w:p>
    <w:p w:rsidR="00AC45B7" w:rsidRPr="00BC6076" w:rsidRDefault="00AC45B7" w:rsidP="00494802">
      <w:pPr>
        <w:pStyle w:val="NormalWeb"/>
        <w:numPr>
          <w:ilvl w:val="1"/>
          <w:numId w:val="4"/>
        </w:numPr>
        <w:tabs>
          <w:tab w:val="left" w:pos="1440"/>
        </w:tabs>
        <w:spacing w:before="120" w:after="120"/>
        <w:ind w:hanging="720"/>
        <w:jc w:val="both"/>
        <w:rPr>
          <w:rFonts w:ascii="Arial" w:hAnsi="Arial" w:cs="Arial"/>
          <w:sz w:val="22"/>
          <w:szCs w:val="22"/>
        </w:rPr>
      </w:pPr>
      <w:r w:rsidRPr="00BC6076">
        <w:rPr>
          <w:rFonts w:ascii="Arial" w:hAnsi="Arial" w:cs="Arial"/>
          <w:sz w:val="22"/>
          <w:szCs w:val="22"/>
        </w:rPr>
        <w:t xml:space="preserve">Data backup restores are not performed due to the insufficient system resources and </w:t>
      </w:r>
    </w:p>
    <w:p w:rsidR="00AC45B7" w:rsidRPr="00BC6076" w:rsidRDefault="00AC45B7" w:rsidP="00494802">
      <w:pPr>
        <w:pStyle w:val="NormalWeb"/>
        <w:numPr>
          <w:ilvl w:val="1"/>
          <w:numId w:val="4"/>
        </w:numPr>
        <w:tabs>
          <w:tab w:val="left" w:pos="1440"/>
        </w:tabs>
        <w:spacing w:before="120" w:after="120"/>
        <w:ind w:hanging="720"/>
        <w:jc w:val="both"/>
        <w:rPr>
          <w:rFonts w:ascii="Arial" w:hAnsi="Arial" w:cs="Arial"/>
          <w:sz w:val="22"/>
          <w:szCs w:val="22"/>
        </w:rPr>
      </w:pPr>
      <w:r w:rsidRPr="00BC6076">
        <w:rPr>
          <w:rFonts w:ascii="Arial" w:hAnsi="Arial" w:cs="Arial"/>
          <w:sz w:val="22"/>
          <w:szCs w:val="22"/>
        </w:rPr>
        <w:t>Therefore no assurance can be given that the department will be able to recover or successfully restore lost data from the backup media.</w:t>
      </w:r>
    </w:p>
    <w:p w:rsidR="00AC45B7" w:rsidRDefault="00AC45B7" w:rsidP="009027DD">
      <w:pPr>
        <w:ind w:left="720" w:hanging="720"/>
        <w:jc w:val="both"/>
        <w:rPr>
          <w:rFonts w:ascii="Arial" w:hAnsi="Arial" w:cs="Arial"/>
        </w:rPr>
      </w:pPr>
      <w:r>
        <w:rPr>
          <w:rFonts w:ascii="Arial" w:hAnsi="Arial" w:cs="Arial"/>
        </w:rPr>
        <w:t>5.2.5</w:t>
      </w:r>
      <w:r>
        <w:rPr>
          <w:rFonts w:ascii="Arial" w:hAnsi="Arial" w:cs="Arial"/>
        </w:rPr>
        <w:tab/>
        <w:t>C</w:t>
      </w:r>
      <w:r w:rsidRPr="00BC6076">
        <w:rPr>
          <w:rFonts w:ascii="Arial" w:hAnsi="Arial" w:cs="Arial"/>
        </w:rPr>
        <w:t xml:space="preserve">hange control </w:t>
      </w:r>
      <w:r>
        <w:rPr>
          <w:rFonts w:ascii="Arial" w:hAnsi="Arial" w:cs="Arial"/>
        </w:rPr>
        <w:t xml:space="preserve">could not be evaluated </w:t>
      </w:r>
      <w:r w:rsidRPr="00BC6076">
        <w:rPr>
          <w:rFonts w:ascii="Arial" w:hAnsi="Arial" w:cs="Arial"/>
        </w:rPr>
        <w:t xml:space="preserve">as the department did not make any changes to the PMIS application for the past two years due to </w:t>
      </w:r>
      <w:r>
        <w:rPr>
          <w:rFonts w:ascii="Arial" w:hAnsi="Arial" w:cs="Arial"/>
        </w:rPr>
        <w:t>the fact that I</w:t>
      </w:r>
      <w:r w:rsidRPr="00BC6076">
        <w:rPr>
          <w:rFonts w:ascii="Arial" w:hAnsi="Arial" w:cs="Arial"/>
        </w:rPr>
        <w:t>E</w:t>
      </w:r>
      <w:r>
        <w:rPr>
          <w:rFonts w:ascii="Arial" w:hAnsi="Arial" w:cs="Arial"/>
        </w:rPr>
        <w:t xml:space="preserve"> W</w:t>
      </w:r>
      <w:r w:rsidRPr="00BC6076">
        <w:rPr>
          <w:rFonts w:ascii="Arial" w:hAnsi="Arial" w:cs="Arial"/>
        </w:rPr>
        <w:t xml:space="preserve">orks will replace PMIS. </w:t>
      </w:r>
    </w:p>
    <w:p w:rsidR="00AC45B7" w:rsidRPr="003824A2" w:rsidRDefault="00AC45B7" w:rsidP="003824A2">
      <w:pPr>
        <w:ind w:left="720" w:hanging="720"/>
        <w:jc w:val="both"/>
        <w:rPr>
          <w:rFonts w:ascii="Arial" w:hAnsi="Arial" w:cs="Arial"/>
        </w:rPr>
      </w:pPr>
      <w:r>
        <w:rPr>
          <w:rFonts w:ascii="Arial" w:hAnsi="Arial" w:cs="Arial"/>
        </w:rPr>
        <w:t>5.2.6</w:t>
      </w:r>
      <w:r>
        <w:rPr>
          <w:rFonts w:ascii="Arial" w:hAnsi="Arial" w:cs="Arial"/>
        </w:rPr>
        <w:tab/>
      </w:r>
      <w:r w:rsidRPr="003824A2">
        <w:rPr>
          <w:rFonts w:ascii="Arial" w:hAnsi="Arial" w:cs="Arial"/>
        </w:rPr>
        <w:t>Three sets of audit trails were submitted for audit purposes for the following PMIS processes:</w:t>
      </w:r>
    </w:p>
    <w:p w:rsidR="00AC45B7" w:rsidRPr="003824A2" w:rsidRDefault="00AC45B7" w:rsidP="003824A2">
      <w:pPr>
        <w:pStyle w:val="ListParagraph"/>
        <w:numPr>
          <w:ilvl w:val="0"/>
          <w:numId w:val="23"/>
        </w:numPr>
        <w:ind w:left="1440" w:hanging="720"/>
        <w:jc w:val="both"/>
        <w:rPr>
          <w:rFonts w:ascii="Arial" w:hAnsi="Arial" w:cs="Arial"/>
        </w:rPr>
      </w:pPr>
      <w:r w:rsidRPr="003824A2">
        <w:rPr>
          <w:rFonts w:ascii="Arial" w:hAnsi="Arial" w:cs="Arial"/>
        </w:rPr>
        <w:t>Capturing and amendments of basic property details</w:t>
      </w:r>
    </w:p>
    <w:p w:rsidR="00AC45B7" w:rsidRPr="003824A2" w:rsidRDefault="00AC45B7" w:rsidP="003824A2">
      <w:pPr>
        <w:pStyle w:val="ListParagraph"/>
        <w:numPr>
          <w:ilvl w:val="0"/>
          <w:numId w:val="23"/>
        </w:numPr>
        <w:ind w:left="1440" w:hanging="720"/>
        <w:jc w:val="both"/>
        <w:rPr>
          <w:rFonts w:ascii="Arial" w:hAnsi="Arial" w:cs="Arial"/>
        </w:rPr>
      </w:pPr>
      <w:r w:rsidRPr="003824A2">
        <w:rPr>
          <w:rFonts w:ascii="Arial" w:hAnsi="Arial" w:cs="Arial"/>
        </w:rPr>
        <w:t>Capturing and amendments of basic lease details</w:t>
      </w:r>
    </w:p>
    <w:p w:rsidR="00AC45B7" w:rsidRPr="003824A2" w:rsidRDefault="00AC45B7" w:rsidP="003824A2">
      <w:pPr>
        <w:pStyle w:val="ListParagraph"/>
        <w:numPr>
          <w:ilvl w:val="0"/>
          <w:numId w:val="23"/>
        </w:numPr>
        <w:ind w:left="1440" w:hanging="720"/>
        <w:jc w:val="both"/>
        <w:rPr>
          <w:rFonts w:ascii="Arial" w:hAnsi="Arial" w:cs="Arial"/>
        </w:rPr>
      </w:pPr>
      <w:r w:rsidRPr="003824A2">
        <w:rPr>
          <w:rFonts w:ascii="Arial" w:hAnsi="Arial" w:cs="Arial"/>
        </w:rPr>
        <w:t>Capturing and Amendments of basic service charges details</w:t>
      </w:r>
    </w:p>
    <w:p w:rsidR="00AC45B7" w:rsidRPr="003824A2" w:rsidRDefault="00AC45B7" w:rsidP="003824A2">
      <w:pPr>
        <w:ind w:left="720"/>
        <w:jc w:val="both"/>
        <w:rPr>
          <w:rFonts w:ascii="Arial" w:hAnsi="Arial" w:cs="Arial"/>
        </w:rPr>
      </w:pPr>
      <w:r w:rsidRPr="003824A2">
        <w:rPr>
          <w:rFonts w:ascii="Arial" w:hAnsi="Arial" w:cs="Arial"/>
        </w:rPr>
        <w:lastRenderedPageBreak/>
        <w:t xml:space="preserve">The audit trails reflected what changes were affected, by who and the field where the changes happened.  However, no record indicating that such changes were approved at the appropriate level of management existed or formed part of the submitted audit trails.  Furthermore, the audit trail did not adequately capture the required information and it was observed that some of the entries in the audit trail did not always capture all the required information, i.e. changes would be reflected to have taken place but no information was captured to indicate the field where the change was made.  Furthermore, the old value and new value are not always captured and if captured they sometime reflect information that is not readable or making sense to the reader.  </w:t>
      </w:r>
    </w:p>
    <w:p w:rsidR="00AC45B7" w:rsidRPr="003824A2" w:rsidRDefault="00AC45B7" w:rsidP="003824A2">
      <w:pPr>
        <w:ind w:left="720"/>
        <w:jc w:val="both"/>
        <w:rPr>
          <w:rFonts w:ascii="Arial" w:hAnsi="Arial" w:cs="Arial"/>
        </w:rPr>
      </w:pPr>
      <w:r w:rsidRPr="003824A2">
        <w:rPr>
          <w:rFonts w:ascii="Arial" w:hAnsi="Arial" w:cs="Arial"/>
        </w:rPr>
        <w:t xml:space="preserve">Some of the entries in the basic lease details audit trail were captured using the PMIS profile, i.e. “Data”.  This is a weakness as this practice is not linking system activities to a specific individual and it would not be possible to apportion accountability if an unauthorised transaction is processed using the profile.  According to the explanation from the department, this profile was used during the times when capturing and updating of information was centralised.  There was a staff member at the data capturing unit that was assigned this profile to make data changes and amendments according to the forms that he/she was receiving from the portfolio managers.  </w:t>
      </w:r>
    </w:p>
    <w:p w:rsidR="00AC45B7" w:rsidRPr="00BC6076" w:rsidRDefault="00AC45B7" w:rsidP="009027DD">
      <w:pPr>
        <w:ind w:left="720" w:hanging="720"/>
        <w:jc w:val="both"/>
        <w:rPr>
          <w:rFonts w:ascii="Arial" w:hAnsi="Arial" w:cs="Arial"/>
        </w:rPr>
      </w:pPr>
      <w:r>
        <w:rPr>
          <w:rFonts w:ascii="Arial" w:hAnsi="Arial" w:cs="Arial"/>
        </w:rPr>
        <w:t>5.3</w:t>
      </w:r>
      <w:r>
        <w:rPr>
          <w:rFonts w:ascii="Arial" w:hAnsi="Arial" w:cs="Arial"/>
        </w:rPr>
        <w:tab/>
      </w:r>
      <w:r w:rsidRPr="00BC6076">
        <w:rPr>
          <w:rFonts w:ascii="Arial" w:hAnsi="Arial" w:cs="Arial"/>
        </w:rPr>
        <w:t>A decision was taken b</w:t>
      </w:r>
      <w:r>
        <w:rPr>
          <w:rFonts w:ascii="Arial" w:hAnsi="Arial" w:cs="Arial"/>
        </w:rPr>
        <w:t>y the department around 2007-</w:t>
      </w:r>
      <w:r w:rsidRPr="00BC6076">
        <w:rPr>
          <w:rFonts w:ascii="Arial" w:hAnsi="Arial" w:cs="Arial"/>
        </w:rPr>
        <w:t>08 that a more up to date and robust system is required to drive and support the core busines</w:t>
      </w:r>
      <w:r>
        <w:rPr>
          <w:rFonts w:ascii="Arial" w:hAnsi="Arial" w:cs="Arial"/>
        </w:rPr>
        <w:t xml:space="preserve">s processes of the department which will replace PMIS </w:t>
      </w:r>
      <w:r w:rsidRPr="00BC6076">
        <w:rPr>
          <w:rFonts w:ascii="Arial" w:hAnsi="Arial" w:cs="Arial"/>
        </w:rPr>
        <w:t>and the Works Control system (WCS)</w:t>
      </w:r>
      <w:r>
        <w:rPr>
          <w:rFonts w:ascii="Arial" w:hAnsi="Arial" w:cs="Arial"/>
        </w:rPr>
        <w:t xml:space="preserve">. </w:t>
      </w:r>
      <w:r w:rsidRPr="00BC6076">
        <w:rPr>
          <w:rFonts w:ascii="Arial" w:hAnsi="Arial" w:cs="Arial"/>
        </w:rPr>
        <w:t xml:space="preserve">To date, PMIS processes were built and ready for use in </w:t>
      </w:r>
      <w:r>
        <w:rPr>
          <w:rFonts w:ascii="Arial" w:hAnsi="Arial" w:cs="Arial"/>
        </w:rPr>
        <w:t xml:space="preserve">the new system and </w:t>
      </w:r>
      <w:r w:rsidRPr="00BC6076">
        <w:rPr>
          <w:rFonts w:ascii="Arial" w:hAnsi="Arial" w:cs="Arial"/>
        </w:rPr>
        <w:t>the municipal rates and taxes module of IE works</w:t>
      </w:r>
      <w:r>
        <w:rPr>
          <w:rFonts w:ascii="Arial" w:hAnsi="Arial" w:cs="Arial"/>
        </w:rPr>
        <w:t xml:space="preserve"> was rolled out to provinces.</w:t>
      </w:r>
    </w:p>
    <w:p w:rsidR="00AC45B7" w:rsidRPr="0047432E" w:rsidRDefault="00AC45B7" w:rsidP="009027DD">
      <w:pPr>
        <w:tabs>
          <w:tab w:val="left" w:pos="720"/>
        </w:tabs>
        <w:spacing w:after="0"/>
        <w:ind w:left="720" w:hanging="720"/>
        <w:jc w:val="both"/>
        <w:rPr>
          <w:rFonts w:ascii="Arial" w:hAnsi="Arial" w:cs="Arial"/>
        </w:rPr>
      </w:pPr>
      <w:r>
        <w:rPr>
          <w:rFonts w:ascii="Arial" w:hAnsi="Arial" w:cs="Arial"/>
        </w:rPr>
        <w:t>5.4</w:t>
      </w:r>
      <w:r>
        <w:rPr>
          <w:rFonts w:ascii="Arial" w:hAnsi="Arial" w:cs="Arial"/>
        </w:rPr>
        <w:tab/>
        <w:t>During the audit, the information on the contracts was compared to that on PMIS and the following differences were identified:</w:t>
      </w:r>
    </w:p>
    <w:p w:rsidR="00AC45B7" w:rsidRDefault="00AC45B7" w:rsidP="009027DD">
      <w:pPr>
        <w:spacing w:after="0"/>
        <w:jc w:val="both"/>
        <w:rPr>
          <w:rFonts w:ascii="Arial" w:hAnsi="Arial" w:cs="Arial"/>
        </w:rPr>
      </w:pPr>
    </w:p>
    <w:p w:rsidR="00AC45B7" w:rsidRPr="00583810" w:rsidRDefault="00AC45B7" w:rsidP="009027DD">
      <w:pPr>
        <w:spacing w:after="0"/>
        <w:jc w:val="both"/>
        <w:rPr>
          <w:rFonts w:ascii="Arial" w:hAnsi="Arial" w:cs="Arial"/>
          <w:vertAlign w:val="superscript"/>
        </w:rPr>
      </w:pPr>
      <w:r>
        <w:rPr>
          <w:rFonts w:ascii="Arial" w:hAnsi="Arial" w:cs="Arial"/>
        </w:rPr>
        <w:t>Table 4:</w:t>
      </w:r>
      <w:r>
        <w:rPr>
          <w:rFonts w:ascii="Arial" w:hAnsi="Arial" w:cs="Arial"/>
          <w:color w:val="FF0000"/>
        </w:rPr>
        <w:t xml:space="preserve"> </w:t>
      </w:r>
      <w:r>
        <w:rPr>
          <w:rFonts w:ascii="Arial" w:hAnsi="Arial" w:cs="Arial"/>
        </w:rPr>
        <w:t>Amounts paid not included in the contract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96"/>
        <w:gridCol w:w="2021"/>
        <w:gridCol w:w="1175"/>
        <w:gridCol w:w="1372"/>
        <w:gridCol w:w="1217"/>
      </w:tblGrid>
      <w:tr w:rsidR="00AC45B7" w:rsidRPr="003354D5" w:rsidTr="00583810">
        <w:tc>
          <w:tcPr>
            <w:tcW w:w="2296"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Name of building</w:t>
            </w:r>
          </w:p>
        </w:tc>
        <w:tc>
          <w:tcPr>
            <w:tcW w:w="2021"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Client department</w:t>
            </w:r>
          </w:p>
        </w:tc>
        <w:tc>
          <w:tcPr>
            <w:tcW w:w="1175" w:type="dxa"/>
            <w:shd w:val="clear" w:color="auto" w:fill="1F497D"/>
          </w:tcPr>
          <w:p w:rsidR="00AC45B7" w:rsidRDefault="00AC45B7" w:rsidP="009027DD">
            <w:pPr>
              <w:spacing w:after="0"/>
              <w:jc w:val="both"/>
              <w:rPr>
                <w:rFonts w:ascii="Arial" w:hAnsi="Arial" w:cs="Arial"/>
                <w:b/>
                <w:color w:val="FFFFFF"/>
                <w:sz w:val="20"/>
              </w:rPr>
            </w:pPr>
            <w:r w:rsidRPr="003354D5">
              <w:rPr>
                <w:rFonts w:ascii="Arial" w:hAnsi="Arial" w:cs="Arial"/>
                <w:b/>
                <w:color w:val="FFFFFF"/>
                <w:sz w:val="20"/>
              </w:rPr>
              <w:t>Amount per contract</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R</w:t>
            </w:r>
          </w:p>
        </w:tc>
        <w:tc>
          <w:tcPr>
            <w:tcW w:w="1372" w:type="dxa"/>
            <w:shd w:val="clear" w:color="auto" w:fill="1F497D"/>
          </w:tcPr>
          <w:p w:rsidR="00AC45B7" w:rsidRDefault="00AC45B7" w:rsidP="009027DD">
            <w:pPr>
              <w:spacing w:after="0"/>
              <w:jc w:val="both"/>
              <w:rPr>
                <w:rFonts w:ascii="Arial" w:hAnsi="Arial" w:cs="Arial"/>
                <w:b/>
                <w:color w:val="FFFFFF"/>
                <w:sz w:val="20"/>
              </w:rPr>
            </w:pPr>
            <w:r w:rsidRPr="003354D5">
              <w:rPr>
                <w:rFonts w:ascii="Arial" w:hAnsi="Arial" w:cs="Arial"/>
                <w:b/>
                <w:color w:val="FFFFFF"/>
                <w:sz w:val="20"/>
              </w:rPr>
              <w:t>Actual amount paid</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R</w:t>
            </w:r>
          </w:p>
        </w:tc>
        <w:tc>
          <w:tcPr>
            <w:tcW w:w="1217" w:type="dxa"/>
            <w:shd w:val="clear" w:color="auto" w:fill="1F497D"/>
          </w:tcPr>
          <w:p w:rsidR="00AC45B7" w:rsidRDefault="00AC45B7" w:rsidP="009027DD">
            <w:pPr>
              <w:spacing w:after="0"/>
              <w:jc w:val="both"/>
              <w:rPr>
                <w:rFonts w:ascii="Arial" w:hAnsi="Arial" w:cs="Arial"/>
                <w:b/>
                <w:color w:val="FFFFFF"/>
                <w:sz w:val="20"/>
              </w:rPr>
            </w:pPr>
            <w:r w:rsidRPr="003354D5">
              <w:rPr>
                <w:rFonts w:ascii="Arial" w:hAnsi="Arial" w:cs="Arial"/>
                <w:b/>
                <w:color w:val="FFFFFF"/>
                <w:sz w:val="20"/>
              </w:rPr>
              <w:t>Difference</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 xml:space="preserve">R </w:t>
            </w:r>
          </w:p>
        </w:tc>
      </w:tr>
      <w:tr w:rsidR="00AC45B7" w:rsidRPr="003354D5" w:rsidTr="00583810">
        <w:tc>
          <w:tcPr>
            <w:tcW w:w="2296" w:type="dxa"/>
          </w:tcPr>
          <w:p w:rsidR="00AC45B7" w:rsidRPr="003354D5" w:rsidRDefault="00AC45B7" w:rsidP="009027DD">
            <w:pPr>
              <w:spacing w:after="0"/>
              <w:jc w:val="both"/>
              <w:rPr>
                <w:rFonts w:ascii="Arial" w:hAnsi="Arial" w:cs="Arial"/>
                <w:sz w:val="20"/>
              </w:rPr>
            </w:pPr>
            <w:r>
              <w:rPr>
                <w:rFonts w:ascii="Arial" w:hAnsi="Arial" w:cs="Arial"/>
                <w:sz w:val="20"/>
              </w:rPr>
              <w:t>Nedpark building (Pretoria)</w:t>
            </w:r>
          </w:p>
        </w:tc>
        <w:tc>
          <w:tcPr>
            <w:tcW w:w="2021" w:type="dxa"/>
          </w:tcPr>
          <w:p w:rsidR="00AC45B7" w:rsidRPr="003354D5" w:rsidRDefault="00AC45B7" w:rsidP="009027DD">
            <w:pPr>
              <w:spacing w:after="0"/>
              <w:jc w:val="both"/>
              <w:rPr>
                <w:rFonts w:ascii="Arial" w:hAnsi="Arial" w:cs="Arial"/>
                <w:sz w:val="20"/>
              </w:rPr>
            </w:pPr>
            <w:r>
              <w:rPr>
                <w:rFonts w:ascii="Arial" w:hAnsi="Arial" w:cs="Arial"/>
                <w:sz w:val="20"/>
              </w:rPr>
              <w:t>Trade &amp; Industry (CIPRO)</w:t>
            </w:r>
          </w:p>
        </w:tc>
        <w:tc>
          <w:tcPr>
            <w:tcW w:w="1175" w:type="dxa"/>
          </w:tcPr>
          <w:p w:rsidR="00AC45B7" w:rsidRPr="003354D5" w:rsidRDefault="00AC45B7" w:rsidP="009027DD">
            <w:pPr>
              <w:spacing w:after="0"/>
              <w:jc w:val="both"/>
              <w:rPr>
                <w:rFonts w:ascii="Arial" w:hAnsi="Arial" w:cs="Arial"/>
                <w:sz w:val="20"/>
              </w:rPr>
            </w:pPr>
            <w:r>
              <w:rPr>
                <w:rFonts w:ascii="Arial" w:hAnsi="Arial" w:cs="Arial"/>
                <w:sz w:val="20"/>
              </w:rPr>
              <w:t>0</w:t>
            </w:r>
          </w:p>
        </w:tc>
        <w:tc>
          <w:tcPr>
            <w:tcW w:w="1372" w:type="dxa"/>
          </w:tcPr>
          <w:p w:rsidR="00AC45B7" w:rsidRPr="003354D5" w:rsidRDefault="00AC45B7" w:rsidP="009027DD">
            <w:pPr>
              <w:spacing w:after="0"/>
              <w:jc w:val="both"/>
              <w:rPr>
                <w:rFonts w:ascii="Arial" w:hAnsi="Arial" w:cs="Arial"/>
                <w:sz w:val="20"/>
              </w:rPr>
            </w:pPr>
            <w:r>
              <w:rPr>
                <w:rFonts w:ascii="Arial" w:hAnsi="Arial" w:cs="Arial"/>
                <w:sz w:val="20"/>
              </w:rPr>
              <w:t>2,641,037 (duplicate payments)</w:t>
            </w:r>
          </w:p>
        </w:tc>
        <w:tc>
          <w:tcPr>
            <w:tcW w:w="1217" w:type="dxa"/>
          </w:tcPr>
          <w:p w:rsidR="00AC45B7" w:rsidRPr="003354D5" w:rsidRDefault="00AC45B7" w:rsidP="009027DD">
            <w:pPr>
              <w:spacing w:after="0"/>
              <w:jc w:val="both"/>
              <w:rPr>
                <w:rFonts w:ascii="Arial" w:hAnsi="Arial" w:cs="Arial"/>
                <w:sz w:val="20"/>
              </w:rPr>
            </w:pPr>
            <w:r>
              <w:rPr>
                <w:rFonts w:ascii="Arial" w:hAnsi="Arial" w:cs="Arial"/>
                <w:sz w:val="20"/>
              </w:rPr>
              <w:t>2,641,037 (15 mths)</w:t>
            </w:r>
          </w:p>
        </w:tc>
      </w:tr>
      <w:tr w:rsidR="00AC45B7" w:rsidRPr="003354D5" w:rsidTr="00583810">
        <w:tc>
          <w:tcPr>
            <w:tcW w:w="2296" w:type="dxa"/>
          </w:tcPr>
          <w:p w:rsidR="00AC45B7" w:rsidRPr="003354D5" w:rsidRDefault="00AC45B7" w:rsidP="009027DD">
            <w:pPr>
              <w:spacing w:after="0"/>
              <w:jc w:val="both"/>
              <w:rPr>
                <w:rFonts w:ascii="Arial" w:hAnsi="Arial" w:cs="Arial"/>
                <w:sz w:val="20"/>
              </w:rPr>
            </w:pPr>
            <w:r>
              <w:rPr>
                <w:rFonts w:ascii="Arial" w:hAnsi="Arial" w:cs="Arial"/>
                <w:sz w:val="20"/>
              </w:rPr>
              <w:t>SALU</w:t>
            </w:r>
          </w:p>
        </w:tc>
        <w:tc>
          <w:tcPr>
            <w:tcW w:w="2021" w:type="dxa"/>
          </w:tcPr>
          <w:p w:rsidR="00AC45B7" w:rsidRPr="003354D5" w:rsidRDefault="00AC45B7" w:rsidP="009027DD">
            <w:pPr>
              <w:spacing w:after="0"/>
              <w:jc w:val="both"/>
              <w:rPr>
                <w:rFonts w:ascii="Arial" w:hAnsi="Arial" w:cs="Arial"/>
                <w:sz w:val="20"/>
              </w:rPr>
            </w:pPr>
            <w:r>
              <w:rPr>
                <w:rFonts w:ascii="Arial" w:hAnsi="Arial" w:cs="Arial"/>
                <w:sz w:val="20"/>
              </w:rPr>
              <w:t>Justice</w:t>
            </w:r>
          </w:p>
        </w:tc>
        <w:tc>
          <w:tcPr>
            <w:tcW w:w="1175" w:type="dxa"/>
          </w:tcPr>
          <w:p w:rsidR="00AC45B7" w:rsidRPr="003354D5" w:rsidRDefault="00AC45B7" w:rsidP="009027DD">
            <w:pPr>
              <w:spacing w:after="0"/>
              <w:jc w:val="both"/>
              <w:rPr>
                <w:rFonts w:ascii="Arial" w:hAnsi="Arial" w:cs="Arial"/>
                <w:sz w:val="20"/>
              </w:rPr>
            </w:pPr>
            <w:r>
              <w:rPr>
                <w:rFonts w:ascii="Arial" w:hAnsi="Arial" w:cs="Arial"/>
                <w:sz w:val="20"/>
              </w:rPr>
              <w:t>0</w:t>
            </w:r>
          </w:p>
        </w:tc>
        <w:tc>
          <w:tcPr>
            <w:tcW w:w="1372" w:type="dxa"/>
          </w:tcPr>
          <w:p w:rsidR="00AC45B7" w:rsidRDefault="00AC45B7" w:rsidP="009027DD">
            <w:pPr>
              <w:spacing w:after="0"/>
              <w:jc w:val="both"/>
              <w:rPr>
                <w:rFonts w:ascii="Arial" w:hAnsi="Arial" w:cs="Arial"/>
                <w:sz w:val="20"/>
              </w:rPr>
            </w:pPr>
            <w:r>
              <w:rPr>
                <w:rFonts w:ascii="Arial" w:hAnsi="Arial" w:cs="Arial"/>
                <w:sz w:val="20"/>
              </w:rPr>
              <w:t>13,440,098</w:t>
            </w:r>
          </w:p>
          <w:p w:rsidR="00AC45B7" w:rsidRPr="003354D5" w:rsidRDefault="00AC45B7" w:rsidP="009027DD">
            <w:pPr>
              <w:spacing w:after="0"/>
              <w:jc w:val="both"/>
              <w:rPr>
                <w:rFonts w:ascii="Arial" w:hAnsi="Arial" w:cs="Arial"/>
                <w:sz w:val="20"/>
              </w:rPr>
            </w:pPr>
            <w:r>
              <w:rPr>
                <w:rFonts w:ascii="Arial" w:hAnsi="Arial" w:cs="Arial"/>
                <w:sz w:val="20"/>
              </w:rPr>
              <w:t>(payment before the contract commenced)</w:t>
            </w:r>
          </w:p>
        </w:tc>
        <w:tc>
          <w:tcPr>
            <w:tcW w:w="1217" w:type="dxa"/>
          </w:tcPr>
          <w:p w:rsidR="00AC45B7" w:rsidRPr="003354D5" w:rsidRDefault="00AC45B7" w:rsidP="009027DD">
            <w:pPr>
              <w:spacing w:after="0"/>
              <w:jc w:val="both"/>
              <w:rPr>
                <w:rFonts w:ascii="Arial" w:hAnsi="Arial" w:cs="Arial"/>
                <w:sz w:val="20"/>
              </w:rPr>
            </w:pPr>
            <w:r>
              <w:rPr>
                <w:rFonts w:ascii="Arial" w:hAnsi="Arial" w:cs="Arial"/>
                <w:sz w:val="20"/>
              </w:rPr>
              <w:t>13,440,098 (2009)</w:t>
            </w:r>
          </w:p>
        </w:tc>
      </w:tr>
    </w:tbl>
    <w:p w:rsidR="00AC45B7" w:rsidRDefault="00AC45B7" w:rsidP="009027DD">
      <w:pPr>
        <w:spacing w:after="0"/>
        <w:jc w:val="both"/>
        <w:rPr>
          <w:rFonts w:ascii="Arial" w:hAnsi="Arial" w:cs="Arial"/>
        </w:rPr>
      </w:pPr>
    </w:p>
    <w:p w:rsidR="00AC45B7" w:rsidRPr="0047432E" w:rsidRDefault="00AC45B7" w:rsidP="009027DD">
      <w:pPr>
        <w:spacing w:after="0"/>
        <w:jc w:val="both"/>
        <w:rPr>
          <w:rFonts w:ascii="Arial" w:hAnsi="Arial" w:cs="Arial"/>
          <w:color w:val="FF0000"/>
          <w:vertAlign w:val="superscript"/>
        </w:rPr>
      </w:pPr>
      <w:r>
        <w:rPr>
          <w:rFonts w:ascii="Arial" w:hAnsi="Arial" w:cs="Arial"/>
        </w:rPr>
        <w:t>Table 5:</w:t>
      </w:r>
      <w:r>
        <w:rPr>
          <w:rFonts w:ascii="Arial" w:hAnsi="Arial" w:cs="Arial"/>
          <w:color w:val="FF0000"/>
        </w:rPr>
        <w:t xml:space="preserve"> </w:t>
      </w:r>
      <w:r>
        <w:rPr>
          <w:rFonts w:ascii="Arial" w:hAnsi="Arial" w:cs="Arial"/>
        </w:rPr>
        <w:t>D</w:t>
      </w:r>
      <w:r w:rsidRPr="00D44902">
        <w:rPr>
          <w:rFonts w:ascii="Arial" w:hAnsi="Arial" w:cs="Arial"/>
        </w:rPr>
        <w:t>ifferences in number of parking bays</w:t>
      </w:r>
      <w:r>
        <w:rPr>
          <w:rFonts w:ascii="Arial" w:hAnsi="Arial" w:cs="Arial"/>
        </w:rPr>
        <w:t xml:space="preserve"> between the contracted and those available to the client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27"/>
        <w:gridCol w:w="2039"/>
        <w:gridCol w:w="1179"/>
        <w:gridCol w:w="1179"/>
        <w:gridCol w:w="1195"/>
      </w:tblGrid>
      <w:tr w:rsidR="00AC45B7" w:rsidRPr="003354D5" w:rsidTr="00E320FE">
        <w:tc>
          <w:tcPr>
            <w:tcW w:w="2327"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Name of building</w:t>
            </w:r>
          </w:p>
        </w:tc>
        <w:tc>
          <w:tcPr>
            <w:tcW w:w="2039"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Client department</w:t>
            </w:r>
          </w:p>
        </w:tc>
        <w:tc>
          <w:tcPr>
            <w:tcW w:w="1179" w:type="dxa"/>
            <w:shd w:val="clear" w:color="auto" w:fill="1F497D"/>
          </w:tcPr>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Number</w:t>
            </w:r>
            <w:r w:rsidRPr="003354D5">
              <w:rPr>
                <w:rFonts w:ascii="Arial" w:hAnsi="Arial" w:cs="Arial"/>
                <w:b/>
                <w:color w:val="FFFFFF"/>
                <w:sz w:val="20"/>
              </w:rPr>
              <w:t xml:space="preserve"> per contract</w:t>
            </w:r>
          </w:p>
        </w:tc>
        <w:tc>
          <w:tcPr>
            <w:tcW w:w="1179" w:type="dxa"/>
            <w:shd w:val="clear" w:color="auto" w:fill="1F497D"/>
          </w:tcPr>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Number used</w:t>
            </w:r>
          </w:p>
        </w:tc>
        <w:tc>
          <w:tcPr>
            <w:tcW w:w="1195" w:type="dxa"/>
            <w:shd w:val="clear" w:color="auto" w:fill="1F497D"/>
          </w:tcPr>
          <w:p w:rsidR="00AC45B7" w:rsidRDefault="00AC45B7" w:rsidP="009027DD">
            <w:pPr>
              <w:spacing w:after="0"/>
              <w:jc w:val="both"/>
              <w:rPr>
                <w:rFonts w:ascii="Arial" w:hAnsi="Arial" w:cs="Arial"/>
                <w:b/>
                <w:color w:val="FFFFFF"/>
                <w:sz w:val="20"/>
              </w:rPr>
            </w:pPr>
            <w:r>
              <w:rPr>
                <w:rFonts w:ascii="Arial" w:hAnsi="Arial" w:cs="Arial"/>
                <w:b/>
                <w:color w:val="FFFFFF"/>
                <w:sz w:val="20"/>
              </w:rPr>
              <w:t>Value</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R</w:t>
            </w:r>
          </w:p>
        </w:tc>
      </w:tr>
      <w:tr w:rsidR="00AC45B7" w:rsidRPr="003354D5" w:rsidTr="00E320FE">
        <w:tc>
          <w:tcPr>
            <w:tcW w:w="2327" w:type="dxa"/>
          </w:tcPr>
          <w:p w:rsidR="00AC45B7" w:rsidRDefault="00AC45B7" w:rsidP="009027DD">
            <w:pPr>
              <w:spacing w:after="0"/>
              <w:jc w:val="both"/>
              <w:rPr>
                <w:rFonts w:ascii="Arial" w:hAnsi="Arial" w:cs="Arial"/>
                <w:sz w:val="20"/>
              </w:rPr>
            </w:pPr>
            <w:r>
              <w:rPr>
                <w:rFonts w:ascii="Arial" w:hAnsi="Arial" w:cs="Arial"/>
                <w:sz w:val="20"/>
              </w:rPr>
              <w:lastRenderedPageBreak/>
              <w:t>Continental building (Pretoria)</w:t>
            </w:r>
          </w:p>
        </w:tc>
        <w:tc>
          <w:tcPr>
            <w:tcW w:w="2039" w:type="dxa"/>
          </w:tcPr>
          <w:p w:rsidR="00AC45B7" w:rsidRDefault="00AC45B7" w:rsidP="009027DD">
            <w:pPr>
              <w:spacing w:after="0"/>
              <w:jc w:val="both"/>
              <w:rPr>
                <w:rFonts w:ascii="Arial" w:hAnsi="Arial" w:cs="Arial"/>
                <w:sz w:val="20"/>
              </w:rPr>
            </w:pPr>
            <w:r>
              <w:rPr>
                <w:rFonts w:ascii="Arial" w:hAnsi="Arial" w:cs="Arial"/>
                <w:sz w:val="20"/>
              </w:rPr>
              <w:t>Water Affairs</w:t>
            </w:r>
          </w:p>
        </w:tc>
        <w:tc>
          <w:tcPr>
            <w:tcW w:w="1179" w:type="dxa"/>
          </w:tcPr>
          <w:p w:rsidR="00AC45B7" w:rsidRDefault="00AC45B7" w:rsidP="009027DD">
            <w:pPr>
              <w:spacing w:after="0"/>
              <w:jc w:val="both"/>
              <w:rPr>
                <w:rFonts w:ascii="Arial" w:hAnsi="Arial" w:cs="Arial"/>
                <w:sz w:val="20"/>
              </w:rPr>
            </w:pPr>
            <w:r>
              <w:rPr>
                <w:rFonts w:ascii="Arial" w:hAnsi="Arial" w:cs="Arial"/>
                <w:sz w:val="20"/>
              </w:rPr>
              <w:t>61</w:t>
            </w:r>
          </w:p>
        </w:tc>
        <w:tc>
          <w:tcPr>
            <w:tcW w:w="1179" w:type="dxa"/>
          </w:tcPr>
          <w:p w:rsidR="00AC45B7" w:rsidRDefault="00AC45B7" w:rsidP="009027DD">
            <w:pPr>
              <w:spacing w:after="0"/>
              <w:jc w:val="both"/>
              <w:rPr>
                <w:rFonts w:ascii="Arial" w:hAnsi="Arial" w:cs="Arial"/>
                <w:sz w:val="20"/>
              </w:rPr>
            </w:pPr>
            <w:r>
              <w:rPr>
                <w:rFonts w:ascii="Arial" w:hAnsi="Arial" w:cs="Arial"/>
                <w:sz w:val="20"/>
              </w:rPr>
              <w:t>52</w:t>
            </w:r>
          </w:p>
        </w:tc>
        <w:tc>
          <w:tcPr>
            <w:tcW w:w="1195" w:type="dxa"/>
          </w:tcPr>
          <w:p w:rsidR="00AC45B7" w:rsidRDefault="00AC45B7" w:rsidP="009027DD">
            <w:pPr>
              <w:spacing w:after="0"/>
              <w:jc w:val="both"/>
              <w:rPr>
                <w:rFonts w:ascii="Arial" w:hAnsi="Arial" w:cs="Arial"/>
                <w:sz w:val="20"/>
              </w:rPr>
            </w:pPr>
            <w:r>
              <w:rPr>
                <w:rFonts w:ascii="Arial" w:hAnsi="Arial" w:cs="Arial"/>
                <w:sz w:val="20"/>
              </w:rPr>
              <w:t>206,073</w:t>
            </w:r>
          </w:p>
        </w:tc>
      </w:tr>
      <w:tr w:rsidR="00AC45B7" w:rsidRPr="003354D5" w:rsidTr="00E320FE">
        <w:tc>
          <w:tcPr>
            <w:tcW w:w="2327" w:type="dxa"/>
          </w:tcPr>
          <w:p w:rsidR="00AC45B7" w:rsidRPr="003354D5" w:rsidRDefault="00AC45B7" w:rsidP="009027DD">
            <w:pPr>
              <w:spacing w:after="0"/>
              <w:jc w:val="both"/>
              <w:rPr>
                <w:rFonts w:ascii="Arial" w:hAnsi="Arial" w:cs="Arial"/>
                <w:sz w:val="20"/>
              </w:rPr>
            </w:pPr>
            <w:r>
              <w:rPr>
                <w:rFonts w:ascii="Arial" w:hAnsi="Arial" w:cs="Arial"/>
                <w:sz w:val="20"/>
              </w:rPr>
              <w:t>Nedpark building (Pretoria)</w:t>
            </w:r>
          </w:p>
        </w:tc>
        <w:tc>
          <w:tcPr>
            <w:tcW w:w="2039" w:type="dxa"/>
          </w:tcPr>
          <w:p w:rsidR="00AC45B7" w:rsidRPr="003354D5" w:rsidRDefault="00AC45B7" w:rsidP="009027DD">
            <w:pPr>
              <w:spacing w:after="0"/>
              <w:jc w:val="both"/>
              <w:rPr>
                <w:rFonts w:ascii="Arial" w:hAnsi="Arial" w:cs="Arial"/>
                <w:sz w:val="20"/>
              </w:rPr>
            </w:pPr>
            <w:r>
              <w:rPr>
                <w:rFonts w:ascii="Arial" w:hAnsi="Arial" w:cs="Arial"/>
                <w:sz w:val="20"/>
              </w:rPr>
              <w:t>Trade &amp; Industry (CIPRO)</w:t>
            </w:r>
          </w:p>
        </w:tc>
        <w:tc>
          <w:tcPr>
            <w:tcW w:w="1179" w:type="dxa"/>
          </w:tcPr>
          <w:p w:rsidR="00AC45B7" w:rsidRPr="003354D5" w:rsidRDefault="00AC45B7" w:rsidP="009027DD">
            <w:pPr>
              <w:spacing w:after="0"/>
              <w:jc w:val="both"/>
              <w:rPr>
                <w:rFonts w:ascii="Arial" w:hAnsi="Arial" w:cs="Arial"/>
                <w:sz w:val="20"/>
              </w:rPr>
            </w:pPr>
            <w:r>
              <w:rPr>
                <w:rFonts w:ascii="Arial" w:hAnsi="Arial" w:cs="Arial"/>
                <w:sz w:val="20"/>
              </w:rPr>
              <w:t>270</w:t>
            </w:r>
          </w:p>
        </w:tc>
        <w:tc>
          <w:tcPr>
            <w:tcW w:w="1179" w:type="dxa"/>
          </w:tcPr>
          <w:p w:rsidR="00AC45B7" w:rsidRPr="003354D5" w:rsidRDefault="00AC45B7" w:rsidP="009027DD">
            <w:pPr>
              <w:spacing w:after="0"/>
              <w:jc w:val="both"/>
              <w:rPr>
                <w:rFonts w:ascii="Arial" w:hAnsi="Arial" w:cs="Arial"/>
                <w:sz w:val="20"/>
              </w:rPr>
            </w:pPr>
            <w:r>
              <w:rPr>
                <w:rFonts w:ascii="Arial" w:hAnsi="Arial" w:cs="Arial"/>
                <w:sz w:val="20"/>
              </w:rPr>
              <w:t>212</w:t>
            </w:r>
          </w:p>
        </w:tc>
        <w:tc>
          <w:tcPr>
            <w:tcW w:w="1195" w:type="dxa"/>
          </w:tcPr>
          <w:p w:rsidR="00AC45B7" w:rsidRPr="003354D5" w:rsidRDefault="00AC45B7" w:rsidP="009027DD">
            <w:pPr>
              <w:spacing w:after="0"/>
              <w:jc w:val="both"/>
              <w:rPr>
                <w:rFonts w:ascii="Arial" w:hAnsi="Arial" w:cs="Arial"/>
                <w:sz w:val="20"/>
              </w:rPr>
            </w:pPr>
            <w:r>
              <w:rPr>
                <w:rFonts w:ascii="Arial" w:hAnsi="Arial" w:cs="Arial"/>
                <w:sz w:val="20"/>
              </w:rPr>
              <w:t>26,117</w:t>
            </w:r>
          </w:p>
        </w:tc>
      </w:tr>
    </w:tbl>
    <w:p w:rsidR="00AC45B7" w:rsidRDefault="00AC45B7" w:rsidP="009027DD">
      <w:pPr>
        <w:spacing w:after="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5.5</w:t>
      </w:r>
      <w:r>
        <w:rPr>
          <w:rFonts w:ascii="Arial" w:hAnsi="Arial" w:cs="Arial"/>
        </w:rPr>
        <w:tab/>
        <w:t>The auditors detected an error in the formula used to calculate lease commitments. The Regional Office reported the error to the Head Office for corrective action.</w:t>
      </w:r>
    </w:p>
    <w:p w:rsidR="00AC45B7" w:rsidRDefault="00AC45B7" w:rsidP="009027DD">
      <w:pPr>
        <w:spacing w:after="0"/>
        <w:jc w:val="both"/>
        <w:rPr>
          <w:rFonts w:ascii="Arial" w:hAnsi="Arial" w:cs="Arial"/>
        </w:rPr>
      </w:pPr>
      <w:r>
        <w:rPr>
          <w:rFonts w:ascii="Arial" w:hAnsi="Arial" w:cs="Arial"/>
        </w:rPr>
        <w:t xml:space="preserve"> </w:t>
      </w:r>
    </w:p>
    <w:p w:rsidR="00AC45B7" w:rsidRPr="0047432E" w:rsidRDefault="00AC45B7" w:rsidP="009027DD">
      <w:pPr>
        <w:spacing w:after="0"/>
        <w:jc w:val="both"/>
        <w:rPr>
          <w:rFonts w:ascii="Arial" w:hAnsi="Arial" w:cs="Arial"/>
          <w:color w:val="FF0000"/>
          <w:vertAlign w:val="superscript"/>
        </w:rPr>
      </w:pPr>
      <w:r>
        <w:rPr>
          <w:rFonts w:ascii="Arial" w:hAnsi="Arial" w:cs="Arial"/>
        </w:rPr>
        <w:t>Table 6:</w:t>
      </w:r>
      <w:r>
        <w:rPr>
          <w:rFonts w:ascii="Arial" w:hAnsi="Arial" w:cs="Arial"/>
          <w:color w:val="FF0000"/>
        </w:rPr>
        <w:t xml:space="preserve"> </w:t>
      </w:r>
      <w:r w:rsidRPr="0008065A">
        <w:rPr>
          <w:rFonts w:ascii="Arial" w:hAnsi="Arial" w:cs="Arial"/>
        </w:rPr>
        <w:t>Differences in amounts calculated and disclosed for lease commitments</w:t>
      </w:r>
      <w:r>
        <w:rPr>
          <w:rFonts w:ascii="Arial" w:hAnsi="Arial" w:cs="Arial"/>
          <w:color w:val="FF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4"/>
        <w:gridCol w:w="2043"/>
        <w:gridCol w:w="1180"/>
        <w:gridCol w:w="1517"/>
        <w:gridCol w:w="1195"/>
      </w:tblGrid>
      <w:tr w:rsidR="00AC45B7" w:rsidRPr="003354D5" w:rsidTr="00D96ECA">
        <w:tc>
          <w:tcPr>
            <w:tcW w:w="2334" w:type="dxa"/>
            <w:shd w:val="clear" w:color="auto" w:fill="1F497D"/>
          </w:tcPr>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Property code</w:t>
            </w:r>
          </w:p>
        </w:tc>
        <w:tc>
          <w:tcPr>
            <w:tcW w:w="2043"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Client department</w:t>
            </w:r>
            <w:r>
              <w:rPr>
                <w:rFonts w:ascii="Arial" w:hAnsi="Arial" w:cs="Arial"/>
                <w:b/>
                <w:color w:val="FFFFFF"/>
                <w:sz w:val="20"/>
              </w:rPr>
              <w:t xml:space="preserve"> Region</w:t>
            </w:r>
          </w:p>
        </w:tc>
        <w:tc>
          <w:tcPr>
            <w:tcW w:w="1180" w:type="dxa"/>
            <w:shd w:val="clear" w:color="auto" w:fill="1F497D"/>
          </w:tcPr>
          <w:p w:rsidR="00AC45B7" w:rsidRDefault="00AC45B7" w:rsidP="009027DD">
            <w:pPr>
              <w:spacing w:after="0"/>
              <w:jc w:val="both"/>
              <w:rPr>
                <w:rFonts w:ascii="Arial" w:hAnsi="Arial" w:cs="Arial"/>
                <w:b/>
                <w:color w:val="FFFFFF"/>
                <w:sz w:val="20"/>
              </w:rPr>
            </w:pPr>
            <w:r>
              <w:rPr>
                <w:rFonts w:ascii="Arial" w:hAnsi="Arial" w:cs="Arial"/>
                <w:b/>
                <w:color w:val="FFFFFF"/>
                <w:sz w:val="20"/>
              </w:rPr>
              <w:t>Disclosed</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R</w:t>
            </w:r>
          </w:p>
        </w:tc>
        <w:tc>
          <w:tcPr>
            <w:tcW w:w="1517" w:type="dxa"/>
            <w:shd w:val="clear" w:color="auto" w:fill="1F497D"/>
          </w:tcPr>
          <w:p w:rsidR="00AC45B7" w:rsidRDefault="00AC45B7" w:rsidP="009027DD">
            <w:pPr>
              <w:spacing w:after="0"/>
              <w:jc w:val="both"/>
              <w:rPr>
                <w:rFonts w:ascii="Arial" w:hAnsi="Arial" w:cs="Arial"/>
                <w:b/>
                <w:color w:val="FFFFFF"/>
                <w:sz w:val="20"/>
              </w:rPr>
            </w:pPr>
            <w:r>
              <w:rPr>
                <w:rFonts w:ascii="Arial" w:hAnsi="Arial" w:cs="Arial"/>
                <w:b/>
                <w:color w:val="FFFFFF"/>
                <w:sz w:val="20"/>
              </w:rPr>
              <w:t>Auditors Recalculation</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R</w:t>
            </w:r>
          </w:p>
        </w:tc>
        <w:tc>
          <w:tcPr>
            <w:tcW w:w="1195" w:type="dxa"/>
            <w:shd w:val="clear" w:color="auto" w:fill="1F497D"/>
          </w:tcPr>
          <w:p w:rsidR="00AC45B7" w:rsidRDefault="00AC45B7" w:rsidP="009027DD">
            <w:pPr>
              <w:spacing w:after="0"/>
              <w:jc w:val="both"/>
              <w:rPr>
                <w:rFonts w:ascii="Arial" w:hAnsi="Arial" w:cs="Arial"/>
                <w:b/>
                <w:color w:val="FFFFFF"/>
                <w:sz w:val="20"/>
              </w:rPr>
            </w:pPr>
            <w:r>
              <w:rPr>
                <w:rFonts w:ascii="Arial" w:hAnsi="Arial" w:cs="Arial"/>
                <w:b/>
                <w:color w:val="FFFFFF"/>
                <w:sz w:val="20"/>
              </w:rPr>
              <w:t>Difference</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R</w:t>
            </w:r>
          </w:p>
        </w:tc>
      </w:tr>
      <w:tr w:rsidR="00AC45B7" w:rsidRPr="003354D5" w:rsidTr="00D96ECA">
        <w:tc>
          <w:tcPr>
            <w:tcW w:w="2334" w:type="dxa"/>
          </w:tcPr>
          <w:p w:rsidR="00AC45B7" w:rsidRPr="003354D5" w:rsidRDefault="00AC45B7" w:rsidP="009027DD">
            <w:pPr>
              <w:spacing w:after="0"/>
              <w:jc w:val="both"/>
              <w:rPr>
                <w:rFonts w:ascii="Arial" w:hAnsi="Arial" w:cs="Arial"/>
                <w:sz w:val="20"/>
              </w:rPr>
            </w:pPr>
            <w:r>
              <w:rPr>
                <w:rFonts w:ascii="Arial" w:hAnsi="Arial" w:cs="Arial"/>
                <w:sz w:val="20"/>
              </w:rPr>
              <w:t>313243</w:t>
            </w:r>
          </w:p>
        </w:tc>
        <w:tc>
          <w:tcPr>
            <w:tcW w:w="2043" w:type="dxa"/>
          </w:tcPr>
          <w:p w:rsidR="00AC45B7" w:rsidRPr="003354D5" w:rsidRDefault="00AC45B7" w:rsidP="009027DD">
            <w:pPr>
              <w:spacing w:after="0"/>
              <w:jc w:val="both"/>
              <w:rPr>
                <w:rFonts w:ascii="Arial" w:hAnsi="Arial" w:cs="Arial"/>
                <w:sz w:val="20"/>
              </w:rPr>
            </w:pPr>
            <w:r>
              <w:rPr>
                <w:rFonts w:ascii="Arial" w:hAnsi="Arial" w:cs="Arial"/>
                <w:sz w:val="20"/>
              </w:rPr>
              <w:t>Port Elizabeth Regional PMTE</w:t>
            </w:r>
          </w:p>
        </w:tc>
        <w:tc>
          <w:tcPr>
            <w:tcW w:w="1180" w:type="dxa"/>
          </w:tcPr>
          <w:p w:rsidR="00AC45B7" w:rsidRPr="003354D5" w:rsidRDefault="00AC45B7" w:rsidP="009027DD">
            <w:pPr>
              <w:spacing w:after="0"/>
              <w:jc w:val="both"/>
              <w:rPr>
                <w:rFonts w:ascii="Arial" w:hAnsi="Arial" w:cs="Arial"/>
                <w:sz w:val="20"/>
              </w:rPr>
            </w:pPr>
            <w:r>
              <w:rPr>
                <w:rFonts w:ascii="Arial" w:hAnsi="Arial" w:cs="Arial"/>
                <w:sz w:val="20"/>
              </w:rPr>
              <w:t>9,112,772</w:t>
            </w:r>
          </w:p>
        </w:tc>
        <w:tc>
          <w:tcPr>
            <w:tcW w:w="1517" w:type="dxa"/>
          </w:tcPr>
          <w:p w:rsidR="00AC45B7" w:rsidRPr="003354D5" w:rsidRDefault="00AC45B7" w:rsidP="009027DD">
            <w:pPr>
              <w:spacing w:after="0"/>
              <w:jc w:val="both"/>
              <w:rPr>
                <w:rFonts w:ascii="Arial" w:hAnsi="Arial" w:cs="Arial"/>
                <w:sz w:val="20"/>
              </w:rPr>
            </w:pPr>
            <w:r>
              <w:rPr>
                <w:rFonts w:ascii="Arial" w:hAnsi="Arial" w:cs="Arial"/>
                <w:sz w:val="20"/>
              </w:rPr>
              <w:t>8,426,600</w:t>
            </w:r>
          </w:p>
        </w:tc>
        <w:tc>
          <w:tcPr>
            <w:tcW w:w="1195" w:type="dxa"/>
          </w:tcPr>
          <w:p w:rsidR="00AC45B7" w:rsidRPr="003354D5" w:rsidRDefault="00AC45B7" w:rsidP="009027DD">
            <w:pPr>
              <w:spacing w:after="0"/>
              <w:jc w:val="both"/>
              <w:rPr>
                <w:rFonts w:ascii="Arial" w:hAnsi="Arial" w:cs="Arial"/>
                <w:sz w:val="20"/>
              </w:rPr>
            </w:pPr>
            <w:r>
              <w:rPr>
                <w:rFonts w:ascii="Arial" w:hAnsi="Arial" w:cs="Arial"/>
                <w:sz w:val="20"/>
              </w:rPr>
              <w:t>686,172</w:t>
            </w:r>
          </w:p>
        </w:tc>
      </w:tr>
    </w:tbl>
    <w:p w:rsidR="00AC45B7" w:rsidRDefault="00AC45B7" w:rsidP="009027DD">
      <w:pPr>
        <w:spacing w:after="0"/>
        <w:jc w:val="both"/>
        <w:rPr>
          <w:rFonts w:ascii="Arial" w:hAnsi="Arial" w:cs="Arial"/>
        </w:rPr>
      </w:pPr>
    </w:p>
    <w:p w:rsidR="00AC45B7" w:rsidRDefault="00AC45B7" w:rsidP="009027DD">
      <w:pPr>
        <w:spacing w:after="0"/>
        <w:jc w:val="both"/>
        <w:rPr>
          <w:rFonts w:ascii="Arial" w:hAnsi="Arial" w:cs="Arial"/>
        </w:rPr>
      </w:pPr>
    </w:p>
    <w:p w:rsidR="00AC45B7" w:rsidRDefault="00AC45B7" w:rsidP="009027DD">
      <w:pPr>
        <w:tabs>
          <w:tab w:val="left" w:pos="720"/>
        </w:tabs>
        <w:spacing w:after="0"/>
        <w:ind w:left="720" w:hanging="720"/>
        <w:jc w:val="both"/>
        <w:rPr>
          <w:rFonts w:ascii="Arial" w:hAnsi="Arial" w:cs="Arial"/>
        </w:rPr>
      </w:pPr>
      <w:r>
        <w:rPr>
          <w:rFonts w:ascii="Arial" w:hAnsi="Arial" w:cs="Arial"/>
        </w:rPr>
        <w:t>5.6</w:t>
      </w:r>
      <w:r>
        <w:rPr>
          <w:rFonts w:ascii="Arial" w:hAnsi="Arial" w:cs="Arial"/>
        </w:rPr>
        <w:tab/>
        <w:t xml:space="preserve">During the audit it was identified that the payments to landlords did not always agree to the amount specified in the contract. </w:t>
      </w:r>
    </w:p>
    <w:p w:rsidR="00AC45B7" w:rsidRDefault="00AC45B7" w:rsidP="009027DD">
      <w:pPr>
        <w:spacing w:after="0"/>
        <w:jc w:val="both"/>
        <w:rPr>
          <w:rFonts w:ascii="Arial" w:hAnsi="Arial" w:cs="Arial"/>
        </w:rPr>
      </w:pPr>
    </w:p>
    <w:p w:rsidR="00AC45B7" w:rsidRPr="00D96ECA" w:rsidRDefault="00AC45B7" w:rsidP="009027DD">
      <w:pPr>
        <w:spacing w:after="0"/>
        <w:jc w:val="both"/>
        <w:rPr>
          <w:rFonts w:ascii="Arial" w:hAnsi="Arial" w:cs="Arial"/>
          <w:vertAlign w:val="superscript"/>
        </w:rPr>
      </w:pPr>
      <w:r>
        <w:rPr>
          <w:rFonts w:ascii="Arial" w:hAnsi="Arial" w:cs="Arial"/>
        </w:rPr>
        <w:t>Table 7: Difference in amount per contract and amount paid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326"/>
        <w:gridCol w:w="2038"/>
        <w:gridCol w:w="1180"/>
        <w:gridCol w:w="1161"/>
        <w:gridCol w:w="1214"/>
      </w:tblGrid>
      <w:tr w:rsidR="00AC45B7" w:rsidRPr="003354D5" w:rsidTr="0067580B">
        <w:tc>
          <w:tcPr>
            <w:tcW w:w="2326"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Name of building</w:t>
            </w:r>
          </w:p>
        </w:tc>
        <w:tc>
          <w:tcPr>
            <w:tcW w:w="2038"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Client department</w:t>
            </w:r>
          </w:p>
        </w:tc>
        <w:tc>
          <w:tcPr>
            <w:tcW w:w="1180" w:type="dxa"/>
            <w:shd w:val="clear" w:color="auto" w:fill="1F497D"/>
          </w:tcPr>
          <w:p w:rsidR="00AC45B7" w:rsidRDefault="00AC45B7" w:rsidP="009027DD">
            <w:pPr>
              <w:spacing w:after="0"/>
              <w:jc w:val="both"/>
              <w:rPr>
                <w:rFonts w:ascii="Arial" w:hAnsi="Arial" w:cs="Arial"/>
                <w:b/>
                <w:color w:val="FFFFFF"/>
                <w:sz w:val="20"/>
              </w:rPr>
            </w:pPr>
            <w:r w:rsidRPr="003354D5">
              <w:rPr>
                <w:rFonts w:ascii="Arial" w:hAnsi="Arial" w:cs="Arial"/>
                <w:b/>
                <w:color w:val="FFFFFF"/>
                <w:sz w:val="20"/>
              </w:rPr>
              <w:t>Amount per contract</w:t>
            </w:r>
            <w:r>
              <w:rPr>
                <w:rFonts w:ascii="Arial" w:hAnsi="Arial" w:cs="Arial"/>
                <w:b/>
                <w:color w:val="FFFFFF"/>
                <w:sz w:val="20"/>
              </w:rPr>
              <w:t xml:space="preserve"> (pm)</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R</w:t>
            </w:r>
          </w:p>
        </w:tc>
        <w:tc>
          <w:tcPr>
            <w:tcW w:w="1161" w:type="dxa"/>
            <w:shd w:val="clear" w:color="auto" w:fill="1F497D"/>
          </w:tcPr>
          <w:p w:rsidR="00AC45B7" w:rsidRDefault="00AC45B7" w:rsidP="009027DD">
            <w:pPr>
              <w:spacing w:after="0"/>
              <w:jc w:val="both"/>
              <w:rPr>
                <w:rFonts w:ascii="Arial" w:hAnsi="Arial" w:cs="Arial"/>
                <w:b/>
                <w:color w:val="FFFFFF"/>
                <w:sz w:val="20"/>
              </w:rPr>
            </w:pPr>
            <w:r w:rsidRPr="003354D5">
              <w:rPr>
                <w:rFonts w:ascii="Arial" w:hAnsi="Arial" w:cs="Arial"/>
                <w:b/>
                <w:color w:val="FFFFFF"/>
                <w:sz w:val="20"/>
              </w:rPr>
              <w:t>Actual amount paid</w:t>
            </w:r>
            <w:r>
              <w:rPr>
                <w:rFonts w:ascii="Arial" w:hAnsi="Arial" w:cs="Arial"/>
                <w:b/>
                <w:color w:val="FFFFFF"/>
                <w:sz w:val="20"/>
              </w:rPr>
              <w:t xml:space="preserve"> (pm)</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R</w:t>
            </w:r>
          </w:p>
        </w:tc>
        <w:tc>
          <w:tcPr>
            <w:tcW w:w="1214" w:type="dxa"/>
            <w:shd w:val="clear" w:color="auto" w:fill="1F497D"/>
          </w:tcPr>
          <w:p w:rsidR="00AC45B7" w:rsidRDefault="00AC45B7" w:rsidP="009027DD">
            <w:pPr>
              <w:spacing w:after="0"/>
              <w:jc w:val="both"/>
              <w:rPr>
                <w:rFonts w:ascii="Arial" w:hAnsi="Arial" w:cs="Arial"/>
                <w:b/>
                <w:color w:val="FFFFFF"/>
                <w:sz w:val="20"/>
              </w:rPr>
            </w:pPr>
            <w:r w:rsidRPr="003354D5">
              <w:rPr>
                <w:rFonts w:ascii="Arial" w:hAnsi="Arial" w:cs="Arial"/>
                <w:b/>
                <w:color w:val="FFFFFF"/>
                <w:sz w:val="20"/>
              </w:rPr>
              <w:t>Difference</w:t>
            </w:r>
            <w:r>
              <w:rPr>
                <w:rFonts w:ascii="Arial" w:hAnsi="Arial" w:cs="Arial"/>
                <w:b/>
                <w:color w:val="FFFFFF"/>
                <w:sz w:val="20"/>
              </w:rPr>
              <w:t xml:space="preserve"> (total)</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R</w:t>
            </w:r>
          </w:p>
        </w:tc>
      </w:tr>
      <w:tr w:rsidR="00AC45B7" w:rsidRPr="003354D5" w:rsidTr="0067580B">
        <w:tc>
          <w:tcPr>
            <w:tcW w:w="2326" w:type="dxa"/>
          </w:tcPr>
          <w:p w:rsidR="00AC45B7" w:rsidRPr="003354D5" w:rsidRDefault="00AC45B7" w:rsidP="009027DD">
            <w:pPr>
              <w:spacing w:after="0"/>
              <w:jc w:val="both"/>
              <w:rPr>
                <w:rFonts w:ascii="Arial" w:hAnsi="Arial" w:cs="Arial"/>
                <w:sz w:val="20"/>
              </w:rPr>
            </w:pPr>
            <w:r>
              <w:rPr>
                <w:rFonts w:ascii="Arial" w:hAnsi="Arial" w:cs="Arial"/>
                <w:sz w:val="20"/>
              </w:rPr>
              <w:t>Oranje-Nassau building (Pretoria)</w:t>
            </w:r>
          </w:p>
        </w:tc>
        <w:tc>
          <w:tcPr>
            <w:tcW w:w="2038" w:type="dxa"/>
          </w:tcPr>
          <w:p w:rsidR="00AC45B7" w:rsidRPr="003354D5" w:rsidRDefault="00AC45B7" w:rsidP="009027DD">
            <w:pPr>
              <w:spacing w:after="0"/>
              <w:jc w:val="both"/>
              <w:rPr>
                <w:rFonts w:ascii="Arial" w:hAnsi="Arial" w:cs="Arial"/>
                <w:sz w:val="20"/>
              </w:rPr>
            </w:pPr>
            <w:r>
              <w:rPr>
                <w:rFonts w:ascii="Arial" w:hAnsi="Arial" w:cs="Arial"/>
                <w:sz w:val="20"/>
              </w:rPr>
              <w:t>National: Public Works</w:t>
            </w:r>
          </w:p>
        </w:tc>
        <w:tc>
          <w:tcPr>
            <w:tcW w:w="1180" w:type="dxa"/>
          </w:tcPr>
          <w:p w:rsidR="00AC45B7" w:rsidRPr="003354D5" w:rsidRDefault="00AC45B7" w:rsidP="009027DD">
            <w:pPr>
              <w:spacing w:after="0"/>
              <w:jc w:val="both"/>
              <w:rPr>
                <w:rFonts w:ascii="Arial" w:hAnsi="Arial" w:cs="Arial"/>
                <w:sz w:val="20"/>
              </w:rPr>
            </w:pPr>
            <w:r>
              <w:rPr>
                <w:rFonts w:ascii="Arial" w:hAnsi="Arial" w:cs="Arial"/>
                <w:sz w:val="20"/>
              </w:rPr>
              <w:t>1,285,187</w:t>
            </w:r>
          </w:p>
        </w:tc>
        <w:tc>
          <w:tcPr>
            <w:tcW w:w="1161" w:type="dxa"/>
          </w:tcPr>
          <w:p w:rsidR="00AC45B7" w:rsidRPr="003354D5" w:rsidRDefault="00AC45B7" w:rsidP="009027DD">
            <w:pPr>
              <w:spacing w:after="0"/>
              <w:jc w:val="both"/>
              <w:rPr>
                <w:rFonts w:ascii="Arial" w:hAnsi="Arial" w:cs="Arial"/>
                <w:sz w:val="20"/>
              </w:rPr>
            </w:pPr>
            <w:r>
              <w:rPr>
                <w:rFonts w:ascii="Arial" w:hAnsi="Arial" w:cs="Arial"/>
                <w:sz w:val="20"/>
              </w:rPr>
              <w:t>1,598,305</w:t>
            </w:r>
          </w:p>
        </w:tc>
        <w:tc>
          <w:tcPr>
            <w:tcW w:w="1214" w:type="dxa"/>
          </w:tcPr>
          <w:p w:rsidR="00AC45B7" w:rsidRPr="003354D5" w:rsidRDefault="00AC45B7" w:rsidP="009027DD">
            <w:pPr>
              <w:spacing w:after="0"/>
              <w:jc w:val="both"/>
              <w:rPr>
                <w:rFonts w:ascii="Arial" w:hAnsi="Arial" w:cs="Arial"/>
                <w:sz w:val="20"/>
              </w:rPr>
            </w:pPr>
            <w:r>
              <w:rPr>
                <w:rFonts w:ascii="Arial" w:hAnsi="Arial" w:cs="Arial"/>
                <w:sz w:val="20"/>
              </w:rPr>
              <w:t>939,354  (3 mths)</w:t>
            </w:r>
          </w:p>
        </w:tc>
      </w:tr>
    </w:tbl>
    <w:p w:rsidR="00AC45B7" w:rsidRDefault="00AC45B7" w:rsidP="009027DD">
      <w:pPr>
        <w:spacing w:after="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5.7</w:t>
      </w:r>
      <w:r>
        <w:rPr>
          <w:rFonts w:ascii="Arial" w:hAnsi="Arial" w:cs="Arial"/>
        </w:rPr>
        <w:tab/>
        <w:t>The following route causes were identified:</w:t>
      </w:r>
    </w:p>
    <w:p w:rsidR="00AC45B7" w:rsidRDefault="00AC45B7" w:rsidP="009027DD">
      <w:pPr>
        <w:numPr>
          <w:ilvl w:val="0"/>
          <w:numId w:val="19"/>
        </w:numPr>
        <w:tabs>
          <w:tab w:val="clear" w:pos="720"/>
          <w:tab w:val="num" w:pos="1440"/>
        </w:tabs>
        <w:spacing w:after="0"/>
        <w:ind w:left="1440" w:hanging="720"/>
        <w:jc w:val="both"/>
        <w:rPr>
          <w:rFonts w:ascii="Arial" w:hAnsi="Arial" w:cs="Arial"/>
        </w:rPr>
      </w:pPr>
      <w:r>
        <w:rPr>
          <w:rFonts w:ascii="Arial" w:hAnsi="Arial" w:cs="Arial"/>
        </w:rPr>
        <w:t>PMTE did not ensure that all the information captured on PMIS is 100% correct in accordance with the lease agreement and other source documentation.</w:t>
      </w:r>
    </w:p>
    <w:p w:rsidR="00AC45B7" w:rsidRDefault="00AC45B7" w:rsidP="007D7950">
      <w:pPr>
        <w:numPr>
          <w:ilvl w:val="0"/>
          <w:numId w:val="19"/>
        </w:numPr>
        <w:ind w:left="1440" w:hanging="720"/>
        <w:jc w:val="both"/>
        <w:rPr>
          <w:rFonts w:ascii="Arial" w:hAnsi="Arial" w:cs="Arial"/>
        </w:rPr>
      </w:pPr>
      <w:r w:rsidRPr="007D7950">
        <w:rPr>
          <w:rFonts w:ascii="Arial" w:hAnsi="Arial" w:cs="Arial"/>
        </w:rPr>
        <w:t xml:space="preserve">The property management regional support directorate is not conducting regular reviews and assessment of the state of controls on PMIS with the intension of improving them. </w:t>
      </w:r>
    </w:p>
    <w:p w:rsidR="00AC45B7" w:rsidRDefault="00AC45B7" w:rsidP="007D7950">
      <w:pPr>
        <w:numPr>
          <w:ilvl w:val="0"/>
          <w:numId w:val="19"/>
        </w:numPr>
        <w:ind w:left="1440" w:hanging="720"/>
        <w:jc w:val="both"/>
        <w:rPr>
          <w:rFonts w:ascii="Arial" w:hAnsi="Arial" w:cs="Arial"/>
        </w:rPr>
      </w:pPr>
      <w:r>
        <w:rPr>
          <w:rFonts w:ascii="Arial" w:hAnsi="Arial" w:cs="Arial"/>
        </w:rPr>
        <w:t>Controls on PMIS were not included in a consistent manner. Look-up tables were not always used for all the fields on PMIS to ensure that only applicable alternatives are selected when entering data onto the system. In other instances look-up tables included alternatives for selection not applicable to leases.</w:t>
      </w:r>
    </w:p>
    <w:p w:rsidR="00AC45B7" w:rsidRDefault="00AC45B7" w:rsidP="007D7950">
      <w:pPr>
        <w:numPr>
          <w:ilvl w:val="0"/>
          <w:numId w:val="19"/>
        </w:numPr>
        <w:tabs>
          <w:tab w:val="clear" w:pos="720"/>
          <w:tab w:val="num" w:pos="1440"/>
        </w:tabs>
        <w:spacing w:after="0"/>
        <w:ind w:left="1440" w:hanging="720"/>
        <w:jc w:val="both"/>
        <w:rPr>
          <w:rFonts w:ascii="Arial" w:hAnsi="Arial" w:cs="Arial"/>
        </w:rPr>
      </w:pPr>
      <w:r>
        <w:rPr>
          <w:rFonts w:ascii="Arial" w:hAnsi="Arial" w:cs="Arial"/>
        </w:rPr>
        <w:t xml:space="preserve">User access to PMIS was not strictly controlled and the user that made changes on PMIS could not always be identified as a profile, for example “Data”, was utilised not a user. </w:t>
      </w:r>
      <w:r w:rsidRPr="003824A2">
        <w:rPr>
          <w:rFonts w:ascii="Arial" w:hAnsi="Arial" w:cs="Arial"/>
        </w:rPr>
        <w:t>Also it will not be possible to apportion accountability of system activities to individuals making use of generic user names, i.e. “Data”.</w:t>
      </w:r>
    </w:p>
    <w:p w:rsidR="00AC45B7" w:rsidRDefault="00AC45B7" w:rsidP="007D7950">
      <w:pPr>
        <w:numPr>
          <w:ilvl w:val="0"/>
          <w:numId w:val="19"/>
        </w:numPr>
        <w:tabs>
          <w:tab w:val="clear" w:pos="720"/>
          <w:tab w:val="num" w:pos="1440"/>
        </w:tabs>
        <w:spacing w:after="0"/>
        <w:ind w:left="1440" w:hanging="720"/>
        <w:jc w:val="both"/>
        <w:rPr>
          <w:rFonts w:ascii="Arial" w:hAnsi="Arial" w:cs="Arial"/>
        </w:rPr>
      </w:pPr>
      <w:r>
        <w:rPr>
          <w:rFonts w:ascii="Arial" w:hAnsi="Arial" w:cs="Arial"/>
        </w:rPr>
        <w:lastRenderedPageBreak/>
        <w:t xml:space="preserve">The information that must be captured on the audit trail was not defined for example the field name where the changes was effected is not always indicated only the before and after data. The correctness of the changes made to the data was not always confirmed by the relevant supervisor. </w:t>
      </w:r>
      <w:r w:rsidRPr="003824A2">
        <w:rPr>
          <w:rFonts w:ascii="Arial" w:hAnsi="Arial" w:cs="Arial"/>
        </w:rPr>
        <w:t xml:space="preserve">Lack of detailed audit trails that do not reflect key systems activities by all users could result in unauthorised or fraudulent entries going undetected for extended period of time. </w:t>
      </w:r>
    </w:p>
    <w:p w:rsidR="00AC45B7" w:rsidRDefault="00AC45B7" w:rsidP="009027DD">
      <w:pPr>
        <w:numPr>
          <w:ilvl w:val="0"/>
          <w:numId w:val="19"/>
        </w:numPr>
        <w:tabs>
          <w:tab w:val="clear" w:pos="720"/>
          <w:tab w:val="num" w:pos="1440"/>
        </w:tabs>
        <w:spacing w:after="0"/>
        <w:ind w:left="1440" w:hanging="720"/>
        <w:jc w:val="both"/>
        <w:rPr>
          <w:rFonts w:ascii="Arial" w:hAnsi="Arial" w:cs="Arial"/>
        </w:rPr>
      </w:pPr>
      <w:r>
        <w:rPr>
          <w:rFonts w:ascii="Arial" w:hAnsi="Arial" w:cs="Arial"/>
        </w:rPr>
        <w:t xml:space="preserve">PMTE did not conduct reconciliations to ensure that the correct amounts are paid and the duplicate payments are eliminated. In addition it did not reconcile the payments to the accommodation rented. </w:t>
      </w:r>
    </w:p>
    <w:p w:rsidR="00AC45B7" w:rsidRDefault="00AC45B7" w:rsidP="009027DD">
      <w:pPr>
        <w:spacing w:after="0"/>
        <w:jc w:val="both"/>
        <w:rPr>
          <w:rFonts w:ascii="Arial" w:hAnsi="Arial" w:cs="Arial"/>
        </w:rPr>
      </w:pPr>
    </w:p>
    <w:p w:rsidR="00AC45B7" w:rsidRPr="00AD0D68" w:rsidRDefault="00AC45B7" w:rsidP="009027DD">
      <w:pPr>
        <w:spacing w:after="0"/>
        <w:ind w:left="720" w:hanging="720"/>
        <w:jc w:val="both"/>
        <w:rPr>
          <w:rFonts w:ascii="Arial" w:hAnsi="Arial" w:cs="Arial"/>
          <w:b/>
        </w:rPr>
      </w:pPr>
      <w:r>
        <w:rPr>
          <w:rFonts w:ascii="Arial" w:hAnsi="Arial" w:cs="Arial"/>
          <w:b/>
        </w:rPr>
        <w:t>6.</w:t>
      </w:r>
      <w:r>
        <w:rPr>
          <w:rFonts w:ascii="Arial" w:hAnsi="Arial" w:cs="Arial"/>
          <w:b/>
        </w:rPr>
        <w:tab/>
      </w:r>
      <w:r w:rsidRPr="00AD0D68">
        <w:rPr>
          <w:rFonts w:ascii="Arial" w:hAnsi="Arial" w:cs="Arial"/>
          <w:b/>
        </w:rPr>
        <w:t>Utilisation</w:t>
      </w:r>
    </w:p>
    <w:p w:rsidR="00AC45B7" w:rsidRDefault="00AC45B7" w:rsidP="009027DD">
      <w:pPr>
        <w:spacing w:after="0"/>
        <w:ind w:left="720" w:hanging="720"/>
        <w:jc w:val="both"/>
        <w:rPr>
          <w:rFonts w:ascii="Arial" w:hAnsi="Arial" w:cs="Arial"/>
        </w:rPr>
      </w:pPr>
    </w:p>
    <w:p w:rsidR="00AC45B7" w:rsidRDefault="00AC45B7" w:rsidP="009027DD">
      <w:pPr>
        <w:tabs>
          <w:tab w:val="left" w:pos="0"/>
        </w:tabs>
        <w:ind w:left="720" w:hanging="720"/>
        <w:jc w:val="both"/>
        <w:rPr>
          <w:rFonts w:ascii="Arial" w:hAnsi="Arial" w:cs="Arial"/>
        </w:rPr>
      </w:pPr>
      <w:r>
        <w:rPr>
          <w:rFonts w:ascii="Arial" w:hAnsi="Arial" w:cs="Arial"/>
        </w:rPr>
        <w:t>6.1</w:t>
      </w:r>
      <w:r>
        <w:rPr>
          <w:rFonts w:ascii="Arial" w:hAnsi="Arial" w:cs="Arial"/>
        </w:rPr>
        <w:tab/>
      </w:r>
      <w:r w:rsidRPr="0008065A">
        <w:rPr>
          <w:rFonts w:ascii="Arial" w:hAnsi="Arial" w:cs="Arial"/>
        </w:rPr>
        <w:t xml:space="preserve">During the audit, buildings were identified that were not optimally utilised as client departments did not occupy and utilized buildings from the agreed date. For example the Department of Water Affairs did not take occupation after completion of the improvements but only took occupation of the building on the 6 April 2009 after receiving a letter from </w:t>
      </w:r>
      <w:r>
        <w:rPr>
          <w:rFonts w:ascii="Arial" w:hAnsi="Arial" w:cs="Arial"/>
        </w:rPr>
        <w:t>PTME</w:t>
      </w:r>
      <w:r w:rsidRPr="0008065A">
        <w:rPr>
          <w:rFonts w:ascii="Arial" w:hAnsi="Arial" w:cs="Arial"/>
        </w:rPr>
        <w:t xml:space="preserve"> informing it that wasteful expenditure had been incurred because the building was not occupied. </w:t>
      </w:r>
      <w:r>
        <w:rPr>
          <w:rFonts w:ascii="Arial" w:hAnsi="Arial" w:cs="Arial"/>
        </w:rPr>
        <w:t>T</w:t>
      </w:r>
      <w:r w:rsidRPr="0008065A">
        <w:rPr>
          <w:rFonts w:ascii="Arial" w:hAnsi="Arial" w:cs="Arial"/>
        </w:rPr>
        <w:t xml:space="preserve">he </w:t>
      </w:r>
      <w:r>
        <w:rPr>
          <w:rFonts w:ascii="Arial" w:hAnsi="Arial" w:cs="Arial"/>
        </w:rPr>
        <w:t>Portfolio Manager was</w:t>
      </w:r>
      <w:r w:rsidRPr="0008065A">
        <w:rPr>
          <w:rFonts w:ascii="Arial" w:hAnsi="Arial" w:cs="Arial"/>
        </w:rPr>
        <w:t xml:space="preserve"> of the view that the building is ready for occupation </w:t>
      </w:r>
      <w:r>
        <w:rPr>
          <w:rFonts w:ascii="Arial" w:hAnsi="Arial" w:cs="Arial"/>
        </w:rPr>
        <w:t>and a</w:t>
      </w:r>
      <w:r w:rsidRPr="0008065A">
        <w:rPr>
          <w:rFonts w:ascii="Arial" w:hAnsi="Arial" w:cs="Arial"/>
        </w:rPr>
        <w:t xml:space="preserve"> certificate of occupation was issued by City of Tshwane. The</w:t>
      </w:r>
      <w:r>
        <w:rPr>
          <w:rFonts w:ascii="Arial" w:hAnsi="Arial" w:cs="Arial"/>
        </w:rPr>
        <w:t xml:space="preserve"> rental payment of R5,3 million</w:t>
      </w:r>
      <w:r w:rsidRPr="0008065A">
        <w:rPr>
          <w:rFonts w:ascii="Arial" w:hAnsi="Arial" w:cs="Arial"/>
        </w:rPr>
        <w:t xml:space="preserve"> when the building was not occupied is fruitless and wasteful expenditure. </w:t>
      </w:r>
      <w:r>
        <w:rPr>
          <w:rFonts w:ascii="Arial" w:hAnsi="Arial" w:cs="Arial"/>
        </w:rPr>
        <w:t>A total</w:t>
      </w:r>
      <w:r w:rsidRPr="0008065A">
        <w:rPr>
          <w:rFonts w:ascii="Arial" w:hAnsi="Arial" w:cs="Arial"/>
        </w:rPr>
        <w:t xml:space="preserve"> </w:t>
      </w:r>
      <w:r>
        <w:rPr>
          <w:rFonts w:ascii="Arial" w:hAnsi="Arial" w:cs="Arial"/>
        </w:rPr>
        <w:t>payment of R5,7</w:t>
      </w:r>
      <w:r w:rsidRPr="0008065A">
        <w:rPr>
          <w:rFonts w:ascii="Arial" w:hAnsi="Arial" w:cs="Arial"/>
        </w:rPr>
        <w:t xml:space="preserve"> </w:t>
      </w:r>
      <w:r>
        <w:rPr>
          <w:rFonts w:ascii="Arial" w:hAnsi="Arial" w:cs="Arial"/>
        </w:rPr>
        <w:t xml:space="preserve">was made </w:t>
      </w:r>
      <w:r w:rsidRPr="0008065A">
        <w:rPr>
          <w:rFonts w:ascii="Arial" w:hAnsi="Arial" w:cs="Arial"/>
        </w:rPr>
        <w:t xml:space="preserve">from 1 December 2007 to 9 April 2009 </w:t>
      </w:r>
      <w:r>
        <w:rPr>
          <w:rFonts w:ascii="Arial" w:hAnsi="Arial" w:cs="Arial"/>
        </w:rPr>
        <w:t xml:space="preserve">this </w:t>
      </w:r>
      <w:r w:rsidRPr="0008065A">
        <w:rPr>
          <w:rFonts w:ascii="Arial" w:hAnsi="Arial" w:cs="Arial"/>
        </w:rPr>
        <w:t xml:space="preserve">includes rental as agreed, overrun installation cost but also includes four month’s rental which should have been free as agreed with the lessor. </w:t>
      </w:r>
    </w:p>
    <w:p w:rsidR="00AC45B7" w:rsidRPr="0008065A" w:rsidRDefault="00AC45B7" w:rsidP="009027DD">
      <w:pPr>
        <w:tabs>
          <w:tab w:val="left" w:pos="0"/>
        </w:tabs>
        <w:ind w:left="720" w:hanging="720"/>
        <w:jc w:val="both"/>
        <w:rPr>
          <w:rFonts w:ascii="Arial" w:hAnsi="Arial" w:cs="Arial"/>
        </w:rPr>
      </w:pPr>
      <w:r>
        <w:rPr>
          <w:rFonts w:ascii="Arial" w:hAnsi="Arial" w:cs="Arial"/>
        </w:rPr>
        <w:t>6.2</w:t>
      </w:r>
      <w:r>
        <w:rPr>
          <w:rFonts w:ascii="Arial" w:hAnsi="Arial" w:cs="Arial"/>
        </w:rPr>
        <w:tab/>
        <w:t>In addition t</w:t>
      </w:r>
      <w:r w:rsidRPr="0008065A">
        <w:rPr>
          <w:rFonts w:ascii="Arial" w:hAnsi="Arial" w:cs="Arial"/>
        </w:rPr>
        <w:t xml:space="preserve">he team also identified payments of R73,8 million to Phomella, despite the SALU building, that was leased for the Department of Justice, </w:t>
      </w:r>
      <w:r>
        <w:rPr>
          <w:rFonts w:ascii="Arial" w:hAnsi="Arial" w:cs="Arial"/>
        </w:rPr>
        <w:t xml:space="preserve">was </w:t>
      </w:r>
      <w:r w:rsidRPr="0008065A">
        <w:rPr>
          <w:rFonts w:ascii="Arial" w:hAnsi="Arial" w:cs="Arial"/>
        </w:rPr>
        <w:t>standing empty since the commencement of the lease until occupation, a period of twenty-two months</w:t>
      </w:r>
      <w:r>
        <w:rPr>
          <w:rFonts w:ascii="Arial" w:hAnsi="Arial" w:cs="Arial"/>
        </w:rPr>
        <w:t>.</w:t>
      </w:r>
      <w:r w:rsidRPr="0008065A">
        <w:rPr>
          <w:rFonts w:ascii="Arial" w:hAnsi="Arial" w:cs="Arial"/>
        </w:rPr>
        <w:t xml:space="preserve"> The audit team confirmed with the Deputy Director: Property Management of the Department of Justice that Justice took occupation of the SALU building at the beginning of November 2011. In addition </w:t>
      </w:r>
      <w:r>
        <w:rPr>
          <w:rFonts w:ascii="Arial" w:hAnsi="Arial" w:cs="Arial"/>
        </w:rPr>
        <w:t>PMTE</w:t>
      </w:r>
      <w:r w:rsidRPr="0008065A">
        <w:rPr>
          <w:rFonts w:ascii="Arial" w:hAnsi="Arial" w:cs="Arial"/>
        </w:rPr>
        <w:t xml:space="preserve"> paid Phomella R13,4 on 15 June 2010. Acccording to the Department the payment related to 2009. The reasoning for this payment was not clear to the audit team as the lease commenced on 1 January 2010. According to a letter dated 9 April 2010, the landlord stated it had had a commitment from </w:t>
      </w:r>
      <w:r>
        <w:rPr>
          <w:rFonts w:ascii="Arial" w:hAnsi="Arial" w:cs="Arial"/>
        </w:rPr>
        <w:t xml:space="preserve">PMTE </w:t>
      </w:r>
      <w:r w:rsidRPr="0008065A">
        <w:rPr>
          <w:rFonts w:ascii="Arial" w:hAnsi="Arial" w:cs="Arial"/>
        </w:rPr>
        <w:t xml:space="preserve">since April 2009 that the premises would be occupied by the Department of Justice and that </w:t>
      </w:r>
      <w:r>
        <w:rPr>
          <w:rFonts w:ascii="Arial" w:hAnsi="Arial" w:cs="Arial"/>
        </w:rPr>
        <w:t>PMTE</w:t>
      </w:r>
      <w:r w:rsidRPr="0008065A">
        <w:rPr>
          <w:rFonts w:ascii="Arial" w:hAnsi="Arial" w:cs="Arial"/>
        </w:rPr>
        <w:t xml:space="preserve"> was liabl</w:t>
      </w:r>
      <w:r>
        <w:rPr>
          <w:rFonts w:ascii="Arial" w:hAnsi="Arial" w:cs="Arial"/>
        </w:rPr>
        <w:t xml:space="preserve">e from that date. </w:t>
      </w:r>
    </w:p>
    <w:p w:rsidR="00AC45B7" w:rsidRPr="0008065A" w:rsidRDefault="00AC45B7" w:rsidP="009027DD">
      <w:pPr>
        <w:tabs>
          <w:tab w:val="left" w:pos="0"/>
          <w:tab w:val="left" w:pos="720"/>
        </w:tabs>
        <w:spacing w:after="0"/>
        <w:ind w:left="720" w:hanging="720"/>
        <w:jc w:val="both"/>
        <w:rPr>
          <w:rFonts w:ascii="Arial" w:hAnsi="Arial" w:cs="Arial"/>
        </w:rPr>
      </w:pPr>
      <w:r>
        <w:rPr>
          <w:rFonts w:ascii="Arial" w:hAnsi="Arial" w:cs="Arial"/>
        </w:rPr>
        <w:t>6.3</w:t>
      </w:r>
      <w:r>
        <w:rPr>
          <w:rFonts w:ascii="Arial" w:hAnsi="Arial" w:cs="Arial"/>
        </w:rPr>
        <w:tab/>
      </w:r>
      <w:r w:rsidRPr="0008065A">
        <w:rPr>
          <w:rFonts w:ascii="Arial" w:hAnsi="Arial" w:cs="Arial"/>
        </w:rPr>
        <w:t>The c</w:t>
      </w:r>
      <w:r>
        <w:rPr>
          <w:rFonts w:ascii="Arial" w:hAnsi="Arial" w:cs="Arial"/>
        </w:rPr>
        <w:t>ommunication of needs between PMTE</w:t>
      </w:r>
      <w:r w:rsidRPr="0008065A">
        <w:rPr>
          <w:rFonts w:ascii="Arial" w:hAnsi="Arial" w:cs="Arial"/>
        </w:rPr>
        <w:t xml:space="preserve"> and client departments were also not always effective and client departments did not communicate</w:t>
      </w:r>
      <w:r>
        <w:rPr>
          <w:rFonts w:ascii="Arial" w:hAnsi="Arial" w:cs="Arial"/>
        </w:rPr>
        <w:t xml:space="preserve"> the changes in the needs to PMTE</w:t>
      </w:r>
      <w:r w:rsidRPr="0008065A">
        <w:rPr>
          <w:rFonts w:ascii="Arial" w:hAnsi="Arial" w:cs="Arial"/>
        </w:rPr>
        <w:t xml:space="preserve"> in time to ensure the effective utilisation of leased accommodation. For example during a site visit conducted at the Metro Park building, the audit team noted that approximately 50% of the office space was not utilised by the Department of Human Settlements (DHS). Acc</w:t>
      </w:r>
      <w:r>
        <w:rPr>
          <w:rFonts w:ascii="Arial" w:hAnsi="Arial" w:cs="Arial"/>
        </w:rPr>
        <w:t>ording to Portfolio Manager: PMTE</w:t>
      </w:r>
      <w:r w:rsidRPr="0008065A">
        <w:rPr>
          <w:rFonts w:ascii="Arial" w:hAnsi="Arial" w:cs="Arial"/>
        </w:rPr>
        <w:t xml:space="preserve">, on expiry of initial lease agreement on 30 November 2009, the DHS had not indicated their position on the extension of the lease agreement or had submitted its revised needs assessments, thus the audit team was unable to establish the DHS motivation for the </w:t>
      </w:r>
      <w:r w:rsidRPr="0008065A">
        <w:rPr>
          <w:rFonts w:ascii="Arial" w:hAnsi="Arial" w:cs="Arial"/>
        </w:rPr>
        <w:lastRenderedPageBreak/>
        <w:t xml:space="preserve">continued utilisation of the said building. The audit team has requested the correspondence with the DHS relating to the DHS position on the extension of the lease agreement and revised need assessments however this information was not provided to the audit team.  The period of underutilisation is unknown therefore an amount for fruitless and wasteful expenditure could not be calculated at this time. As </w:t>
      </w:r>
      <w:r>
        <w:rPr>
          <w:rFonts w:ascii="Arial" w:hAnsi="Arial" w:cs="Arial"/>
        </w:rPr>
        <w:t>PMTE</w:t>
      </w:r>
      <w:r w:rsidRPr="0008065A">
        <w:rPr>
          <w:rFonts w:ascii="Arial" w:hAnsi="Arial" w:cs="Arial"/>
        </w:rPr>
        <w:t xml:space="preserve"> did not conduct inspections at buildings they were not aware of the underutilisation. </w:t>
      </w:r>
    </w:p>
    <w:p w:rsidR="00AC45B7" w:rsidRPr="0008065A" w:rsidRDefault="00AC45B7" w:rsidP="009027DD">
      <w:pPr>
        <w:tabs>
          <w:tab w:val="left" w:pos="0"/>
        </w:tabs>
        <w:ind w:left="720" w:hanging="720"/>
        <w:jc w:val="both"/>
        <w:rPr>
          <w:rFonts w:ascii="Arial" w:hAnsi="Arial" w:cs="Arial"/>
        </w:rPr>
      </w:pPr>
    </w:p>
    <w:p w:rsidR="00AC45B7" w:rsidRPr="0008065A" w:rsidRDefault="00AC45B7" w:rsidP="009027DD">
      <w:pPr>
        <w:tabs>
          <w:tab w:val="left" w:pos="0"/>
        </w:tabs>
        <w:ind w:left="720" w:hanging="720"/>
        <w:jc w:val="both"/>
        <w:rPr>
          <w:rFonts w:ascii="Arial" w:hAnsi="Arial" w:cs="Arial"/>
        </w:rPr>
      </w:pPr>
      <w:r>
        <w:rPr>
          <w:rFonts w:ascii="Arial" w:hAnsi="Arial" w:cs="Arial"/>
        </w:rPr>
        <w:t>6.4</w:t>
      </w:r>
      <w:r>
        <w:rPr>
          <w:rFonts w:ascii="Arial" w:hAnsi="Arial" w:cs="Arial"/>
        </w:rPr>
        <w:tab/>
      </w:r>
      <w:r w:rsidRPr="0008065A">
        <w:rPr>
          <w:rFonts w:ascii="Arial" w:hAnsi="Arial" w:cs="Arial"/>
        </w:rPr>
        <w:t xml:space="preserve">Furthermore </w:t>
      </w:r>
      <w:r>
        <w:rPr>
          <w:rFonts w:ascii="Arial" w:hAnsi="Arial" w:cs="Arial"/>
        </w:rPr>
        <w:t>PMTE</w:t>
      </w:r>
      <w:r w:rsidRPr="0008065A">
        <w:rPr>
          <w:rFonts w:ascii="Arial" w:hAnsi="Arial" w:cs="Arial"/>
        </w:rPr>
        <w:t xml:space="preserve"> did not conduct inspection at the end of the lease to ensure that client departments vacate the buildings in full to avoid fruitless and wasteful expenditure. </w:t>
      </w:r>
      <w:r>
        <w:rPr>
          <w:rFonts w:ascii="Arial" w:hAnsi="Arial" w:cs="Arial"/>
        </w:rPr>
        <w:t>PMTE</w:t>
      </w:r>
      <w:r w:rsidRPr="0008065A">
        <w:rPr>
          <w:rFonts w:ascii="Arial" w:hAnsi="Arial" w:cs="Arial"/>
        </w:rPr>
        <w:t xml:space="preserve"> entered into a three year lease agreement on 9 March 2007 with Superbia Four (Pty) Ltd for the leasing of the</w:t>
      </w:r>
      <w:r w:rsidRPr="0008065A">
        <w:rPr>
          <w:rFonts w:ascii="Arial" w:hAnsi="Arial" w:cs="Arial"/>
          <w:bCs/>
        </w:rPr>
        <w:t xml:space="preserve"> Ndinaye Building</w:t>
      </w:r>
      <w:r w:rsidRPr="0008065A">
        <w:rPr>
          <w:rFonts w:ascii="Arial" w:hAnsi="Arial" w:cs="Arial"/>
        </w:rPr>
        <w:t xml:space="preserve"> previously known as Oranje Nassau building. Although the department indicated that the lease agreement would be terminated on 31 December 2011, according to the payment documentation obtained from departments customer billing directorate, rental of R1 598 305 was paid for the period 1February 2012 to 29 February 2</w:t>
      </w:r>
      <w:r>
        <w:rPr>
          <w:rFonts w:ascii="Arial" w:hAnsi="Arial" w:cs="Arial"/>
        </w:rPr>
        <w:t>012.  The Portfolio Manager: PMTE</w:t>
      </w:r>
      <w:r w:rsidRPr="0008065A">
        <w:rPr>
          <w:rFonts w:ascii="Arial" w:hAnsi="Arial" w:cs="Arial"/>
        </w:rPr>
        <w:t xml:space="preserve"> confirmed to the audit team that the payment was made as all documentation and equipment were not removed from the building. </w:t>
      </w:r>
    </w:p>
    <w:p w:rsidR="00AC45B7" w:rsidRPr="0008065A" w:rsidRDefault="00AC45B7" w:rsidP="009027DD">
      <w:pPr>
        <w:tabs>
          <w:tab w:val="left" w:pos="0"/>
        </w:tabs>
        <w:ind w:left="720" w:hanging="720"/>
        <w:jc w:val="both"/>
        <w:rPr>
          <w:rFonts w:ascii="Arial" w:hAnsi="Arial" w:cs="Arial"/>
        </w:rPr>
      </w:pPr>
      <w:r>
        <w:rPr>
          <w:rFonts w:ascii="Arial" w:hAnsi="Arial" w:cs="Arial"/>
        </w:rPr>
        <w:t>6.5</w:t>
      </w:r>
      <w:r>
        <w:rPr>
          <w:rFonts w:ascii="Arial" w:hAnsi="Arial" w:cs="Arial"/>
        </w:rPr>
        <w:tab/>
      </w:r>
      <w:r w:rsidRPr="0008065A">
        <w:rPr>
          <w:rFonts w:ascii="Arial" w:hAnsi="Arial" w:cs="Arial"/>
        </w:rPr>
        <w:t xml:space="preserve">In addition </w:t>
      </w:r>
      <w:r>
        <w:rPr>
          <w:rFonts w:ascii="Arial" w:hAnsi="Arial" w:cs="Arial"/>
        </w:rPr>
        <w:t>The PMTE</w:t>
      </w:r>
      <w:r w:rsidRPr="0008065A">
        <w:rPr>
          <w:rFonts w:ascii="Arial" w:hAnsi="Arial" w:cs="Arial"/>
        </w:rPr>
        <w:t xml:space="preserve"> entered into a lease agreement with New Heights 326 (Proprietary) Limited for the Sinodale building on behalf of the Department of Minerals and Energy. </w:t>
      </w:r>
      <w:bookmarkStart w:id="2" w:name="OLE_LINK1"/>
      <w:bookmarkStart w:id="3" w:name="OLE_LINK2"/>
      <w:r w:rsidRPr="0008065A">
        <w:rPr>
          <w:rFonts w:ascii="Arial" w:hAnsi="Arial" w:cs="Arial"/>
        </w:rPr>
        <w:t xml:space="preserve">The term of the lease was from 1 March 2004 until 2008 </w:t>
      </w:r>
      <w:bookmarkEnd w:id="2"/>
      <w:bookmarkEnd w:id="3"/>
      <w:r w:rsidRPr="0008065A">
        <w:rPr>
          <w:rFonts w:ascii="Arial" w:hAnsi="Arial" w:cs="Arial"/>
        </w:rPr>
        <w:t>The PMTE has on numerous occasions advised the tenant to renew the lease but in vain. The Department of Minerals and Ene</w:t>
      </w:r>
      <w:r>
        <w:rPr>
          <w:rFonts w:ascii="Arial" w:hAnsi="Arial" w:cs="Arial"/>
        </w:rPr>
        <w:t xml:space="preserve">rgy vacated the building on </w:t>
      </w:r>
      <w:r w:rsidRPr="0008065A">
        <w:rPr>
          <w:rFonts w:ascii="Arial" w:hAnsi="Arial" w:cs="Arial"/>
        </w:rPr>
        <w:t>31</w:t>
      </w:r>
      <w:r>
        <w:rPr>
          <w:rFonts w:ascii="Arial" w:hAnsi="Arial" w:cs="Arial"/>
          <w:vertAlign w:val="superscript"/>
        </w:rPr>
        <w:t xml:space="preserve"> </w:t>
      </w:r>
      <w:r w:rsidRPr="0008065A">
        <w:rPr>
          <w:rFonts w:ascii="Arial" w:hAnsi="Arial" w:cs="Arial"/>
        </w:rPr>
        <w:t>March 2010. As at 27 June 2012,</w:t>
      </w:r>
      <w:r w:rsidRPr="0008065A">
        <w:rPr>
          <w:rFonts w:ascii="Arial" w:hAnsi="Arial" w:cs="Arial"/>
          <w:b/>
        </w:rPr>
        <w:t xml:space="preserve"> </w:t>
      </w:r>
      <w:r w:rsidRPr="0008065A">
        <w:rPr>
          <w:rFonts w:ascii="Arial" w:hAnsi="Arial" w:cs="Arial"/>
        </w:rPr>
        <w:t xml:space="preserve">two years after vacating the building, </w:t>
      </w:r>
      <w:r>
        <w:rPr>
          <w:rFonts w:ascii="Arial" w:hAnsi="Arial" w:cs="Arial"/>
        </w:rPr>
        <w:t>PMTE</w:t>
      </w:r>
      <w:r w:rsidRPr="0008065A">
        <w:rPr>
          <w:rFonts w:ascii="Arial" w:hAnsi="Arial" w:cs="Arial"/>
        </w:rPr>
        <w:t xml:space="preserve"> has not restored the building into a fit state</w:t>
      </w:r>
      <w:r>
        <w:rPr>
          <w:rFonts w:ascii="Arial" w:hAnsi="Arial" w:cs="Arial"/>
        </w:rPr>
        <w:t xml:space="preserve"> as required by the contract. PMTE</w:t>
      </w:r>
      <w:r w:rsidRPr="0008065A">
        <w:rPr>
          <w:rFonts w:ascii="Arial" w:hAnsi="Arial" w:cs="Arial"/>
        </w:rPr>
        <w:t xml:space="preserve"> reported that the department only removed shelving from the premises in October 2011. Although the department vacated the premises in March 2010, PMTE has continued to pay the landlord the monthly rental. Payments of R14,3 million to the landlord reflect</w:t>
      </w:r>
      <w:r>
        <w:rPr>
          <w:rFonts w:ascii="Arial" w:hAnsi="Arial" w:cs="Arial"/>
        </w:rPr>
        <w:t>ed</w:t>
      </w:r>
      <w:r w:rsidRPr="0008065A">
        <w:rPr>
          <w:rFonts w:ascii="Arial" w:hAnsi="Arial" w:cs="Arial"/>
        </w:rPr>
        <w:t xml:space="preserve"> </w:t>
      </w:r>
      <w:r>
        <w:rPr>
          <w:rFonts w:ascii="Arial" w:hAnsi="Arial" w:cs="Arial"/>
        </w:rPr>
        <w:t>on the BAS system for the period up to</w:t>
      </w:r>
      <w:r w:rsidRPr="0008065A">
        <w:rPr>
          <w:rFonts w:ascii="Arial" w:hAnsi="Arial" w:cs="Arial"/>
        </w:rPr>
        <w:t xml:space="preserve"> </w:t>
      </w:r>
      <w:r>
        <w:rPr>
          <w:rFonts w:ascii="Arial" w:hAnsi="Arial" w:cs="Arial"/>
        </w:rPr>
        <w:t>30 June 2012.</w:t>
      </w:r>
    </w:p>
    <w:p w:rsidR="00AC45B7" w:rsidRDefault="00AC45B7" w:rsidP="009027DD">
      <w:pPr>
        <w:spacing w:after="0"/>
        <w:ind w:left="720" w:hanging="720"/>
        <w:jc w:val="both"/>
        <w:rPr>
          <w:rFonts w:ascii="Arial" w:hAnsi="Arial" w:cs="Arial"/>
        </w:rPr>
      </w:pPr>
      <w:r>
        <w:rPr>
          <w:rFonts w:ascii="Arial" w:hAnsi="Arial" w:cs="Arial"/>
        </w:rPr>
        <w:t>6.6</w:t>
      </w:r>
      <w:r>
        <w:rPr>
          <w:rFonts w:ascii="Arial" w:hAnsi="Arial" w:cs="Arial"/>
        </w:rPr>
        <w:tab/>
        <w:t>The following serve as examples of under utilized or under utilized buildings where the payments was fruitless and wasteful expenditure and should be reflected in the financial statements of PMTE or the client department:</w:t>
      </w:r>
    </w:p>
    <w:p w:rsidR="00AC45B7" w:rsidRDefault="00AC45B7" w:rsidP="009027DD">
      <w:pPr>
        <w:spacing w:after="0"/>
        <w:jc w:val="both"/>
        <w:rPr>
          <w:rFonts w:ascii="Arial" w:hAnsi="Arial" w:cs="Arial"/>
        </w:rPr>
      </w:pPr>
    </w:p>
    <w:p w:rsidR="00AC45B7" w:rsidRPr="00E54097" w:rsidRDefault="00AC45B7" w:rsidP="009027DD">
      <w:pPr>
        <w:spacing w:after="0"/>
        <w:jc w:val="both"/>
        <w:rPr>
          <w:rFonts w:ascii="Arial" w:hAnsi="Arial" w:cs="Arial"/>
          <w:vertAlign w:val="superscript"/>
        </w:rPr>
      </w:pPr>
      <w:r>
        <w:rPr>
          <w:rFonts w:ascii="Arial" w:hAnsi="Arial" w:cs="Arial"/>
        </w:rPr>
        <w:t>Table 8: Examples of under utilized or under utilized buildings</w:t>
      </w:r>
    </w:p>
    <w:tbl>
      <w:tblPr>
        <w:tblW w:w="7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14"/>
        <w:gridCol w:w="1851"/>
        <w:gridCol w:w="853"/>
        <w:gridCol w:w="1170"/>
        <w:gridCol w:w="1037"/>
        <w:gridCol w:w="1260"/>
      </w:tblGrid>
      <w:tr w:rsidR="00AC45B7" w:rsidRPr="003354D5" w:rsidTr="008D48ED">
        <w:tc>
          <w:tcPr>
            <w:tcW w:w="1814"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Name</w:t>
            </w:r>
            <w:r>
              <w:rPr>
                <w:rFonts w:ascii="Arial" w:hAnsi="Arial" w:cs="Arial"/>
                <w:b/>
                <w:color w:val="FFFFFF"/>
                <w:sz w:val="20"/>
              </w:rPr>
              <w:t xml:space="preserve"> </w:t>
            </w:r>
            <w:r w:rsidRPr="003354D5">
              <w:rPr>
                <w:rFonts w:ascii="Arial" w:hAnsi="Arial" w:cs="Arial"/>
                <w:b/>
                <w:color w:val="FFFFFF"/>
                <w:sz w:val="20"/>
              </w:rPr>
              <w:t>of building</w:t>
            </w:r>
            <w:r>
              <w:rPr>
                <w:rFonts w:ascii="Arial" w:hAnsi="Arial" w:cs="Arial"/>
                <w:b/>
                <w:color w:val="FFFFFF"/>
                <w:sz w:val="20"/>
              </w:rPr>
              <w:t xml:space="preserve"> / lessor</w:t>
            </w:r>
          </w:p>
        </w:tc>
        <w:tc>
          <w:tcPr>
            <w:tcW w:w="1851"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Client department</w:t>
            </w:r>
          </w:p>
        </w:tc>
        <w:tc>
          <w:tcPr>
            <w:tcW w:w="853"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m</w:t>
            </w:r>
            <w:r w:rsidRPr="003354D5">
              <w:rPr>
                <w:rFonts w:ascii="Arial" w:hAnsi="Arial" w:cs="Arial"/>
                <w:b/>
                <w:color w:val="FFFFFF"/>
                <w:sz w:val="20"/>
                <w:vertAlign w:val="superscript"/>
              </w:rPr>
              <w:t>2</w:t>
            </w:r>
            <w:r w:rsidRPr="003354D5">
              <w:rPr>
                <w:rFonts w:ascii="Arial" w:hAnsi="Arial" w:cs="Arial"/>
                <w:b/>
                <w:color w:val="FFFFFF"/>
                <w:sz w:val="20"/>
              </w:rPr>
              <w:t xml:space="preserve"> leased</w:t>
            </w:r>
            <w:r>
              <w:rPr>
                <w:rFonts w:ascii="Arial" w:hAnsi="Arial" w:cs="Arial"/>
                <w:b/>
                <w:color w:val="FFFFFF"/>
                <w:sz w:val="20"/>
              </w:rPr>
              <w:t xml:space="preserve"> </w:t>
            </w:r>
          </w:p>
        </w:tc>
        <w:tc>
          <w:tcPr>
            <w:tcW w:w="1170" w:type="dxa"/>
            <w:shd w:val="clear" w:color="auto" w:fill="1F497D"/>
          </w:tcPr>
          <w:p w:rsidR="00AC45B7" w:rsidRPr="003354D5" w:rsidRDefault="00AC45B7" w:rsidP="009027DD">
            <w:pPr>
              <w:spacing w:after="0"/>
              <w:jc w:val="both"/>
              <w:rPr>
                <w:rFonts w:ascii="Arial" w:hAnsi="Arial" w:cs="Arial"/>
                <w:b/>
                <w:color w:val="FFFFFF"/>
                <w:sz w:val="20"/>
              </w:rPr>
            </w:pPr>
            <w:r w:rsidRPr="003354D5">
              <w:rPr>
                <w:rFonts w:ascii="Arial" w:hAnsi="Arial" w:cs="Arial"/>
                <w:b/>
                <w:color w:val="FFFFFF"/>
                <w:sz w:val="20"/>
              </w:rPr>
              <w:t>m</w:t>
            </w:r>
            <w:r w:rsidRPr="003354D5">
              <w:rPr>
                <w:rFonts w:ascii="Arial" w:hAnsi="Arial" w:cs="Arial"/>
                <w:b/>
                <w:color w:val="FFFFFF"/>
                <w:sz w:val="20"/>
                <w:vertAlign w:val="superscript"/>
              </w:rPr>
              <w:t>2</w:t>
            </w:r>
            <w:r w:rsidRPr="003354D5">
              <w:rPr>
                <w:rFonts w:ascii="Arial" w:hAnsi="Arial" w:cs="Arial"/>
                <w:b/>
                <w:color w:val="FFFFFF"/>
                <w:sz w:val="20"/>
              </w:rPr>
              <w:t xml:space="preserve"> unutilised</w:t>
            </w:r>
            <w:r>
              <w:rPr>
                <w:rFonts w:ascii="Arial" w:hAnsi="Arial" w:cs="Arial"/>
                <w:b/>
                <w:color w:val="FFFFFF"/>
                <w:sz w:val="20"/>
              </w:rPr>
              <w:t xml:space="preserve"> </w:t>
            </w:r>
          </w:p>
        </w:tc>
        <w:tc>
          <w:tcPr>
            <w:tcW w:w="1037" w:type="dxa"/>
            <w:shd w:val="clear" w:color="auto" w:fill="1F497D"/>
          </w:tcPr>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 xml:space="preserve">Amount per </w:t>
            </w:r>
            <w:r w:rsidRPr="003354D5">
              <w:rPr>
                <w:rFonts w:ascii="Arial" w:hAnsi="Arial" w:cs="Arial"/>
                <w:b/>
                <w:color w:val="FFFFFF"/>
                <w:sz w:val="20"/>
              </w:rPr>
              <w:t>m</w:t>
            </w:r>
            <w:r w:rsidRPr="003354D5">
              <w:rPr>
                <w:rFonts w:ascii="Arial" w:hAnsi="Arial" w:cs="Arial"/>
                <w:b/>
                <w:color w:val="FFFFFF"/>
                <w:sz w:val="20"/>
                <w:vertAlign w:val="superscript"/>
              </w:rPr>
              <w:t>2</w:t>
            </w:r>
            <w:r>
              <w:rPr>
                <w:rFonts w:ascii="Arial" w:hAnsi="Arial" w:cs="Arial"/>
                <w:b/>
                <w:color w:val="FFFFFF"/>
                <w:sz w:val="20"/>
                <w:vertAlign w:val="superscript"/>
              </w:rPr>
              <w:t xml:space="preserve">   </w:t>
            </w:r>
          </w:p>
        </w:tc>
        <w:tc>
          <w:tcPr>
            <w:tcW w:w="1260" w:type="dxa"/>
            <w:shd w:val="clear" w:color="auto" w:fill="1F497D"/>
          </w:tcPr>
          <w:p w:rsidR="00AC45B7" w:rsidRDefault="00AC45B7" w:rsidP="009027DD">
            <w:pPr>
              <w:spacing w:after="0"/>
              <w:jc w:val="both"/>
              <w:rPr>
                <w:rFonts w:ascii="Arial" w:hAnsi="Arial" w:cs="Arial"/>
                <w:b/>
                <w:color w:val="FFFFFF"/>
                <w:sz w:val="20"/>
              </w:rPr>
            </w:pPr>
            <w:r>
              <w:rPr>
                <w:rFonts w:ascii="Arial" w:hAnsi="Arial" w:cs="Arial"/>
                <w:b/>
                <w:color w:val="FFFFFF"/>
                <w:sz w:val="20"/>
              </w:rPr>
              <w:t>Amount</w:t>
            </w:r>
          </w:p>
          <w:p w:rsidR="00AC45B7" w:rsidRPr="003354D5" w:rsidRDefault="00AC45B7" w:rsidP="009027DD">
            <w:pPr>
              <w:spacing w:after="0"/>
              <w:jc w:val="both"/>
              <w:rPr>
                <w:rFonts w:ascii="Arial" w:hAnsi="Arial" w:cs="Arial"/>
                <w:b/>
                <w:color w:val="FFFFFF"/>
                <w:sz w:val="20"/>
              </w:rPr>
            </w:pPr>
            <w:r>
              <w:rPr>
                <w:rFonts w:ascii="Arial" w:hAnsi="Arial" w:cs="Arial"/>
                <w:b/>
                <w:color w:val="FFFFFF"/>
                <w:sz w:val="20"/>
              </w:rPr>
              <w:t>R</w:t>
            </w:r>
          </w:p>
        </w:tc>
      </w:tr>
      <w:tr w:rsidR="00AC45B7" w:rsidRPr="003354D5" w:rsidTr="008D48ED">
        <w:tc>
          <w:tcPr>
            <w:tcW w:w="1814" w:type="dxa"/>
          </w:tcPr>
          <w:p w:rsidR="00AC45B7" w:rsidRDefault="00AC45B7" w:rsidP="009027DD">
            <w:pPr>
              <w:spacing w:after="0"/>
              <w:jc w:val="both"/>
              <w:rPr>
                <w:rFonts w:ascii="Arial" w:hAnsi="Arial" w:cs="Arial"/>
                <w:sz w:val="20"/>
              </w:rPr>
            </w:pPr>
            <w:r>
              <w:rPr>
                <w:rStyle w:val="FootnoteReference"/>
                <w:rFonts w:ascii="Arial" w:hAnsi="Arial" w:cs="Arial"/>
                <w:sz w:val="20"/>
              </w:rPr>
              <w:footnoteReference w:id="1"/>
            </w:r>
            <w:r>
              <w:rPr>
                <w:rFonts w:ascii="Arial" w:hAnsi="Arial" w:cs="Arial"/>
                <w:sz w:val="20"/>
              </w:rPr>
              <w:t>AC Sigcawu (lessor)</w:t>
            </w:r>
          </w:p>
        </w:tc>
        <w:tc>
          <w:tcPr>
            <w:tcW w:w="1851" w:type="dxa"/>
          </w:tcPr>
          <w:p w:rsidR="00AC45B7" w:rsidRDefault="00AC45B7" w:rsidP="009027DD">
            <w:pPr>
              <w:spacing w:after="0"/>
              <w:jc w:val="both"/>
              <w:rPr>
                <w:rFonts w:ascii="Arial" w:hAnsi="Arial" w:cs="Arial"/>
                <w:sz w:val="20"/>
              </w:rPr>
            </w:pPr>
            <w:r>
              <w:rPr>
                <w:rFonts w:ascii="Arial" w:hAnsi="Arial" w:cs="Arial"/>
                <w:sz w:val="20"/>
              </w:rPr>
              <w:t>Mthatha Regional PMTE: SASSA</w:t>
            </w:r>
          </w:p>
        </w:tc>
        <w:tc>
          <w:tcPr>
            <w:tcW w:w="853" w:type="dxa"/>
          </w:tcPr>
          <w:p w:rsidR="00AC45B7" w:rsidRDefault="00AC45B7" w:rsidP="009027DD">
            <w:pPr>
              <w:spacing w:after="0"/>
              <w:jc w:val="both"/>
              <w:rPr>
                <w:rFonts w:ascii="Arial" w:hAnsi="Arial" w:cs="Arial"/>
                <w:sz w:val="20"/>
              </w:rPr>
            </w:pPr>
          </w:p>
        </w:tc>
        <w:tc>
          <w:tcPr>
            <w:tcW w:w="1170" w:type="dxa"/>
          </w:tcPr>
          <w:p w:rsidR="00AC45B7" w:rsidRDefault="00AC45B7" w:rsidP="009027DD">
            <w:pPr>
              <w:spacing w:after="0"/>
              <w:jc w:val="both"/>
              <w:rPr>
                <w:rFonts w:ascii="Arial" w:hAnsi="Arial" w:cs="Arial"/>
                <w:sz w:val="20"/>
              </w:rPr>
            </w:pPr>
          </w:p>
        </w:tc>
        <w:tc>
          <w:tcPr>
            <w:tcW w:w="1037" w:type="dxa"/>
          </w:tcPr>
          <w:p w:rsidR="00AC45B7" w:rsidRDefault="00AC45B7" w:rsidP="009027DD">
            <w:pPr>
              <w:spacing w:after="0"/>
              <w:jc w:val="both"/>
              <w:rPr>
                <w:rFonts w:ascii="Arial" w:hAnsi="Arial" w:cs="Arial"/>
                <w:sz w:val="20"/>
              </w:rPr>
            </w:pPr>
          </w:p>
        </w:tc>
        <w:tc>
          <w:tcPr>
            <w:tcW w:w="1260" w:type="dxa"/>
          </w:tcPr>
          <w:p w:rsidR="00AC45B7" w:rsidRDefault="00AC45B7" w:rsidP="009027DD">
            <w:pPr>
              <w:spacing w:after="0"/>
              <w:jc w:val="both"/>
              <w:rPr>
                <w:rFonts w:ascii="Arial" w:hAnsi="Arial" w:cs="Arial"/>
                <w:sz w:val="20"/>
              </w:rPr>
            </w:pPr>
            <w:r>
              <w:rPr>
                <w:rFonts w:ascii="Arial" w:hAnsi="Arial" w:cs="Arial"/>
                <w:sz w:val="20"/>
              </w:rPr>
              <w:t>308,51     (8 mths)</w:t>
            </w:r>
          </w:p>
        </w:tc>
      </w:tr>
      <w:tr w:rsidR="00AC45B7" w:rsidRPr="003354D5" w:rsidTr="008D48ED">
        <w:tc>
          <w:tcPr>
            <w:tcW w:w="1814" w:type="dxa"/>
          </w:tcPr>
          <w:p w:rsidR="00AC45B7" w:rsidRDefault="00AC45B7" w:rsidP="009027DD">
            <w:pPr>
              <w:spacing w:after="0"/>
              <w:jc w:val="both"/>
              <w:rPr>
                <w:rFonts w:ascii="Arial" w:hAnsi="Arial" w:cs="Arial"/>
                <w:sz w:val="20"/>
              </w:rPr>
            </w:pPr>
            <w:r>
              <w:rPr>
                <w:rFonts w:ascii="Arial" w:hAnsi="Arial" w:cs="Arial"/>
                <w:sz w:val="20"/>
              </w:rPr>
              <w:t>Continental building (Pretoria)</w:t>
            </w:r>
          </w:p>
        </w:tc>
        <w:tc>
          <w:tcPr>
            <w:tcW w:w="1851" w:type="dxa"/>
          </w:tcPr>
          <w:p w:rsidR="00AC45B7" w:rsidRDefault="00AC45B7" w:rsidP="009027DD">
            <w:pPr>
              <w:spacing w:after="0"/>
              <w:jc w:val="both"/>
              <w:rPr>
                <w:rFonts w:ascii="Arial" w:hAnsi="Arial" w:cs="Arial"/>
                <w:sz w:val="20"/>
              </w:rPr>
            </w:pPr>
            <w:r>
              <w:rPr>
                <w:rFonts w:ascii="Arial" w:hAnsi="Arial" w:cs="Arial"/>
                <w:sz w:val="20"/>
              </w:rPr>
              <w:t>Water Affairs</w:t>
            </w:r>
          </w:p>
        </w:tc>
        <w:tc>
          <w:tcPr>
            <w:tcW w:w="853" w:type="dxa"/>
          </w:tcPr>
          <w:p w:rsidR="00AC45B7" w:rsidRDefault="00AC45B7" w:rsidP="009027DD">
            <w:pPr>
              <w:spacing w:after="0"/>
              <w:jc w:val="both"/>
              <w:rPr>
                <w:rFonts w:ascii="Arial" w:hAnsi="Arial" w:cs="Arial"/>
                <w:sz w:val="20"/>
              </w:rPr>
            </w:pPr>
            <w:r>
              <w:rPr>
                <w:rFonts w:ascii="Arial" w:hAnsi="Arial" w:cs="Arial"/>
                <w:sz w:val="20"/>
              </w:rPr>
              <w:t>4,113</w:t>
            </w:r>
          </w:p>
        </w:tc>
        <w:tc>
          <w:tcPr>
            <w:tcW w:w="1170" w:type="dxa"/>
          </w:tcPr>
          <w:p w:rsidR="00AC45B7" w:rsidRDefault="00AC45B7" w:rsidP="009027DD">
            <w:pPr>
              <w:spacing w:after="0"/>
              <w:jc w:val="both"/>
              <w:rPr>
                <w:rFonts w:ascii="Arial" w:hAnsi="Arial" w:cs="Arial"/>
                <w:sz w:val="20"/>
              </w:rPr>
            </w:pPr>
            <w:r>
              <w:rPr>
                <w:rFonts w:ascii="Arial" w:hAnsi="Arial" w:cs="Arial"/>
                <w:sz w:val="20"/>
              </w:rPr>
              <w:t>4,113 (100%)</w:t>
            </w:r>
          </w:p>
        </w:tc>
        <w:tc>
          <w:tcPr>
            <w:tcW w:w="1037" w:type="dxa"/>
          </w:tcPr>
          <w:p w:rsidR="00AC45B7" w:rsidRDefault="00AC45B7" w:rsidP="009027DD">
            <w:pPr>
              <w:spacing w:after="0"/>
              <w:jc w:val="both"/>
              <w:rPr>
                <w:rFonts w:ascii="Arial" w:hAnsi="Arial" w:cs="Arial"/>
                <w:sz w:val="20"/>
              </w:rPr>
            </w:pPr>
            <w:r>
              <w:rPr>
                <w:rFonts w:ascii="Arial" w:hAnsi="Arial" w:cs="Arial"/>
                <w:sz w:val="20"/>
              </w:rPr>
              <w:t>75.31</w:t>
            </w:r>
          </w:p>
        </w:tc>
        <w:tc>
          <w:tcPr>
            <w:tcW w:w="1260" w:type="dxa"/>
          </w:tcPr>
          <w:p w:rsidR="00AC45B7" w:rsidRDefault="00AC45B7" w:rsidP="009027DD">
            <w:pPr>
              <w:spacing w:after="0"/>
              <w:jc w:val="both"/>
              <w:rPr>
                <w:rFonts w:ascii="Arial" w:hAnsi="Arial" w:cs="Arial"/>
                <w:sz w:val="20"/>
              </w:rPr>
            </w:pPr>
            <w:r>
              <w:rPr>
                <w:rFonts w:ascii="Arial" w:hAnsi="Arial" w:cs="Arial"/>
                <w:sz w:val="20"/>
              </w:rPr>
              <w:t>5,265,677 (17 mths)</w:t>
            </w:r>
          </w:p>
        </w:tc>
      </w:tr>
      <w:tr w:rsidR="00AC45B7" w:rsidRPr="003354D5" w:rsidTr="008D48ED">
        <w:tc>
          <w:tcPr>
            <w:tcW w:w="1814" w:type="dxa"/>
          </w:tcPr>
          <w:p w:rsidR="00AC45B7" w:rsidRDefault="00AC45B7" w:rsidP="009027DD">
            <w:pPr>
              <w:spacing w:after="0"/>
              <w:jc w:val="both"/>
              <w:rPr>
                <w:rFonts w:ascii="Arial" w:hAnsi="Arial" w:cs="Arial"/>
                <w:sz w:val="20"/>
              </w:rPr>
            </w:pPr>
            <w:r>
              <w:rPr>
                <w:rFonts w:ascii="Arial" w:hAnsi="Arial" w:cs="Arial"/>
                <w:sz w:val="20"/>
              </w:rPr>
              <w:t>John Ross House (Durban)</w:t>
            </w:r>
          </w:p>
        </w:tc>
        <w:tc>
          <w:tcPr>
            <w:tcW w:w="1851" w:type="dxa"/>
          </w:tcPr>
          <w:p w:rsidR="00AC45B7" w:rsidRDefault="00AC45B7" w:rsidP="009027DD">
            <w:pPr>
              <w:spacing w:after="0"/>
              <w:jc w:val="both"/>
              <w:rPr>
                <w:rFonts w:ascii="Arial" w:hAnsi="Arial" w:cs="Arial"/>
                <w:sz w:val="20"/>
              </w:rPr>
            </w:pPr>
            <w:r>
              <w:rPr>
                <w:rFonts w:ascii="Arial" w:hAnsi="Arial" w:cs="Arial"/>
                <w:sz w:val="20"/>
              </w:rPr>
              <w:t xml:space="preserve">Durban Regional PMTE: KZN </w:t>
            </w:r>
            <w:r>
              <w:rPr>
                <w:rFonts w:ascii="Arial" w:hAnsi="Arial" w:cs="Arial"/>
                <w:sz w:val="20"/>
              </w:rPr>
              <w:lastRenderedPageBreak/>
              <w:t>Agriculture, Forest &amp; Fisheries</w:t>
            </w:r>
          </w:p>
        </w:tc>
        <w:tc>
          <w:tcPr>
            <w:tcW w:w="853" w:type="dxa"/>
          </w:tcPr>
          <w:p w:rsidR="00AC45B7" w:rsidRDefault="00AC45B7" w:rsidP="009027DD">
            <w:pPr>
              <w:spacing w:after="0"/>
              <w:jc w:val="both"/>
              <w:rPr>
                <w:rFonts w:ascii="Arial" w:hAnsi="Arial" w:cs="Arial"/>
                <w:sz w:val="20"/>
              </w:rPr>
            </w:pPr>
            <w:r>
              <w:rPr>
                <w:rFonts w:ascii="Arial" w:hAnsi="Arial" w:cs="Arial"/>
                <w:sz w:val="20"/>
              </w:rPr>
              <w:lastRenderedPageBreak/>
              <w:t>1,149</w:t>
            </w:r>
          </w:p>
        </w:tc>
        <w:tc>
          <w:tcPr>
            <w:tcW w:w="1170" w:type="dxa"/>
          </w:tcPr>
          <w:p w:rsidR="00AC45B7" w:rsidRDefault="00AC45B7" w:rsidP="009027DD">
            <w:pPr>
              <w:spacing w:after="0"/>
              <w:jc w:val="both"/>
              <w:rPr>
                <w:rFonts w:ascii="Arial" w:hAnsi="Arial" w:cs="Arial"/>
                <w:sz w:val="20"/>
              </w:rPr>
            </w:pPr>
            <w:r>
              <w:rPr>
                <w:rFonts w:ascii="Arial" w:hAnsi="Arial" w:cs="Arial"/>
                <w:sz w:val="20"/>
              </w:rPr>
              <w:t>1,149 (100%)</w:t>
            </w:r>
          </w:p>
        </w:tc>
        <w:tc>
          <w:tcPr>
            <w:tcW w:w="1037" w:type="dxa"/>
          </w:tcPr>
          <w:p w:rsidR="00AC45B7" w:rsidRDefault="00AC45B7" w:rsidP="009027DD">
            <w:pPr>
              <w:spacing w:after="0"/>
              <w:jc w:val="both"/>
              <w:rPr>
                <w:rFonts w:ascii="Arial" w:hAnsi="Arial" w:cs="Arial"/>
                <w:sz w:val="20"/>
              </w:rPr>
            </w:pPr>
            <w:r>
              <w:rPr>
                <w:rFonts w:ascii="Arial" w:hAnsi="Arial" w:cs="Arial"/>
                <w:sz w:val="20"/>
              </w:rPr>
              <w:t>138.75</w:t>
            </w:r>
          </w:p>
        </w:tc>
        <w:tc>
          <w:tcPr>
            <w:tcW w:w="1260" w:type="dxa"/>
          </w:tcPr>
          <w:p w:rsidR="00AC45B7" w:rsidRDefault="00AC45B7" w:rsidP="009027DD">
            <w:pPr>
              <w:spacing w:after="0"/>
              <w:jc w:val="both"/>
              <w:rPr>
                <w:rFonts w:ascii="Arial" w:hAnsi="Arial" w:cs="Arial"/>
                <w:sz w:val="20"/>
              </w:rPr>
            </w:pPr>
            <w:r>
              <w:rPr>
                <w:rFonts w:ascii="Arial" w:hAnsi="Arial" w:cs="Arial"/>
                <w:sz w:val="20"/>
              </w:rPr>
              <w:t>1,115,919 (7 mths)</w:t>
            </w:r>
          </w:p>
        </w:tc>
      </w:tr>
      <w:tr w:rsidR="00AC45B7" w:rsidRPr="003354D5" w:rsidTr="008D48ED">
        <w:tc>
          <w:tcPr>
            <w:tcW w:w="1814" w:type="dxa"/>
          </w:tcPr>
          <w:p w:rsidR="00AC45B7" w:rsidRDefault="00AC45B7" w:rsidP="009027DD">
            <w:pPr>
              <w:spacing w:after="0"/>
              <w:jc w:val="both"/>
              <w:rPr>
                <w:rFonts w:ascii="Arial" w:hAnsi="Arial" w:cs="Arial"/>
                <w:sz w:val="20"/>
              </w:rPr>
            </w:pPr>
            <w:r>
              <w:rPr>
                <w:rFonts w:ascii="Arial" w:hAnsi="Arial" w:cs="Arial"/>
                <w:sz w:val="20"/>
              </w:rPr>
              <w:lastRenderedPageBreak/>
              <w:t>Metropark building (Pretoria)</w:t>
            </w:r>
          </w:p>
        </w:tc>
        <w:tc>
          <w:tcPr>
            <w:tcW w:w="1851" w:type="dxa"/>
          </w:tcPr>
          <w:p w:rsidR="00AC45B7" w:rsidRDefault="00AC45B7" w:rsidP="009027DD">
            <w:pPr>
              <w:spacing w:after="0"/>
              <w:jc w:val="both"/>
              <w:rPr>
                <w:rFonts w:ascii="Arial" w:hAnsi="Arial" w:cs="Arial"/>
                <w:sz w:val="20"/>
              </w:rPr>
            </w:pPr>
            <w:r>
              <w:rPr>
                <w:rFonts w:ascii="Arial" w:hAnsi="Arial" w:cs="Arial"/>
                <w:sz w:val="20"/>
              </w:rPr>
              <w:t>National: Human Settlements</w:t>
            </w:r>
          </w:p>
        </w:tc>
        <w:tc>
          <w:tcPr>
            <w:tcW w:w="853" w:type="dxa"/>
          </w:tcPr>
          <w:p w:rsidR="00AC45B7" w:rsidRDefault="00AC45B7" w:rsidP="009027DD">
            <w:pPr>
              <w:spacing w:after="0"/>
              <w:jc w:val="both"/>
              <w:rPr>
                <w:rFonts w:ascii="Arial" w:hAnsi="Arial" w:cs="Arial"/>
                <w:sz w:val="20"/>
              </w:rPr>
            </w:pPr>
            <w:r>
              <w:rPr>
                <w:rFonts w:ascii="Arial" w:hAnsi="Arial" w:cs="Arial"/>
                <w:sz w:val="20"/>
              </w:rPr>
              <w:t>2,468</w:t>
            </w:r>
          </w:p>
        </w:tc>
        <w:tc>
          <w:tcPr>
            <w:tcW w:w="1170" w:type="dxa"/>
          </w:tcPr>
          <w:p w:rsidR="00AC45B7" w:rsidRDefault="00AC45B7" w:rsidP="009027DD">
            <w:pPr>
              <w:spacing w:after="0"/>
              <w:jc w:val="both"/>
              <w:rPr>
                <w:rFonts w:ascii="Arial" w:hAnsi="Arial" w:cs="Arial"/>
                <w:sz w:val="20"/>
              </w:rPr>
            </w:pPr>
            <w:r>
              <w:rPr>
                <w:rFonts w:ascii="Arial" w:hAnsi="Arial" w:cs="Arial"/>
                <w:sz w:val="20"/>
              </w:rPr>
              <w:t>1,234 (50%)</w:t>
            </w:r>
          </w:p>
        </w:tc>
        <w:tc>
          <w:tcPr>
            <w:tcW w:w="1037" w:type="dxa"/>
          </w:tcPr>
          <w:p w:rsidR="00AC45B7" w:rsidRDefault="00AC45B7" w:rsidP="009027DD">
            <w:pPr>
              <w:spacing w:after="0"/>
              <w:jc w:val="both"/>
              <w:rPr>
                <w:rFonts w:ascii="Arial" w:hAnsi="Arial" w:cs="Arial"/>
                <w:sz w:val="20"/>
              </w:rPr>
            </w:pPr>
            <w:r>
              <w:rPr>
                <w:rFonts w:ascii="Arial" w:hAnsi="Arial" w:cs="Arial"/>
                <w:sz w:val="20"/>
              </w:rPr>
              <w:t>43.79</w:t>
            </w:r>
          </w:p>
        </w:tc>
        <w:tc>
          <w:tcPr>
            <w:tcW w:w="1260" w:type="dxa"/>
          </w:tcPr>
          <w:p w:rsidR="00AC45B7" w:rsidRDefault="00AC45B7" w:rsidP="009027DD">
            <w:pPr>
              <w:spacing w:after="0"/>
              <w:ind w:left="-18"/>
              <w:jc w:val="both"/>
              <w:rPr>
                <w:rFonts w:ascii="Arial" w:hAnsi="Arial" w:cs="Arial"/>
                <w:sz w:val="20"/>
              </w:rPr>
            </w:pPr>
            <w:r>
              <w:rPr>
                <w:rFonts w:ascii="Arial" w:hAnsi="Arial" w:cs="Arial"/>
                <w:sz w:val="20"/>
              </w:rPr>
              <w:t xml:space="preserve">3,241,878 </w:t>
            </w:r>
          </w:p>
          <w:p w:rsidR="00AC45B7" w:rsidRDefault="00AC45B7" w:rsidP="009027DD">
            <w:pPr>
              <w:spacing w:after="0"/>
              <w:ind w:left="-18"/>
              <w:jc w:val="both"/>
              <w:rPr>
                <w:rFonts w:ascii="Arial" w:hAnsi="Arial" w:cs="Arial"/>
                <w:sz w:val="20"/>
              </w:rPr>
            </w:pPr>
            <w:r>
              <w:rPr>
                <w:rFonts w:ascii="Arial" w:hAnsi="Arial" w:cs="Arial"/>
                <w:sz w:val="20"/>
              </w:rPr>
              <w:t>(60 mths)</w:t>
            </w:r>
          </w:p>
        </w:tc>
      </w:tr>
      <w:tr w:rsidR="00AC45B7" w:rsidRPr="003354D5" w:rsidTr="008D48ED">
        <w:tc>
          <w:tcPr>
            <w:tcW w:w="1814" w:type="dxa"/>
          </w:tcPr>
          <w:p w:rsidR="00AC45B7" w:rsidRDefault="00AC45B7" w:rsidP="009027DD">
            <w:pPr>
              <w:spacing w:after="0"/>
              <w:jc w:val="both"/>
              <w:rPr>
                <w:rFonts w:ascii="Arial" w:hAnsi="Arial" w:cs="Arial"/>
                <w:sz w:val="20"/>
              </w:rPr>
            </w:pPr>
            <w:r>
              <w:rPr>
                <w:rFonts w:ascii="Arial" w:hAnsi="Arial" w:cs="Arial"/>
                <w:sz w:val="20"/>
              </w:rPr>
              <w:t>Nedpark building (Pretoria)</w:t>
            </w:r>
          </w:p>
        </w:tc>
        <w:tc>
          <w:tcPr>
            <w:tcW w:w="1851" w:type="dxa"/>
          </w:tcPr>
          <w:p w:rsidR="00AC45B7" w:rsidRDefault="00AC45B7" w:rsidP="009027DD">
            <w:pPr>
              <w:spacing w:after="0"/>
              <w:jc w:val="both"/>
              <w:rPr>
                <w:rFonts w:ascii="Arial" w:hAnsi="Arial" w:cs="Arial"/>
                <w:sz w:val="20"/>
              </w:rPr>
            </w:pPr>
            <w:r>
              <w:rPr>
                <w:rFonts w:ascii="Arial" w:hAnsi="Arial" w:cs="Arial"/>
                <w:sz w:val="20"/>
              </w:rPr>
              <w:t>Trade &amp; Industry (CIPRO)</w:t>
            </w:r>
          </w:p>
        </w:tc>
        <w:tc>
          <w:tcPr>
            <w:tcW w:w="853" w:type="dxa"/>
          </w:tcPr>
          <w:p w:rsidR="00AC45B7" w:rsidRDefault="00AC45B7" w:rsidP="009027DD">
            <w:pPr>
              <w:spacing w:after="0"/>
              <w:jc w:val="both"/>
              <w:rPr>
                <w:rFonts w:ascii="Arial" w:hAnsi="Arial" w:cs="Arial"/>
                <w:sz w:val="20"/>
              </w:rPr>
            </w:pPr>
            <w:r>
              <w:rPr>
                <w:rFonts w:ascii="Arial" w:hAnsi="Arial" w:cs="Arial"/>
                <w:sz w:val="20"/>
              </w:rPr>
              <w:t>12,878</w:t>
            </w:r>
          </w:p>
        </w:tc>
        <w:tc>
          <w:tcPr>
            <w:tcW w:w="1170" w:type="dxa"/>
          </w:tcPr>
          <w:p w:rsidR="00AC45B7" w:rsidRDefault="00AC45B7" w:rsidP="009027DD">
            <w:pPr>
              <w:spacing w:after="0"/>
              <w:jc w:val="both"/>
              <w:rPr>
                <w:rFonts w:ascii="Arial" w:hAnsi="Arial" w:cs="Arial"/>
                <w:sz w:val="20"/>
              </w:rPr>
            </w:pPr>
            <w:r>
              <w:rPr>
                <w:rFonts w:ascii="Arial" w:hAnsi="Arial" w:cs="Arial"/>
                <w:sz w:val="20"/>
              </w:rPr>
              <w:t>12,878 (100%)</w:t>
            </w:r>
          </w:p>
        </w:tc>
        <w:tc>
          <w:tcPr>
            <w:tcW w:w="1037" w:type="dxa"/>
          </w:tcPr>
          <w:p w:rsidR="00AC45B7" w:rsidRDefault="00AC45B7" w:rsidP="009027DD">
            <w:pPr>
              <w:spacing w:after="0"/>
              <w:jc w:val="both"/>
              <w:rPr>
                <w:rFonts w:ascii="Arial" w:hAnsi="Arial" w:cs="Arial"/>
                <w:sz w:val="20"/>
              </w:rPr>
            </w:pPr>
            <w:r>
              <w:rPr>
                <w:rFonts w:ascii="Arial" w:hAnsi="Arial" w:cs="Arial"/>
                <w:sz w:val="20"/>
              </w:rPr>
              <w:t>198.22</w:t>
            </w:r>
          </w:p>
        </w:tc>
        <w:tc>
          <w:tcPr>
            <w:tcW w:w="1260" w:type="dxa"/>
          </w:tcPr>
          <w:p w:rsidR="00AC45B7" w:rsidRDefault="00AC45B7" w:rsidP="009027DD">
            <w:pPr>
              <w:spacing w:after="0"/>
              <w:jc w:val="both"/>
              <w:rPr>
                <w:rFonts w:ascii="Arial" w:hAnsi="Arial" w:cs="Arial"/>
                <w:sz w:val="20"/>
              </w:rPr>
            </w:pPr>
            <w:r>
              <w:rPr>
                <w:rFonts w:ascii="Arial" w:hAnsi="Arial" w:cs="Arial"/>
                <w:sz w:val="20"/>
              </w:rPr>
              <w:t>48,500,000 (19 mths)</w:t>
            </w:r>
          </w:p>
        </w:tc>
      </w:tr>
      <w:tr w:rsidR="00AC45B7" w:rsidRPr="003354D5" w:rsidTr="008D48ED">
        <w:tc>
          <w:tcPr>
            <w:tcW w:w="1814" w:type="dxa"/>
          </w:tcPr>
          <w:p w:rsidR="00AC45B7" w:rsidRDefault="00AC45B7" w:rsidP="009027DD">
            <w:pPr>
              <w:spacing w:after="0"/>
              <w:jc w:val="both"/>
              <w:rPr>
                <w:rFonts w:ascii="Arial" w:hAnsi="Arial" w:cs="Arial"/>
                <w:sz w:val="20"/>
              </w:rPr>
            </w:pPr>
            <w:r>
              <w:rPr>
                <w:rFonts w:ascii="Arial" w:hAnsi="Arial" w:cs="Arial"/>
                <w:sz w:val="20"/>
              </w:rPr>
              <w:t>Oranje-Nassau building (Pretoria)</w:t>
            </w:r>
          </w:p>
        </w:tc>
        <w:tc>
          <w:tcPr>
            <w:tcW w:w="1851" w:type="dxa"/>
          </w:tcPr>
          <w:p w:rsidR="00AC45B7" w:rsidRDefault="00AC45B7" w:rsidP="009027DD">
            <w:pPr>
              <w:spacing w:after="0"/>
              <w:jc w:val="both"/>
              <w:rPr>
                <w:rFonts w:ascii="Arial" w:hAnsi="Arial" w:cs="Arial"/>
                <w:sz w:val="20"/>
              </w:rPr>
            </w:pPr>
            <w:r>
              <w:rPr>
                <w:rFonts w:ascii="Arial" w:hAnsi="Arial" w:cs="Arial"/>
                <w:sz w:val="20"/>
              </w:rPr>
              <w:t>National: Public Works</w:t>
            </w:r>
          </w:p>
        </w:tc>
        <w:tc>
          <w:tcPr>
            <w:tcW w:w="853" w:type="dxa"/>
          </w:tcPr>
          <w:p w:rsidR="00AC45B7" w:rsidRDefault="00AC45B7" w:rsidP="009027DD">
            <w:pPr>
              <w:spacing w:after="0"/>
              <w:jc w:val="both"/>
              <w:rPr>
                <w:rFonts w:ascii="Arial" w:hAnsi="Arial" w:cs="Arial"/>
                <w:sz w:val="20"/>
              </w:rPr>
            </w:pPr>
            <w:r>
              <w:rPr>
                <w:rFonts w:ascii="Arial" w:hAnsi="Arial" w:cs="Arial"/>
                <w:sz w:val="20"/>
              </w:rPr>
              <w:t>15,400</w:t>
            </w:r>
          </w:p>
        </w:tc>
        <w:tc>
          <w:tcPr>
            <w:tcW w:w="1170" w:type="dxa"/>
          </w:tcPr>
          <w:p w:rsidR="00AC45B7" w:rsidRDefault="00AC45B7" w:rsidP="009027DD">
            <w:pPr>
              <w:spacing w:after="0"/>
              <w:jc w:val="both"/>
              <w:rPr>
                <w:rFonts w:ascii="Arial" w:hAnsi="Arial" w:cs="Arial"/>
                <w:sz w:val="20"/>
              </w:rPr>
            </w:pPr>
            <w:r>
              <w:rPr>
                <w:rFonts w:ascii="Arial" w:hAnsi="Arial" w:cs="Arial"/>
                <w:sz w:val="20"/>
              </w:rPr>
              <w:t>15,400 (100%)</w:t>
            </w:r>
          </w:p>
        </w:tc>
        <w:tc>
          <w:tcPr>
            <w:tcW w:w="1037" w:type="dxa"/>
          </w:tcPr>
          <w:p w:rsidR="00AC45B7" w:rsidRDefault="00AC45B7" w:rsidP="009027DD">
            <w:pPr>
              <w:spacing w:after="0"/>
              <w:jc w:val="both"/>
              <w:rPr>
                <w:rFonts w:ascii="Arial" w:hAnsi="Arial" w:cs="Arial"/>
                <w:sz w:val="20"/>
              </w:rPr>
            </w:pPr>
            <w:r>
              <w:rPr>
                <w:rFonts w:ascii="Arial" w:hAnsi="Arial" w:cs="Arial"/>
                <w:sz w:val="20"/>
              </w:rPr>
              <w:t>103.75</w:t>
            </w:r>
          </w:p>
        </w:tc>
        <w:tc>
          <w:tcPr>
            <w:tcW w:w="1260" w:type="dxa"/>
          </w:tcPr>
          <w:p w:rsidR="00AC45B7" w:rsidRDefault="00AC45B7" w:rsidP="009027DD">
            <w:pPr>
              <w:spacing w:after="0"/>
              <w:jc w:val="both"/>
              <w:rPr>
                <w:rFonts w:ascii="Arial" w:hAnsi="Arial" w:cs="Arial"/>
                <w:sz w:val="20"/>
              </w:rPr>
            </w:pPr>
            <w:r>
              <w:rPr>
                <w:rFonts w:ascii="Arial" w:hAnsi="Arial" w:cs="Arial"/>
                <w:sz w:val="20"/>
              </w:rPr>
              <w:t xml:space="preserve">1,598,305 (1 mth)  </w:t>
            </w:r>
          </w:p>
        </w:tc>
      </w:tr>
      <w:tr w:rsidR="00AC45B7" w:rsidRPr="003354D5" w:rsidTr="008D48ED">
        <w:tc>
          <w:tcPr>
            <w:tcW w:w="1814" w:type="dxa"/>
          </w:tcPr>
          <w:p w:rsidR="00AC45B7" w:rsidRPr="003354D5" w:rsidRDefault="00AC45B7" w:rsidP="009027DD">
            <w:pPr>
              <w:spacing w:after="0"/>
              <w:jc w:val="both"/>
              <w:rPr>
                <w:rFonts w:ascii="Arial" w:hAnsi="Arial" w:cs="Arial"/>
                <w:sz w:val="20"/>
              </w:rPr>
            </w:pPr>
            <w:r>
              <w:rPr>
                <w:rFonts w:ascii="Arial" w:hAnsi="Arial" w:cs="Arial"/>
                <w:sz w:val="20"/>
              </w:rPr>
              <w:t>SALU building (Pretoria)</w:t>
            </w:r>
          </w:p>
        </w:tc>
        <w:tc>
          <w:tcPr>
            <w:tcW w:w="1851" w:type="dxa"/>
          </w:tcPr>
          <w:p w:rsidR="00AC45B7" w:rsidRPr="003354D5" w:rsidRDefault="00AC45B7" w:rsidP="009027DD">
            <w:pPr>
              <w:spacing w:after="0"/>
              <w:jc w:val="both"/>
              <w:rPr>
                <w:rFonts w:ascii="Arial" w:hAnsi="Arial" w:cs="Arial"/>
                <w:sz w:val="20"/>
              </w:rPr>
            </w:pPr>
            <w:r>
              <w:rPr>
                <w:rFonts w:ascii="Arial" w:hAnsi="Arial" w:cs="Arial"/>
                <w:sz w:val="20"/>
              </w:rPr>
              <w:t>Justice</w:t>
            </w:r>
          </w:p>
        </w:tc>
        <w:tc>
          <w:tcPr>
            <w:tcW w:w="853" w:type="dxa"/>
          </w:tcPr>
          <w:p w:rsidR="00AC45B7" w:rsidRPr="003354D5" w:rsidRDefault="00AC45B7" w:rsidP="009027DD">
            <w:pPr>
              <w:spacing w:after="0"/>
              <w:jc w:val="both"/>
              <w:rPr>
                <w:rFonts w:ascii="Arial" w:hAnsi="Arial" w:cs="Arial"/>
                <w:sz w:val="20"/>
              </w:rPr>
            </w:pPr>
            <w:r>
              <w:rPr>
                <w:rFonts w:ascii="Arial" w:hAnsi="Arial" w:cs="Arial"/>
                <w:sz w:val="20"/>
              </w:rPr>
              <w:t>27,782</w:t>
            </w:r>
          </w:p>
        </w:tc>
        <w:tc>
          <w:tcPr>
            <w:tcW w:w="1170" w:type="dxa"/>
          </w:tcPr>
          <w:p w:rsidR="00AC45B7" w:rsidRPr="003354D5" w:rsidRDefault="00AC45B7" w:rsidP="009027DD">
            <w:pPr>
              <w:spacing w:after="0"/>
              <w:jc w:val="both"/>
              <w:rPr>
                <w:rFonts w:ascii="Arial" w:hAnsi="Arial" w:cs="Arial"/>
                <w:sz w:val="20"/>
              </w:rPr>
            </w:pPr>
            <w:r>
              <w:rPr>
                <w:rFonts w:ascii="Arial" w:hAnsi="Arial" w:cs="Arial"/>
                <w:sz w:val="20"/>
              </w:rPr>
              <w:t>27,782 (100%)</w:t>
            </w:r>
          </w:p>
        </w:tc>
        <w:tc>
          <w:tcPr>
            <w:tcW w:w="1037" w:type="dxa"/>
          </w:tcPr>
          <w:p w:rsidR="00AC45B7" w:rsidRPr="003354D5" w:rsidRDefault="00AC45B7" w:rsidP="009027DD">
            <w:pPr>
              <w:spacing w:after="0"/>
              <w:jc w:val="both"/>
              <w:rPr>
                <w:rFonts w:ascii="Arial" w:hAnsi="Arial" w:cs="Arial"/>
                <w:sz w:val="20"/>
              </w:rPr>
            </w:pPr>
            <w:r>
              <w:rPr>
                <w:rFonts w:ascii="Arial" w:hAnsi="Arial" w:cs="Arial"/>
                <w:sz w:val="20"/>
              </w:rPr>
              <w:t>120.81</w:t>
            </w:r>
          </w:p>
        </w:tc>
        <w:tc>
          <w:tcPr>
            <w:tcW w:w="1260" w:type="dxa"/>
          </w:tcPr>
          <w:p w:rsidR="00AC45B7" w:rsidRPr="003354D5" w:rsidRDefault="00AC45B7" w:rsidP="009027DD">
            <w:pPr>
              <w:spacing w:after="0"/>
              <w:jc w:val="both"/>
              <w:rPr>
                <w:rFonts w:ascii="Arial" w:hAnsi="Arial" w:cs="Arial"/>
                <w:sz w:val="20"/>
              </w:rPr>
            </w:pPr>
            <w:r>
              <w:rPr>
                <w:rFonts w:ascii="Arial" w:hAnsi="Arial" w:cs="Arial"/>
                <w:sz w:val="20"/>
              </w:rPr>
              <w:t>73,834,651 (22 mths)</w:t>
            </w:r>
          </w:p>
        </w:tc>
      </w:tr>
      <w:tr w:rsidR="00AC45B7" w:rsidRPr="003354D5" w:rsidTr="008D48ED">
        <w:tc>
          <w:tcPr>
            <w:tcW w:w="1814" w:type="dxa"/>
          </w:tcPr>
          <w:p w:rsidR="00AC45B7" w:rsidRPr="003354D5" w:rsidRDefault="00AC45B7" w:rsidP="009027DD">
            <w:pPr>
              <w:spacing w:after="0"/>
              <w:jc w:val="both"/>
              <w:rPr>
                <w:rFonts w:ascii="Arial" w:hAnsi="Arial" w:cs="Arial"/>
                <w:sz w:val="20"/>
              </w:rPr>
            </w:pPr>
            <w:r>
              <w:rPr>
                <w:rFonts w:ascii="Arial" w:hAnsi="Arial" w:cs="Arial"/>
                <w:sz w:val="20"/>
              </w:rPr>
              <w:t>Sinodale building (Pretoria)</w:t>
            </w:r>
          </w:p>
        </w:tc>
        <w:tc>
          <w:tcPr>
            <w:tcW w:w="1851" w:type="dxa"/>
          </w:tcPr>
          <w:p w:rsidR="00AC45B7" w:rsidRPr="003354D5" w:rsidRDefault="00AC45B7" w:rsidP="009027DD">
            <w:pPr>
              <w:spacing w:after="0"/>
              <w:jc w:val="both"/>
              <w:rPr>
                <w:rFonts w:ascii="Arial" w:hAnsi="Arial" w:cs="Arial"/>
                <w:sz w:val="20"/>
              </w:rPr>
            </w:pPr>
            <w:r>
              <w:rPr>
                <w:rFonts w:ascii="Arial" w:hAnsi="Arial" w:cs="Arial"/>
                <w:sz w:val="20"/>
              </w:rPr>
              <w:t>Minerals &amp; Energy</w:t>
            </w:r>
          </w:p>
        </w:tc>
        <w:tc>
          <w:tcPr>
            <w:tcW w:w="853" w:type="dxa"/>
          </w:tcPr>
          <w:p w:rsidR="00AC45B7" w:rsidRPr="003354D5" w:rsidRDefault="00AC45B7" w:rsidP="009027DD">
            <w:pPr>
              <w:spacing w:after="0"/>
              <w:jc w:val="both"/>
              <w:rPr>
                <w:rFonts w:ascii="Arial" w:hAnsi="Arial" w:cs="Arial"/>
                <w:sz w:val="20"/>
              </w:rPr>
            </w:pPr>
            <w:r>
              <w:rPr>
                <w:rFonts w:ascii="Arial" w:hAnsi="Arial" w:cs="Arial"/>
                <w:sz w:val="20"/>
              </w:rPr>
              <w:t>16,358</w:t>
            </w:r>
          </w:p>
        </w:tc>
        <w:tc>
          <w:tcPr>
            <w:tcW w:w="1170" w:type="dxa"/>
          </w:tcPr>
          <w:p w:rsidR="00AC45B7" w:rsidRPr="003354D5" w:rsidRDefault="00AC45B7" w:rsidP="009027DD">
            <w:pPr>
              <w:spacing w:after="0"/>
              <w:jc w:val="both"/>
              <w:rPr>
                <w:rFonts w:ascii="Arial" w:hAnsi="Arial" w:cs="Arial"/>
                <w:sz w:val="20"/>
              </w:rPr>
            </w:pPr>
            <w:r>
              <w:rPr>
                <w:rFonts w:ascii="Arial" w:hAnsi="Arial" w:cs="Arial"/>
                <w:sz w:val="20"/>
              </w:rPr>
              <w:t>16,358 (100%)</w:t>
            </w:r>
          </w:p>
        </w:tc>
        <w:tc>
          <w:tcPr>
            <w:tcW w:w="1037" w:type="dxa"/>
          </w:tcPr>
          <w:p w:rsidR="00AC45B7" w:rsidRPr="003354D5" w:rsidRDefault="00AC45B7" w:rsidP="009027DD">
            <w:pPr>
              <w:spacing w:after="0"/>
              <w:jc w:val="both"/>
              <w:rPr>
                <w:rFonts w:ascii="Arial" w:hAnsi="Arial" w:cs="Arial"/>
                <w:sz w:val="20"/>
              </w:rPr>
            </w:pPr>
            <w:r>
              <w:rPr>
                <w:rFonts w:ascii="Arial" w:hAnsi="Arial" w:cs="Arial"/>
                <w:sz w:val="20"/>
              </w:rPr>
              <w:t>71.63</w:t>
            </w:r>
          </w:p>
        </w:tc>
        <w:tc>
          <w:tcPr>
            <w:tcW w:w="1260" w:type="dxa"/>
          </w:tcPr>
          <w:p w:rsidR="00AC45B7" w:rsidRPr="003354D5" w:rsidRDefault="00AC45B7" w:rsidP="009027DD">
            <w:pPr>
              <w:spacing w:after="0"/>
              <w:jc w:val="both"/>
              <w:rPr>
                <w:rFonts w:ascii="Arial" w:hAnsi="Arial" w:cs="Arial"/>
                <w:sz w:val="20"/>
              </w:rPr>
            </w:pPr>
            <w:r>
              <w:rPr>
                <w:rFonts w:ascii="Arial" w:hAnsi="Arial" w:cs="Arial"/>
                <w:sz w:val="20"/>
              </w:rPr>
              <w:t>14,353,225 (28 mths)</w:t>
            </w:r>
          </w:p>
        </w:tc>
      </w:tr>
      <w:tr w:rsidR="00AC45B7" w:rsidRPr="003354D5" w:rsidTr="008D48ED">
        <w:tc>
          <w:tcPr>
            <w:tcW w:w="1814" w:type="dxa"/>
          </w:tcPr>
          <w:p w:rsidR="00AC45B7" w:rsidRPr="003354D5" w:rsidRDefault="00AC45B7" w:rsidP="009027DD">
            <w:pPr>
              <w:spacing w:after="0"/>
              <w:jc w:val="both"/>
              <w:rPr>
                <w:rFonts w:ascii="Arial" w:hAnsi="Arial" w:cs="Arial"/>
                <w:sz w:val="20"/>
              </w:rPr>
            </w:pPr>
            <w:r>
              <w:rPr>
                <w:rFonts w:ascii="Arial" w:hAnsi="Arial" w:cs="Arial"/>
                <w:sz w:val="20"/>
              </w:rPr>
              <w:t>Waltloo building (Pretoria)</w:t>
            </w:r>
          </w:p>
        </w:tc>
        <w:tc>
          <w:tcPr>
            <w:tcW w:w="1851" w:type="dxa"/>
          </w:tcPr>
          <w:p w:rsidR="00AC45B7" w:rsidRPr="003354D5" w:rsidRDefault="00AC45B7" w:rsidP="009027DD">
            <w:pPr>
              <w:spacing w:after="0"/>
              <w:jc w:val="both"/>
              <w:rPr>
                <w:rFonts w:ascii="Arial" w:hAnsi="Arial" w:cs="Arial"/>
                <w:sz w:val="20"/>
              </w:rPr>
            </w:pPr>
            <w:r>
              <w:rPr>
                <w:rFonts w:ascii="Arial" w:hAnsi="Arial" w:cs="Arial"/>
                <w:sz w:val="20"/>
              </w:rPr>
              <w:t>Home Affairs</w:t>
            </w:r>
          </w:p>
        </w:tc>
        <w:tc>
          <w:tcPr>
            <w:tcW w:w="853" w:type="dxa"/>
          </w:tcPr>
          <w:p w:rsidR="00AC45B7" w:rsidRPr="003354D5" w:rsidRDefault="00AC45B7" w:rsidP="009027DD">
            <w:pPr>
              <w:spacing w:after="0"/>
              <w:jc w:val="both"/>
              <w:rPr>
                <w:rFonts w:ascii="Arial" w:hAnsi="Arial" w:cs="Arial"/>
                <w:sz w:val="20"/>
              </w:rPr>
            </w:pPr>
            <w:r>
              <w:rPr>
                <w:rFonts w:ascii="Arial" w:hAnsi="Arial" w:cs="Arial"/>
                <w:sz w:val="20"/>
              </w:rPr>
              <w:t>30,858</w:t>
            </w:r>
          </w:p>
        </w:tc>
        <w:tc>
          <w:tcPr>
            <w:tcW w:w="1170" w:type="dxa"/>
          </w:tcPr>
          <w:p w:rsidR="00AC45B7" w:rsidRPr="003354D5" w:rsidRDefault="00AC45B7" w:rsidP="009027DD">
            <w:pPr>
              <w:spacing w:after="0"/>
              <w:jc w:val="both"/>
              <w:rPr>
                <w:rFonts w:ascii="Arial" w:hAnsi="Arial" w:cs="Arial"/>
                <w:sz w:val="20"/>
              </w:rPr>
            </w:pPr>
            <w:r>
              <w:rPr>
                <w:rFonts w:ascii="Arial" w:hAnsi="Arial" w:cs="Arial"/>
                <w:sz w:val="20"/>
              </w:rPr>
              <w:t>26,858 (81%)</w:t>
            </w:r>
          </w:p>
        </w:tc>
        <w:tc>
          <w:tcPr>
            <w:tcW w:w="1037" w:type="dxa"/>
          </w:tcPr>
          <w:p w:rsidR="00AC45B7" w:rsidRPr="003354D5" w:rsidRDefault="00AC45B7" w:rsidP="009027DD">
            <w:pPr>
              <w:spacing w:after="0"/>
              <w:jc w:val="both"/>
              <w:rPr>
                <w:rFonts w:ascii="Arial" w:hAnsi="Arial" w:cs="Arial"/>
                <w:sz w:val="20"/>
              </w:rPr>
            </w:pPr>
            <w:r>
              <w:rPr>
                <w:rFonts w:ascii="Arial" w:hAnsi="Arial" w:cs="Arial"/>
                <w:sz w:val="20"/>
              </w:rPr>
              <w:t>61.34</w:t>
            </w:r>
          </w:p>
        </w:tc>
        <w:tc>
          <w:tcPr>
            <w:tcW w:w="1260" w:type="dxa"/>
          </w:tcPr>
          <w:p w:rsidR="00AC45B7" w:rsidRPr="003354D5" w:rsidRDefault="00AC45B7" w:rsidP="009027DD">
            <w:pPr>
              <w:spacing w:after="0"/>
              <w:jc w:val="both"/>
              <w:rPr>
                <w:rFonts w:ascii="Arial" w:hAnsi="Arial" w:cs="Arial"/>
                <w:sz w:val="20"/>
              </w:rPr>
            </w:pPr>
            <w:r>
              <w:rPr>
                <w:rFonts w:ascii="Arial" w:hAnsi="Arial" w:cs="Arial"/>
                <w:sz w:val="20"/>
              </w:rPr>
              <w:t>11,532,309 (7 mths)</w:t>
            </w:r>
          </w:p>
        </w:tc>
      </w:tr>
    </w:tbl>
    <w:p w:rsidR="00AC45B7" w:rsidRDefault="00AC45B7" w:rsidP="009027DD">
      <w:pPr>
        <w:spacing w:after="0"/>
        <w:jc w:val="both"/>
        <w:rPr>
          <w:rFonts w:ascii="Arial" w:hAnsi="Arial" w:cs="Arial"/>
        </w:rPr>
      </w:pPr>
    </w:p>
    <w:p w:rsidR="00AC45B7" w:rsidRPr="008A35D9" w:rsidRDefault="00AC45B7" w:rsidP="009027DD">
      <w:pPr>
        <w:spacing w:after="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6.7</w:t>
      </w:r>
      <w:r>
        <w:rPr>
          <w:rFonts w:ascii="Arial" w:hAnsi="Arial" w:cs="Arial"/>
        </w:rPr>
        <w:tab/>
        <w:t xml:space="preserve">PMTE did not always follow up to ensure that shortcomings identified in buildings before moving in are adequately addressed by the landlord or that buildings are maintained to a satisfactory state.  </w:t>
      </w:r>
      <w:r w:rsidRPr="00F7299B">
        <w:rPr>
          <w:rFonts w:ascii="Arial" w:hAnsi="Arial" w:cs="Arial"/>
        </w:rPr>
        <w:t>For example City Forum building was leased for the Independent Complaints Directorate and all the lifts in the building do not work. Although this was identified before the client departmen</w:t>
      </w:r>
      <w:r>
        <w:rPr>
          <w:rFonts w:ascii="Arial" w:hAnsi="Arial" w:cs="Arial"/>
        </w:rPr>
        <w:t>t moved in, the situation existed</w:t>
      </w:r>
      <w:r w:rsidRPr="00F7299B">
        <w:rPr>
          <w:rFonts w:ascii="Arial" w:hAnsi="Arial" w:cs="Arial"/>
        </w:rPr>
        <w:t xml:space="preserve"> two years later</w:t>
      </w:r>
      <w:r>
        <w:rPr>
          <w:rFonts w:ascii="Arial" w:hAnsi="Arial" w:cs="Arial"/>
        </w:rPr>
        <w:t>.</w:t>
      </w:r>
    </w:p>
    <w:p w:rsidR="00AC45B7" w:rsidRDefault="00AC45B7" w:rsidP="009027DD">
      <w:pPr>
        <w:spacing w:after="0"/>
        <w:ind w:left="720" w:hanging="720"/>
        <w:jc w:val="both"/>
        <w:rPr>
          <w:rFonts w:ascii="Arial" w:hAnsi="Arial" w:cs="Arial"/>
        </w:rPr>
      </w:pPr>
    </w:p>
    <w:p w:rsidR="00AC45B7" w:rsidRDefault="00AC45B7" w:rsidP="009027DD">
      <w:pPr>
        <w:spacing w:after="0"/>
        <w:ind w:left="720" w:hanging="720"/>
        <w:jc w:val="both"/>
        <w:rPr>
          <w:rFonts w:ascii="Arial" w:hAnsi="Arial" w:cs="Arial"/>
        </w:rPr>
      </w:pPr>
      <w:r>
        <w:rPr>
          <w:rFonts w:ascii="Arial" w:hAnsi="Arial" w:cs="Arial"/>
        </w:rPr>
        <w:t>6.8</w:t>
      </w:r>
      <w:r>
        <w:rPr>
          <w:rFonts w:ascii="Arial" w:hAnsi="Arial" w:cs="Arial"/>
        </w:rPr>
        <w:tab/>
        <w:t>The following route causes were identified:</w:t>
      </w:r>
    </w:p>
    <w:p w:rsidR="00AC45B7" w:rsidRDefault="00AC45B7" w:rsidP="009027DD">
      <w:pPr>
        <w:pStyle w:val="ListParagraph"/>
        <w:numPr>
          <w:ilvl w:val="0"/>
          <w:numId w:val="19"/>
        </w:numPr>
        <w:tabs>
          <w:tab w:val="clear" w:pos="720"/>
          <w:tab w:val="num" w:pos="1440"/>
        </w:tabs>
        <w:spacing w:after="0"/>
        <w:ind w:left="1440" w:hanging="720"/>
        <w:jc w:val="both"/>
        <w:rPr>
          <w:rFonts w:ascii="Arial" w:hAnsi="Arial" w:cs="Arial"/>
        </w:rPr>
      </w:pPr>
      <w:r>
        <w:rPr>
          <w:rFonts w:ascii="Arial" w:hAnsi="Arial" w:cs="Arial"/>
        </w:rPr>
        <w:t>PMTE</w:t>
      </w:r>
      <w:r w:rsidRPr="008A35D9">
        <w:rPr>
          <w:rFonts w:ascii="Arial" w:hAnsi="Arial" w:cs="Arial"/>
        </w:rPr>
        <w:t xml:space="preserve"> does not regularly visit leased buildings to confirm the utilisation and</w:t>
      </w:r>
      <w:r>
        <w:rPr>
          <w:rFonts w:ascii="Arial" w:hAnsi="Arial" w:cs="Arial"/>
        </w:rPr>
        <w:t xml:space="preserve"> maintenance of these buildings;</w:t>
      </w:r>
    </w:p>
    <w:p w:rsidR="00AC45B7" w:rsidRDefault="00AC45B7" w:rsidP="009027DD">
      <w:pPr>
        <w:pStyle w:val="ListParagraph"/>
        <w:numPr>
          <w:ilvl w:val="0"/>
          <w:numId w:val="19"/>
        </w:numPr>
        <w:tabs>
          <w:tab w:val="clear" w:pos="720"/>
          <w:tab w:val="num" w:pos="1440"/>
        </w:tabs>
        <w:spacing w:after="0"/>
        <w:ind w:left="1440" w:hanging="720"/>
        <w:jc w:val="both"/>
        <w:rPr>
          <w:rFonts w:ascii="Arial" w:hAnsi="Arial" w:cs="Arial"/>
        </w:rPr>
      </w:pPr>
      <w:r>
        <w:rPr>
          <w:rFonts w:ascii="Arial" w:hAnsi="Arial" w:cs="Arial"/>
        </w:rPr>
        <w:t>Client departments overstate their needs when compiling needs assessments; and</w:t>
      </w:r>
    </w:p>
    <w:p w:rsidR="00AC45B7" w:rsidRDefault="00AC45B7" w:rsidP="009027DD">
      <w:pPr>
        <w:pStyle w:val="ListParagraph"/>
        <w:numPr>
          <w:ilvl w:val="0"/>
          <w:numId w:val="19"/>
        </w:numPr>
        <w:tabs>
          <w:tab w:val="clear" w:pos="720"/>
          <w:tab w:val="num" w:pos="1440"/>
        </w:tabs>
        <w:spacing w:after="0"/>
        <w:ind w:left="1440" w:hanging="720"/>
        <w:jc w:val="both"/>
        <w:rPr>
          <w:rFonts w:ascii="Arial" w:hAnsi="Arial" w:cs="Arial"/>
        </w:rPr>
      </w:pPr>
      <w:r>
        <w:rPr>
          <w:rFonts w:ascii="Arial" w:hAnsi="Arial" w:cs="Arial"/>
        </w:rPr>
        <w:t>Client departments do not inform PMTE timeously of changes in their circumstances, for example, client departments do not inform PMTE when they vacate a lease building.</w:t>
      </w:r>
    </w:p>
    <w:p w:rsidR="00AC45B7" w:rsidRPr="006F3632" w:rsidRDefault="00AC45B7" w:rsidP="009027DD">
      <w:pPr>
        <w:pStyle w:val="ListParagraph"/>
        <w:numPr>
          <w:ilvl w:val="0"/>
          <w:numId w:val="19"/>
        </w:numPr>
        <w:tabs>
          <w:tab w:val="clear" w:pos="720"/>
          <w:tab w:val="num" w:pos="1440"/>
        </w:tabs>
        <w:spacing w:after="0"/>
        <w:ind w:left="1440" w:hanging="720"/>
        <w:jc w:val="both"/>
        <w:rPr>
          <w:rFonts w:ascii="Arial" w:hAnsi="Arial" w:cs="Arial"/>
        </w:rPr>
      </w:pPr>
      <w:r w:rsidRPr="006F3632">
        <w:rPr>
          <w:rFonts w:ascii="Arial" w:hAnsi="Arial" w:cs="Arial"/>
          <w:lang w:val="en-GB"/>
        </w:rPr>
        <w:t>Poor planning and coordination with regards to the termination and commencement of the leases, thus resulting in fruitless and wasteful expenditure being incurred.</w:t>
      </w:r>
    </w:p>
    <w:p w:rsidR="00AC45B7" w:rsidRDefault="00AC45B7" w:rsidP="009027DD">
      <w:pPr>
        <w:numPr>
          <w:ilvl w:val="0"/>
          <w:numId w:val="19"/>
        </w:numPr>
        <w:tabs>
          <w:tab w:val="clear" w:pos="720"/>
          <w:tab w:val="num" w:pos="1440"/>
        </w:tabs>
        <w:spacing w:after="0"/>
        <w:ind w:left="1440" w:hanging="720"/>
        <w:jc w:val="both"/>
        <w:rPr>
          <w:rFonts w:ascii="Arial" w:hAnsi="Arial" w:cs="Arial"/>
        </w:rPr>
      </w:pPr>
      <w:r>
        <w:rPr>
          <w:rFonts w:ascii="Arial" w:hAnsi="Arial" w:cs="Arial"/>
        </w:rPr>
        <w:t>PMTE did not always follow up to ensure that shortcomings identified in buildings before moving in are adequately addressed by the landlord or that buildings are maintained to a satisfactory state.</w:t>
      </w:r>
    </w:p>
    <w:p w:rsidR="00AC45B7" w:rsidRDefault="00AC45B7" w:rsidP="009027DD">
      <w:pPr>
        <w:spacing w:after="0"/>
        <w:jc w:val="both"/>
        <w:rPr>
          <w:rFonts w:ascii="Arial" w:hAnsi="Arial" w:cs="Arial"/>
        </w:rPr>
      </w:pPr>
    </w:p>
    <w:p w:rsidR="00AC45B7" w:rsidRDefault="00AC45B7" w:rsidP="009027DD">
      <w:pPr>
        <w:spacing w:after="0"/>
        <w:jc w:val="both"/>
        <w:rPr>
          <w:rFonts w:ascii="Arial" w:hAnsi="Arial" w:cs="Arial"/>
        </w:rPr>
      </w:pPr>
      <w:r>
        <w:rPr>
          <w:rFonts w:ascii="Arial" w:hAnsi="Arial" w:cs="Arial"/>
        </w:rPr>
        <w:t>7.</w:t>
      </w:r>
      <w:r>
        <w:rPr>
          <w:rFonts w:ascii="Arial" w:hAnsi="Arial" w:cs="Arial"/>
        </w:rPr>
        <w:tab/>
        <w:t>Recommendations</w:t>
      </w:r>
    </w:p>
    <w:p w:rsidR="00AC45B7" w:rsidRDefault="00AC45B7" w:rsidP="009027DD">
      <w:pPr>
        <w:spacing w:after="0"/>
        <w:jc w:val="both"/>
        <w:rPr>
          <w:rFonts w:ascii="Arial" w:hAnsi="Arial" w:cs="Arial"/>
        </w:rPr>
      </w:pPr>
    </w:p>
    <w:p w:rsidR="00AC45B7" w:rsidRDefault="00AC45B7" w:rsidP="009027DD">
      <w:pPr>
        <w:spacing w:after="0"/>
        <w:ind w:left="720"/>
        <w:jc w:val="both"/>
        <w:rPr>
          <w:rFonts w:ascii="Arial" w:hAnsi="Arial" w:cs="Arial"/>
        </w:rPr>
      </w:pPr>
      <w:r>
        <w:rPr>
          <w:rFonts w:ascii="Arial" w:hAnsi="Arial" w:cs="Arial"/>
        </w:rPr>
        <w:t>Management should ensure that comprehensive accurate U-AMP’s are compiled by client departments as required by GIAMA and where necessary provide training and support to the client departments.</w:t>
      </w:r>
    </w:p>
    <w:p w:rsidR="00AC45B7" w:rsidRDefault="00AC45B7" w:rsidP="009027DD">
      <w:pPr>
        <w:spacing w:after="0"/>
        <w:ind w:left="720"/>
        <w:jc w:val="both"/>
        <w:rPr>
          <w:rFonts w:ascii="Arial" w:hAnsi="Arial" w:cs="Arial"/>
        </w:rPr>
      </w:pPr>
    </w:p>
    <w:p w:rsidR="00AC45B7" w:rsidRDefault="00AC45B7" w:rsidP="009027DD">
      <w:pPr>
        <w:spacing w:after="0"/>
        <w:ind w:left="720"/>
        <w:jc w:val="both"/>
        <w:rPr>
          <w:rFonts w:ascii="Arial" w:hAnsi="Arial" w:cs="Arial"/>
        </w:rPr>
      </w:pPr>
      <w:r>
        <w:rPr>
          <w:rFonts w:ascii="Arial" w:hAnsi="Arial" w:cs="Arial"/>
        </w:rPr>
        <w:t>Management should ensure that all needs are included in the C-AMP to provide accurate information on the current and future needs for accommodation to facilitate strategic planning with regard to the building, buying or leasing of accommodation.</w:t>
      </w:r>
    </w:p>
    <w:p w:rsidR="00AC45B7" w:rsidRPr="00E72BC9" w:rsidRDefault="00AC45B7" w:rsidP="009027DD">
      <w:pPr>
        <w:spacing w:before="100" w:beforeAutospacing="1" w:after="100" w:afterAutospacing="1" w:line="240" w:lineRule="auto"/>
        <w:ind w:left="720"/>
        <w:jc w:val="both"/>
        <w:rPr>
          <w:rFonts w:ascii="Arial" w:hAnsi="Arial" w:cs="Arial"/>
        </w:rPr>
      </w:pPr>
      <w:r w:rsidRPr="00E72BC9">
        <w:rPr>
          <w:rFonts w:ascii="Arial" w:hAnsi="Arial" w:cs="Arial"/>
        </w:rPr>
        <w:lastRenderedPageBreak/>
        <w:t>The PMTE/DPW should in e</w:t>
      </w:r>
      <w:r>
        <w:rPr>
          <w:rFonts w:ascii="Arial" w:hAnsi="Arial" w:cs="Arial"/>
        </w:rPr>
        <w:t xml:space="preserve">ach instance compile a cost - </w:t>
      </w:r>
      <w:r w:rsidRPr="00E72BC9">
        <w:rPr>
          <w:rFonts w:ascii="Arial" w:hAnsi="Arial" w:cs="Arial"/>
        </w:rPr>
        <w:t>benefit calculation and should consider utilising state owned buildings before leasing</w:t>
      </w:r>
      <w:r>
        <w:rPr>
          <w:rFonts w:ascii="Arial" w:hAnsi="Arial" w:cs="Arial"/>
        </w:rPr>
        <w:t>.</w:t>
      </w:r>
      <w:r w:rsidRPr="00E72BC9">
        <w:rPr>
          <w:rFonts w:ascii="Arial" w:hAnsi="Arial" w:cs="Arial"/>
        </w:rPr>
        <w:t>  These considerations should be comprehensively documented and filed in conjunction with procurement documentation.</w:t>
      </w:r>
    </w:p>
    <w:p w:rsidR="00AC45B7" w:rsidRDefault="00AC45B7" w:rsidP="009027DD">
      <w:pPr>
        <w:spacing w:after="0"/>
        <w:ind w:left="720"/>
        <w:jc w:val="both"/>
        <w:rPr>
          <w:rFonts w:ascii="Arial" w:hAnsi="Arial" w:cs="Arial"/>
        </w:rPr>
      </w:pPr>
      <w:r>
        <w:rPr>
          <w:rFonts w:ascii="Arial" w:hAnsi="Arial" w:cs="Arial"/>
        </w:rPr>
        <w:t>Management should make sure the need determinations for client departments agree to the accommodation norms</w:t>
      </w:r>
      <w:r w:rsidRPr="00E45960">
        <w:rPr>
          <w:rFonts w:ascii="Arial" w:hAnsi="Arial" w:cs="Arial"/>
        </w:rPr>
        <w:t xml:space="preserve"> </w:t>
      </w:r>
      <w:r>
        <w:rPr>
          <w:rFonts w:ascii="Arial" w:hAnsi="Arial" w:cs="Arial"/>
        </w:rPr>
        <w:t>by providing training to key staff at client departments.</w:t>
      </w:r>
    </w:p>
    <w:p w:rsidR="00AC45B7" w:rsidRDefault="00AC45B7" w:rsidP="009027DD">
      <w:pPr>
        <w:pStyle w:val="ListParagraph"/>
        <w:spacing w:after="0" w:line="240" w:lineRule="auto"/>
        <w:jc w:val="both"/>
        <w:rPr>
          <w:rFonts w:ascii="Arial" w:hAnsi="Arial" w:cs="Arial"/>
        </w:rPr>
      </w:pPr>
    </w:p>
    <w:p w:rsidR="00AC45B7" w:rsidRDefault="00AC45B7" w:rsidP="009027DD">
      <w:pPr>
        <w:pStyle w:val="ListParagraph"/>
        <w:spacing w:after="0" w:line="240" w:lineRule="auto"/>
        <w:jc w:val="both"/>
        <w:rPr>
          <w:rFonts w:ascii="Arial" w:hAnsi="Arial" w:cs="Arial"/>
        </w:rPr>
      </w:pPr>
      <w:r>
        <w:rPr>
          <w:rFonts w:ascii="Arial" w:hAnsi="Arial" w:cs="Arial"/>
        </w:rPr>
        <w:t>Management should ensure that the needs of the client department are adequately addressed and aligned to the building for which the lease is to be entered into before the PMTE commits to the lease with the landlord, for example the lease term as well as the area (office, storage space, parking bays etc.).</w:t>
      </w:r>
    </w:p>
    <w:p w:rsidR="00AC45B7" w:rsidRDefault="00AC45B7" w:rsidP="009027DD">
      <w:pPr>
        <w:pStyle w:val="ListParagraph"/>
        <w:spacing w:after="0" w:line="240" w:lineRule="auto"/>
        <w:jc w:val="both"/>
        <w:rPr>
          <w:rFonts w:ascii="Arial" w:hAnsi="Arial" w:cs="Arial"/>
        </w:rPr>
      </w:pPr>
    </w:p>
    <w:p w:rsidR="00AC45B7" w:rsidRPr="002345DD" w:rsidRDefault="00AC45B7" w:rsidP="009027DD">
      <w:pPr>
        <w:pStyle w:val="ListParagraph"/>
        <w:spacing w:after="0" w:line="240" w:lineRule="auto"/>
        <w:jc w:val="both"/>
        <w:rPr>
          <w:rFonts w:ascii="Arial" w:hAnsi="Arial" w:cs="Arial"/>
          <w:color w:val="000000"/>
          <w:lang w:val="en-US" w:eastAsia="en-ZA"/>
        </w:rPr>
      </w:pPr>
      <w:r w:rsidRPr="002345DD">
        <w:rPr>
          <w:rFonts w:ascii="Arial" w:hAnsi="Arial" w:cs="Arial"/>
        </w:rPr>
        <w:t xml:space="preserve">Property Management officials should develop a standard checklist indicating the minimum documents to be included on the lease files.  This will assist in ensuring that the relevant documentation is indeed included on the lease </w:t>
      </w:r>
      <w:r w:rsidRPr="002345DD">
        <w:rPr>
          <w:rFonts w:ascii="Arial" w:hAnsi="Arial" w:cs="Arial"/>
          <w:color w:val="000000"/>
          <w:lang w:val="en-US" w:eastAsia="en-ZA"/>
        </w:rPr>
        <w:t>file and available for record keeping purposes.</w:t>
      </w:r>
    </w:p>
    <w:p w:rsidR="00AC45B7" w:rsidRPr="002345DD" w:rsidRDefault="00AC45B7" w:rsidP="009027DD">
      <w:pPr>
        <w:pStyle w:val="ListParagraph"/>
        <w:jc w:val="both"/>
        <w:rPr>
          <w:rFonts w:ascii="Arial" w:hAnsi="Arial" w:cs="Arial"/>
          <w:color w:val="000000"/>
          <w:lang w:val="en-US" w:eastAsia="en-ZA"/>
        </w:rPr>
      </w:pPr>
    </w:p>
    <w:p w:rsidR="00AC45B7" w:rsidRDefault="00AC45B7" w:rsidP="009027DD">
      <w:pPr>
        <w:pStyle w:val="ListParagraph"/>
        <w:spacing w:after="0" w:line="240" w:lineRule="auto"/>
        <w:jc w:val="both"/>
        <w:rPr>
          <w:rFonts w:ascii="Arial" w:hAnsi="Arial" w:cs="Arial"/>
          <w:color w:val="000000"/>
          <w:lang w:val="en-US" w:eastAsia="en-ZA"/>
        </w:rPr>
      </w:pPr>
      <w:r w:rsidRPr="002345DD">
        <w:rPr>
          <w:rFonts w:ascii="Arial" w:hAnsi="Arial" w:cs="Arial"/>
          <w:color w:val="000000"/>
          <w:lang w:val="en-US" w:eastAsia="en-ZA"/>
        </w:rPr>
        <w:t>Management must before the commencement of a SCM process</w:t>
      </w:r>
      <w:r>
        <w:rPr>
          <w:rFonts w:ascii="Arial" w:hAnsi="Arial" w:cs="Arial"/>
          <w:color w:val="000000"/>
          <w:lang w:val="en-US" w:eastAsia="en-ZA"/>
        </w:rPr>
        <w:t xml:space="preserve"> </w:t>
      </w:r>
      <w:r w:rsidRPr="002345DD">
        <w:rPr>
          <w:rFonts w:ascii="Arial" w:hAnsi="Arial" w:cs="Arial"/>
          <w:color w:val="000000"/>
          <w:lang w:val="en-US" w:eastAsia="en-ZA"/>
        </w:rPr>
        <w:t>ensure that the corre</w:t>
      </w:r>
      <w:r>
        <w:rPr>
          <w:rFonts w:ascii="Arial" w:hAnsi="Arial" w:cs="Arial"/>
          <w:color w:val="000000"/>
          <w:lang w:val="en-US" w:eastAsia="en-ZA"/>
        </w:rPr>
        <w:t>ct procurement system, for example</w:t>
      </w:r>
      <w:r w:rsidRPr="002345DD">
        <w:rPr>
          <w:rFonts w:ascii="Arial" w:hAnsi="Arial" w:cs="Arial"/>
          <w:color w:val="000000"/>
          <w:lang w:val="en-US" w:eastAsia="en-ZA"/>
        </w:rPr>
        <w:t xml:space="preserve"> quotations or competitive bids are selected based on the threshold values set by the National Treasury. </w:t>
      </w:r>
    </w:p>
    <w:p w:rsidR="00AC45B7" w:rsidRDefault="00AC45B7" w:rsidP="009027DD">
      <w:pPr>
        <w:pStyle w:val="ListParagraph"/>
        <w:spacing w:after="0" w:line="240" w:lineRule="auto"/>
        <w:jc w:val="both"/>
        <w:rPr>
          <w:rFonts w:ascii="Arial" w:hAnsi="Arial" w:cs="Arial"/>
          <w:color w:val="000000"/>
          <w:lang w:val="en-US" w:eastAsia="en-ZA"/>
        </w:rPr>
      </w:pPr>
    </w:p>
    <w:p w:rsidR="00AC45B7" w:rsidRPr="002345DD" w:rsidRDefault="00AC45B7" w:rsidP="009027DD">
      <w:pPr>
        <w:pStyle w:val="ListParagraph"/>
        <w:spacing w:after="0" w:line="240" w:lineRule="auto"/>
        <w:jc w:val="both"/>
        <w:rPr>
          <w:rFonts w:ascii="Arial" w:hAnsi="Arial" w:cs="Arial"/>
          <w:color w:val="000000"/>
          <w:lang w:val="en-US" w:eastAsia="en-ZA"/>
        </w:rPr>
      </w:pPr>
      <w:r>
        <w:rPr>
          <w:rFonts w:ascii="Arial" w:hAnsi="Arial" w:cs="Arial"/>
          <w:color w:val="000000"/>
          <w:lang w:val="en-US" w:eastAsia="en-ZA"/>
        </w:rPr>
        <w:t xml:space="preserve">The PMTE should consider the cost per square meter for accommodation and compare it to other similar accommodation before entering in to contracts. </w:t>
      </w:r>
    </w:p>
    <w:p w:rsidR="00AC45B7" w:rsidRPr="002345DD" w:rsidRDefault="00AC45B7" w:rsidP="009027DD">
      <w:pPr>
        <w:pStyle w:val="ListParagraph"/>
        <w:jc w:val="both"/>
        <w:rPr>
          <w:rFonts w:ascii="Arial" w:hAnsi="Arial" w:cs="Arial"/>
          <w:color w:val="000000"/>
          <w:lang w:val="en-US" w:eastAsia="en-ZA"/>
        </w:rPr>
      </w:pPr>
    </w:p>
    <w:p w:rsidR="00AC45B7" w:rsidRPr="002345DD" w:rsidRDefault="00AC45B7" w:rsidP="009027DD">
      <w:pPr>
        <w:pStyle w:val="ListParagraph"/>
        <w:spacing w:after="0" w:line="23" w:lineRule="atLeast"/>
        <w:jc w:val="both"/>
        <w:rPr>
          <w:rFonts w:ascii="Arial" w:hAnsi="Arial" w:cs="Arial"/>
          <w:color w:val="000000"/>
          <w:lang w:val="en-US" w:eastAsia="en-ZA"/>
        </w:rPr>
      </w:pPr>
      <w:r>
        <w:rPr>
          <w:rFonts w:ascii="Arial" w:hAnsi="Arial" w:cs="Arial"/>
          <w:color w:val="000000"/>
          <w:lang w:val="en-US" w:eastAsia="en-ZA"/>
        </w:rPr>
        <w:t>Document management should be improved and t</w:t>
      </w:r>
      <w:r w:rsidRPr="002345DD">
        <w:rPr>
          <w:rFonts w:ascii="Arial" w:hAnsi="Arial" w:cs="Arial"/>
          <w:color w:val="000000"/>
          <w:lang w:val="en-US" w:eastAsia="en-ZA"/>
        </w:rPr>
        <w:t>he relevant SCM documentation supporting the decisions to select a supplier must be   kept on file or attached to the contract.</w:t>
      </w:r>
    </w:p>
    <w:p w:rsidR="00AC45B7" w:rsidRPr="002345DD" w:rsidRDefault="00AC45B7" w:rsidP="009027DD">
      <w:pPr>
        <w:pStyle w:val="ListParagraph"/>
        <w:spacing w:line="23" w:lineRule="atLeast"/>
        <w:jc w:val="both"/>
        <w:rPr>
          <w:rFonts w:ascii="Arial" w:hAnsi="Arial" w:cs="Arial"/>
          <w:color w:val="000000"/>
          <w:lang w:val="en-US" w:eastAsia="en-ZA"/>
        </w:rPr>
      </w:pPr>
    </w:p>
    <w:p w:rsidR="00AC45B7" w:rsidRPr="00477102" w:rsidRDefault="00AC45B7" w:rsidP="009027DD">
      <w:pPr>
        <w:pStyle w:val="ListParagraph"/>
        <w:spacing w:after="0" w:line="23" w:lineRule="atLeast"/>
        <w:jc w:val="both"/>
        <w:rPr>
          <w:rFonts w:ascii="Arial" w:hAnsi="Arial" w:cs="Arial"/>
          <w:color w:val="000000"/>
          <w:lang w:val="en-US" w:eastAsia="en-ZA"/>
        </w:rPr>
      </w:pPr>
      <w:r w:rsidRPr="002345DD">
        <w:rPr>
          <w:rFonts w:ascii="Arial" w:hAnsi="Arial" w:cs="Arial"/>
          <w:color w:val="000000"/>
          <w:lang w:val="en-US" w:eastAsia="en-ZA"/>
        </w:rPr>
        <w:t>In approving deviations from the normal SCM process, management should ensure that the deviations are based on valid reasons, properly documented and approved on the appropriate level in line with the approved delegation of powers.</w:t>
      </w:r>
      <w:r w:rsidRPr="00477102">
        <w:rPr>
          <w:rFonts w:ascii="Arial" w:hAnsi="Arial" w:cs="Arial"/>
        </w:rPr>
        <w:t>Management should ensure that all deviations approved by the entity are reported to the AGSA and National Treasury within 10 working days.</w:t>
      </w:r>
    </w:p>
    <w:p w:rsidR="00AC45B7" w:rsidRDefault="00AC45B7" w:rsidP="009027DD">
      <w:pPr>
        <w:pStyle w:val="ListParagraph"/>
        <w:spacing w:after="0" w:line="23" w:lineRule="atLeast"/>
        <w:jc w:val="both"/>
        <w:rPr>
          <w:rFonts w:ascii="Arial" w:hAnsi="Arial" w:cs="Arial"/>
        </w:rPr>
      </w:pPr>
    </w:p>
    <w:p w:rsidR="00AC45B7" w:rsidRDefault="00AC45B7" w:rsidP="009027DD">
      <w:pPr>
        <w:pStyle w:val="ListParagraph"/>
        <w:spacing w:after="0"/>
        <w:jc w:val="both"/>
        <w:rPr>
          <w:rFonts w:ascii="Arial" w:hAnsi="Arial" w:cs="Arial"/>
        </w:rPr>
      </w:pPr>
      <w:r>
        <w:rPr>
          <w:rFonts w:ascii="Arial" w:hAnsi="Arial" w:cs="Arial"/>
        </w:rPr>
        <w:t xml:space="preserve">Management should ensure that payments made to the landlord are in terms of a valid signed lease agreement.  </w:t>
      </w:r>
    </w:p>
    <w:p w:rsidR="00AC45B7" w:rsidRDefault="00AC45B7" w:rsidP="009027DD">
      <w:pPr>
        <w:spacing w:before="100" w:beforeAutospacing="1" w:after="100" w:afterAutospacing="1"/>
        <w:ind w:left="720"/>
        <w:jc w:val="both"/>
        <w:rPr>
          <w:rFonts w:cs="Arial"/>
        </w:rPr>
      </w:pPr>
      <w:r w:rsidRPr="00A732CE">
        <w:rPr>
          <w:rFonts w:ascii="Arial" w:hAnsi="Arial" w:cs="Arial"/>
        </w:rPr>
        <w:t xml:space="preserve">The </w:t>
      </w:r>
      <w:r>
        <w:rPr>
          <w:rFonts w:ascii="Arial" w:hAnsi="Arial" w:cs="Arial"/>
        </w:rPr>
        <w:t>accounting officer must in terms of section 38(1)(h) of the PFMA, investigate</w:t>
      </w:r>
      <w:r w:rsidRPr="00A732CE">
        <w:rPr>
          <w:rFonts w:ascii="Arial" w:hAnsi="Arial" w:cs="Arial"/>
        </w:rPr>
        <w:t xml:space="preserve"> and</w:t>
      </w:r>
      <w:r>
        <w:rPr>
          <w:rFonts w:ascii="Arial" w:hAnsi="Arial" w:cs="Arial"/>
        </w:rPr>
        <w:t xml:space="preserve"> take</w:t>
      </w:r>
      <w:r w:rsidRPr="00A732CE">
        <w:rPr>
          <w:rFonts w:ascii="Arial" w:hAnsi="Arial" w:cs="Arial"/>
        </w:rPr>
        <w:t xml:space="preserve"> effective and appropriate disciplinary steps against any official in the service of the </w:t>
      </w:r>
      <w:r>
        <w:rPr>
          <w:rFonts w:ascii="Arial" w:hAnsi="Arial" w:cs="Arial"/>
        </w:rPr>
        <w:t>client dep</w:t>
      </w:r>
      <w:r w:rsidRPr="00A732CE">
        <w:rPr>
          <w:rFonts w:ascii="Arial" w:hAnsi="Arial" w:cs="Arial"/>
        </w:rPr>
        <w:t xml:space="preserve">artment or </w:t>
      </w:r>
      <w:r>
        <w:rPr>
          <w:rFonts w:ascii="Arial" w:hAnsi="Arial" w:cs="Arial"/>
        </w:rPr>
        <w:t>the PMTE who made or permitted the irregular expenditure.</w:t>
      </w:r>
      <w:r w:rsidRPr="007D6C04">
        <w:rPr>
          <w:rFonts w:cs="Arial"/>
        </w:rPr>
        <w:t xml:space="preserve"> </w:t>
      </w:r>
    </w:p>
    <w:p w:rsidR="00AC45B7" w:rsidRPr="007D6C04" w:rsidRDefault="00AC45B7" w:rsidP="009027DD">
      <w:pPr>
        <w:spacing w:before="100" w:beforeAutospacing="1" w:after="100" w:afterAutospacing="1"/>
        <w:ind w:left="720"/>
        <w:jc w:val="both"/>
        <w:rPr>
          <w:rFonts w:ascii="Arial" w:hAnsi="Arial" w:cs="Arial"/>
        </w:rPr>
      </w:pPr>
      <w:r w:rsidRPr="007D6C04">
        <w:rPr>
          <w:rFonts w:ascii="Arial" w:hAnsi="Arial" w:cs="Arial"/>
        </w:rPr>
        <w:t>Management should identify contracts nearing their termination date well in advance (more than six months) to ensure that sufficient time is available to apply the correct SCM processes, thus ensuring that market related rentals are obtained and that new lease agreements are entered into timeously to prevent ongoing month to month leases.</w:t>
      </w:r>
    </w:p>
    <w:p w:rsidR="00AC45B7" w:rsidRDefault="00AC45B7" w:rsidP="009027DD">
      <w:pPr>
        <w:pStyle w:val="NormalWeb"/>
        <w:spacing w:line="276" w:lineRule="auto"/>
        <w:ind w:left="720"/>
        <w:jc w:val="both"/>
        <w:rPr>
          <w:rFonts w:ascii="Arial" w:hAnsi="Arial" w:cs="Arial"/>
          <w:sz w:val="22"/>
          <w:szCs w:val="22"/>
        </w:rPr>
      </w:pPr>
      <w:r>
        <w:rPr>
          <w:rFonts w:ascii="Arial" w:hAnsi="Arial" w:cs="Arial"/>
          <w:sz w:val="22"/>
          <w:szCs w:val="22"/>
        </w:rPr>
        <w:t>The PMTE should ensure adequate measures, including site inspections, are in place to ensure that the area leased agrees to the contract and implement controls to ensure</w:t>
      </w:r>
      <w:r w:rsidRPr="006447DF">
        <w:rPr>
          <w:rFonts w:ascii="Arial" w:hAnsi="Arial" w:cs="Arial"/>
          <w:sz w:val="22"/>
          <w:szCs w:val="22"/>
        </w:rPr>
        <w:t xml:space="preserve"> that </w:t>
      </w:r>
      <w:r>
        <w:rPr>
          <w:rFonts w:ascii="Arial" w:hAnsi="Arial" w:cs="Arial"/>
          <w:sz w:val="22"/>
          <w:szCs w:val="22"/>
        </w:rPr>
        <w:t>payments are reconciled lease agreement amounts on a monthly basis.</w:t>
      </w:r>
    </w:p>
    <w:p w:rsidR="00AC45B7" w:rsidRDefault="00AC45B7" w:rsidP="009027DD">
      <w:pPr>
        <w:pStyle w:val="NormalWeb"/>
        <w:spacing w:line="276" w:lineRule="auto"/>
        <w:ind w:left="720"/>
        <w:jc w:val="both"/>
        <w:rPr>
          <w:rFonts w:ascii="Arial" w:hAnsi="Arial" w:cs="Arial"/>
          <w:sz w:val="22"/>
          <w:szCs w:val="22"/>
        </w:rPr>
      </w:pPr>
    </w:p>
    <w:p w:rsidR="00AC45B7" w:rsidRDefault="00AC45B7" w:rsidP="009027DD">
      <w:pPr>
        <w:pStyle w:val="NormalWeb"/>
        <w:spacing w:line="276" w:lineRule="auto"/>
        <w:ind w:left="720"/>
        <w:jc w:val="both"/>
        <w:rPr>
          <w:rFonts w:ascii="Arial" w:hAnsi="Arial" w:cs="Arial"/>
          <w:sz w:val="22"/>
          <w:szCs w:val="22"/>
        </w:rPr>
      </w:pPr>
      <w:r>
        <w:rPr>
          <w:rFonts w:ascii="Arial" w:hAnsi="Arial" w:cs="Arial"/>
          <w:sz w:val="22"/>
          <w:szCs w:val="22"/>
        </w:rPr>
        <w:t>The PMTE</w:t>
      </w:r>
      <w:r w:rsidRPr="006447DF">
        <w:rPr>
          <w:rFonts w:ascii="Arial" w:hAnsi="Arial" w:cs="Arial"/>
          <w:sz w:val="22"/>
          <w:szCs w:val="22"/>
        </w:rPr>
        <w:t xml:space="preserve"> </w:t>
      </w:r>
      <w:r>
        <w:rPr>
          <w:rFonts w:ascii="Arial" w:hAnsi="Arial" w:cs="Arial"/>
          <w:sz w:val="22"/>
          <w:szCs w:val="22"/>
        </w:rPr>
        <w:t>should implement controls to ensure</w:t>
      </w:r>
      <w:r w:rsidRPr="006447DF">
        <w:rPr>
          <w:rFonts w:ascii="Arial" w:hAnsi="Arial" w:cs="Arial"/>
          <w:sz w:val="22"/>
          <w:szCs w:val="22"/>
        </w:rPr>
        <w:t xml:space="preserve"> </w:t>
      </w:r>
      <w:r>
        <w:rPr>
          <w:rFonts w:ascii="Arial" w:hAnsi="Arial" w:cs="Arial"/>
          <w:sz w:val="22"/>
          <w:szCs w:val="22"/>
        </w:rPr>
        <w:t xml:space="preserve">leased buildings are inspected to determine if buildings are utilised optimally and implement processes obligating tenants to inform them when buildings are under-utlised. </w:t>
      </w:r>
    </w:p>
    <w:p w:rsidR="00AC45B7" w:rsidRDefault="00AC45B7" w:rsidP="009027DD">
      <w:pPr>
        <w:pStyle w:val="NormalWeb"/>
        <w:spacing w:line="276" w:lineRule="auto"/>
        <w:ind w:left="720"/>
        <w:jc w:val="both"/>
        <w:rPr>
          <w:rFonts w:ascii="Arial" w:hAnsi="Arial" w:cs="Arial"/>
          <w:sz w:val="22"/>
          <w:szCs w:val="22"/>
        </w:rPr>
      </w:pPr>
    </w:p>
    <w:p w:rsidR="00AC45B7" w:rsidRDefault="00AC45B7" w:rsidP="009027DD">
      <w:pPr>
        <w:pStyle w:val="NormalWeb"/>
        <w:spacing w:line="276" w:lineRule="auto"/>
        <w:ind w:left="720"/>
        <w:jc w:val="both"/>
        <w:rPr>
          <w:rFonts w:ascii="Arial" w:hAnsi="Arial" w:cs="Arial"/>
          <w:sz w:val="22"/>
          <w:szCs w:val="22"/>
        </w:rPr>
      </w:pPr>
      <w:r>
        <w:rPr>
          <w:rFonts w:ascii="Arial" w:hAnsi="Arial" w:cs="Arial"/>
          <w:sz w:val="22"/>
          <w:szCs w:val="22"/>
        </w:rPr>
        <w:t>The PMTE should ensure that the client vacate the building fully when the lease is terminated by inspecting the building. Payment should be stopped when the leased building is vacated. Contractual requirements to hand back the building at the end of the lease should be compiled timely to eliminate fruitless</w:t>
      </w:r>
      <w:r w:rsidRPr="00D60569">
        <w:rPr>
          <w:rFonts w:ascii="Arial" w:hAnsi="Arial" w:cs="Arial"/>
          <w:sz w:val="22"/>
          <w:szCs w:val="22"/>
        </w:rPr>
        <w:t xml:space="preserve"> and wasteful expenditure</w:t>
      </w:r>
      <w:r>
        <w:rPr>
          <w:rFonts w:ascii="Arial" w:hAnsi="Arial" w:cs="Arial"/>
          <w:sz w:val="22"/>
          <w:szCs w:val="22"/>
        </w:rPr>
        <w:t>.</w:t>
      </w:r>
    </w:p>
    <w:p w:rsidR="00AC45B7" w:rsidRDefault="00AC45B7" w:rsidP="009027DD">
      <w:pPr>
        <w:pStyle w:val="NormalWeb"/>
        <w:spacing w:line="276" w:lineRule="auto"/>
        <w:ind w:left="720"/>
        <w:jc w:val="both"/>
        <w:rPr>
          <w:rFonts w:ascii="Arial" w:hAnsi="Arial" w:cs="Arial"/>
          <w:sz w:val="22"/>
          <w:szCs w:val="22"/>
        </w:rPr>
      </w:pPr>
    </w:p>
    <w:p w:rsidR="00AC45B7" w:rsidRDefault="00AC45B7" w:rsidP="009027DD">
      <w:pPr>
        <w:pStyle w:val="ListParagraph"/>
        <w:jc w:val="both"/>
        <w:rPr>
          <w:rFonts w:ascii="Arial" w:hAnsi="Arial" w:cs="Arial"/>
        </w:rPr>
      </w:pPr>
      <w:r>
        <w:rPr>
          <w:rFonts w:ascii="Arial" w:hAnsi="Arial" w:cs="Arial"/>
        </w:rPr>
        <w:t xml:space="preserve">All </w:t>
      </w:r>
      <w:r w:rsidRPr="00D60569">
        <w:rPr>
          <w:rFonts w:ascii="Arial" w:hAnsi="Arial" w:cs="Arial"/>
        </w:rPr>
        <w:t xml:space="preserve">fruitless and wasteful expenditure should be investigated and effective and appropriate disciplinary steps must be taken against any official in the service of the </w:t>
      </w:r>
      <w:r>
        <w:rPr>
          <w:rFonts w:ascii="Arial" w:hAnsi="Arial" w:cs="Arial"/>
        </w:rPr>
        <w:t xml:space="preserve">client </w:t>
      </w:r>
      <w:r w:rsidRPr="00D60569">
        <w:rPr>
          <w:rFonts w:ascii="Arial" w:hAnsi="Arial" w:cs="Arial"/>
        </w:rPr>
        <w:t>department or trading entity as per the requirements of the PFMA section 38(1)(h). The amount of fruitless and wasteful expenditure should be determined</w:t>
      </w:r>
      <w:r>
        <w:rPr>
          <w:rFonts w:ascii="Arial" w:hAnsi="Arial" w:cs="Arial"/>
        </w:rPr>
        <w:t xml:space="preserve"> and should be reflected in the financial statements of the PMTE or client department</w:t>
      </w:r>
      <w:r w:rsidRPr="00D60569">
        <w:rPr>
          <w:rFonts w:ascii="Arial" w:hAnsi="Arial" w:cs="Arial"/>
        </w:rPr>
        <w:t xml:space="preserve">. </w:t>
      </w:r>
    </w:p>
    <w:p w:rsidR="00AC45B7" w:rsidRPr="00494802" w:rsidRDefault="00AC45B7" w:rsidP="00494802">
      <w:pPr>
        <w:ind w:left="720"/>
        <w:jc w:val="both"/>
        <w:rPr>
          <w:rFonts w:ascii="Arial" w:hAnsi="Arial" w:cs="Arial"/>
        </w:rPr>
      </w:pPr>
      <w:r w:rsidRPr="00494802">
        <w:rPr>
          <w:rFonts w:ascii="Arial" w:hAnsi="Arial" w:cs="Arial"/>
        </w:rPr>
        <w:t xml:space="preserve">The Chief Director:  Regional Coordination should engage with the regional management of the department to initiate processes to align PMIS with the current work practices.   Part of the initiative should focus on the current functioning and the state of in-built controls on PMIS, whereby a list of improvements required is compiled and confirmed with the director IT applications for implementation by following the established change control process of the department.  The effected changes should always have the supporting documentation that should be kept for audit purposes. </w:t>
      </w:r>
    </w:p>
    <w:p w:rsidR="00AC45B7" w:rsidRPr="00494802" w:rsidRDefault="00AC45B7" w:rsidP="00494802">
      <w:pPr>
        <w:ind w:left="720"/>
        <w:jc w:val="both"/>
        <w:rPr>
          <w:rFonts w:ascii="Arial" w:hAnsi="Arial" w:cs="Arial"/>
        </w:rPr>
      </w:pPr>
      <w:r w:rsidRPr="00494802">
        <w:rPr>
          <w:rFonts w:ascii="Arial" w:hAnsi="Arial" w:cs="Arial"/>
        </w:rPr>
        <w:t xml:space="preserve">The property management regional support directorate should engage with the Director IT applications and the PMIS database administrator to define controls that will ensure that system activities captured in the audit trails are complete and usable.  Also the audit trails should also reflect the details of the designated staff that authorises the changes effected by the capturers/portfolio managers.  </w:t>
      </w:r>
    </w:p>
    <w:p w:rsidR="00AC45B7" w:rsidRPr="00494802" w:rsidRDefault="00AC45B7" w:rsidP="00494802">
      <w:pPr>
        <w:ind w:left="720"/>
        <w:jc w:val="both"/>
        <w:rPr>
          <w:rFonts w:ascii="Arial" w:hAnsi="Arial" w:cs="Arial"/>
        </w:rPr>
      </w:pPr>
      <w:r w:rsidRPr="00494802">
        <w:rPr>
          <w:rFonts w:ascii="Arial" w:hAnsi="Arial" w:cs="Arial"/>
        </w:rPr>
        <w:t>To ensure accountability, users on PMIS should be assigned a user name, user code and must be linked to a profile that is in line with their job responsibilities.  The user name that uniquely identifies users should always be linked to the changes affected by the users in the audit trails.</w:t>
      </w:r>
    </w:p>
    <w:p w:rsidR="00AC45B7" w:rsidRPr="00494802" w:rsidRDefault="00AC45B7" w:rsidP="00494802">
      <w:pPr>
        <w:pStyle w:val="ListParagraph"/>
        <w:jc w:val="both"/>
        <w:rPr>
          <w:rFonts w:ascii="Arial" w:hAnsi="Arial" w:cs="Arial"/>
        </w:rPr>
      </w:pPr>
    </w:p>
    <w:sectPr w:rsidR="00AC45B7" w:rsidRPr="00494802" w:rsidSect="00C02CD9">
      <w:headerReference w:type="even" r:id="rId11"/>
      <w:headerReference w:type="default" r:id="rId12"/>
      <w:footerReference w:type="default" r:id="rId13"/>
      <w:headerReference w:type="first" r:id="rId14"/>
      <w:pgSz w:w="11906" w:h="16838"/>
      <w:pgMar w:top="1440" w:right="1440" w:bottom="1440" w:left="1440" w:header="708" w:footer="708" w:gutter="0"/>
      <w:pgNumType w:start="4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D0E" w:rsidRDefault="00986D0E" w:rsidP="003B0327">
      <w:pPr>
        <w:spacing w:after="0" w:line="240" w:lineRule="auto"/>
      </w:pPr>
      <w:r>
        <w:separator/>
      </w:r>
    </w:p>
  </w:endnote>
  <w:endnote w:type="continuationSeparator" w:id="0">
    <w:p w:rsidR="00986D0E" w:rsidRDefault="00986D0E" w:rsidP="003B03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2CF" w:rsidRDefault="0055136D">
    <w:pPr>
      <w:pStyle w:val="Footer"/>
      <w:jc w:val="right"/>
    </w:pPr>
    <w:fldSimple w:instr=" PAGE   \* MERGEFORMAT ">
      <w:r w:rsidR="00DE1FDB">
        <w:rPr>
          <w:noProof/>
        </w:rPr>
        <w:t>48</w:t>
      </w:r>
    </w:fldSimple>
  </w:p>
  <w:p w:rsidR="000F12CF" w:rsidRDefault="000F12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D0E" w:rsidRDefault="00986D0E" w:rsidP="003B0327">
      <w:pPr>
        <w:spacing w:after="0" w:line="240" w:lineRule="auto"/>
      </w:pPr>
      <w:r>
        <w:separator/>
      </w:r>
    </w:p>
  </w:footnote>
  <w:footnote w:type="continuationSeparator" w:id="0">
    <w:p w:rsidR="00986D0E" w:rsidRDefault="00986D0E" w:rsidP="003B0327">
      <w:pPr>
        <w:spacing w:after="0" w:line="240" w:lineRule="auto"/>
      </w:pPr>
      <w:r>
        <w:continuationSeparator/>
      </w:r>
    </w:p>
  </w:footnote>
  <w:footnote w:id="1">
    <w:p w:rsidR="00AC45B7" w:rsidRDefault="00AC45B7">
      <w:pPr>
        <w:pStyle w:val="FootnoteText"/>
      </w:pPr>
      <w:r>
        <w:rPr>
          <w:rStyle w:val="FootnoteReference"/>
        </w:rPr>
        <w:footnoteRef/>
      </w:r>
      <w:r>
        <w:t xml:space="preserve"> Landlord took DPW to court after it cancelled the lease as the client department had not occupied the building.  </w:t>
      </w:r>
      <w:r>
        <w:rPr>
          <w:lang w:val="en-US"/>
        </w:rPr>
        <w:t>Court ruled in favour of the landlord.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FDB" w:rsidRDefault="00DE1FD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24219" o:spid="_x0000_s4098" type="#_x0000_t136" style="position:absolute;margin-left:0;margin-top:0;width:397.65pt;height:238.6pt;rotation:315;z-index:-2;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FDB" w:rsidRDefault="00DE1FD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24220" o:spid="_x0000_s4099" type="#_x0000_t136" style="position:absolute;margin-left:0;margin-top:0;width:397.65pt;height:238.6pt;rotation:315;z-index:-1;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FDB" w:rsidRDefault="00DE1FD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24218" o:spid="_x0000_s4097" type="#_x0000_t136" style="position:absolute;margin-left:0;margin-top:0;width:397.65pt;height:238.6pt;rotation:315;z-index:-3;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0A2173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5CE644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AFEE19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FC46A89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E6C118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C903AB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D2EDE6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B6CA8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D144D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6E61B1A"/>
    <w:lvl w:ilvl="0">
      <w:start w:val="1"/>
      <w:numFmt w:val="bullet"/>
      <w:lvlText w:val=""/>
      <w:lvlJc w:val="left"/>
      <w:pPr>
        <w:tabs>
          <w:tab w:val="num" w:pos="360"/>
        </w:tabs>
        <w:ind w:left="360" w:hanging="360"/>
      </w:pPr>
      <w:rPr>
        <w:rFonts w:ascii="Symbol" w:hAnsi="Symbol" w:hint="default"/>
      </w:rPr>
    </w:lvl>
  </w:abstractNum>
  <w:abstractNum w:abstractNumId="10">
    <w:nsid w:val="01874FE2"/>
    <w:multiLevelType w:val="hybridMultilevel"/>
    <w:tmpl w:val="D0062BEA"/>
    <w:lvl w:ilvl="0" w:tplc="ABBAAB08">
      <w:numFmt w:val="bullet"/>
      <w:lvlText w:val=""/>
      <w:lvlJc w:val="left"/>
      <w:pPr>
        <w:ind w:left="1080" w:hanging="360"/>
      </w:pPr>
      <w:rPr>
        <w:rFonts w:ascii="Wingdings" w:eastAsia="Times New Roman" w:hAnsi="Wingdings"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nsid w:val="08DB6460"/>
    <w:multiLevelType w:val="hybridMultilevel"/>
    <w:tmpl w:val="28220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178F76E8"/>
    <w:multiLevelType w:val="hybridMultilevel"/>
    <w:tmpl w:val="F522BC0A"/>
    <w:lvl w:ilvl="0" w:tplc="197C08E2">
      <w:start w:val="1"/>
      <w:numFmt w:val="lowerLetter"/>
      <w:lvlText w:val="(%1)"/>
      <w:lvlJc w:val="left"/>
      <w:pPr>
        <w:ind w:left="360" w:hanging="360"/>
      </w:pPr>
      <w:rPr>
        <w:rFonts w:cs="Times New Roman" w:hint="default"/>
        <w:i w:val="0"/>
      </w:rPr>
    </w:lvl>
    <w:lvl w:ilvl="1" w:tplc="1C090019" w:tentative="1">
      <w:start w:val="1"/>
      <w:numFmt w:val="lowerLetter"/>
      <w:lvlText w:val="%2."/>
      <w:lvlJc w:val="left"/>
      <w:pPr>
        <w:ind w:left="1080" w:hanging="360"/>
      </w:pPr>
      <w:rPr>
        <w:rFonts w:cs="Times New Roman"/>
      </w:rPr>
    </w:lvl>
    <w:lvl w:ilvl="2" w:tplc="1C09001B" w:tentative="1">
      <w:start w:val="1"/>
      <w:numFmt w:val="lowerRoman"/>
      <w:lvlText w:val="%3."/>
      <w:lvlJc w:val="right"/>
      <w:pPr>
        <w:ind w:left="1800" w:hanging="180"/>
      </w:pPr>
      <w:rPr>
        <w:rFonts w:cs="Times New Roman"/>
      </w:rPr>
    </w:lvl>
    <w:lvl w:ilvl="3" w:tplc="1C09000F" w:tentative="1">
      <w:start w:val="1"/>
      <w:numFmt w:val="decimal"/>
      <w:lvlText w:val="%4."/>
      <w:lvlJc w:val="left"/>
      <w:pPr>
        <w:ind w:left="2520" w:hanging="360"/>
      </w:pPr>
      <w:rPr>
        <w:rFonts w:cs="Times New Roman"/>
      </w:rPr>
    </w:lvl>
    <w:lvl w:ilvl="4" w:tplc="1C090019" w:tentative="1">
      <w:start w:val="1"/>
      <w:numFmt w:val="lowerLetter"/>
      <w:lvlText w:val="%5."/>
      <w:lvlJc w:val="left"/>
      <w:pPr>
        <w:ind w:left="3240" w:hanging="360"/>
      </w:pPr>
      <w:rPr>
        <w:rFonts w:cs="Times New Roman"/>
      </w:rPr>
    </w:lvl>
    <w:lvl w:ilvl="5" w:tplc="1C09001B" w:tentative="1">
      <w:start w:val="1"/>
      <w:numFmt w:val="lowerRoman"/>
      <w:lvlText w:val="%6."/>
      <w:lvlJc w:val="right"/>
      <w:pPr>
        <w:ind w:left="3960" w:hanging="180"/>
      </w:pPr>
      <w:rPr>
        <w:rFonts w:cs="Times New Roman"/>
      </w:rPr>
    </w:lvl>
    <w:lvl w:ilvl="6" w:tplc="1C09000F" w:tentative="1">
      <w:start w:val="1"/>
      <w:numFmt w:val="decimal"/>
      <w:lvlText w:val="%7."/>
      <w:lvlJc w:val="left"/>
      <w:pPr>
        <w:ind w:left="4680" w:hanging="360"/>
      </w:pPr>
      <w:rPr>
        <w:rFonts w:cs="Times New Roman"/>
      </w:rPr>
    </w:lvl>
    <w:lvl w:ilvl="7" w:tplc="1C090019" w:tentative="1">
      <w:start w:val="1"/>
      <w:numFmt w:val="lowerLetter"/>
      <w:lvlText w:val="%8."/>
      <w:lvlJc w:val="left"/>
      <w:pPr>
        <w:ind w:left="5400" w:hanging="360"/>
      </w:pPr>
      <w:rPr>
        <w:rFonts w:cs="Times New Roman"/>
      </w:rPr>
    </w:lvl>
    <w:lvl w:ilvl="8" w:tplc="1C09001B" w:tentative="1">
      <w:start w:val="1"/>
      <w:numFmt w:val="lowerRoman"/>
      <w:lvlText w:val="%9."/>
      <w:lvlJc w:val="right"/>
      <w:pPr>
        <w:ind w:left="6120" w:hanging="180"/>
      </w:pPr>
      <w:rPr>
        <w:rFonts w:cs="Times New Roman"/>
      </w:rPr>
    </w:lvl>
  </w:abstractNum>
  <w:abstractNum w:abstractNumId="13">
    <w:nsid w:val="1A1D0E68"/>
    <w:multiLevelType w:val="hybridMultilevel"/>
    <w:tmpl w:val="4378BFA8"/>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1A752D25"/>
    <w:multiLevelType w:val="multilevel"/>
    <w:tmpl w:val="43207702"/>
    <w:lvl w:ilvl="0">
      <w:start w:val="2"/>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val="0"/>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15">
    <w:nsid w:val="425F6EB9"/>
    <w:multiLevelType w:val="hybridMultilevel"/>
    <w:tmpl w:val="A0BE1D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4ECB799E"/>
    <w:multiLevelType w:val="multilevel"/>
    <w:tmpl w:val="E6F00A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50616A62"/>
    <w:multiLevelType w:val="hybridMultilevel"/>
    <w:tmpl w:val="D4125F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61AA750A"/>
    <w:multiLevelType w:val="multilevel"/>
    <w:tmpl w:val="B6F0B4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64AA21CB"/>
    <w:multiLevelType w:val="hybridMultilevel"/>
    <w:tmpl w:val="56CAF3E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nsid w:val="68764B8A"/>
    <w:multiLevelType w:val="hybridMultilevel"/>
    <w:tmpl w:val="70724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1C76D4"/>
    <w:multiLevelType w:val="multilevel"/>
    <w:tmpl w:val="EEBC586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789F2EAF"/>
    <w:multiLevelType w:val="hybridMultilevel"/>
    <w:tmpl w:val="A7607A24"/>
    <w:lvl w:ilvl="0" w:tplc="85322F42">
      <w:start w:val="1"/>
      <w:numFmt w:val="lowerLetter"/>
      <w:lvlText w:val="(%1)"/>
      <w:lvlJc w:val="left"/>
      <w:pPr>
        <w:ind w:left="360" w:hanging="360"/>
      </w:pPr>
      <w:rPr>
        <w:rFonts w:cs="Times New Roman" w:hint="default"/>
      </w:rPr>
    </w:lvl>
    <w:lvl w:ilvl="1" w:tplc="1C090019" w:tentative="1">
      <w:start w:val="1"/>
      <w:numFmt w:val="lowerLetter"/>
      <w:lvlText w:val="%2."/>
      <w:lvlJc w:val="left"/>
      <w:pPr>
        <w:ind w:left="1080" w:hanging="360"/>
      </w:pPr>
      <w:rPr>
        <w:rFonts w:cs="Times New Roman"/>
      </w:rPr>
    </w:lvl>
    <w:lvl w:ilvl="2" w:tplc="1C09001B" w:tentative="1">
      <w:start w:val="1"/>
      <w:numFmt w:val="lowerRoman"/>
      <w:lvlText w:val="%3."/>
      <w:lvlJc w:val="right"/>
      <w:pPr>
        <w:ind w:left="1800" w:hanging="180"/>
      </w:pPr>
      <w:rPr>
        <w:rFonts w:cs="Times New Roman"/>
      </w:rPr>
    </w:lvl>
    <w:lvl w:ilvl="3" w:tplc="1C09000F" w:tentative="1">
      <w:start w:val="1"/>
      <w:numFmt w:val="decimal"/>
      <w:lvlText w:val="%4."/>
      <w:lvlJc w:val="left"/>
      <w:pPr>
        <w:ind w:left="2520" w:hanging="360"/>
      </w:pPr>
      <w:rPr>
        <w:rFonts w:cs="Times New Roman"/>
      </w:rPr>
    </w:lvl>
    <w:lvl w:ilvl="4" w:tplc="1C090019" w:tentative="1">
      <w:start w:val="1"/>
      <w:numFmt w:val="lowerLetter"/>
      <w:lvlText w:val="%5."/>
      <w:lvlJc w:val="left"/>
      <w:pPr>
        <w:ind w:left="3240" w:hanging="360"/>
      </w:pPr>
      <w:rPr>
        <w:rFonts w:cs="Times New Roman"/>
      </w:rPr>
    </w:lvl>
    <w:lvl w:ilvl="5" w:tplc="1C09001B" w:tentative="1">
      <w:start w:val="1"/>
      <w:numFmt w:val="lowerRoman"/>
      <w:lvlText w:val="%6."/>
      <w:lvlJc w:val="right"/>
      <w:pPr>
        <w:ind w:left="3960" w:hanging="180"/>
      </w:pPr>
      <w:rPr>
        <w:rFonts w:cs="Times New Roman"/>
      </w:rPr>
    </w:lvl>
    <w:lvl w:ilvl="6" w:tplc="1C09000F" w:tentative="1">
      <w:start w:val="1"/>
      <w:numFmt w:val="decimal"/>
      <w:lvlText w:val="%7."/>
      <w:lvlJc w:val="left"/>
      <w:pPr>
        <w:ind w:left="4680" w:hanging="360"/>
      </w:pPr>
      <w:rPr>
        <w:rFonts w:cs="Times New Roman"/>
      </w:rPr>
    </w:lvl>
    <w:lvl w:ilvl="7" w:tplc="1C090019" w:tentative="1">
      <w:start w:val="1"/>
      <w:numFmt w:val="lowerLetter"/>
      <w:lvlText w:val="%8."/>
      <w:lvlJc w:val="left"/>
      <w:pPr>
        <w:ind w:left="5400" w:hanging="360"/>
      </w:pPr>
      <w:rPr>
        <w:rFonts w:cs="Times New Roman"/>
      </w:rPr>
    </w:lvl>
    <w:lvl w:ilvl="8" w:tplc="1C09001B" w:tentative="1">
      <w:start w:val="1"/>
      <w:numFmt w:val="lowerRoman"/>
      <w:lvlText w:val="%9."/>
      <w:lvlJc w:val="right"/>
      <w:pPr>
        <w:ind w:left="6120" w:hanging="180"/>
      </w:pPr>
      <w:rPr>
        <w:rFonts w:cs="Times New Roman"/>
      </w:rPr>
    </w:lvl>
  </w:abstractNum>
  <w:num w:numId="1">
    <w:abstractNumId w:val="11"/>
  </w:num>
  <w:num w:numId="2">
    <w:abstractNumId w:val="17"/>
  </w:num>
  <w:num w:numId="3">
    <w:abstractNumId w:val="10"/>
  </w:num>
  <w:num w:numId="4">
    <w:abstractNumId w:val="13"/>
  </w:num>
  <w:num w:numId="5">
    <w:abstractNumId w:val="15"/>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2"/>
  </w:num>
  <w:num w:numId="19">
    <w:abstractNumId w:val="20"/>
  </w:num>
  <w:num w:numId="20">
    <w:abstractNumId w:val="16"/>
  </w:num>
  <w:num w:numId="21">
    <w:abstractNumId w:val="18"/>
  </w:num>
  <w:num w:numId="22">
    <w:abstractNumId w:val="2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1FB2"/>
    <w:rsid w:val="00000DE4"/>
    <w:rsid w:val="000042B6"/>
    <w:rsid w:val="000176A9"/>
    <w:rsid w:val="000206DB"/>
    <w:rsid w:val="00031382"/>
    <w:rsid w:val="00031A11"/>
    <w:rsid w:val="00033F70"/>
    <w:rsid w:val="00047A97"/>
    <w:rsid w:val="00055352"/>
    <w:rsid w:val="00062B94"/>
    <w:rsid w:val="00075974"/>
    <w:rsid w:val="0008026C"/>
    <w:rsid w:val="0008065A"/>
    <w:rsid w:val="0009589D"/>
    <w:rsid w:val="000A42FB"/>
    <w:rsid w:val="000A5D08"/>
    <w:rsid w:val="000A6051"/>
    <w:rsid w:val="000A6133"/>
    <w:rsid w:val="000B4B5A"/>
    <w:rsid w:val="000D2B6C"/>
    <w:rsid w:val="000D3ED8"/>
    <w:rsid w:val="000E0DBC"/>
    <w:rsid w:val="000E12F5"/>
    <w:rsid w:val="000E2BC4"/>
    <w:rsid w:val="000E3701"/>
    <w:rsid w:val="000E444A"/>
    <w:rsid w:val="000F09FE"/>
    <w:rsid w:val="000F12CF"/>
    <w:rsid w:val="00101ED4"/>
    <w:rsid w:val="001033E3"/>
    <w:rsid w:val="00116D32"/>
    <w:rsid w:val="00120831"/>
    <w:rsid w:val="001352CF"/>
    <w:rsid w:val="001501B1"/>
    <w:rsid w:val="00161B67"/>
    <w:rsid w:val="00172C36"/>
    <w:rsid w:val="001820FC"/>
    <w:rsid w:val="00183FB2"/>
    <w:rsid w:val="00193357"/>
    <w:rsid w:val="001B546B"/>
    <w:rsid w:val="001B6A55"/>
    <w:rsid w:val="001B7ACC"/>
    <w:rsid w:val="001D3930"/>
    <w:rsid w:val="001D3FFF"/>
    <w:rsid w:val="001F158B"/>
    <w:rsid w:val="00227F36"/>
    <w:rsid w:val="002334F5"/>
    <w:rsid w:val="00234142"/>
    <w:rsid w:val="002345DD"/>
    <w:rsid w:val="00241D20"/>
    <w:rsid w:val="0026528B"/>
    <w:rsid w:val="00287B97"/>
    <w:rsid w:val="00296870"/>
    <w:rsid w:val="002974C4"/>
    <w:rsid w:val="002A2453"/>
    <w:rsid w:val="002A5BF2"/>
    <w:rsid w:val="002B4299"/>
    <w:rsid w:val="002C4977"/>
    <w:rsid w:val="002E2D49"/>
    <w:rsid w:val="002F06B5"/>
    <w:rsid w:val="002F5C06"/>
    <w:rsid w:val="002F76B4"/>
    <w:rsid w:val="003108F1"/>
    <w:rsid w:val="003354D5"/>
    <w:rsid w:val="0035348E"/>
    <w:rsid w:val="003627F7"/>
    <w:rsid w:val="00372D43"/>
    <w:rsid w:val="003748C8"/>
    <w:rsid w:val="00375F39"/>
    <w:rsid w:val="00381C4F"/>
    <w:rsid w:val="003824A2"/>
    <w:rsid w:val="003848AE"/>
    <w:rsid w:val="00393BCF"/>
    <w:rsid w:val="00396722"/>
    <w:rsid w:val="003A06EE"/>
    <w:rsid w:val="003A3C1E"/>
    <w:rsid w:val="003B0327"/>
    <w:rsid w:val="003B616A"/>
    <w:rsid w:val="003B6D67"/>
    <w:rsid w:val="003B734E"/>
    <w:rsid w:val="003C66C7"/>
    <w:rsid w:val="003C7143"/>
    <w:rsid w:val="003C79AA"/>
    <w:rsid w:val="003F3929"/>
    <w:rsid w:val="004010E4"/>
    <w:rsid w:val="00401B57"/>
    <w:rsid w:val="00407C1C"/>
    <w:rsid w:val="00412E6F"/>
    <w:rsid w:val="00416599"/>
    <w:rsid w:val="00425FA5"/>
    <w:rsid w:val="00455791"/>
    <w:rsid w:val="00464F5E"/>
    <w:rsid w:val="00466171"/>
    <w:rsid w:val="0047432E"/>
    <w:rsid w:val="00475545"/>
    <w:rsid w:val="004762F8"/>
    <w:rsid w:val="00477102"/>
    <w:rsid w:val="004827CE"/>
    <w:rsid w:val="00494802"/>
    <w:rsid w:val="004A144A"/>
    <w:rsid w:val="004A19BC"/>
    <w:rsid w:val="004B47DA"/>
    <w:rsid w:val="004C2A69"/>
    <w:rsid w:val="004D0CEB"/>
    <w:rsid w:val="004E2439"/>
    <w:rsid w:val="004F6D39"/>
    <w:rsid w:val="005040FC"/>
    <w:rsid w:val="00510DF6"/>
    <w:rsid w:val="00511AB3"/>
    <w:rsid w:val="00514725"/>
    <w:rsid w:val="00514DCD"/>
    <w:rsid w:val="005239C9"/>
    <w:rsid w:val="005244EE"/>
    <w:rsid w:val="005267FA"/>
    <w:rsid w:val="00537292"/>
    <w:rsid w:val="00537E02"/>
    <w:rsid w:val="0055136D"/>
    <w:rsid w:val="00555581"/>
    <w:rsid w:val="0056261F"/>
    <w:rsid w:val="00572B1D"/>
    <w:rsid w:val="00583810"/>
    <w:rsid w:val="00591E1C"/>
    <w:rsid w:val="0059557F"/>
    <w:rsid w:val="005C1FB2"/>
    <w:rsid w:val="005C3A56"/>
    <w:rsid w:val="005C6FCE"/>
    <w:rsid w:val="005D3071"/>
    <w:rsid w:val="005D446F"/>
    <w:rsid w:val="005D5CF6"/>
    <w:rsid w:val="005F251C"/>
    <w:rsid w:val="005F3E2A"/>
    <w:rsid w:val="005F7A25"/>
    <w:rsid w:val="0061704E"/>
    <w:rsid w:val="006265B7"/>
    <w:rsid w:val="00630834"/>
    <w:rsid w:val="00635D18"/>
    <w:rsid w:val="006447DF"/>
    <w:rsid w:val="0064787F"/>
    <w:rsid w:val="006502A2"/>
    <w:rsid w:val="0067580B"/>
    <w:rsid w:val="006759E2"/>
    <w:rsid w:val="00675C3D"/>
    <w:rsid w:val="0067744A"/>
    <w:rsid w:val="00684621"/>
    <w:rsid w:val="006A031D"/>
    <w:rsid w:val="006B07AF"/>
    <w:rsid w:val="006B283C"/>
    <w:rsid w:val="006B31DC"/>
    <w:rsid w:val="006D280F"/>
    <w:rsid w:val="006F3632"/>
    <w:rsid w:val="00705685"/>
    <w:rsid w:val="00711C34"/>
    <w:rsid w:val="00732E20"/>
    <w:rsid w:val="00744684"/>
    <w:rsid w:val="00752A28"/>
    <w:rsid w:val="007561C0"/>
    <w:rsid w:val="00756C7A"/>
    <w:rsid w:val="0076015F"/>
    <w:rsid w:val="007644C4"/>
    <w:rsid w:val="0076539E"/>
    <w:rsid w:val="007A39FF"/>
    <w:rsid w:val="007C2CC2"/>
    <w:rsid w:val="007C4D1C"/>
    <w:rsid w:val="007C6367"/>
    <w:rsid w:val="007C7F2F"/>
    <w:rsid w:val="007D3D60"/>
    <w:rsid w:val="007D6C04"/>
    <w:rsid w:val="007D7381"/>
    <w:rsid w:val="007D7950"/>
    <w:rsid w:val="007F6277"/>
    <w:rsid w:val="00802D62"/>
    <w:rsid w:val="00820B39"/>
    <w:rsid w:val="00836C60"/>
    <w:rsid w:val="0085423E"/>
    <w:rsid w:val="008574D3"/>
    <w:rsid w:val="0087491E"/>
    <w:rsid w:val="00892442"/>
    <w:rsid w:val="008A01BA"/>
    <w:rsid w:val="008A35D9"/>
    <w:rsid w:val="008B38D6"/>
    <w:rsid w:val="008C5156"/>
    <w:rsid w:val="008D2DBB"/>
    <w:rsid w:val="008D48ED"/>
    <w:rsid w:val="008F48B6"/>
    <w:rsid w:val="008F665B"/>
    <w:rsid w:val="009027DD"/>
    <w:rsid w:val="00907DE2"/>
    <w:rsid w:val="009109A6"/>
    <w:rsid w:val="0091392E"/>
    <w:rsid w:val="00934C51"/>
    <w:rsid w:val="00943307"/>
    <w:rsid w:val="00956D06"/>
    <w:rsid w:val="00957A72"/>
    <w:rsid w:val="00970B2A"/>
    <w:rsid w:val="00970F81"/>
    <w:rsid w:val="00972033"/>
    <w:rsid w:val="009745AB"/>
    <w:rsid w:val="00977716"/>
    <w:rsid w:val="00986310"/>
    <w:rsid w:val="00986D0E"/>
    <w:rsid w:val="009A4F16"/>
    <w:rsid w:val="009A5D39"/>
    <w:rsid w:val="009B41D1"/>
    <w:rsid w:val="009C25B7"/>
    <w:rsid w:val="009D6E1A"/>
    <w:rsid w:val="00A353F9"/>
    <w:rsid w:val="00A5116B"/>
    <w:rsid w:val="00A732CE"/>
    <w:rsid w:val="00A7564B"/>
    <w:rsid w:val="00A76157"/>
    <w:rsid w:val="00AA14B9"/>
    <w:rsid w:val="00AC19E8"/>
    <w:rsid w:val="00AC45B7"/>
    <w:rsid w:val="00AD0D68"/>
    <w:rsid w:val="00AD5E8E"/>
    <w:rsid w:val="00B04948"/>
    <w:rsid w:val="00B06C4E"/>
    <w:rsid w:val="00B11E00"/>
    <w:rsid w:val="00B13BCB"/>
    <w:rsid w:val="00B30D8F"/>
    <w:rsid w:val="00B31633"/>
    <w:rsid w:val="00B4521B"/>
    <w:rsid w:val="00B633DB"/>
    <w:rsid w:val="00B67939"/>
    <w:rsid w:val="00B73E81"/>
    <w:rsid w:val="00B75C50"/>
    <w:rsid w:val="00B92837"/>
    <w:rsid w:val="00B92FB7"/>
    <w:rsid w:val="00BA3F0E"/>
    <w:rsid w:val="00BC6076"/>
    <w:rsid w:val="00BC6711"/>
    <w:rsid w:val="00BC6D25"/>
    <w:rsid w:val="00BC6FBB"/>
    <w:rsid w:val="00BC74E9"/>
    <w:rsid w:val="00BE305A"/>
    <w:rsid w:val="00BF0991"/>
    <w:rsid w:val="00C02CD9"/>
    <w:rsid w:val="00C1232A"/>
    <w:rsid w:val="00C254C2"/>
    <w:rsid w:val="00C25823"/>
    <w:rsid w:val="00C308FB"/>
    <w:rsid w:val="00C4113D"/>
    <w:rsid w:val="00C55D89"/>
    <w:rsid w:val="00C61B6F"/>
    <w:rsid w:val="00C751A3"/>
    <w:rsid w:val="00C81086"/>
    <w:rsid w:val="00C94929"/>
    <w:rsid w:val="00C97EFD"/>
    <w:rsid w:val="00CB5347"/>
    <w:rsid w:val="00CC34D3"/>
    <w:rsid w:val="00CC35CA"/>
    <w:rsid w:val="00CD1EA2"/>
    <w:rsid w:val="00CD29D0"/>
    <w:rsid w:val="00CD529C"/>
    <w:rsid w:val="00CE17EB"/>
    <w:rsid w:val="00CE1D30"/>
    <w:rsid w:val="00CF1B25"/>
    <w:rsid w:val="00CF4223"/>
    <w:rsid w:val="00D02F3F"/>
    <w:rsid w:val="00D16BD0"/>
    <w:rsid w:val="00D21BFA"/>
    <w:rsid w:val="00D44902"/>
    <w:rsid w:val="00D47407"/>
    <w:rsid w:val="00D6033A"/>
    <w:rsid w:val="00D60569"/>
    <w:rsid w:val="00D60B88"/>
    <w:rsid w:val="00D72826"/>
    <w:rsid w:val="00D72C83"/>
    <w:rsid w:val="00D91DA1"/>
    <w:rsid w:val="00D9311B"/>
    <w:rsid w:val="00D96ECA"/>
    <w:rsid w:val="00D97574"/>
    <w:rsid w:val="00DC50D9"/>
    <w:rsid w:val="00DD028B"/>
    <w:rsid w:val="00DE1A51"/>
    <w:rsid w:val="00DE1FDB"/>
    <w:rsid w:val="00DE4605"/>
    <w:rsid w:val="00DE5B4F"/>
    <w:rsid w:val="00E03BF0"/>
    <w:rsid w:val="00E2623F"/>
    <w:rsid w:val="00E320FE"/>
    <w:rsid w:val="00E41104"/>
    <w:rsid w:val="00E42643"/>
    <w:rsid w:val="00E45960"/>
    <w:rsid w:val="00E54097"/>
    <w:rsid w:val="00E7107A"/>
    <w:rsid w:val="00E72717"/>
    <w:rsid w:val="00E728EA"/>
    <w:rsid w:val="00E72BC9"/>
    <w:rsid w:val="00E80782"/>
    <w:rsid w:val="00EA0947"/>
    <w:rsid w:val="00EA7571"/>
    <w:rsid w:val="00EB0088"/>
    <w:rsid w:val="00EF4390"/>
    <w:rsid w:val="00EF4894"/>
    <w:rsid w:val="00F0222A"/>
    <w:rsid w:val="00F13720"/>
    <w:rsid w:val="00F559FC"/>
    <w:rsid w:val="00F55E3E"/>
    <w:rsid w:val="00F65CF8"/>
    <w:rsid w:val="00F679C6"/>
    <w:rsid w:val="00F7299B"/>
    <w:rsid w:val="00F74153"/>
    <w:rsid w:val="00F81D08"/>
    <w:rsid w:val="00FA1F4D"/>
    <w:rsid w:val="00FD3AF5"/>
    <w:rsid w:val="00FE2F2D"/>
    <w:rsid w:val="00FF0218"/>
    <w:rsid w:val="00FF2EF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B88"/>
    <w:pPr>
      <w:spacing w:after="200" w:line="276" w:lineRule="auto"/>
    </w:pPr>
    <w:rPr>
      <w:sz w:val="22"/>
      <w:szCs w:val="22"/>
      <w:lang w:val="en-ZA"/>
    </w:rPr>
  </w:style>
  <w:style w:type="paragraph" w:styleId="Heading2">
    <w:name w:val="heading 2"/>
    <w:basedOn w:val="Normal"/>
    <w:next w:val="Normal"/>
    <w:link w:val="Heading2Char"/>
    <w:uiPriority w:val="99"/>
    <w:qFormat/>
    <w:locked/>
    <w:rsid w:val="00161B67"/>
    <w:pPr>
      <w:keepNext/>
      <w:spacing w:before="240" w:after="60" w:line="240" w:lineRule="auto"/>
      <w:outlineLvl w:val="1"/>
    </w:pPr>
    <w:rPr>
      <w:rFonts w:ascii="Arial" w:hAnsi="Arial" w:cs="Arial"/>
      <w:b/>
      <w:bCs/>
      <w:i/>
      <w:i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161B67"/>
    <w:rPr>
      <w:rFonts w:ascii="Arial" w:hAnsi="Arial" w:cs="Arial"/>
      <w:b/>
      <w:bCs/>
      <w:i/>
      <w:iCs/>
      <w:sz w:val="28"/>
      <w:szCs w:val="28"/>
      <w:lang w:val="en-ZA" w:eastAsia="en-GB" w:bidi="ar-SA"/>
    </w:rPr>
  </w:style>
  <w:style w:type="table" w:styleId="TableGrid">
    <w:name w:val="Table Grid"/>
    <w:basedOn w:val="TableNormal"/>
    <w:uiPriority w:val="99"/>
    <w:rsid w:val="00D97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7432E"/>
    <w:pPr>
      <w:ind w:left="720"/>
      <w:contextualSpacing/>
    </w:pPr>
  </w:style>
  <w:style w:type="paragraph" w:customStyle="1" w:styleId="Default">
    <w:name w:val="Default"/>
    <w:uiPriority w:val="99"/>
    <w:rsid w:val="000A42FB"/>
    <w:pPr>
      <w:autoSpaceDE w:val="0"/>
      <w:autoSpaceDN w:val="0"/>
      <w:adjustRightInd w:val="0"/>
    </w:pPr>
    <w:rPr>
      <w:rFonts w:cs="Calibri"/>
      <w:color w:val="000000"/>
      <w:sz w:val="24"/>
      <w:szCs w:val="24"/>
      <w:lang w:val="en-ZA"/>
    </w:rPr>
  </w:style>
  <w:style w:type="paragraph" w:styleId="BalloonText">
    <w:name w:val="Balloon Text"/>
    <w:basedOn w:val="Normal"/>
    <w:link w:val="BalloonTextChar"/>
    <w:uiPriority w:val="99"/>
    <w:semiHidden/>
    <w:rsid w:val="000A4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42FB"/>
    <w:rPr>
      <w:rFonts w:ascii="Tahoma" w:hAnsi="Tahoma" w:cs="Tahoma"/>
      <w:sz w:val="16"/>
      <w:szCs w:val="16"/>
    </w:rPr>
  </w:style>
  <w:style w:type="paragraph" w:styleId="EndnoteText">
    <w:name w:val="endnote text"/>
    <w:basedOn w:val="Normal"/>
    <w:link w:val="EndnoteTextChar"/>
    <w:uiPriority w:val="99"/>
    <w:semiHidden/>
    <w:rsid w:val="003B0327"/>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3B0327"/>
    <w:rPr>
      <w:rFonts w:cs="Times New Roman"/>
      <w:sz w:val="20"/>
      <w:szCs w:val="20"/>
      <w:lang w:val="en-ZA"/>
    </w:rPr>
  </w:style>
  <w:style w:type="character" w:styleId="EndnoteReference">
    <w:name w:val="endnote reference"/>
    <w:basedOn w:val="DefaultParagraphFont"/>
    <w:uiPriority w:val="99"/>
    <w:semiHidden/>
    <w:rsid w:val="003B0327"/>
    <w:rPr>
      <w:rFonts w:cs="Times New Roman"/>
      <w:vertAlign w:val="superscript"/>
    </w:rPr>
  </w:style>
  <w:style w:type="paragraph" w:styleId="FootnoteText">
    <w:name w:val="footnote text"/>
    <w:basedOn w:val="Normal"/>
    <w:link w:val="FootnoteTextChar"/>
    <w:uiPriority w:val="99"/>
    <w:semiHidden/>
    <w:rsid w:val="003B0327"/>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3B0327"/>
    <w:rPr>
      <w:rFonts w:cs="Times New Roman"/>
      <w:sz w:val="20"/>
      <w:szCs w:val="20"/>
      <w:lang w:val="en-ZA"/>
    </w:rPr>
  </w:style>
  <w:style w:type="character" w:styleId="FootnoteReference">
    <w:name w:val="footnote reference"/>
    <w:basedOn w:val="DefaultParagraphFont"/>
    <w:uiPriority w:val="99"/>
    <w:semiHidden/>
    <w:rsid w:val="003B0327"/>
    <w:rPr>
      <w:rFonts w:cs="Times New Roman"/>
      <w:vertAlign w:val="superscript"/>
    </w:rPr>
  </w:style>
  <w:style w:type="paragraph" w:styleId="NormalWeb">
    <w:name w:val="Normal (Web)"/>
    <w:basedOn w:val="Normal"/>
    <w:link w:val="NormalWebChar"/>
    <w:uiPriority w:val="99"/>
    <w:rsid w:val="001352CF"/>
    <w:pPr>
      <w:spacing w:after="0" w:line="240" w:lineRule="auto"/>
    </w:pPr>
    <w:rPr>
      <w:rFonts w:ascii="Times New Roman" w:eastAsia="Times New Roman" w:hAnsi="Times New Roman"/>
      <w:sz w:val="24"/>
      <w:szCs w:val="24"/>
      <w:lang w:val="en-US"/>
    </w:rPr>
  </w:style>
  <w:style w:type="paragraph" w:styleId="CommentText">
    <w:name w:val="annotation text"/>
    <w:basedOn w:val="Normal"/>
    <w:link w:val="CommentTextChar"/>
    <w:uiPriority w:val="99"/>
    <w:semiHidden/>
    <w:rsid w:val="00120831"/>
    <w:rPr>
      <w:sz w:val="20"/>
      <w:szCs w:val="20"/>
    </w:rPr>
  </w:style>
  <w:style w:type="character" w:customStyle="1" w:styleId="CommentTextChar">
    <w:name w:val="Comment Text Char"/>
    <w:basedOn w:val="DefaultParagraphFont"/>
    <w:link w:val="CommentText"/>
    <w:uiPriority w:val="99"/>
    <w:semiHidden/>
    <w:locked/>
    <w:rsid w:val="001B546B"/>
    <w:rPr>
      <w:rFonts w:cs="Times New Roman"/>
      <w:sz w:val="20"/>
      <w:szCs w:val="20"/>
      <w:lang w:val="en-ZA"/>
    </w:rPr>
  </w:style>
  <w:style w:type="paragraph" w:styleId="CommentSubject">
    <w:name w:val="annotation subject"/>
    <w:basedOn w:val="CommentText"/>
    <w:next w:val="CommentText"/>
    <w:link w:val="CommentSubjectChar"/>
    <w:uiPriority w:val="99"/>
    <w:rsid w:val="00120831"/>
    <w:pPr>
      <w:spacing w:after="0" w:line="240" w:lineRule="auto"/>
    </w:pPr>
    <w:rPr>
      <w:rFonts w:ascii="Times New Roman" w:hAnsi="Times New Roman"/>
      <w:b/>
      <w:bCs/>
    </w:rPr>
  </w:style>
  <w:style w:type="character" w:customStyle="1" w:styleId="CommentSubjectChar">
    <w:name w:val="Comment Subject Char"/>
    <w:basedOn w:val="DefaultParagraphFont"/>
    <w:link w:val="CommentSubject"/>
    <w:uiPriority w:val="99"/>
    <w:locked/>
    <w:rsid w:val="00120831"/>
    <w:rPr>
      <w:rFonts w:cs="Times New Roman"/>
      <w:b/>
      <w:bCs/>
      <w:lang w:val="en-ZA" w:eastAsia="en-US" w:bidi="ar-SA"/>
    </w:rPr>
  </w:style>
  <w:style w:type="character" w:customStyle="1" w:styleId="NormalWebChar">
    <w:name w:val="Normal (Web) Char"/>
    <w:basedOn w:val="DefaultParagraphFont"/>
    <w:link w:val="NormalWeb"/>
    <w:uiPriority w:val="99"/>
    <w:locked/>
    <w:rsid w:val="00161B67"/>
    <w:rPr>
      <w:rFonts w:eastAsia="Times New Roman" w:cs="Times New Roman"/>
      <w:sz w:val="24"/>
      <w:szCs w:val="24"/>
      <w:lang w:val="en-US" w:eastAsia="en-US" w:bidi="ar-SA"/>
    </w:rPr>
  </w:style>
  <w:style w:type="paragraph" w:styleId="Header">
    <w:name w:val="header"/>
    <w:basedOn w:val="Normal"/>
    <w:link w:val="HeaderChar"/>
    <w:uiPriority w:val="99"/>
    <w:semiHidden/>
    <w:unhideWhenUsed/>
    <w:rsid w:val="000F12CF"/>
    <w:pPr>
      <w:tabs>
        <w:tab w:val="center" w:pos="4680"/>
        <w:tab w:val="right" w:pos="9360"/>
      </w:tabs>
    </w:pPr>
  </w:style>
  <w:style w:type="character" w:customStyle="1" w:styleId="HeaderChar">
    <w:name w:val="Header Char"/>
    <w:basedOn w:val="DefaultParagraphFont"/>
    <w:link w:val="Header"/>
    <w:uiPriority w:val="99"/>
    <w:semiHidden/>
    <w:rsid w:val="000F12CF"/>
    <w:rPr>
      <w:lang w:val="en-ZA"/>
    </w:rPr>
  </w:style>
  <w:style w:type="paragraph" w:styleId="Footer">
    <w:name w:val="footer"/>
    <w:basedOn w:val="Normal"/>
    <w:link w:val="FooterChar"/>
    <w:uiPriority w:val="99"/>
    <w:unhideWhenUsed/>
    <w:rsid w:val="000F12CF"/>
    <w:pPr>
      <w:tabs>
        <w:tab w:val="center" w:pos="4680"/>
        <w:tab w:val="right" w:pos="9360"/>
      </w:tabs>
    </w:pPr>
  </w:style>
  <w:style w:type="character" w:customStyle="1" w:styleId="FooterChar">
    <w:name w:val="Footer Char"/>
    <w:basedOn w:val="DefaultParagraphFont"/>
    <w:link w:val="Footer"/>
    <w:uiPriority w:val="99"/>
    <w:rsid w:val="000F12CF"/>
    <w:rPr>
      <w:lang w:val="en-ZA"/>
    </w:rPr>
  </w:style>
</w:styles>
</file>

<file path=word/webSettings.xml><?xml version="1.0" encoding="utf-8"?>
<w:webSettings xmlns:r="http://schemas.openxmlformats.org/officeDocument/2006/relationships" xmlns:w="http://schemas.openxmlformats.org/wordprocessingml/2006/main">
  <w:divs>
    <w:div w:id="249969633">
      <w:marLeft w:val="0"/>
      <w:marRight w:val="0"/>
      <w:marTop w:val="0"/>
      <w:marBottom w:val="0"/>
      <w:divBdr>
        <w:top w:val="none" w:sz="0" w:space="0" w:color="auto"/>
        <w:left w:val="none" w:sz="0" w:space="0" w:color="auto"/>
        <w:bottom w:val="none" w:sz="0" w:space="0" w:color="auto"/>
        <w:right w:val="none" w:sz="0" w:space="0" w:color="auto"/>
      </w:divBdr>
    </w:div>
    <w:div w:id="24996963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Excel_97-2003_Worksheet1.xls"/><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Microsoft_Office_Excel_97-2003_Worksheet2.xls"/><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5186</Words>
  <Characters>29566</Characters>
  <Application>Microsoft Office Word</Application>
  <DocSecurity>0</DocSecurity>
  <Lines>246</Lines>
  <Paragraphs>69</Paragraphs>
  <ScaleCrop>false</ScaleCrop>
  <Company/>
  <LinksUpToDate>false</LinksUpToDate>
  <CharactersWithSpaces>34683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Property Management Trading Entity </dc:title>
  <dc:subject/>
  <dc:creator>ChrisnaB</dc:creator>
  <cp:keywords/>
  <dc:description/>
  <cp:lastModifiedBy>IlzeS</cp:lastModifiedBy>
  <cp:revision>6</cp:revision>
  <cp:lastPrinted>2012-09-04T08:41:00Z</cp:lastPrinted>
  <dcterms:created xsi:type="dcterms:W3CDTF">2012-09-04T14:30:00Z</dcterms:created>
  <dcterms:modified xsi:type="dcterms:W3CDTF">2012-09-05T21:23:00Z</dcterms:modified>
</cp:coreProperties>
</file>