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DD52E" w14:textId="77777777" w:rsidR="007A6439" w:rsidRPr="0077659B" w:rsidRDefault="007A6439" w:rsidP="007A6439">
      <w:pPr>
        <w:jc w:val="center"/>
        <w:rPr>
          <w:rFonts w:eastAsia="Times New Roman" w:cs="Arial"/>
          <w:b/>
          <w:color w:val="5C89BF"/>
          <w:sz w:val="20"/>
          <w:szCs w:val="20"/>
        </w:rPr>
      </w:pPr>
    </w:p>
    <w:p w14:paraId="2A38130A" w14:textId="77777777" w:rsidR="00C22F2B" w:rsidRPr="0077659B" w:rsidRDefault="00641026" w:rsidP="0039423B">
      <w:pPr>
        <w:shd w:val="clear" w:color="auto" w:fill="FFFFFF"/>
        <w:spacing w:after="240" w:line="240" w:lineRule="auto"/>
        <w:rPr>
          <w:rStyle w:val="BookTitle"/>
          <w:rFonts w:eastAsiaTheme="minorHAnsi"/>
        </w:rPr>
      </w:pPr>
      <w:r>
        <w:rPr>
          <w:rStyle w:val="BookTitle"/>
          <w:rFonts w:eastAsiaTheme="minorHAnsi"/>
        </w:rPr>
        <w:t>FINAL</w:t>
      </w:r>
      <w:r w:rsidR="00C22F2B" w:rsidRPr="0077659B">
        <w:rPr>
          <w:rStyle w:val="BookTitle"/>
          <w:rFonts w:eastAsiaTheme="minorHAnsi"/>
        </w:rPr>
        <w:t xml:space="preserve"> MANAGEMENT REPORT</w:t>
      </w:r>
    </w:p>
    <w:p w14:paraId="443F39E1" w14:textId="77777777" w:rsidR="00C22F2B" w:rsidRPr="0077659B" w:rsidRDefault="00641026" w:rsidP="00FA5B7A">
      <w:pPr>
        <w:pStyle w:val="Title"/>
      </w:pPr>
      <w:r>
        <w:t>PROPERTY MANAGEMENT TRADING ENTITY</w:t>
      </w:r>
    </w:p>
    <w:p w14:paraId="489C3F02" w14:textId="77777777" w:rsidR="00C22F2B" w:rsidRPr="00BB6EEC" w:rsidRDefault="00641026" w:rsidP="00C22F2B">
      <w:pPr>
        <w:spacing w:line="240" w:lineRule="auto"/>
        <w:rPr>
          <w:rStyle w:val="Strong"/>
          <w:rFonts w:eastAsiaTheme="minorHAnsi"/>
        </w:rPr>
      </w:pPr>
      <w:r>
        <w:rPr>
          <w:rStyle w:val="Strong"/>
          <w:rFonts w:eastAsiaTheme="minorHAnsi"/>
        </w:rPr>
        <w:t>31 March 2020</w:t>
      </w:r>
    </w:p>
    <w:p w14:paraId="2D2A1A80" w14:textId="6C245C81" w:rsidR="003A047F" w:rsidRPr="0077659B" w:rsidRDefault="003A047F" w:rsidP="003A047F">
      <w:pPr>
        <w:spacing w:line="240" w:lineRule="auto"/>
        <w:rPr>
          <w:rStyle w:val="Strong"/>
          <w:rFonts w:eastAsiaTheme="minorHAnsi"/>
        </w:rPr>
      </w:pPr>
      <w:r w:rsidRPr="0077659B">
        <w:rPr>
          <w:rStyle w:val="Strong"/>
          <w:rFonts w:eastAsiaTheme="minorHAnsi"/>
        </w:rPr>
        <w:t>Communica</w:t>
      </w:r>
      <w:r w:rsidR="00641026">
        <w:rPr>
          <w:rStyle w:val="Strong"/>
          <w:rFonts w:eastAsiaTheme="minorHAnsi"/>
        </w:rPr>
        <w:t>ted</w:t>
      </w:r>
      <w:r w:rsidR="0036472E">
        <w:rPr>
          <w:rStyle w:val="Strong"/>
          <w:rFonts w:eastAsiaTheme="minorHAnsi"/>
        </w:rPr>
        <w:t xml:space="preserve"> </w:t>
      </w:r>
      <w:r w:rsidR="009A6FC9">
        <w:rPr>
          <w:rStyle w:val="Strong"/>
          <w:rFonts w:eastAsiaTheme="minorHAnsi"/>
        </w:rPr>
        <w:t>to the accounting officer on: 20</w:t>
      </w:r>
      <w:r w:rsidR="0036472E">
        <w:rPr>
          <w:rStyle w:val="Strong"/>
          <w:rFonts w:eastAsiaTheme="minorHAnsi"/>
        </w:rPr>
        <w:t xml:space="preserve"> October</w:t>
      </w:r>
      <w:r w:rsidR="00641026">
        <w:rPr>
          <w:rStyle w:val="Strong"/>
          <w:rFonts w:eastAsiaTheme="minorHAnsi"/>
        </w:rPr>
        <w:t xml:space="preserve"> 2020</w:t>
      </w:r>
    </w:p>
    <w:p w14:paraId="4347741F" w14:textId="77777777" w:rsidR="00C22F2B" w:rsidRPr="0077659B" w:rsidRDefault="00C22F2B" w:rsidP="00C22F2B">
      <w:pPr>
        <w:spacing w:after="0" w:line="240" w:lineRule="auto"/>
        <w:rPr>
          <w:rFonts w:eastAsia="Times New Roman" w:cs="Arial"/>
          <w:b/>
        </w:rPr>
      </w:pPr>
    </w:p>
    <w:p w14:paraId="273E9803" w14:textId="77777777" w:rsidR="00C22F2B" w:rsidRPr="0077659B" w:rsidRDefault="00C22F2B" w:rsidP="00C22F2B">
      <w:pPr>
        <w:spacing w:after="0" w:line="240" w:lineRule="auto"/>
        <w:rPr>
          <w:rFonts w:eastAsia="Times New Roman" w:cs="Arial"/>
          <w:b/>
          <w:bCs/>
          <w:spacing w:val="-4"/>
        </w:rPr>
      </w:pPr>
    </w:p>
    <w:p w14:paraId="275A8142" w14:textId="77777777" w:rsidR="00C22F2B" w:rsidRPr="0077659B" w:rsidRDefault="00C22F2B" w:rsidP="00C22F2B">
      <w:pPr>
        <w:spacing w:after="0" w:line="240" w:lineRule="auto"/>
        <w:rPr>
          <w:rFonts w:eastAsia="Times New Roman" w:cs="Arial"/>
          <w:b/>
          <w:bCs/>
          <w:spacing w:val="-4"/>
        </w:rPr>
        <w:sectPr w:rsidR="00C22F2B" w:rsidRPr="0077659B" w:rsidSect="00C12C2B">
          <w:headerReference w:type="default" r:id="rId12"/>
          <w:footerReference w:type="default" r:id="rId13"/>
          <w:endnotePr>
            <w:numFmt w:val="decimal"/>
          </w:endnotePr>
          <w:pgSz w:w="11906" w:h="16838" w:code="9"/>
          <w:pgMar w:top="1134" w:right="1134" w:bottom="1134" w:left="1134" w:header="1814" w:footer="680" w:gutter="0"/>
          <w:pgNumType w:start="1"/>
          <w:cols w:space="720"/>
        </w:sectPr>
      </w:pPr>
    </w:p>
    <w:p w14:paraId="561D9678" w14:textId="77777777" w:rsidR="00C22F2B" w:rsidRPr="0077659B" w:rsidRDefault="00C22F2B" w:rsidP="00253FDE">
      <w:pPr>
        <w:pStyle w:val="Title"/>
      </w:pPr>
      <w:r w:rsidRPr="0077659B">
        <w:lastRenderedPageBreak/>
        <w:t>MANAGEMENT REPORT</w:t>
      </w:r>
    </w:p>
    <w:p w14:paraId="48225D19" w14:textId="77777777" w:rsidR="00C22F2B" w:rsidRPr="00BB6EEC" w:rsidRDefault="00641026" w:rsidP="00C22F2B">
      <w:pPr>
        <w:spacing w:after="0" w:line="240" w:lineRule="auto"/>
        <w:jc w:val="both"/>
        <w:rPr>
          <w:rStyle w:val="Strong"/>
          <w:rFonts w:eastAsiaTheme="minorHAnsi"/>
        </w:rPr>
      </w:pPr>
      <w:r>
        <w:rPr>
          <w:rStyle w:val="Strong"/>
          <w:rFonts w:eastAsiaTheme="minorHAnsi"/>
        </w:rPr>
        <w:t>PROPERTY MANAGEMENT TRADING ENTITY</w:t>
      </w:r>
    </w:p>
    <w:p w14:paraId="695A6A50" w14:textId="77777777" w:rsidR="00C22F2B" w:rsidRPr="0077659B" w:rsidRDefault="00641026" w:rsidP="00C22F2B">
      <w:pPr>
        <w:spacing w:after="0" w:line="240" w:lineRule="auto"/>
        <w:jc w:val="both"/>
        <w:rPr>
          <w:rStyle w:val="Strong"/>
          <w:rFonts w:eastAsiaTheme="minorHAnsi"/>
        </w:rPr>
      </w:pPr>
      <w:r>
        <w:rPr>
          <w:rStyle w:val="Strong"/>
          <w:rFonts w:eastAsiaTheme="minorHAnsi"/>
        </w:rPr>
        <w:t>31 March 2020</w:t>
      </w:r>
    </w:p>
    <w:p w14:paraId="4CAD5DEC" w14:textId="77777777"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authority/ officer</w:t>
      </w:r>
      <w:r w:rsidR="0036472E">
        <w:rPr>
          <w:rStyle w:val="Strong"/>
          <w:rFonts w:eastAsiaTheme="minorHAnsi"/>
        </w:rPr>
        <w:t xml:space="preserve"> on: 15 October</w:t>
      </w:r>
      <w:r w:rsidR="00641026">
        <w:rPr>
          <w:rStyle w:val="Strong"/>
          <w:rFonts w:eastAsiaTheme="minorHAnsi"/>
        </w:rPr>
        <w:t xml:space="preserve"> 2020</w:t>
      </w:r>
    </w:p>
    <w:p w14:paraId="31F8FEED" w14:textId="77777777"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14:paraId="38589BEC" w14:textId="77777777" w:rsidR="00F61ACD" w:rsidRDefault="001F1CF5">
          <w:pPr>
            <w:pStyle w:val="TOC2"/>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14:paraId="3A626DB3" w14:textId="49CED478" w:rsidR="00F61ACD" w:rsidRDefault="00FB7538">
          <w:pPr>
            <w:pStyle w:val="TOC2"/>
            <w:rPr>
              <w:rFonts w:asciiTheme="minorHAnsi" w:eastAsiaTheme="minorEastAsia" w:hAnsiTheme="minorHAnsi" w:cstheme="minorBidi"/>
              <w:b w:val="0"/>
              <w:noProof/>
              <w:color w:val="auto"/>
              <w:szCs w:val="22"/>
              <w:lang w:eastAsia="en-ZA"/>
            </w:rPr>
          </w:pPr>
          <w:hyperlink w:anchor="_Toc53608714" w:history="1">
            <w:r w:rsidR="00F61ACD" w:rsidRPr="00026E9A">
              <w:rPr>
                <w:rStyle w:val="Hyperlink"/>
                <w:noProof/>
              </w:rPr>
              <w:t>MANAGEMENT REPORT TO THE ACCOUNTING OFFICER ON THE AUDIT OF THE property management trading entity FOR THE YEAR ENDED 31 march 2020</w:t>
            </w:r>
            <w:r w:rsidR="00F61ACD">
              <w:rPr>
                <w:noProof/>
                <w:webHidden/>
              </w:rPr>
              <w:tab/>
            </w:r>
            <w:r w:rsidR="00F61ACD">
              <w:rPr>
                <w:noProof/>
                <w:webHidden/>
              </w:rPr>
              <w:fldChar w:fldCharType="begin"/>
            </w:r>
            <w:r w:rsidR="00F61ACD">
              <w:rPr>
                <w:noProof/>
                <w:webHidden/>
              </w:rPr>
              <w:instrText xml:space="preserve"> PAGEREF _Toc53608714 \h </w:instrText>
            </w:r>
            <w:r w:rsidR="00F61ACD">
              <w:rPr>
                <w:noProof/>
                <w:webHidden/>
              </w:rPr>
            </w:r>
            <w:r w:rsidR="00F61ACD">
              <w:rPr>
                <w:noProof/>
                <w:webHidden/>
              </w:rPr>
              <w:fldChar w:fldCharType="separate"/>
            </w:r>
            <w:r w:rsidR="00AA1F99">
              <w:rPr>
                <w:noProof/>
                <w:webHidden/>
              </w:rPr>
              <w:t>4</w:t>
            </w:r>
            <w:r w:rsidR="00F61ACD">
              <w:rPr>
                <w:noProof/>
                <w:webHidden/>
              </w:rPr>
              <w:fldChar w:fldCharType="end"/>
            </w:r>
          </w:hyperlink>
        </w:p>
        <w:p w14:paraId="6D173202" w14:textId="5149E445" w:rsidR="00F61ACD" w:rsidRDefault="00FB7538">
          <w:pPr>
            <w:pStyle w:val="TOC2"/>
            <w:rPr>
              <w:rFonts w:asciiTheme="minorHAnsi" w:eastAsiaTheme="minorEastAsia" w:hAnsiTheme="minorHAnsi" w:cstheme="minorBidi"/>
              <w:b w:val="0"/>
              <w:noProof/>
              <w:color w:val="auto"/>
              <w:szCs w:val="22"/>
              <w:lang w:eastAsia="en-ZA"/>
            </w:rPr>
          </w:pPr>
          <w:hyperlink w:anchor="_Toc53608715" w:history="1">
            <w:r w:rsidR="00F61ACD" w:rsidRPr="00026E9A">
              <w:rPr>
                <w:rStyle w:val="Hyperlink"/>
                <w:noProof/>
              </w:rPr>
              <w:t>INTRODUCTION</w:t>
            </w:r>
            <w:r w:rsidR="00F61ACD">
              <w:rPr>
                <w:noProof/>
                <w:webHidden/>
              </w:rPr>
              <w:tab/>
            </w:r>
            <w:r w:rsidR="00F61ACD">
              <w:rPr>
                <w:noProof/>
                <w:webHidden/>
              </w:rPr>
              <w:fldChar w:fldCharType="begin"/>
            </w:r>
            <w:r w:rsidR="00F61ACD">
              <w:rPr>
                <w:noProof/>
                <w:webHidden/>
              </w:rPr>
              <w:instrText xml:space="preserve"> PAGEREF _Toc53608715 \h </w:instrText>
            </w:r>
            <w:r w:rsidR="00F61ACD">
              <w:rPr>
                <w:noProof/>
                <w:webHidden/>
              </w:rPr>
            </w:r>
            <w:r w:rsidR="00F61ACD">
              <w:rPr>
                <w:noProof/>
                <w:webHidden/>
              </w:rPr>
              <w:fldChar w:fldCharType="separate"/>
            </w:r>
            <w:r w:rsidR="00AA1F99">
              <w:rPr>
                <w:noProof/>
                <w:webHidden/>
              </w:rPr>
              <w:t>4</w:t>
            </w:r>
            <w:r w:rsidR="00F61ACD">
              <w:rPr>
                <w:noProof/>
                <w:webHidden/>
              </w:rPr>
              <w:fldChar w:fldCharType="end"/>
            </w:r>
          </w:hyperlink>
        </w:p>
        <w:p w14:paraId="2DE66998" w14:textId="16CC7F3F" w:rsidR="00F61ACD" w:rsidRDefault="00FB7538">
          <w:pPr>
            <w:pStyle w:val="TOC2"/>
            <w:rPr>
              <w:rFonts w:asciiTheme="minorHAnsi" w:eastAsiaTheme="minorEastAsia" w:hAnsiTheme="minorHAnsi" w:cstheme="minorBidi"/>
              <w:b w:val="0"/>
              <w:noProof/>
              <w:color w:val="auto"/>
              <w:szCs w:val="22"/>
              <w:lang w:eastAsia="en-ZA"/>
            </w:rPr>
          </w:pPr>
          <w:hyperlink w:anchor="_Toc53608716" w:history="1">
            <w:r w:rsidR="00F61ACD" w:rsidRPr="00026E9A">
              <w:rPr>
                <w:rStyle w:val="Hyperlink"/>
                <w:noProof/>
              </w:rPr>
              <w:t>OVERALL MESSAGE</w:t>
            </w:r>
            <w:r w:rsidR="00F61ACD">
              <w:rPr>
                <w:noProof/>
                <w:webHidden/>
              </w:rPr>
              <w:tab/>
            </w:r>
            <w:r w:rsidR="00F61ACD">
              <w:rPr>
                <w:noProof/>
                <w:webHidden/>
              </w:rPr>
              <w:fldChar w:fldCharType="begin"/>
            </w:r>
            <w:r w:rsidR="00F61ACD">
              <w:rPr>
                <w:noProof/>
                <w:webHidden/>
              </w:rPr>
              <w:instrText xml:space="preserve"> PAGEREF _Toc53608716 \h </w:instrText>
            </w:r>
            <w:r w:rsidR="00F61ACD">
              <w:rPr>
                <w:noProof/>
                <w:webHidden/>
              </w:rPr>
            </w:r>
            <w:r w:rsidR="00F61ACD">
              <w:rPr>
                <w:noProof/>
                <w:webHidden/>
              </w:rPr>
              <w:fldChar w:fldCharType="separate"/>
            </w:r>
            <w:r w:rsidR="00AA1F99">
              <w:rPr>
                <w:noProof/>
                <w:webHidden/>
              </w:rPr>
              <w:t>7</w:t>
            </w:r>
            <w:r w:rsidR="00F61ACD">
              <w:rPr>
                <w:noProof/>
                <w:webHidden/>
              </w:rPr>
              <w:fldChar w:fldCharType="end"/>
            </w:r>
          </w:hyperlink>
        </w:p>
        <w:p w14:paraId="7B6DB139" w14:textId="7054A1E0" w:rsidR="00F61ACD" w:rsidRDefault="00FB7538">
          <w:pPr>
            <w:pStyle w:val="TOC2"/>
            <w:rPr>
              <w:rFonts w:asciiTheme="minorHAnsi" w:eastAsiaTheme="minorEastAsia" w:hAnsiTheme="minorHAnsi" w:cstheme="minorBidi"/>
              <w:b w:val="0"/>
              <w:noProof/>
              <w:color w:val="auto"/>
              <w:szCs w:val="22"/>
              <w:lang w:eastAsia="en-ZA"/>
            </w:rPr>
          </w:pPr>
          <w:hyperlink w:anchor="_Toc53608717" w:history="1">
            <w:r w:rsidR="00F61ACD" w:rsidRPr="00026E9A">
              <w:rPr>
                <w:rStyle w:val="Hyperlink"/>
                <w:noProof/>
              </w:rPr>
              <w:t>SECTION 1: Interactions with stakeholders responsible for oversight and governance</w:t>
            </w:r>
            <w:r w:rsidR="00F61ACD">
              <w:rPr>
                <w:noProof/>
                <w:webHidden/>
              </w:rPr>
              <w:tab/>
            </w:r>
            <w:r w:rsidR="00F61ACD">
              <w:rPr>
                <w:noProof/>
                <w:webHidden/>
              </w:rPr>
              <w:fldChar w:fldCharType="begin"/>
            </w:r>
            <w:r w:rsidR="00F61ACD">
              <w:rPr>
                <w:noProof/>
                <w:webHidden/>
              </w:rPr>
              <w:instrText xml:space="preserve"> PAGEREF _Toc53608717 \h </w:instrText>
            </w:r>
            <w:r w:rsidR="00F61ACD">
              <w:rPr>
                <w:noProof/>
                <w:webHidden/>
              </w:rPr>
            </w:r>
            <w:r w:rsidR="00F61ACD">
              <w:rPr>
                <w:noProof/>
                <w:webHidden/>
              </w:rPr>
              <w:fldChar w:fldCharType="separate"/>
            </w:r>
            <w:r w:rsidR="00AA1F99">
              <w:rPr>
                <w:noProof/>
                <w:webHidden/>
              </w:rPr>
              <w:t>9</w:t>
            </w:r>
            <w:r w:rsidR="00F61ACD">
              <w:rPr>
                <w:noProof/>
                <w:webHidden/>
              </w:rPr>
              <w:fldChar w:fldCharType="end"/>
            </w:r>
          </w:hyperlink>
        </w:p>
        <w:p w14:paraId="3A34E313" w14:textId="6627B9AD" w:rsidR="00F61ACD" w:rsidRDefault="00FB7538">
          <w:pPr>
            <w:pStyle w:val="TOC2"/>
            <w:rPr>
              <w:rFonts w:asciiTheme="minorHAnsi" w:eastAsiaTheme="minorEastAsia" w:hAnsiTheme="minorHAnsi" w:cstheme="minorBidi"/>
              <w:b w:val="0"/>
              <w:noProof/>
              <w:color w:val="auto"/>
              <w:szCs w:val="22"/>
              <w:lang w:eastAsia="en-ZA"/>
            </w:rPr>
          </w:pPr>
          <w:hyperlink w:anchor="_Toc53608718" w:history="1">
            <w:r w:rsidR="00F61ACD" w:rsidRPr="00026E9A">
              <w:rPr>
                <w:rStyle w:val="Hyperlink"/>
                <w:noProof/>
              </w:rPr>
              <w:t>SECTION 2: Matters relating to the auditor’s report</w:t>
            </w:r>
            <w:r w:rsidR="00F61ACD">
              <w:rPr>
                <w:noProof/>
                <w:webHidden/>
              </w:rPr>
              <w:tab/>
            </w:r>
            <w:r w:rsidR="00F61ACD">
              <w:rPr>
                <w:noProof/>
                <w:webHidden/>
              </w:rPr>
              <w:fldChar w:fldCharType="begin"/>
            </w:r>
            <w:r w:rsidR="00F61ACD">
              <w:rPr>
                <w:noProof/>
                <w:webHidden/>
              </w:rPr>
              <w:instrText xml:space="preserve"> PAGEREF _Toc53608718 \h </w:instrText>
            </w:r>
            <w:r w:rsidR="00F61ACD">
              <w:rPr>
                <w:noProof/>
                <w:webHidden/>
              </w:rPr>
            </w:r>
            <w:r w:rsidR="00F61ACD">
              <w:rPr>
                <w:noProof/>
                <w:webHidden/>
              </w:rPr>
              <w:fldChar w:fldCharType="separate"/>
            </w:r>
            <w:r w:rsidR="00AA1F99">
              <w:rPr>
                <w:noProof/>
                <w:webHidden/>
              </w:rPr>
              <w:t>11</w:t>
            </w:r>
            <w:r w:rsidR="00F61ACD">
              <w:rPr>
                <w:noProof/>
                <w:webHidden/>
              </w:rPr>
              <w:fldChar w:fldCharType="end"/>
            </w:r>
          </w:hyperlink>
        </w:p>
        <w:p w14:paraId="19F8240D" w14:textId="349BA6DC" w:rsidR="00F61ACD" w:rsidRDefault="00FB7538">
          <w:pPr>
            <w:pStyle w:val="TOC3"/>
            <w:rPr>
              <w:rFonts w:asciiTheme="minorHAnsi" w:eastAsiaTheme="minorEastAsia" w:hAnsiTheme="minorHAnsi" w:cstheme="minorBidi"/>
              <w:noProof/>
              <w:color w:val="auto"/>
              <w:szCs w:val="22"/>
              <w:lang w:eastAsia="en-ZA"/>
            </w:rPr>
          </w:pPr>
          <w:hyperlink w:anchor="_Toc53608719" w:history="1">
            <w:r w:rsidR="00F61ACD" w:rsidRPr="00026E9A">
              <w:rPr>
                <w:rStyle w:val="Hyperlink"/>
                <w:noProof/>
              </w:rPr>
              <w:t>AUDIT OF THE FINANCIAL STATEMENTS</w:t>
            </w:r>
            <w:r w:rsidR="00F61ACD">
              <w:rPr>
                <w:noProof/>
                <w:webHidden/>
              </w:rPr>
              <w:tab/>
            </w:r>
            <w:r w:rsidR="00F61ACD">
              <w:rPr>
                <w:noProof/>
                <w:webHidden/>
              </w:rPr>
              <w:fldChar w:fldCharType="begin"/>
            </w:r>
            <w:r w:rsidR="00F61ACD">
              <w:rPr>
                <w:noProof/>
                <w:webHidden/>
              </w:rPr>
              <w:instrText xml:space="preserve"> PAGEREF _Toc53608719 \h </w:instrText>
            </w:r>
            <w:r w:rsidR="00F61ACD">
              <w:rPr>
                <w:noProof/>
                <w:webHidden/>
              </w:rPr>
            </w:r>
            <w:r w:rsidR="00F61ACD">
              <w:rPr>
                <w:noProof/>
                <w:webHidden/>
              </w:rPr>
              <w:fldChar w:fldCharType="separate"/>
            </w:r>
            <w:r w:rsidR="00AA1F99">
              <w:rPr>
                <w:noProof/>
                <w:webHidden/>
              </w:rPr>
              <w:t>11</w:t>
            </w:r>
            <w:r w:rsidR="00F61ACD">
              <w:rPr>
                <w:noProof/>
                <w:webHidden/>
              </w:rPr>
              <w:fldChar w:fldCharType="end"/>
            </w:r>
          </w:hyperlink>
        </w:p>
        <w:p w14:paraId="5F8BB986" w14:textId="2F6116EA" w:rsidR="00F61ACD" w:rsidRDefault="00FB7538">
          <w:pPr>
            <w:pStyle w:val="TOC3"/>
            <w:rPr>
              <w:rFonts w:asciiTheme="minorHAnsi" w:eastAsiaTheme="minorEastAsia" w:hAnsiTheme="minorHAnsi" w:cstheme="minorBidi"/>
              <w:noProof/>
              <w:color w:val="auto"/>
              <w:szCs w:val="22"/>
              <w:lang w:eastAsia="en-ZA"/>
            </w:rPr>
          </w:pPr>
          <w:hyperlink w:anchor="_Toc53608720" w:history="1">
            <w:r w:rsidR="00F61ACD" w:rsidRPr="00026E9A">
              <w:rPr>
                <w:rStyle w:val="Hyperlink"/>
                <w:noProof/>
              </w:rPr>
              <w:t>MATTERS TO BE BROUGHT TO THE ATTENTION OF USERS</w:t>
            </w:r>
            <w:r w:rsidR="00F61ACD">
              <w:rPr>
                <w:noProof/>
                <w:webHidden/>
              </w:rPr>
              <w:tab/>
            </w:r>
            <w:r w:rsidR="00F61ACD">
              <w:rPr>
                <w:noProof/>
                <w:webHidden/>
              </w:rPr>
              <w:fldChar w:fldCharType="begin"/>
            </w:r>
            <w:r w:rsidR="00F61ACD">
              <w:rPr>
                <w:noProof/>
                <w:webHidden/>
              </w:rPr>
              <w:instrText xml:space="preserve"> PAGEREF _Toc53608720 \h </w:instrText>
            </w:r>
            <w:r w:rsidR="00F61ACD">
              <w:rPr>
                <w:noProof/>
                <w:webHidden/>
              </w:rPr>
            </w:r>
            <w:r w:rsidR="00F61ACD">
              <w:rPr>
                <w:noProof/>
                <w:webHidden/>
              </w:rPr>
              <w:fldChar w:fldCharType="separate"/>
            </w:r>
            <w:r w:rsidR="00AA1F99">
              <w:rPr>
                <w:noProof/>
                <w:webHidden/>
              </w:rPr>
              <w:t>16</w:t>
            </w:r>
            <w:r w:rsidR="00F61ACD">
              <w:rPr>
                <w:noProof/>
                <w:webHidden/>
              </w:rPr>
              <w:fldChar w:fldCharType="end"/>
            </w:r>
          </w:hyperlink>
        </w:p>
        <w:p w14:paraId="0E59295E" w14:textId="527D6DE3" w:rsidR="00F61ACD" w:rsidRDefault="00FB7538">
          <w:pPr>
            <w:pStyle w:val="TOC3"/>
            <w:rPr>
              <w:rFonts w:asciiTheme="minorHAnsi" w:eastAsiaTheme="minorEastAsia" w:hAnsiTheme="minorHAnsi" w:cstheme="minorBidi"/>
              <w:noProof/>
              <w:color w:val="auto"/>
              <w:szCs w:val="22"/>
              <w:lang w:eastAsia="en-ZA"/>
            </w:rPr>
          </w:pPr>
          <w:hyperlink w:anchor="_Toc53608721" w:history="1">
            <w:r w:rsidR="00F61ACD" w:rsidRPr="00026E9A">
              <w:rPr>
                <w:rStyle w:val="Hyperlink"/>
                <w:noProof/>
              </w:rPr>
              <w:t>AUDIT OF THE ANNUAL PERFORMANCE REPORT</w:t>
            </w:r>
            <w:r w:rsidR="00F61ACD">
              <w:rPr>
                <w:noProof/>
                <w:webHidden/>
              </w:rPr>
              <w:tab/>
            </w:r>
            <w:r w:rsidR="00F61ACD">
              <w:rPr>
                <w:noProof/>
                <w:webHidden/>
              </w:rPr>
              <w:fldChar w:fldCharType="begin"/>
            </w:r>
            <w:r w:rsidR="00F61ACD">
              <w:rPr>
                <w:noProof/>
                <w:webHidden/>
              </w:rPr>
              <w:instrText xml:space="preserve"> PAGEREF _Toc53608721 \h </w:instrText>
            </w:r>
            <w:r w:rsidR="00F61ACD">
              <w:rPr>
                <w:noProof/>
                <w:webHidden/>
              </w:rPr>
            </w:r>
            <w:r w:rsidR="00F61ACD">
              <w:rPr>
                <w:noProof/>
                <w:webHidden/>
              </w:rPr>
              <w:fldChar w:fldCharType="separate"/>
            </w:r>
            <w:r w:rsidR="00AA1F99">
              <w:rPr>
                <w:noProof/>
                <w:webHidden/>
              </w:rPr>
              <w:t>16</w:t>
            </w:r>
            <w:r w:rsidR="00F61ACD">
              <w:rPr>
                <w:noProof/>
                <w:webHidden/>
              </w:rPr>
              <w:fldChar w:fldCharType="end"/>
            </w:r>
          </w:hyperlink>
        </w:p>
        <w:p w14:paraId="0D94ACE7" w14:textId="70E98247" w:rsidR="00F61ACD" w:rsidRDefault="00FB7538">
          <w:pPr>
            <w:pStyle w:val="TOC3"/>
            <w:rPr>
              <w:rFonts w:asciiTheme="minorHAnsi" w:eastAsiaTheme="minorEastAsia" w:hAnsiTheme="minorHAnsi" w:cstheme="minorBidi"/>
              <w:noProof/>
              <w:color w:val="auto"/>
              <w:szCs w:val="22"/>
              <w:lang w:eastAsia="en-ZA"/>
            </w:rPr>
          </w:pPr>
          <w:hyperlink w:anchor="_Toc53608722" w:history="1">
            <w:r w:rsidR="00F61ACD" w:rsidRPr="00026E9A">
              <w:rPr>
                <w:rStyle w:val="Hyperlink"/>
                <w:noProof/>
              </w:rPr>
              <w:t>AUDIT OF COMPLIANCE WITH LEGISLATION</w:t>
            </w:r>
            <w:r w:rsidR="00F61ACD">
              <w:rPr>
                <w:noProof/>
                <w:webHidden/>
              </w:rPr>
              <w:tab/>
            </w:r>
            <w:r w:rsidR="00F61ACD">
              <w:rPr>
                <w:noProof/>
                <w:webHidden/>
              </w:rPr>
              <w:fldChar w:fldCharType="begin"/>
            </w:r>
            <w:r w:rsidR="00F61ACD">
              <w:rPr>
                <w:noProof/>
                <w:webHidden/>
              </w:rPr>
              <w:instrText xml:space="preserve"> PAGEREF _Toc53608722 \h </w:instrText>
            </w:r>
            <w:r w:rsidR="00F61ACD">
              <w:rPr>
                <w:noProof/>
                <w:webHidden/>
              </w:rPr>
            </w:r>
            <w:r w:rsidR="00F61ACD">
              <w:rPr>
                <w:noProof/>
                <w:webHidden/>
              </w:rPr>
              <w:fldChar w:fldCharType="separate"/>
            </w:r>
            <w:r w:rsidR="00AA1F99">
              <w:rPr>
                <w:noProof/>
                <w:webHidden/>
              </w:rPr>
              <w:t>18</w:t>
            </w:r>
            <w:r w:rsidR="00F61ACD">
              <w:rPr>
                <w:noProof/>
                <w:webHidden/>
              </w:rPr>
              <w:fldChar w:fldCharType="end"/>
            </w:r>
          </w:hyperlink>
        </w:p>
        <w:p w14:paraId="1BB9E4C6" w14:textId="7F5EAF8C" w:rsidR="00F61ACD" w:rsidRDefault="00FB7538">
          <w:pPr>
            <w:pStyle w:val="TOC3"/>
            <w:rPr>
              <w:rFonts w:asciiTheme="minorHAnsi" w:eastAsiaTheme="minorEastAsia" w:hAnsiTheme="minorHAnsi" w:cstheme="minorBidi"/>
              <w:noProof/>
              <w:color w:val="auto"/>
              <w:szCs w:val="22"/>
              <w:lang w:eastAsia="en-ZA"/>
            </w:rPr>
          </w:pPr>
          <w:hyperlink w:anchor="_Toc53608723" w:history="1">
            <w:r w:rsidR="00F61ACD" w:rsidRPr="00026E9A">
              <w:rPr>
                <w:rStyle w:val="Hyperlink"/>
                <w:noProof/>
              </w:rPr>
              <w:t>OTHER INFORMATION</w:t>
            </w:r>
            <w:r w:rsidR="00F61ACD">
              <w:rPr>
                <w:noProof/>
                <w:webHidden/>
              </w:rPr>
              <w:tab/>
            </w:r>
            <w:r w:rsidR="00F61ACD">
              <w:rPr>
                <w:noProof/>
                <w:webHidden/>
              </w:rPr>
              <w:fldChar w:fldCharType="begin"/>
            </w:r>
            <w:r w:rsidR="00F61ACD">
              <w:rPr>
                <w:noProof/>
                <w:webHidden/>
              </w:rPr>
              <w:instrText xml:space="preserve"> PAGEREF _Toc53608723 \h </w:instrText>
            </w:r>
            <w:r w:rsidR="00F61ACD">
              <w:rPr>
                <w:noProof/>
                <w:webHidden/>
              </w:rPr>
            </w:r>
            <w:r w:rsidR="00F61ACD">
              <w:rPr>
                <w:noProof/>
                <w:webHidden/>
              </w:rPr>
              <w:fldChar w:fldCharType="separate"/>
            </w:r>
            <w:r w:rsidR="00AA1F99">
              <w:rPr>
                <w:noProof/>
                <w:webHidden/>
              </w:rPr>
              <w:t>19</w:t>
            </w:r>
            <w:r w:rsidR="00F61ACD">
              <w:rPr>
                <w:noProof/>
                <w:webHidden/>
              </w:rPr>
              <w:fldChar w:fldCharType="end"/>
            </w:r>
          </w:hyperlink>
        </w:p>
        <w:p w14:paraId="458A4503" w14:textId="0DDE3BD0" w:rsidR="00F61ACD" w:rsidRDefault="00FB7538">
          <w:pPr>
            <w:pStyle w:val="TOC3"/>
            <w:rPr>
              <w:rFonts w:asciiTheme="minorHAnsi" w:eastAsiaTheme="minorEastAsia" w:hAnsiTheme="minorHAnsi" w:cstheme="minorBidi"/>
              <w:noProof/>
              <w:color w:val="auto"/>
              <w:szCs w:val="22"/>
              <w:lang w:eastAsia="en-ZA"/>
            </w:rPr>
          </w:pPr>
          <w:hyperlink w:anchor="_Toc53608724" w:history="1">
            <w:r w:rsidR="00F61ACD" w:rsidRPr="00026E9A">
              <w:rPr>
                <w:rStyle w:val="Hyperlink"/>
                <w:noProof/>
              </w:rPr>
              <w:t>INTERNAL CONTROLS</w:t>
            </w:r>
            <w:r w:rsidR="00F61ACD">
              <w:rPr>
                <w:noProof/>
                <w:webHidden/>
              </w:rPr>
              <w:tab/>
            </w:r>
            <w:r w:rsidR="00F61ACD">
              <w:rPr>
                <w:noProof/>
                <w:webHidden/>
              </w:rPr>
              <w:fldChar w:fldCharType="begin"/>
            </w:r>
            <w:r w:rsidR="00F61ACD">
              <w:rPr>
                <w:noProof/>
                <w:webHidden/>
              </w:rPr>
              <w:instrText xml:space="preserve"> PAGEREF _Toc53608724 \h </w:instrText>
            </w:r>
            <w:r w:rsidR="00F61ACD">
              <w:rPr>
                <w:noProof/>
                <w:webHidden/>
              </w:rPr>
            </w:r>
            <w:r w:rsidR="00F61ACD">
              <w:rPr>
                <w:noProof/>
                <w:webHidden/>
              </w:rPr>
              <w:fldChar w:fldCharType="separate"/>
            </w:r>
            <w:r w:rsidR="00AA1F99">
              <w:rPr>
                <w:noProof/>
                <w:webHidden/>
              </w:rPr>
              <w:t>20</w:t>
            </w:r>
            <w:r w:rsidR="00F61ACD">
              <w:rPr>
                <w:noProof/>
                <w:webHidden/>
              </w:rPr>
              <w:fldChar w:fldCharType="end"/>
            </w:r>
          </w:hyperlink>
        </w:p>
        <w:p w14:paraId="6486700F" w14:textId="5ED7D79A" w:rsidR="00F61ACD" w:rsidRDefault="00FB7538">
          <w:pPr>
            <w:pStyle w:val="TOC3"/>
            <w:rPr>
              <w:rFonts w:asciiTheme="minorHAnsi" w:eastAsiaTheme="minorEastAsia" w:hAnsiTheme="minorHAnsi" w:cstheme="minorBidi"/>
              <w:noProof/>
              <w:color w:val="auto"/>
              <w:szCs w:val="22"/>
              <w:lang w:eastAsia="en-ZA"/>
            </w:rPr>
          </w:pPr>
          <w:hyperlink w:anchor="_Toc53608725" w:history="1">
            <w:r w:rsidR="00F61ACD" w:rsidRPr="00026E9A">
              <w:rPr>
                <w:rStyle w:val="Hyperlink"/>
                <w:rFonts w:eastAsia="MS Mincho" w:cs="Arial"/>
                <w:noProof/>
              </w:rPr>
              <w:t>94.</w:t>
            </w:r>
            <w:r w:rsidR="00F61ACD">
              <w:rPr>
                <w:rFonts w:asciiTheme="minorHAnsi" w:eastAsiaTheme="minorEastAsia" w:hAnsiTheme="minorHAnsi" w:cstheme="minorBidi"/>
                <w:noProof/>
                <w:color w:val="auto"/>
                <w:szCs w:val="22"/>
                <w:lang w:eastAsia="en-ZA"/>
              </w:rPr>
              <w:tab/>
            </w:r>
            <w:r w:rsidR="00F61ACD" w:rsidRPr="00026E9A">
              <w:rPr>
                <w:rStyle w:val="Hyperlink"/>
                <w:rFonts w:eastAsia="MS Mincho" w:cs="Arial"/>
                <w:noProof/>
              </w:rPr>
              <w:t>The review and monitoring of compliance with applicable laws and regulations were ineffective in certain instances.</w:t>
            </w:r>
            <w:r w:rsidR="00F61ACD">
              <w:rPr>
                <w:noProof/>
                <w:webHidden/>
              </w:rPr>
              <w:tab/>
            </w:r>
            <w:r w:rsidR="00F61ACD">
              <w:rPr>
                <w:noProof/>
                <w:webHidden/>
              </w:rPr>
              <w:fldChar w:fldCharType="begin"/>
            </w:r>
            <w:r w:rsidR="00F61ACD">
              <w:rPr>
                <w:noProof/>
                <w:webHidden/>
              </w:rPr>
              <w:instrText xml:space="preserve"> PAGEREF _Toc53608725 \h </w:instrText>
            </w:r>
            <w:r w:rsidR="00F61ACD">
              <w:rPr>
                <w:noProof/>
                <w:webHidden/>
              </w:rPr>
            </w:r>
            <w:r w:rsidR="00F61ACD">
              <w:rPr>
                <w:noProof/>
                <w:webHidden/>
              </w:rPr>
              <w:fldChar w:fldCharType="separate"/>
            </w:r>
            <w:r w:rsidR="00AA1F99">
              <w:rPr>
                <w:noProof/>
                <w:webHidden/>
              </w:rPr>
              <w:t>27</w:t>
            </w:r>
            <w:r w:rsidR="00F61ACD">
              <w:rPr>
                <w:noProof/>
                <w:webHidden/>
              </w:rPr>
              <w:fldChar w:fldCharType="end"/>
            </w:r>
          </w:hyperlink>
        </w:p>
        <w:p w14:paraId="1485E5D7" w14:textId="4F6A52ED" w:rsidR="00F61ACD" w:rsidRDefault="00FB7538">
          <w:pPr>
            <w:pStyle w:val="TOC3"/>
            <w:rPr>
              <w:rFonts w:asciiTheme="minorHAnsi" w:eastAsiaTheme="minorEastAsia" w:hAnsiTheme="minorHAnsi" w:cstheme="minorBidi"/>
              <w:noProof/>
              <w:color w:val="auto"/>
              <w:szCs w:val="22"/>
              <w:lang w:eastAsia="en-ZA"/>
            </w:rPr>
          </w:pPr>
          <w:hyperlink w:anchor="_Toc53608726" w:history="1">
            <w:r w:rsidR="00F61ACD" w:rsidRPr="00026E9A">
              <w:rPr>
                <w:rStyle w:val="Hyperlink"/>
                <w:noProof/>
              </w:rPr>
              <w:t>OTHER REPORTS</w:t>
            </w:r>
            <w:r w:rsidR="00F61ACD">
              <w:rPr>
                <w:noProof/>
                <w:webHidden/>
              </w:rPr>
              <w:tab/>
            </w:r>
            <w:r w:rsidR="00F61ACD">
              <w:rPr>
                <w:noProof/>
                <w:webHidden/>
              </w:rPr>
              <w:fldChar w:fldCharType="begin"/>
            </w:r>
            <w:r w:rsidR="00F61ACD">
              <w:rPr>
                <w:noProof/>
                <w:webHidden/>
              </w:rPr>
              <w:instrText xml:space="preserve"> PAGEREF _Toc53608726 \h </w:instrText>
            </w:r>
            <w:r w:rsidR="00F61ACD">
              <w:rPr>
                <w:noProof/>
                <w:webHidden/>
              </w:rPr>
            </w:r>
            <w:r w:rsidR="00F61ACD">
              <w:rPr>
                <w:noProof/>
                <w:webHidden/>
              </w:rPr>
              <w:fldChar w:fldCharType="separate"/>
            </w:r>
            <w:r w:rsidR="00AA1F99">
              <w:rPr>
                <w:noProof/>
                <w:webHidden/>
              </w:rPr>
              <w:t>27</w:t>
            </w:r>
            <w:r w:rsidR="00F61ACD">
              <w:rPr>
                <w:noProof/>
                <w:webHidden/>
              </w:rPr>
              <w:fldChar w:fldCharType="end"/>
            </w:r>
          </w:hyperlink>
        </w:p>
        <w:p w14:paraId="6FCF1C47" w14:textId="7EC9435B" w:rsidR="00F61ACD" w:rsidRDefault="00FB7538">
          <w:pPr>
            <w:pStyle w:val="TOC2"/>
            <w:rPr>
              <w:rFonts w:asciiTheme="minorHAnsi" w:eastAsiaTheme="minorEastAsia" w:hAnsiTheme="minorHAnsi" w:cstheme="minorBidi"/>
              <w:b w:val="0"/>
              <w:noProof/>
              <w:color w:val="auto"/>
              <w:szCs w:val="22"/>
              <w:lang w:eastAsia="en-ZA"/>
            </w:rPr>
          </w:pPr>
          <w:hyperlink w:anchor="_Toc53608727" w:history="1">
            <w:r w:rsidR="00F61ACD" w:rsidRPr="00026E9A">
              <w:rPr>
                <w:rStyle w:val="Hyperlink"/>
                <w:noProof/>
              </w:rPr>
              <w:t>SECTION 3: Assurance providers and status of implementation of commitments and recommendations</w:t>
            </w:r>
            <w:r w:rsidR="00F61ACD">
              <w:rPr>
                <w:noProof/>
                <w:webHidden/>
              </w:rPr>
              <w:tab/>
            </w:r>
            <w:r w:rsidR="00F61ACD">
              <w:rPr>
                <w:noProof/>
                <w:webHidden/>
              </w:rPr>
              <w:fldChar w:fldCharType="begin"/>
            </w:r>
            <w:r w:rsidR="00F61ACD">
              <w:rPr>
                <w:noProof/>
                <w:webHidden/>
              </w:rPr>
              <w:instrText xml:space="preserve"> PAGEREF _Toc53608727 \h </w:instrText>
            </w:r>
            <w:r w:rsidR="00F61ACD">
              <w:rPr>
                <w:noProof/>
                <w:webHidden/>
              </w:rPr>
            </w:r>
            <w:r w:rsidR="00F61ACD">
              <w:rPr>
                <w:noProof/>
                <w:webHidden/>
              </w:rPr>
              <w:fldChar w:fldCharType="separate"/>
            </w:r>
            <w:r w:rsidR="00AA1F99">
              <w:rPr>
                <w:noProof/>
                <w:webHidden/>
              </w:rPr>
              <w:t>27</w:t>
            </w:r>
            <w:r w:rsidR="00F61ACD">
              <w:rPr>
                <w:noProof/>
                <w:webHidden/>
              </w:rPr>
              <w:fldChar w:fldCharType="end"/>
            </w:r>
          </w:hyperlink>
        </w:p>
        <w:p w14:paraId="777CD251" w14:textId="380D1C8A" w:rsidR="00F61ACD" w:rsidRDefault="00FB7538">
          <w:pPr>
            <w:pStyle w:val="TOC3"/>
            <w:rPr>
              <w:rFonts w:asciiTheme="minorHAnsi" w:eastAsiaTheme="minorEastAsia" w:hAnsiTheme="minorHAnsi" w:cstheme="minorBidi"/>
              <w:noProof/>
              <w:color w:val="auto"/>
              <w:szCs w:val="22"/>
              <w:lang w:eastAsia="en-ZA"/>
            </w:rPr>
          </w:pPr>
          <w:hyperlink w:anchor="_Toc53608728" w:history="1">
            <w:r w:rsidR="00F61ACD" w:rsidRPr="00026E9A">
              <w:rPr>
                <w:rStyle w:val="Hyperlink"/>
                <w:noProof/>
              </w:rPr>
              <w:t>ASSESSMENT OF ASSURANCE PROVIDERS</w:t>
            </w:r>
            <w:r w:rsidR="00F61ACD">
              <w:rPr>
                <w:noProof/>
                <w:webHidden/>
              </w:rPr>
              <w:tab/>
            </w:r>
            <w:r w:rsidR="00F61ACD">
              <w:rPr>
                <w:noProof/>
                <w:webHidden/>
              </w:rPr>
              <w:fldChar w:fldCharType="begin"/>
            </w:r>
            <w:r w:rsidR="00F61ACD">
              <w:rPr>
                <w:noProof/>
                <w:webHidden/>
              </w:rPr>
              <w:instrText xml:space="preserve"> PAGEREF _Toc53608728 \h </w:instrText>
            </w:r>
            <w:r w:rsidR="00F61ACD">
              <w:rPr>
                <w:noProof/>
                <w:webHidden/>
              </w:rPr>
            </w:r>
            <w:r w:rsidR="00F61ACD">
              <w:rPr>
                <w:noProof/>
                <w:webHidden/>
              </w:rPr>
              <w:fldChar w:fldCharType="separate"/>
            </w:r>
            <w:r w:rsidR="00AA1F99">
              <w:rPr>
                <w:noProof/>
                <w:webHidden/>
              </w:rPr>
              <w:t>27</w:t>
            </w:r>
            <w:r w:rsidR="00F61ACD">
              <w:rPr>
                <w:noProof/>
                <w:webHidden/>
              </w:rPr>
              <w:fldChar w:fldCharType="end"/>
            </w:r>
          </w:hyperlink>
        </w:p>
        <w:p w14:paraId="0A9D5774" w14:textId="152F7646" w:rsidR="00F61ACD" w:rsidRDefault="00FB7538">
          <w:pPr>
            <w:pStyle w:val="TOC3"/>
            <w:rPr>
              <w:rFonts w:asciiTheme="minorHAnsi" w:eastAsiaTheme="minorEastAsia" w:hAnsiTheme="minorHAnsi" w:cstheme="minorBidi"/>
              <w:noProof/>
              <w:color w:val="auto"/>
              <w:szCs w:val="22"/>
              <w:lang w:eastAsia="en-ZA"/>
            </w:rPr>
          </w:pPr>
          <w:hyperlink w:anchor="_Toc53608729" w:history="1">
            <w:r w:rsidR="00F61ACD" w:rsidRPr="00026E9A">
              <w:rPr>
                <w:rStyle w:val="Hyperlink"/>
                <w:noProof/>
              </w:rPr>
              <w:t>STATUS OF IMPLEMENTING COMMITMENTS AND RECOMMENDATIONS</w:t>
            </w:r>
            <w:r w:rsidR="00F61ACD">
              <w:rPr>
                <w:noProof/>
                <w:webHidden/>
              </w:rPr>
              <w:tab/>
            </w:r>
            <w:r w:rsidR="00F61ACD">
              <w:rPr>
                <w:noProof/>
                <w:webHidden/>
              </w:rPr>
              <w:fldChar w:fldCharType="begin"/>
            </w:r>
            <w:r w:rsidR="00F61ACD">
              <w:rPr>
                <w:noProof/>
                <w:webHidden/>
              </w:rPr>
              <w:instrText xml:space="preserve"> PAGEREF _Toc53608729 \h </w:instrText>
            </w:r>
            <w:r w:rsidR="00F61ACD">
              <w:rPr>
                <w:noProof/>
                <w:webHidden/>
              </w:rPr>
            </w:r>
            <w:r w:rsidR="00F61ACD">
              <w:rPr>
                <w:noProof/>
                <w:webHidden/>
              </w:rPr>
              <w:fldChar w:fldCharType="separate"/>
            </w:r>
            <w:r w:rsidR="00AA1F99">
              <w:rPr>
                <w:noProof/>
                <w:webHidden/>
              </w:rPr>
              <w:t>29</w:t>
            </w:r>
            <w:r w:rsidR="00F61ACD">
              <w:rPr>
                <w:noProof/>
                <w:webHidden/>
              </w:rPr>
              <w:fldChar w:fldCharType="end"/>
            </w:r>
          </w:hyperlink>
        </w:p>
        <w:p w14:paraId="5130B184" w14:textId="416BA5B7" w:rsidR="00F61ACD" w:rsidRDefault="00FB7538">
          <w:pPr>
            <w:pStyle w:val="TOC2"/>
            <w:rPr>
              <w:rFonts w:asciiTheme="minorHAnsi" w:eastAsiaTheme="minorEastAsia" w:hAnsiTheme="minorHAnsi" w:cstheme="minorBidi"/>
              <w:b w:val="0"/>
              <w:noProof/>
              <w:color w:val="auto"/>
              <w:szCs w:val="22"/>
              <w:lang w:eastAsia="en-ZA"/>
            </w:rPr>
          </w:pPr>
          <w:hyperlink w:anchor="_Toc53608730" w:history="1">
            <w:r w:rsidR="00F61ACD" w:rsidRPr="00026E9A">
              <w:rPr>
                <w:rStyle w:val="Hyperlink"/>
                <w:noProof/>
              </w:rPr>
              <w:t>SECTION 4: Specific focus areas</w:t>
            </w:r>
            <w:r w:rsidR="00F61ACD">
              <w:rPr>
                <w:noProof/>
                <w:webHidden/>
              </w:rPr>
              <w:tab/>
            </w:r>
            <w:r w:rsidR="00F61ACD">
              <w:rPr>
                <w:noProof/>
                <w:webHidden/>
              </w:rPr>
              <w:fldChar w:fldCharType="begin"/>
            </w:r>
            <w:r w:rsidR="00F61ACD">
              <w:rPr>
                <w:noProof/>
                <w:webHidden/>
              </w:rPr>
              <w:instrText xml:space="preserve"> PAGEREF _Toc53608730 \h </w:instrText>
            </w:r>
            <w:r w:rsidR="00F61ACD">
              <w:rPr>
                <w:noProof/>
                <w:webHidden/>
              </w:rPr>
            </w:r>
            <w:r w:rsidR="00F61ACD">
              <w:rPr>
                <w:noProof/>
                <w:webHidden/>
              </w:rPr>
              <w:fldChar w:fldCharType="separate"/>
            </w:r>
            <w:r w:rsidR="00AA1F99">
              <w:rPr>
                <w:noProof/>
                <w:webHidden/>
              </w:rPr>
              <w:t>32</w:t>
            </w:r>
            <w:r w:rsidR="00F61ACD">
              <w:rPr>
                <w:noProof/>
                <w:webHidden/>
              </w:rPr>
              <w:fldChar w:fldCharType="end"/>
            </w:r>
          </w:hyperlink>
        </w:p>
        <w:p w14:paraId="5416ED84" w14:textId="4B0C11F0" w:rsidR="00F61ACD" w:rsidRDefault="00FB7538">
          <w:pPr>
            <w:pStyle w:val="TOC3"/>
            <w:rPr>
              <w:rFonts w:asciiTheme="minorHAnsi" w:eastAsiaTheme="minorEastAsia" w:hAnsiTheme="minorHAnsi" w:cstheme="minorBidi"/>
              <w:noProof/>
              <w:color w:val="auto"/>
              <w:szCs w:val="22"/>
              <w:lang w:eastAsia="en-ZA"/>
            </w:rPr>
          </w:pPr>
          <w:hyperlink w:anchor="_Toc53608731" w:history="1">
            <w:r w:rsidR="00F61ACD" w:rsidRPr="00026E9A">
              <w:rPr>
                <w:rStyle w:val="Hyperlink"/>
                <w:noProof/>
              </w:rPr>
              <w:t>FINANCIAL VIABILITY</w:t>
            </w:r>
            <w:r w:rsidR="00F61ACD">
              <w:rPr>
                <w:noProof/>
                <w:webHidden/>
              </w:rPr>
              <w:tab/>
            </w:r>
            <w:r w:rsidR="00F61ACD">
              <w:rPr>
                <w:noProof/>
                <w:webHidden/>
              </w:rPr>
              <w:fldChar w:fldCharType="begin"/>
            </w:r>
            <w:r w:rsidR="00F61ACD">
              <w:rPr>
                <w:noProof/>
                <w:webHidden/>
              </w:rPr>
              <w:instrText xml:space="preserve"> PAGEREF _Toc53608731 \h </w:instrText>
            </w:r>
            <w:r w:rsidR="00F61ACD">
              <w:rPr>
                <w:noProof/>
                <w:webHidden/>
              </w:rPr>
            </w:r>
            <w:r w:rsidR="00F61ACD">
              <w:rPr>
                <w:noProof/>
                <w:webHidden/>
              </w:rPr>
              <w:fldChar w:fldCharType="separate"/>
            </w:r>
            <w:r w:rsidR="00AA1F99">
              <w:rPr>
                <w:noProof/>
                <w:webHidden/>
              </w:rPr>
              <w:t>32</w:t>
            </w:r>
            <w:r w:rsidR="00F61ACD">
              <w:rPr>
                <w:noProof/>
                <w:webHidden/>
              </w:rPr>
              <w:fldChar w:fldCharType="end"/>
            </w:r>
          </w:hyperlink>
        </w:p>
        <w:p w14:paraId="0EA2D59F" w14:textId="5DB158C2" w:rsidR="00F61ACD" w:rsidRDefault="00FB7538">
          <w:pPr>
            <w:pStyle w:val="TOC3"/>
            <w:rPr>
              <w:rFonts w:asciiTheme="minorHAnsi" w:eastAsiaTheme="minorEastAsia" w:hAnsiTheme="minorHAnsi" w:cstheme="minorBidi"/>
              <w:noProof/>
              <w:color w:val="auto"/>
              <w:szCs w:val="22"/>
              <w:lang w:eastAsia="en-ZA"/>
            </w:rPr>
          </w:pPr>
          <w:hyperlink w:anchor="_Toc53608732" w:history="1">
            <w:r w:rsidR="00F61ACD" w:rsidRPr="00026E9A">
              <w:rPr>
                <w:rStyle w:val="Hyperlink"/>
                <w:noProof/>
              </w:rPr>
              <w:t>PROCUREMENT AND CONTRACT MANAGEMENT</w:t>
            </w:r>
            <w:r w:rsidR="00F61ACD">
              <w:rPr>
                <w:noProof/>
                <w:webHidden/>
              </w:rPr>
              <w:tab/>
            </w:r>
            <w:r w:rsidR="00F61ACD">
              <w:rPr>
                <w:noProof/>
                <w:webHidden/>
              </w:rPr>
              <w:fldChar w:fldCharType="begin"/>
            </w:r>
            <w:r w:rsidR="00F61ACD">
              <w:rPr>
                <w:noProof/>
                <w:webHidden/>
              </w:rPr>
              <w:instrText xml:space="preserve"> PAGEREF _Toc53608732 \h </w:instrText>
            </w:r>
            <w:r w:rsidR="00F61ACD">
              <w:rPr>
                <w:noProof/>
                <w:webHidden/>
              </w:rPr>
            </w:r>
            <w:r w:rsidR="00F61ACD">
              <w:rPr>
                <w:noProof/>
                <w:webHidden/>
              </w:rPr>
              <w:fldChar w:fldCharType="separate"/>
            </w:r>
            <w:r w:rsidR="00AA1F99">
              <w:rPr>
                <w:noProof/>
                <w:webHidden/>
              </w:rPr>
              <w:t>34</w:t>
            </w:r>
            <w:r w:rsidR="00F61ACD">
              <w:rPr>
                <w:noProof/>
                <w:webHidden/>
              </w:rPr>
              <w:fldChar w:fldCharType="end"/>
            </w:r>
          </w:hyperlink>
        </w:p>
        <w:p w14:paraId="17E9E11F" w14:textId="6F6C2B62" w:rsidR="00F61ACD" w:rsidRDefault="00FB7538">
          <w:pPr>
            <w:pStyle w:val="TOC2"/>
            <w:rPr>
              <w:rFonts w:asciiTheme="minorHAnsi" w:eastAsiaTheme="minorEastAsia" w:hAnsiTheme="minorHAnsi" w:cstheme="minorBidi"/>
              <w:b w:val="0"/>
              <w:noProof/>
              <w:color w:val="auto"/>
              <w:szCs w:val="22"/>
              <w:lang w:eastAsia="en-ZA"/>
            </w:rPr>
          </w:pPr>
          <w:hyperlink w:anchor="_Toc53608733" w:history="1">
            <w:r w:rsidR="00F61ACD" w:rsidRPr="00026E9A">
              <w:rPr>
                <w:rStyle w:val="Hyperlink"/>
                <w:noProof/>
              </w:rPr>
              <w:t>SECTION 5. Using the work of internal audit</w:t>
            </w:r>
            <w:r w:rsidR="00F61ACD">
              <w:rPr>
                <w:noProof/>
                <w:webHidden/>
              </w:rPr>
              <w:tab/>
            </w:r>
            <w:r w:rsidR="00F61ACD">
              <w:rPr>
                <w:noProof/>
                <w:webHidden/>
              </w:rPr>
              <w:fldChar w:fldCharType="begin"/>
            </w:r>
            <w:r w:rsidR="00F61ACD">
              <w:rPr>
                <w:noProof/>
                <w:webHidden/>
              </w:rPr>
              <w:instrText xml:space="preserve"> PAGEREF _Toc53608733 \h </w:instrText>
            </w:r>
            <w:r w:rsidR="00F61ACD">
              <w:rPr>
                <w:noProof/>
                <w:webHidden/>
              </w:rPr>
            </w:r>
            <w:r w:rsidR="00F61ACD">
              <w:rPr>
                <w:noProof/>
                <w:webHidden/>
              </w:rPr>
              <w:fldChar w:fldCharType="separate"/>
            </w:r>
            <w:r w:rsidR="00AA1F99">
              <w:rPr>
                <w:noProof/>
                <w:webHidden/>
              </w:rPr>
              <w:t>38</w:t>
            </w:r>
            <w:r w:rsidR="00F61ACD">
              <w:rPr>
                <w:noProof/>
                <w:webHidden/>
              </w:rPr>
              <w:fldChar w:fldCharType="end"/>
            </w:r>
          </w:hyperlink>
        </w:p>
        <w:p w14:paraId="026E2A1F" w14:textId="134D5AD7" w:rsidR="00F61ACD" w:rsidRDefault="00FB7538">
          <w:pPr>
            <w:pStyle w:val="TOC2"/>
            <w:rPr>
              <w:rFonts w:asciiTheme="minorHAnsi" w:eastAsiaTheme="minorEastAsia" w:hAnsiTheme="minorHAnsi" w:cstheme="minorBidi"/>
              <w:b w:val="0"/>
              <w:noProof/>
              <w:color w:val="auto"/>
              <w:szCs w:val="22"/>
              <w:lang w:eastAsia="en-ZA"/>
            </w:rPr>
          </w:pPr>
          <w:hyperlink w:anchor="_Toc53608734" w:history="1">
            <w:r w:rsidR="00F61ACD" w:rsidRPr="00026E9A">
              <w:rPr>
                <w:rStyle w:val="Hyperlink"/>
                <w:noProof/>
              </w:rPr>
              <w:t>SECTION 6: Emerging risks</w:t>
            </w:r>
            <w:r w:rsidR="00F61ACD">
              <w:rPr>
                <w:noProof/>
                <w:webHidden/>
              </w:rPr>
              <w:tab/>
            </w:r>
            <w:r w:rsidR="00F61ACD">
              <w:rPr>
                <w:noProof/>
                <w:webHidden/>
              </w:rPr>
              <w:fldChar w:fldCharType="begin"/>
            </w:r>
            <w:r w:rsidR="00F61ACD">
              <w:rPr>
                <w:noProof/>
                <w:webHidden/>
              </w:rPr>
              <w:instrText xml:space="preserve"> PAGEREF _Toc53608734 \h </w:instrText>
            </w:r>
            <w:r w:rsidR="00F61ACD">
              <w:rPr>
                <w:noProof/>
                <w:webHidden/>
              </w:rPr>
            </w:r>
            <w:r w:rsidR="00F61ACD">
              <w:rPr>
                <w:noProof/>
                <w:webHidden/>
              </w:rPr>
              <w:fldChar w:fldCharType="separate"/>
            </w:r>
            <w:r w:rsidR="00AA1F99">
              <w:rPr>
                <w:noProof/>
                <w:webHidden/>
              </w:rPr>
              <w:t>38</w:t>
            </w:r>
            <w:r w:rsidR="00F61ACD">
              <w:rPr>
                <w:noProof/>
                <w:webHidden/>
              </w:rPr>
              <w:fldChar w:fldCharType="end"/>
            </w:r>
          </w:hyperlink>
        </w:p>
        <w:p w14:paraId="5752A227" w14:textId="50E9890C" w:rsidR="00F61ACD" w:rsidRDefault="00FB7538">
          <w:pPr>
            <w:pStyle w:val="TOC2"/>
            <w:rPr>
              <w:rFonts w:asciiTheme="minorHAnsi" w:eastAsiaTheme="minorEastAsia" w:hAnsiTheme="minorHAnsi" w:cstheme="minorBidi"/>
              <w:b w:val="0"/>
              <w:noProof/>
              <w:color w:val="auto"/>
              <w:szCs w:val="22"/>
              <w:lang w:eastAsia="en-ZA"/>
            </w:rPr>
          </w:pPr>
          <w:hyperlink w:anchor="_Toc53608735" w:history="1">
            <w:r w:rsidR="00F61ACD" w:rsidRPr="00026E9A">
              <w:rPr>
                <w:rStyle w:val="Hyperlink"/>
                <w:noProof/>
              </w:rPr>
              <w:t>SECTION 8: Ratings of detailed audit findings</w:t>
            </w:r>
            <w:r w:rsidR="00F61ACD">
              <w:rPr>
                <w:noProof/>
                <w:webHidden/>
              </w:rPr>
              <w:tab/>
            </w:r>
            <w:r w:rsidR="00F61ACD">
              <w:rPr>
                <w:noProof/>
                <w:webHidden/>
              </w:rPr>
              <w:fldChar w:fldCharType="begin"/>
            </w:r>
            <w:r w:rsidR="00F61ACD">
              <w:rPr>
                <w:noProof/>
                <w:webHidden/>
              </w:rPr>
              <w:instrText xml:space="preserve"> PAGEREF _Toc53608735 \h </w:instrText>
            </w:r>
            <w:r w:rsidR="00F61ACD">
              <w:rPr>
                <w:noProof/>
                <w:webHidden/>
              </w:rPr>
            </w:r>
            <w:r w:rsidR="00F61ACD">
              <w:rPr>
                <w:noProof/>
                <w:webHidden/>
              </w:rPr>
              <w:fldChar w:fldCharType="separate"/>
            </w:r>
            <w:r w:rsidR="00AA1F99">
              <w:rPr>
                <w:noProof/>
                <w:webHidden/>
              </w:rPr>
              <w:t>40</w:t>
            </w:r>
            <w:r w:rsidR="00F61ACD">
              <w:rPr>
                <w:noProof/>
                <w:webHidden/>
              </w:rPr>
              <w:fldChar w:fldCharType="end"/>
            </w:r>
          </w:hyperlink>
        </w:p>
        <w:p w14:paraId="1823A989" w14:textId="33594FCE" w:rsidR="00F61ACD" w:rsidRDefault="00FB7538">
          <w:pPr>
            <w:pStyle w:val="TOC2"/>
            <w:rPr>
              <w:rFonts w:asciiTheme="minorHAnsi" w:eastAsiaTheme="minorEastAsia" w:hAnsiTheme="minorHAnsi" w:cstheme="minorBidi"/>
              <w:b w:val="0"/>
              <w:noProof/>
              <w:color w:val="auto"/>
              <w:szCs w:val="22"/>
              <w:lang w:eastAsia="en-ZA"/>
            </w:rPr>
          </w:pPr>
          <w:hyperlink w:anchor="_Toc53608736" w:history="1">
            <w:r w:rsidR="00F61ACD" w:rsidRPr="00026E9A">
              <w:rPr>
                <w:rStyle w:val="Hyperlink"/>
                <w:noProof/>
              </w:rPr>
              <w:t>SECTION 9: Conclusion</w:t>
            </w:r>
            <w:r w:rsidR="00F61ACD">
              <w:rPr>
                <w:noProof/>
                <w:webHidden/>
              </w:rPr>
              <w:tab/>
            </w:r>
            <w:r w:rsidR="00F61ACD">
              <w:rPr>
                <w:noProof/>
                <w:webHidden/>
              </w:rPr>
              <w:fldChar w:fldCharType="begin"/>
            </w:r>
            <w:r w:rsidR="00F61ACD">
              <w:rPr>
                <w:noProof/>
                <w:webHidden/>
              </w:rPr>
              <w:instrText xml:space="preserve"> PAGEREF _Toc53608736 \h </w:instrText>
            </w:r>
            <w:r w:rsidR="00F61ACD">
              <w:rPr>
                <w:noProof/>
                <w:webHidden/>
              </w:rPr>
            </w:r>
            <w:r w:rsidR="00F61ACD">
              <w:rPr>
                <w:noProof/>
                <w:webHidden/>
              </w:rPr>
              <w:fldChar w:fldCharType="separate"/>
            </w:r>
            <w:r w:rsidR="00AA1F99">
              <w:rPr>
                <w:noProof/>
                <w:webHidden/>
              </w:rPr>
              <w:t>40</w:t>
            </w:r>
            <w:r w:rsidR="00F61ACD">
              <w:rPr>
                <w:noProof/>
                <w:webHidden/>
              </w:rPr>
              <w:fldChar w:fldCharType="end"/>
            </w:r>
          </w:hyperlink>
        </w:p>
        <w:p w14:paraId="2B2B9E73" w14:textId="77777777" w:rsidR="001F1CF5" w:rsidRPr="0077659B" w:rsidRDefault="006A7CD8">
          <w:r w:rsidRPr="0077659B">
            <w:rPr>
              <w:rFonts w:eastAsia="Times New Roman" w:cs="Arial"/>
              <w:b/>
              <w:color w:val="365F91"/>
            </w:rPr>
            <w:fldChar w:fldCharType="end"/>
          </w:r>
        </w:p>
      </w:sdtContent>
    </w:sdt>
    <w:p w14:paraId="436A65AA" w14:textId="77777777"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14:paraId="63CAF3F6" w14:textId="77777777" w:rsidR="00C22F2B" w:rsidRPr="0077659B" w:rsidRDefault="00C22F2B" w:rsidP="00C22F2B">
      <w:pPr>
        <w:spacing w:after="0" w:line="240" w:lineRule="auto"/>
        <w:jc w:val="both"/>
        <w:rPr>
          <w:rFonts w:eastAsia="Times New Roman" w:cs="Arial"/>
          <w:b/>
          <w:bCs/>
          <w:iCs/>
          <w:color w:val="003B79"/>
          <w:sz w:val="10"/>
          <w:szCs w:val="10"/>
        </w:rPr>
      </w:pPr>
    </w:p>
    <w:p w14:paraId="7BFE0FF6" w14:textId="77777777" w:rsidR="00C22F2B" w:rsidRPr="0077659B" w:rsidRDefault="00C22F2B" w:rsidP="00C22F2B">
      <w:pPr>
        <w:spacing w:after="0" w:line="240" w:lineRule="auto"/>
        <w:rPr>
          <w:rFonts w:eastAsia="Times New Roman" w:cs="Arial"/>
          <w:b/>
          <w:bCs/>
          <w:spacing w:val="-4"/>
          <w:sz w:val="10"/>
          <w:szCs w:val="10"/>
        </w:rPr>
      </w:pPr>
    </w:p>
    <w:p w14:paraId="5CB74A46" w14:textId="77777777"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14:paraId="7EA94DA5" w14:textId="77777777" w:rsidR="00C22F2B" w:rsidRPr="0077659B" w:rsidRDefault="005922BC" w:rsidP="00FA5B7A">
      <w:pPr>
        <w:pStyle w:val="Heading2"/>
      </w:pPr>
      <w:bookmarkStart w:id="0" w:name="_Toc447106579"/>
      <w:bookmarkStart w:id="1" w:name="_Toc31548090"/>
      <w:bookmarkStart w:id="2" w:name="_Toc40695666"/>
      <w:bookmarkStart w:id="3" w:name="_Toc41685565"/>
      <w:bookmarkStart w:id="4" w:name="_Toc41826025"/>
      <w:bookmarkStart w:id="5" w:name="_Toc42616102"/>
      <w:bookmarkStart w:id="6" w:name="_Toc53608714"/>
      <w:r>
        <w:lastRenderedPageBreak/>
        <w:t xml:space="preserve">MANAGEMENT REPORT TO THE </w:t>
      </w:r>
      <w:r w:rsidR="00C22F2B" w:rsidRPr="0077659B">
        <w:t xml:space="preserve">ACCOUNTING </w:t>
      </w:r>
      <w:r w:rsidRPr="0077659B">
        <w:t>OFF</w:t>
      </w:r>
      <w:r>
        <w:t xml:space="preserve">ICER </w:t>
      </w:r>
      <w:r w:rsidRPr="0077659B">
        <w:t>ON</w:t>
      </w:r>
      <w:r w:rsidR="00C22F2B" w:rsidRPr="0077659B">
        <w:t xml:space="preserve"> T</w:t>
      </w:r>
      <w:r>
        <w:t>HE AUDIT OF THE property management trading entity</w:t>
      </w:r>
      <w:r w:rsidR="00C22F2B" w:rsidRPr="0077659B">
        <w:t xml:space="preserve"> FOR THE YEAR ENDED </w:t>
      </w:r>
      <w:r>
        <w:t>31 march 2020</w:t>
      </w:r>
      <w:bookmarkEnd w:id="0"/>
      <w:bookmarkEnd w:id="1"/>
      <w:bookmarkEnd w:id="2"/>
      <w:bookmarkEnd w:id="3"/>
      <w:bookmarkEnd w:id="4"/>
      <w:bookmarkEnd w:id="5"/>
      <w:bookmarkEnd w:id="6"/>
    </w:p>
    <w:p w14:paraId="4014BA90" w14:textId="77777777" w:rsidR="003A047F" w:rsidRPr="0077659B" w:rsidRDefault="003A047F" w:rsidP="00153824">
      <w:pPr>
        <w:shd w:val="clear" w:color="auto" w:fill="FFFFFF"/>
        <w:spacing w:line="240" w:lineRule="auto"/>
        <w:ind w:left="425"/>
        <w:rPr>
          <w:rFonts w:eastAsia="Times New Roman" w:cs="Arial"/>
        </w:rPr>
      </w:pPr>
    </w:p>
    <w:p w14:paraId="7645F775" w14:textId="77777777" w:rsidR="00C22F2B" w:rsidRPr="007757B7" w:rsidRDefault="00FA5B7A" w:rsidP="007757B7">
      <w:pPr>
        <w:pStyle w:val="Heading2"/>
        <w:rPr>
          <w:rFonts w:ascii="Arial" w:eastAsia="Times New Roman" w:hAnsi="Arial"/>
        </w:rPr>
      </w:pPr>
      <w:bookmarkStart w:id="7" w:name="_Toc53608715"/>
      <w:r w:rsidRPr="0077659B">
        <w:t>INTRODUCTION</w:t>
      </w:r>
      <w:bookmarkEnd w:id="7"/>
    </w:p>
    <w:p w14:paraId="753338D7" w14:textId="77777777" w:rsidR="00AD6C24" w:rsidRPr="0077659B" w:rsidRDefault="00AD6C24" w:rsidP="006306CE">
      <w:pPr>
        <w:pStyle w:val="Numbernormal"/>
        <w:numPr>
          <w:ilvl w:val="0"/>
          <w:numId w:val="14"/>
        </w:numPr>
        <w:ind w:left="567" w:hanging="567"/>
        <w:jc w:val="both"/>
      </w:pPr>
      <w:r w:rsidRPr="0077659B">
        <w:t>The purpose of the management report is to communicate audit findings and other key audit observations to the accounting officer</w:t>
      </w:r>
      <w:r w:rsidR="00161FE3">
        <w:t xml:space="preserve"> </w:t>
      </w:r>
      <w:r w:rsidRPr="0077659B">
        <w:t>and to provide a summary of the material irregularities and suspected material irregularities of which the accounting officer</w:t>
      </w:r>
      <w:r w:rsidR="00161FE3">
        <w:t xml:space="preserve"> </w:t>
      </w:r>
      <w:r w:rsidRPr="0077659B">
        <w:t>was notified. The report does not</w:t>
      </w:r>
      <w:r w:rsidR="00D501E8">
        <w:t xml:space="preserve"> constitute public information.</w:t>
      </w:r>
    </w:p>
    <w:p w14:paraId="49187B54" w14:textId="77777777" w:rsidR="00AD6C24" w:rsidRPr="0077659B" w:rsidRDefault="00AD6C24" w:rsidP="007757B7">
      <w:pPr>
        <w:pStyle w:val="Numbernormal"/>
        <w:ind w:left="567" w:hanging="11"/>
        <w:jc w:val="both"/>
      </w:pPr>
      <w:r w:rsidRPr="0077659B">
        <w:t xml:space="preserve">The management report includes audit findings arising from the audit of the financial statements, performance information and compliance with legislation for the </w:t>
      </w:r>
      <w:r w:rsidR="00161FE3">
        <w:t>year ended 31 March 2020</w:t>
      </w:r>
      <w:r w:rsidRPr="0077659B">
        <w:t>. These findings were communicated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14:paraId="4B401CA8" w14:textId="77777777" w:rsidR="00C22F2B" w:rsidRPr="0077659B" w:rsidRDefault="003A047F" w:rsidP="006306CE">
      <w:pPr>
        <w:pStyle w:val="Numbernormal"/>
        <w:numPr>
          <w:ilvl w:val="0"/>
          <w:numId w:val="14"/>
        </w:numPr>
        <w:ind w:left="567" w:hanging="567"/>
        <w:jc w:val="both"/>
      </w:pPr>
      <w:r w:rsidRPr="0077659B">
        <w:t>In accordance with the terms of engagement, our responsibility in this regard is to</w:t>
      </w:r>
      <w:r w:rsidR="00C22F2B" w:rsidRPr="0077659B">
        <w:t xml:space="preserve">: </w:t>
      </w:r>
    </w:p>
    <w:p w14:paraId="75983C62" w14:textId="77777777" w:rsidR="00C22F2B" w:rsidRPr="0077659B" w:rsidRDefault="00C22F2B" w:rsidP="007757B7">
      <w:pPr>
        <w:pStyle w:val="Bulletedlist"/>
        <w:ind w:left="851" w:hanging="284"/>
        <w:jc w:val="both"/>
      </w:pPr>
      <w:r w:rsidRPr="0077659B">
        <w:t>express an opinion on</w:t>
      </w:r>
      <w:r w:rsidR="00161FE3">
        <w:t xml:space="preserve"> the</w:t>
      </w:r>
      <w:r w:rsidRPr="0077659B">
        <w:t xml:space="preserve"> financial statements</w:t>
      </w:r>
    </w:p>
    <w:p w14:paraId="6C517642" w14:textId="77777777" w:rsidR="00C22F2B" w:rsidRPr="0077659B" w:rsidRDefault="00C22F2B" w:rsidP="007757B7">
      <w:pPr>
        <w:pStyle w:val="Bulletedlist"/>
        <w:ind w:left="851" w:hanging="284"/>
        <w:jc w:val="both"/>
      </w:pPr>
      <w:r w:rsidRPr="0077659B">
        <w:t>express a</w:t>
      </w:r>
      <w:r w:rsidR="0058770D" w:rsidRPr="0077659B">
        <w:t>n opinion</w:t>
      </w:r>
      <w:r w:rsidRPr="0077659B">
        <w:t xml:space="preserve"> in the management report on the usefulness and reliability of the reported performance information for </w:t>
      </w:r>
      <w:r w:rsidR="00161FE3">
        <w:t>selected programmes</w:t>
      </w:r>
      <w:r w:rsidRPr="0077659B">
        <w:t>, and report the material findings in the auditor’s report</w:t>
      </w:r>
    </w:p>
    <w:p w14:paraId="0C32A928" w14:textId="77777777" w:rsidR="00C22F2B" w:rsidRPr="0077659B" w:rsidRDefault="00C22F2B" w:rsidP="007757B7">
      <w:pPr>
        <w:pStyle w:val="Bulletedlist"/>
        <w:ind w:left="851" w:hanging="284"/>
        <w:jc w:val="both"/>
      </w:pPr>
      <w:r w:rsidRPr="0077659B">
        <w:t xml:space="preserve">report on material findings relating to compliance with specific requirements in key applicable legislation, as set out in the general notice issued in terms of the Public Audit Act, 2004 (Act No. 25 of 2004) (PAA) </w:t>
      </w:r>
    </w:p>
    <w:p w14:paraId="0E901BA8" w14:textId="77777777" w:rsidR="00AD6C24" w:rsidRPr="0077659B" w:rsidRDefault="00AD6C24" w:rsidP="006306CE">
      <w:pPr>
        <w:numPr>
          <w:ilvl w:val="0"/>
          <w:numId w:val="6"/>
        </w:numPr>
        <w:spacing w:line="240" w:lineRule="auto"/>
        <w:ind w:left="851" w:hanging="284"/>
        <w:jc w:val="both"/>
        <w:rPr>
          <w:rFonts w:eastAsia="Calibri"/>
        </w:rPr>
      </w:pPr>
      <w:r w:rsidRPr="0077659B">
        <w:rPr>
          <w:rFonts w:eastAsia="Calibri"/>
        </w:rPr>
        <w:t>notify the accounting officer</w:t>
      </w:r>
      <w:r w:rsidR="00161FE3">
        <w:rPr>
          <w:rFonts w:eastAsia="Calibri"/>
        </w:rPr>
        <w:t xml:space="preserve"> </w:t>
      </w:r>
      <w:r w:rsidRPr="0077659B">
        <w:rPr>
          <w:rFonts w:eastAsia="Calibri"/>
        </w:rPr>
        <w:t xml:space="preserve">of any material irregularity or suspected material irregularities identified during the audit, and report on </w:t>
      </w:r>
      <w:r w:rsidR="00AE3982" w:rsidRPr="0077659B">
        <w:rPr>
          <w:rFonts w:eastAsia="Calibri"/>
        </w:rPr>
        <w:t xml:space="preserve">it </w:t>
      </w:r>
      <w:r w:rsidRPr="0077659B">
        <w:rPr>
          <w:rFonts w:eastAsia="Calibri"/>
        </w:rPr>
        <w:t>in the audi</w:t>
      </w:r>
      <w:r w:rsidR="00161FE3">
        <w:rPr>
          <w:rFonts w:eastAsia="Calibri"/>
        </w:rPr>
        <w:t>tor’s report.</w:t>
      </w:r>
    </w:p>
    <w:p w14:paraId="4981B161" w14:textId="77777777" w:rsidR="00C22F2B" w:rsidRPr="00440928" w:rsidRDefault="00C22F2B" w:rsidP="006306CE">
      <w:pPr>
        <w:pStyle w:val="ListParagraph"/>
        <w:numPr>
          <w:ilvl w:val="0"/>
          <w:numId w:val="14"/>
        </w:numPr>
        <w:shd w:val="clear" w:color="auto" w:fill="FFFFFF"/>
        <w:spacing w:before="120"/>
        <w:ind w:left="567" w:hanging="567"/>
        <w:jc w:val="both"/>
        <w:rPr>
          <w:rFonts w:cs="Arial"/>
        </w:rPr>
      </w:pPr>
      <w:r w:rsidRPr="00440928">
        <w:rPr>
          <w:rFonts w:cs="Arial"/>
        </w:rPr>
        <w:t xml:space="preserve">Our engagement letter sets out our responsibilities and those of the </w:t>
      </w:r>
      <w:r w:rsidR="00FA5B7A" w:rsidRPr="00440928">
        <w:rPr>
          <w:rFonts w:cs="Arial"/>
        </w:rPr>
        <w:t xml:space="preserve">accounting </w:t>
      </w:r>
      <w:r w:rsidR="00161FE3">
        <w:rPr>
          <w:rFonts w:cs="Arial"/>
        </w:rPr>
        <w:t xml:space="preserve">officer </w:t>
      </w:r>
      <w:r w:rsidRPr="00440928">
        <w:rPr>
          <w:rFonts w:cs="Arial"/>
        </w:rPr>
        <w:t xml:space="preserve">in detail. </w:t>
      </w:r>
    </w:p>
    <w:p w14:paraId="0F7EBCAB" w14:textId="77777777" w:rsidR="00C22F2B" w:rsidRPr="0077659B" w:rsidRDefault="00C22F2B" w:rsidP="006306CE">
      <w:pPr>
        <w:pStyle w:val="Numbernormal"/>
        <w:numPr>
          <w:ilvl w:val="0"/>
          <w:numId w:val="14"/>
        </w:numPr>
        <w:ind w:left="567" w:hanging="567"/>
        <w:jc w:val="both"/>
      </w:pPr>
      <w:r w:rsidRPr="0077659B">
        <w:t xml:space="preserve">This management report consists of </w:t>
      </w:r>
      <w:r w:rsidR="00A65171" w:rsidRPr="0077659B">
        <w:t>the overall message arising from the audit, summary of key findings and observations, a</w:t>
      </w:r>
      <w:r w:rsidRPr="0077659B">
        <w:t>nnexures containing the detailed audit findings</w:t>
      </w:r>
      <w:r w:rsidR="00076FB3" w:rsidRPr="0077659B">
        <w:t>, annexures to the report on the audit of performance information as well as the annexure to internal control deficiencies reported</w:t>
      </w:r>
      <w:r w:rsidRPr="0077659B">
        <w:t>.</w:t>
      </w:r>
    </w:p>
    <w:p w14:paraId="0C18AB37" w14:textId="77777777" w:rsidR="00C22F2B" w:rsidRPr="0077659B" w:rsidRDefault="00C22F2B" w:rsidP="006306CE">
      <w:pPr>
        <w:pStyle w:val="Numbernormal"/>
        <w:numPr>
          <w:ilvl w:val="0"/>
          <w:numId w:val="14"/>
        </w:numPr>
        <w:ind w:left="567" w:hanging="567"/>
        <w:jc w:val="both"/>
      </w:pPr>
      <w:r w:rsidRPr="0077659B">
        <w:t xml:space="preserve">The auditor’s report is finalised only after the management report has been communicated. All matters included in this report that relate to the auditor’s report </w:t>
      </w:r>
      <w:r w:rsidR="00C516E8" w:rsidRPr="0077659B">
        <w:t xml:space="preserve">remain </w:t>
      </w:r>
      <w:r w:rsidRPr="0077659B">
        <w:t xml:space="preserve">in draft form until the final auditor’s report is signed. In adherence to section 50 of the PAA, we do not disclose any information obtained during the audit and contained in this management report. </w:t>
      </w:r>
    </w:p>
    <w:p w14:paraId="296D0E36" w14:textId="77777777" w:rsidR="00C22F2B" w:rsidRPr="0077659B" w:rsidRDefault="00C22F2B" w:rsidP="006306CE">
      <w:pPr>
        <w:pStyle w:val="Numbernormal"/>
        <w:numPr>
          <w:ilvl w:val="0"/>
          <w:numId w:val="14"/>
        </w:numPr>
        <w:ind w:left="567" w:hanging="567"/>
        <w:jc w:val="both"/>
      </w:pPr>
      <w:r w:rsidRPr="0077659B">
        <w:t>Our engagement letter sets out our responsibiliti</w:t>
      </w:r>
      <w:r w:rsidR="00981CCF">
        <w:t xml:space="preserve">es and those of the </w:t>
      </w:r>
      <w:r w:rsidR="00881F76">
        <w:t>ac</w:t>
      </w:r>
      <w:r w:rsidR="00981CCF">
        <w:t>counting officer</w:t>
      </w:r>
      <w:r w:rsidRPr="0077659B">
        <w:t xml:space="preserve"> in detail. </w:t>
      </w:r>
    </w:p>
    <w:p w14:paraId="57C6EE0E" w14:textId="77777777" w:rsidR="00076FB3" w:rsidRPr="0077659B" w:rsidRDefault="00076FB3" w:rsidP="006306CE">
      <w:pPr>
        <w:pStyle w:val="Numbernormal"/>
        <w:numPr>
          <w:ilvl w:val="0"/>
          <w:numId w:val="14"/>
        </w:numPr>
        <w:ind w:left="567" w:hanging="567"/>
        <w:jc w:val="both"/>
      </w:pPr>
      <w:r w:rsidRPr="0077659B">
        <w:lastRenderedPageBreak/>
        <w:t>This management report consists of the overall message arising from the audit, summary of key findings and observations, annexures containing the detailed audit findings, annexures to the report on the audit of performance information</w:t>
      </w:r>
      <w:r w:rsidR="004317BC" w:rsidRPr="0077659B">
        <w:rPr>
          <w:rStyle w:val="EndnoteReference"/>
        </w:rPr>
        <w:endnoteReference w:id="2"/>
      </w:r>
      <w:r w:rsidRPr="0077659B">
        <w:t xml:space="preserve"> as well as the annexure to internal control deficiencies reported.</w:t>
      </w:r>
    </w:p>
    <w:p w14:paraId="05A77105" w14:textId="77777777" w:rsidR="00076FB3" w:rsidRPr="0077659B" w:rsidRDefault="00C22F2B" w:rsidP="006306CE">
      <w:pPr>
        <w:pStyle w:val="Numbernormal"/>
        <w:numPr>
          <w:ilvl w:val="0"/>
          <w:numId w:val="14"/>
        </w:numPr>
        <w:ind w:left="567" w:hanging="567"/>
        <w:jc w:val="both"/>
      </w:pPr>
      <w:r w:rsidRPr="0077659B">
        <w:t xml:space="preserve">The auditor’s report is finalised only after the management report has been communicated. All matters included in this report that relate to the auditor’s report </w:t>
      </w:r>
      <w:r w:rsidR="00C516E8" w:rsidRPr="0077659B">
        <w:t xml:space="preserve">remain </w:t>
      </w:r>
      <w:r w:rsidRPr="0077659B">
        <w:t xml:space="preserve">in draft form until the final auditor’s report is signed. In adherence to section 50 of the PAA, we do not disclose any </w:t>
      </w:r>
      <w:r w:rsidR="00076FB3" w:rsidRPr="0077659B">
        <w:t>information obtained during the audit and contained in this management report.</w:t>
      </w:r>
      <w:bookmarkStart w:id="8" w:name="OM1"/>
      <w:bookmarkEnd w:id="8"/>
    </w:p>
    <w:p w14:paraId="03A78FCE" w14:textId="77777777" w:rsidR="00F110DC" w:rsidRPr="0077659B" w:rsidRDefault="00F110DC" w:rsidP="006306CE">
      <w:pPr>
        <w:pStyle w:val="Numbernormal"/>
        <w:numPr>
          <w:ilvl w:val="0"/>
          <w:numId w:val="14"/>
        </w:numPr>
        <w:ind w:left="567" w:hanging="501"/>
        <w:jc w:val="both"/>
      </w:pPr>
      <w:r w:rsidRPr="0077659B">
        <w:t>The</w:t>
      </w:r>
      <w:r w:rsidR="002E76E3" w:rsidRPr="0077659B">
        <w:t xml:space="preserve"> </w:t>
      </w:r>
      <w:r w:rsidR="00607585" w:rsidRPr="0077659B">
        <w:rPr>
          <w:b/>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981CCF">
        <w:t xml:space="preserve">and our key messages on how to improve </w:t>
      </w:r>
      <w:r w:rsidR="0007051A" w:rsidRPr="0077659B">
        <w:t xml:space="preserve">the audit outcomes </w:t>
      </w:r>
      <w:r w:rsidRPr="0077659B">
        <w:t>with the focus on the following:</w:t>
      </w:r>
    </w:p>
    <w:p w14:paraId="4E449426" w14:textId="77777777" w:rsidR="00F110DC" w:rsidRPr="0077659B" w:rsidRDefault="00F110DC" w:rsidP="007757B7">
      <w:pPr>
        <w:pStyle w:val="Bulletedlist"/>
        <w:ind w:left="851" w:hanging="284"/>
        <w:jc w:val="both"/>
      </w:pPr>
      <w:r w:rsidRPr="0077659B">
        <w:t>Status of the audit outcomes</w:t>
      </w:r>
    </w:p>
    <w:p w14:paraId="37F44621" w14:textId="77777777" w:rsidR="00F110DC" w:rsidRPr="0077659B" w:rsidRDefault="00F110DC" w:rsidP="007757B7">
      <w:pPr>
        <w:pStyle w:val="Bulletedlist"/>
        <w:ind w:left="851" w:hanging="284"/>
        <w:jc w:val="both"/>
      </w:pPr>
      <w:r w:rsidRPr="0077659B">
        <w:t>Status of the level of assurance provided by key role players</w:t>
      </w:r>
    </w:p>
    <w:p w14:paraId="31332F0A" w14:textId="77777777" w:rsidR="00F110DC" w:rsidRPr="0077659B" w:rsidRDefault="00F110DC" w:rsidP="007757B7">
      <w:pPr>
        <w:pStyle w:val="Bulletedlist"/>
        <w:ind w:left="851" w:hanging="284"/>
        <w:jc w:val="both"/>
      </w:pPr>
      <w:r w:rsidRPr="0077659B">
        <w:t>Status of the drivers of internal controls</w:t>
      </w:r>
    </w:p>
    <w:p w14:paraId="13A05E50" w14:textId="77777777" w:rsidR="00F110DC" w:rsidRPr="0077659B" w:rsidRDefault="00F110DC" w:rsidP="007757B7">
      <w:pPr>
        <w:pStyle w:val="Bulletedlist"/>
        <w:ind w:left="851" w:hanging="284"/>
        <w:jc w:val="both"/>
      </w:pPr>
      <w:r w:rsidRPr="0077659B">
        <w:t xml:space="preserve">Status of risk areas </w:t>
      </w:r>
    </w:p>
    <w:p w14:paraId="0A4EE813" w14:textId="77777777" w:rsidR="00F110DC" w:rsidRPr="0077659B" w:rsidRDefault="00F110DC" w:rsidP="007757B7">
      <w:pPr>
        <w:pStyle w:val="Bulletedlist"/>
        <w:ind w:left="851" w:hanging="284"/>
        <w:jc w:val="both"/>
      </w:pPr>
      <w:r w:rsidRPr="0077659B">
        <w:t>Root causes to be addressed</w:t>
      </w:r>
    </w:p>
    <w:p w14:paraId="1029DF8C" w14:textId="77777777" w:rsidR="00F73648" w:rsidRPr="0077659B" w:rsidRDefault="00253FDE" w:rsidP="006306CE">
      <w:pPr>
        <w:pStyle w:val="ListParagraph"/>
        <w:numPr>
          <w:ilvl w:val="0"/>
          <w:numId w:val="14"/>
        </w:numPr>
        <w:ind w:left="567" w:hanging="567"/>
        <w:jc w:val="both"/>
      </w:pPr>
      <w:r w:rsidRPr="0077659B">
        <w:rPr>
          <w:noProof/>
          <w:lang w:eastAsia="en-ZA"/>
        </w:rPr>
        <mc:AlternateContent>
          <mc:Choice Requires="wpg">
            <w:drawing>
              <wp:anchor distT="0" distB="0" distL="114300" distR="114300" simplePos="0" relativeHeight="251652608" behindDoc="0" locked="0" layoutInCell="1" allowOverlap="1" wp14:anchorId="789F9F06" wp14:editId="1EA4B17A">
                <wp:simplePos x="0" y="0"/>
                <wp:positionH relativeFrom="column">
                  <wp:posOffset>-83185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5"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xmlns:cx1="http://schemas.microsoft.com/office/drawing/2015/9/8/chartex">
            <w:pict>
              <v:group w14:anchorId="0AA6B520" id="Group 1" o:spid="_x0000_s1026" style="position:absolute;margin-left:-6.5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17"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18"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18"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18"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19" o:title=""/>
                </v:shape>
              </v:group>
            </w:pict>
          </mc:Fallback>
        </mc:AlternateContent>
      </w:r>
      <w:r w:rsidR="00581DB9" w:rsidRPr="0077659B">
        <w:t>Movement from the previous year is depicted as follows</w:t>
      </w:r>
      <w:r w:rsidR="00E852E7" w:rsidRPr="0077659B">
        <w:t>:</w:t>
      </w:r>
    </w:p>
    <w:p w14:paraId="3171ABA4" w14:textId="77777777" w:rsidR="00F73648" w:rsidRPr="0077659B" w:rsidRDefault="001B6809" w:rsidP="007757B7">
      <w:pPr>
        <w:spacing w:before="60" w:after="60"/>
        <w:ind w:left="426"/>
        <w:jc w:val="both"/>
        <w:rPr>
          <w:rFonts w:cs="Arial"/>
        </w:rPr>
      </w:pPr>
      <w:r w:rsidRPr="0077659B">
        <w:rPr>
          <w:rFonts w:cs="Arial"/>
        </w:rPr>
        <w:t xml:space="preserve">       </w:t>
      </w:r>
      <w:r w:rsidR="00F73648" w:rsidRPr="0077659B">
        <w:rPr>
          <w:rFonts w:cs="Arial"/>
        </w:rPr>
        <w:t xml:space="preserve">  Improved </w:t>
      </w:r>
    </w:p>
    <w:p w14:paraId="70D28BBD" w14:textId="77777777" w:rsidR="00F73648" w:rsidRPr="0077659B" w:rsidRDefault="001B6809" w:rsidP="007757B7">
      <w:pPr>
        <w:spacing w:before="120"/>
        <w:ind w:left="425"/>
        <w:jc w:val="both"/>
        <w:rPr>
          <w:rFonts w:cs="Arial"/>
        </w:rPr>
      </w:pPr>
      <w:r w:rsidRPr="0077659B">
        <w:t xml:space="preserve">          </w:t>
      </w:r>
      <w:r w:rsidR="00F73648" w:rsidRPr="0077659B">
        <w:t xml:space="preserve"> </w:t>
      </w:r>
      <w:r w:rsidR="00F73648" w:rsidRPr="0077659B">
        <w:rPr>
          <w:rFonts w:cs="Arial"/>
        </w:rPr>
        <w:t xml:space="preserve">Unchanged / slight improvement / slight regression     </w:t>
      </w:r>
    </w:p>
    <w:p w14:paraId="5847D7B5" w14:textId="77777777" w:rsidR="008677D8" w:rsidRPr="009E79C4" w:rsidRDefault="001B6809" w:rsidP="009E79C4">
      <w:pPr>
        <w:spacing w:before="120" w:after="60"/>
        <w:ind w:left="425"/>
        <w:jc w:val="both"/>
        <w:rPr>
          <w:rFonts w:cs="Arial"/>
        </w:rPr>
        <w:sectPr w:rsidR="008677D8" w:rsidRPr="009E79C4" w:rsidSect="00C12C2B">
          <w:headerReference w:type="default" r:id="rId20"/>
          <w:footerReference w:type="default" r:id="rId21"/>
          <w:endnotePr>
            <w:numFmt w:val="decimal"/>
          </w:endnotePr>
          <w:pgSz w:w="11906" w:h="16838" w:code="9"/>
          <w:pgMar w:top="1245" w:right="1134" w:bottom="1134" w:left="1134" w:header="1134" w:footer="709" w:gutter="0"/>
          <w:cols w:space="708"/>
          <w:docGrid w:linePitch="360"/>
        </w:sectPr>
      </w:pPr>
      <w:r w:rsidRPr="0077659B">
        <w:rPr>
          <w:rFonts w:cs="Arial"/>
        </w:rPr>
        <w:t xml:space="preserve">      </w:t>
      </w:r>
      <w:r w:rsidR="0036472E">
        <w:rPr>
          <w:rFonts w:cs="Arial"/>
        </w:rPr>
        <w:t xml:space="preserve">   Regress</w:t>
      </w:r>
    </w:p>
    <w:commentRangeStart w:id="9"/>
    <w:commentRangeStart w:id="10"/>
    <w:commentRangeStart w:id="11"/>
    <w:p w14:paraId="572B12F2" w14:textId="095B161A" w:rsidR="004D5904" w:rsidRPr="0077659B" w:rsidRDefault="00990390" w:rsidP="004D5904">
      <w:pPr>
        <w:rPr>
          <w:rFonts w:eastAsia="Times New Roman" w:cs="Arial"/>
          <w:sz w:val="6"/>
          <w:szCs w:val="6"/>
        </w:rPr>
      </w:pPr>
      <w:r>
        <w:rPr>
          <w:rFonts w:eastAsia="Times New Roman" w:cs="Arial"/>
          <w:b/>
          <w:sz w:val="28"/>
          <w:szCs w:val="6"/>
        </w:rPr>
        <w:object w:dxaOrig="5621" w:dyaOrig="3894" w14:anchorId="2F395862">
          <v:shape id="_x0000_i1027" type="#_x0000_t75" style="width:519.25pt;height:319.65pt" o:ole="">
            <v:imagedata r:id="rId22" o:title=""/>
          </v:shape>
          <o:OLEObject Type="Embed" ProgID="PowerPoint.Show.12" ShapeID="_x0000_i1027" DrawAspect="Content" ObjectID="_1666773073" r:id="rId23"/>
        </w:object>
      </w:r>
      <w:commentRangeEnd w:id="9"/>
      <w:r w:rsidR="002B58D6">
        <w:rPr>
          <w:rStyle w:val="CommentReference"/>
          <w:rFonts w:ascii="Times New Roman" w:eastAsia="Times New Roman" w:hAnsi="Times New Roman" w:cs="Times New Roman"/>
        </w:rPr>
        <w:commentReference w:id="9"/>
      </w:r>
      <w:commentRangeEnd w:id="10"/>
      <w:r w:rsidR="00174169">
        <w:rPr>
          <w:rStyle w:val="CommentReference"/>
          <w:rFonts w:ascii="Times New Roman" w:eastAsia="Times New Roman" w:hAnsi="Times New Roman" w:cs="Times New Roman"/>
        </w:rPr>
        <w:commentReference w:id="10"/>
      </w:r>
      <w:commentRangeEnd w:id="11"/>
      <w:r>
        <w:rPr>
          <w:rStyle w:val="CommentReference"/>
          <w:rFonts w:ascii="Times New Roman" w:eastAsia="Times New Roman" w:hAnsi="Times New Roman" w:cs="Times New Roman"/>
        </w:rPr>
        <w:commentReference w:id="11"/>
      </w:r>
    </w:p>
    <w:p w14:paraId="2A829FBD" w14:textId="77777777" w:rsidR="00153824" w:rsidRPr="0077659B" w:rsidRDefault="00153824" w:rsidP="004D5904">
      <w:pPr>
        <w:rPr>
          <w:rFonts w:eastAsia="Times New Roman" w:cs="Arial"/>
          <w:sz w:val="6"/>
          <w:szCs w:val="6"/>
        </w:rPr>
        <w:sectPr w:rsidR="00153824" w:rsidRPr="0077659B" w:rsidSect="00C12C2B">
          <w:endnotePr>
            <w:numFmt w:val="decimal"/>
          </w:endnotePr>
          <w:pgSz w:w="16838" w:h="11906" w:orient="landscape" w:code="9"/>
          <w:pgMar w:top="281" w:right="1245" w:bottom="1134" w:left="1134" w:header="278" w:footer="313" w:gutter="0"/>
          <w:cols w:space="708"/>
          <w:docGrid w:linePitch="360"/>
        </w:sectPr>
      </w:pPr>
    </w:p>
    <w:p w14:paraId="7036D69F" w14:textId="77777777" w:rsidR="00F110DC" w:rsidRPr="0077659B" w:rsidRDefault="005674DC" w:rsidP="000C4D17">
      <w:pPr>
        <w:pStyle w:val="Heading2"/>
      </w:pPr>
      <w:bookmarkStart w:id="12" w:name="_Toc53608716"/>
      <w:r w:rsidRPr="0077659B">
        <w:lastRenderedPageBreak/>
        <w:t>OVERALL MESSAGE</w:t>
      </w:r>
      <w:bookmarkEnd w:id="12"/>
    </w:p>
    <w:p w14:paraId="02D47E1D" w14:textId="77777777" w:rsidR="00F110DC" w:rsidRPr="0077659B" w:rsidRDefault="005D4607" w:rsidP="00F110DC">
      <w:pPr>
        <w:shd w:val="clear" w:color="auto" w:fill="FFFFFF"/>
        <w:spacing w:line="240" w:lineRule="auto"/>
        <w:rPr>
          <w:rFonts w:eastAsia="Times New Roman" w:cs="Arial"/>
          <w:sz w:val="2"/>
        </w:rPr>
      </w:pPr>
      <w:r w:rsidRPr="0077659B">
        <w:rPr>
          <w:rFonts w:eastAsia="Times New Roman" w:cs="Arial"/>
          <w:sz w:val="2"/>
        </w:rPr>
        <w:t>-</w:t>
      </w:r>
    </w:p>
    <w:p w14:paraId="24659F2A" w14:textId="7EB6201D" w:rsidR="00D82150" w:rsidRDefault="009E79C4" w:rsidP="006306CE">
      <w:pPr>
        <w:pStyle w:val="Numbernormal"/>
        <w:numPr>
          <w:ilvl w:val="0"/>
          <w:numId w:val="15"/>
        </w:numPr>
        <w:jc w:val="both"/>
      </w:pPr>
      <w:r>
        <w:t>The audit ou</w:t>
      </w:r>
      <w:r w:rsidR="0052138D">
        <w:t>t</w:t>
      </w:r>
      <w:r w:rsidR="00D82150">
        <w:t>come of the entity has remained unchanged</w:t>
      </w:r>
      <w:r>
        <w:t xml:space="preserve"> in the current period, with </w:t>
      </w:r>
      <w:r w:rsidR="0052138D">
        <w:t xml:space="preserve">the entity obtaining </w:t>
      </w:r>
      <w:r w:rsidR="00D82150">
        <w:t>a</w:t>
      </w:r>
      <w:r w:rsidR="0052138D">
        <w:t xml:space="preserve"> </w:t>
      </w:r>
      <w:r w:rsidR="00D82150">
        <w:t>qualified</w:t>
      </w:r>
      <w:r>
        <w:t xml:space="preserve"> audit outcom</w:t>
      </w:r>
      <w:r w:rsidR="006F125A">
        <w:t>e with findings on other areas. Material misstatement</w:t>
      </w:r>
      <w:r w:rsidR="00B40E1A">
        <w:t>s</w:t>
      </w:r>
      <w:r w:rsidR="006F125A">
        <w:t xml:space="preserve"> </w:t>
      </w:r>
      <w:r w:rsidR="00041D3B">
        <w:t xml:space="preserve">in the </w:t>
      </w:r>
      <w:r w:rsidR="00041D3B" w:rsidRPr="00CD645F">
        <w:rPr>
          <w:b/>
        </w:rPr>
        <w:t>annual financial statements</w:t>
      </w:r>
      <w:r w:rsidR="00041D3B">
        <w:t xml:space="preserve"> </w:t>
      </w:r>
      <w:r w:rsidR="00D82150">
        <w:t>were identified</w:t>
      </w:r>
      <w:r w:rsidR="006F125A">
        <w:t xml:space="preserve"> with respect to </w:t>
      </w:r>
      <w:r w:rsidR="00D82150">
        <w:t xml:space="preserve">immovable </w:t>
      </w:r>
      <w:r w:rsidR="00E849CC">
        <w:t>assets, irregular expenditure</w:t>
      </w:r>
      <w:r w:rsidR="00D82150">
        <w:t xml:space="preserve"> as well as operating lease revenue and expenditure, which formed the basis for the qualified audit outcome.</w:t>
      </w:r>
      <w:r w:rsidR="006F125A">
        <w:t xml:space="preserve"> </w:t>
      </w:r>
    </w:p>
    <w:p w14:paraId="2CF6C4D3" w14:textId="73C4E600" w:rsidR="00452158" w:rsidRDefault="00D82150" w:rsidP="00D82150">
      <w:pPr>
        <w:pStyle w:val="Numbernormal"/>
        <w:numPr>
          <w:ilvl w:val="0"/>
          <w:numId w:val="15"/>
        </w:numPr>
        <w:jc w:val="both"/>
      </w:pPr>
      <w:r w:rsidRPr="000D37DB">
        <w:t xml:space="preserve">An improvement was noted </w:t>
      </w:r>
      <w:r>
        <w:t xml:space="preserve">for property plant and equipment </w:t>
      </w:r>
      <w:r w:rsidRPr="000D37DB">
        <w:t xml:space="preserve">in respect to the recognition of the assets for which the entity didn’t retain proof of ownership, which resulted in that portion of the prior period qualification being resolved. </w:t>
      </w:r>
      <w:r w:rsidR="00AA3B71">
        <w:t>However</w:t>
      </w:r>
      <w:r w:rsidRPr="000D37DB">
        <w:t xml:space="preserve">, </w:t>
      </w:r>
      <w:r>
        <w:t xml:space="preserve">while </w:t>
      </w:r>
      <w:r w:rsidRPr="000D37DB">
        <w:t xml:space="preserve">we noted a decrease in the amount of material misstatement </w:t>
      </w:r>
      <w:r>
        <w:t xml:space="preserve">with respect to the extents of the properties being valued </w:t>
      </w:r>
      <w:r w:rsidRPr="000D37DB">
        <w:t>in the current year compared to the prior year, the remaining misstatements</w:t>
      </w:r>
      <w:r w:rsidR="00AA3B71">
        <w:t xml:space="preserve"> on valuation of immovable assets</w:t>
      </w:r>
      <w:r w:rsidRPr="000D37DB">
        <w:t xml:space="preserve"> </w:t>
      </w:r>
      <w:r w:rsidR="001B3A30">
        <w:t xml:space="preserve">remained </w:t>
      </w:r>
      <w:r w:rsidR="001B3A30" w:rsidRPr="000D37DB">
        <w:t>material</w:t>
      </w:r>
      <w:r w:rsidRPr="000D37DB">
        <w:t>.</w:t>
      </w:r>
      <w:r>
        <w:t xml:space="preserve"> </w:t>
      </w:r>
      <w:r w:rsidR="00AA3B71">
        <w:t xml:space="preserve">In </w:t>
      </w:r>
      <w:r w:rsidR="001B3A30">
        <w:t>addition,</w:t>
      </w:r>
      <w:r w:rsidRPr="000D37DB">
        <w:t xml:space="preserve"> </w:t>
      </w:r>
      <w:r>
        <w:t xml:space="preserve">these improvements were slightly offset by </w:t>
      </w:r>
      <w:r w:rsidRPr="000D37DB">
        <w:t xml:space="preserve">the </w:t>
      </w:r>
      <w:r>
        <w:t>recurrence of the</w:t>
      </w:r>
      <w:r w:rsidRPr="000D37DB">
        <w:t xml:space="preserve"> issue of classification of assets under construction</w:t>
      </w:r>
      <w:r>
        <w:t>,</w:t>
      </w:r>
      <w:r w:rsidRPr="000D37DB">
        <w:t xml:space="preserve"> which was </w:t>
      </w:r>
      <w:r>
        <w:t xml:space="preserve">previously </w:t>
      </w:r>
      <w:r w:rsidRPr="000D37DB">
        <w:t>resolved.</w:t>
      </w:r>
      <w:r w:rsidR="001B3A30">
        <w:t xml:space="preserve"> </w:t>
      </w:r>
      <w:r w:rsidR="00FB5B12">
        <w:t>This was as a result of a</w:t>
      </w:r>
      <w:r w:rsidR="00B06987">
        <w:t xml:space="preserve"> number of staff resources within the en</w:t>
      </w:r>
      <w:r w:rsidR="00FB5B12">
        <w:t>ti</w:t>
      </w:r>
      <w:r w:rsidR="00B06987">
        <w:t>ty, including some within the Finance unit who played a key role in the preparation and review of annual financial statements in the prior period,</w:t>
      </w:r>
      <w:r w:rsidR="00174169">
        <w:t xml:space="preserve"> whose contracts expired</w:t>
      </w:r>
      <w:r w:rsidR="00990390">
        <w:t xml:space="preserve"> and the key vacancies not timeously filled with skilled resources</w:t>
      </w:r>
      <w:r w:rsidR="00B06987">
        <w:t xml:space="preserve">. </w:t>
      </w:r>
      <w:r w:rsidRPr="000D37DB">
        <w:t xml:space="preserve"> </w:t>
      </w:r>
      <w:r>
        <w:t xml:space="preserve">The action plans aimed to address issues of immovable assets </w:t>
      </w:r>
      <w:r w:rsidRPr="000D37DB">
        <w:t>were partially adequate in resolving prior year findings</w:t>
      </w:r>
      <w:r>
        <w:t xml:space="preserve">. </w:t>
      </w:r>
      <w:r w:rsidR="00EC5E55">
        <w:t xml:space="preserve">In certain instances, we noted that </w:t>
      </w:r>
      <w:r w:rsidRPr="00EC5E55">
        <w:t xml:space="preserve">the review </w:t>
      </w:r>
      <w:r>
        <w:t xml:space="preserve">done by </w:t>
      </w:r>
      <w:r w:rsidR="00EC5E55">
        <w:t>m</w:t>
      </w:r>
      <w:r w:rsidR="00EC5E55" w:rsidRPr="00EC5E55">
        <w:t xml:space="preserve">anagement </w:t>
      </w:r>
      <w:r>
        <w:t>was not adequate</w:t>
      </w:r>
      <w:r w:rsidR="00EC5E55" w:rsidRPr="00EC5E55">
        <w:t xml:space="preserve"> </w:t>
      </w:r>
      <w:r>
        <w:t>to ensure that</w:t>
      </w:r>
      <w:r w:rsidRPr="00EC5E55">
        <w:t xml:space="preserve"> inputs </w:t>
      </w:r>
      <w:r>
        <w:t xml:space="preserve">in </w:t>
      </w:r>
      <w:r w:rsidR="00EC5E55" w:rsidRPr="00EC5E55">
        <w:t>immovable assets r</w:t>
      </w:r>
      <w:r w:rsidR="00EC5E55">
        <w:t xml:space="preserve">egister (IAR) </w:t>
      </w:r>
      <w:r w:rsidR="00EC5E55" w:rsidRPr="00EC5E55">
        <w:t>are reasonable</w:t>
      </w:r>
      <w:r w:rsidR="00AA1F99">
        <w:t xml:space="preserve"> and</w:t>
      </w:r>
      <w:r w:rsidR="00EC5E55">
        <w:t xml:space="preserve"> </w:t>
      </w:r>
      <w:r w:rsidR="00EC5E55" w:rsidRPr="00EC5E55">
        <w:t>deemed cost c</w:t>
      </w:r>
      <w:r w:rsidR="00AA1F99">
        <w:t xml:space="preserve">alculations are </w:t>
      </w:r>
      <w:r>
        <w:t>correct</w:t>
      </w:r>
      <w:r w:rsidRPr="00EC5E55">
        <w:t>.</w:t>
      </w:r>
      <w:r w:rsidR="007C00AA" w:rsidRPr="000D37DB">
        <w:t xml:space="preserve"> </w:t>
      </w:r>
    </w:p>
    <w:p w14:paraId="0B7E8433" w14:textId="51AF5FBD" w:rsidR="00552E83" w:rsidRDefault="00552E83" w:rsidP="006306CE">
      <w:pPr>
        <w:pStyle w:val="Numbernormal"/>
        <w:numPr>
          <w:ilvl w:val="0"/>
          <w:numId w:val="15"/>
        </w:numPr>
        <w:jc w:val="both"/>
      </w:pPr>
      <w:r>
        <w:t>M</w:t>
      </w:r>
      <w:r w:rsidR="00AA1F99">
        <w:t>aterial misstatements</w:t>
      </w:r>
      <w:r w:rsidR="000F64FC">
        <w:t xml:space="preserve"> </w:t>
      </w:r>
      <w:r w:rsidR="0052138D">
        <w:t xml:space="preserve">were </w:t>
      </w:r>
      <w:r>
        <w:t xml:space="preserve">also </w:t>
      </w:r>
      <w:r w:rsidR="0052138D">
        <w:t>identified</w:t>
      </w:r>
      <w:r w:rsidR="00664686">
        <w:t xml:space="preserve"> </w:t>
      </w:r>
      <w:r w:rsidR="00C615EE">
        <w:t xml:space="preserve">in the </w:t>
      </w:r>
      <w:r>
        <w:t xml:space="preserve">amounts relating to operating leases, where the implementation of the new computerised accounting system resulted in numerous errors being made in the capturing of the lease information. </w:t>
      </w:r>
      <w:r w:rsidRPr="000D37DB">
        <w:t>The</w:t>
      </w:r>
      <w:r>
        <w:t xml:space="preserve"> root causes of such regression was due to the entity </w:t>
      </w:r>
      <w:r w:rsidRPr="006D4010">
        <w:t>not havi</w:t>
      </w:r>
      <w:r>
        <w:t>ng</w:t>
      </w:r>
      <w:r w:rsidRPr="006D4010">
        <w:t xml:space="preserve"> adequate and sufficiently </w:t>
      </w:r>
      <w:r>
        <w:t>skilled resources in place to review the financial information prior to submission for audit, as</w:t>
      </w:r>
      <w:r w:rsidRPr="006D4010">
        <w:t xml:space="preserve"> significant number of positions were still vacant at the </w:t>
      </w:r>
      <w:r w:rsidR="00AA3B71">
        <w:t>Finance</w:t>
      </w:r>
      <w:r w:rsidRPr="006D4010">
        <w:t xml:space="preserve"> division. Some senior management positions, including Chief Director: Financial Reporting</w:t>
      </w:r>
      <w:r>
        <w:t xml:space="preserve"> and </w:t>
      </w:r>
      <w:r w:rsidRPr="00FC0D57">
        <w:t>Chief Director:</w:t>
      </w:r>
      <w:r>
        <w:t xml:space="preserve"> Revenue and debt management</w:t>
      </w:r>
      <w:r w:rsidRPr="006D4010">
        <w:t>, were filled by acting incumbents</w:t>
      </w:r>
      <w:r w:rsidR="00AA3B71">
        <w:t xml:space="preserve"> quite late in process and very close to financial year end which further made the financial statement preparation more susceptible to errors</w:t>
      </w:r>
      <w:r w:rsidRPr="006D4010">
        <w:t xml:space="preserve">. In prior periods, the Finance Unit has been dependent on a number of contracted staff resources who played a key role in the preparation and review of annual financial statements. </w:t>
      </w:r>
      <w:r w:rsidR="002B58D6">
        <w:t>There were no hand over process and vacancies were not timeously filled with staff meeting the required skill and competency to ensure a sustainable continuation of what was put in place by the contracted staff</w:t>
      </w:r>
      <w:r>
        <w:t xml:space="preserve"> </w:t>
      </w:r>
    </w:p>
    <w:p w14:paraId="11E9A587" w14:textId="5C12C22E" w:rsidR="006A2979" w:rsidRDefault="00D82150" w:rsidP="006306CE">
      <w:pPr>
        <w:pStyle w:val="Numbernormal"/>
        <w:numPr>
          <w:ilvl w:val="0"/>
          <w:numId w:val="15"/>
        </w:numPr>
        <w:jc w:val="both"/>
      </w:pPr>
      <w:r>
        <w:t xml:space="preserve">In addition to the </w:t>
      </w:r>
      <w:r w:rsidR="00A17FC4">
        <w:t xml:space="preserve">annual financial statements </w:t>
      </w:r>
      <w:r>
        <w:t xml:space="preserve">areas which form the basis of qualification, </w:t>
      </w:r>
      <w:r w:rsidR="0048052D">
        <w:t>numerous instances of non-compliance where identified which resulted in irregular expenditure which was not initially disclosed, subsequently disclosed</w:t>
      </w:r>
      <w:r w:rsidR="00A17FC4" w:rsidRPr="000D37DB">
        <w:t xml:space="preserve">. </w:t>
      </w:r>
      <w:r w:rsidR="00A17FC4">
        <w:t xml:space="preserve">In addition, material misstatements identified </w:t>
      </w:r>
      <w:r w:rsidR="008D2A7F">
        <w:t>on p</w:t>
      </w:r>
      <w:r w:rsidR="0052138D">
        <w:t>rovisions</w:t>
      </w:r>
      <w:r w:rsidR="00664686">
        <w:t xml:space="preserve"> with respect to </w:t>
      </w:r>
      <w:r w:rsidR="00452158">
        <w:t xml:space="preserve">municipal services and property rates </w:t>
      </w:r>
      <w:r w:rsidR="00B40E1A">
        <w:t>(</w:t>
      </w:r>
      <w:r w:rsidR="002A6D19">
        <w:t>b</w:t>
      </w:r>
      <w:r w:rsidR="00452158">
        <w:t>acklog)</w:t>
      </w:r>
      <w:r>
        <w:t xml:space="preserve"> </w:t>
      </w:r>
      <w:r w:rsidR="00C615EE">
        <w:t>were subsequently corrected</w:t>
      </w:r>
      <w:r w:rsidR="00552E83">
        <w:t>.</w:t>
      </w:r>
    </w:p>
    <w:p w14:paraId="4B7FF27A" w14:textId="6C891669" w:rsidR="006A2979" w:rsidRDefault="0071081B" w:rsidP="006306CE">
      <w:pPr>
        <w:pStyle w:val="Numbernormal"/>
        <w:numPr>
          <w:ilvl w:val="0"/>
          <w:numId w:val="15"/>
        </w:numPr>
        <w:jc w:val="both"/>
      </w:pPr>
      <w:r w:rsidRPr="00DA0460">
        <w:t>The tra</w:t>
      </w:r>
      <w:r w:rsidR="00F4154D">
        <w:t>ding entity did not effectively</w:t>
      </w:r>
      <w:r w:rsidRPr="00FE21B8">
        <w:t xml:space="preserve"> </w:t>
      </w:r>
      <w:r w:rsidR="00F4154D" w:rsidRPr="00FE21B8">
        <w:t>implement</w:t>
      </w:r>
      <w:r w:rsidR="00F4154D">
        <w:t xml:space="preserve"> </w:t>
      </w:r>
      <w:r w:rsidR="009A79D2" w:rsidRPr="00FE21B8">
        <w:t>preventative controls</w:t>
      </w:r>
      <w:r w:rsidR="009A79D2">
        <w:t xml:space="preserve"> </w:t>
      </w:r>
      <w:r w:rsidR="00F4154D">
        <w:t xml:space="preserve">and monitor </w:t>
      </w:r>
      <w:r w:rsidRPr="00FE21B8">
        <w:t xml:space="preserve">recommendations relating to the </w:t>
      </w:r>
      <w:r w:rsidR="009A79D2">
        <w:rPr>
          <w:b/>
        </w:rPr>
        <w:t>compliance with legislation</w:t>
      </w:r>
      <w:r w:rsidR="000D7782">
        <w:t xml:space="preserve">. </w:t>
      </w:r>
      <w:r w:rsidR="00076C78">
        <w:t xml:space="preserve"> In addition, i</w:t>
      </w:r>
      <w:r w:rsidR="007F3B9B" w:rsidRPr="007F3B9B">
        <w:t xml:space="preserve">nvestigations completed during the audit cycle </w:t>
      </w:r>
      <w:r w:rsidR="00076C78">
        <w:t>revealed</w:t>
      </w:r>
      <w:r w:rsidR="00076C78" w:rsidRPr="007F3B9B">
        <w:t xml:space="preserve"> </w:t>
      </w:r>
      <w:r w:rsidR="007F3B9B" w:rsidRPr="007F3B9B">
        <w:t xml:space="preserve">significant non-compliances with legislation which resulted in irregular expenditure being incurred by the trading entity. Furthermore, the trading </w:t>
      </w:r>
      <w:r w:rsidR="007F3B9B" w:rsidRPr="007F3B9B">
        <w:lastRenderedPageBreak/>
        <w:t>was also impacted by irregular expenditure that was incurred related to irregular appointment of se</w:t>
      </w:r>
      <w:r w:rsidR="007F3B9B">
        <w:t xml:space="preserve">nior officials of the entity. </w:t>
      </w:r>
      <w:r w:rsidR="007F3B9B" w:rsidRPr="007F3B9B">
        <w:t>The above irregularities negatively affected the effectiveness of leadership culture as both investigation reports for the upgrades to Beitbridge border post and the public service commission cited that senior management of the entity were implicated on the irregularities noted</w:t>
      </w:r>
      <w:r w:rsidR="007F3B9B">
        <w:t>,</w:t>
      </w:r>
      <w:r w:rsidR="007F3B9B" w:rsidRPr="007F3B9B">
        <w:t xml:space="preserve"> which resulted in material irregularities in certain instances.</w:t>
      </w:r>
      <w:r w:rsidR="007F3B9B">
        <w:t xml:space="preserve"> </w:t>
      </w:r>
      <w:r w:rsidR="00F4154D" w:rsidRPr="00FE21B8">
        <w:t>Non- compliance</w:t>
      </w:r>
      <w:r w:rsidR="009A79D2">
        <w:t>s were</w:t>
      </w:r>
      <w:r w:rsidR="007F3B9B">
        <w:t xml:space="preserve"> also</w:t>
      </w:r>
      <w:r w:rsidR="00B40E1A" w:rsidRPr="00FE21B8">
        <w:t xml:space="preserve"> </w:t>
      </w:r>
      <w:r w:rsidR="00F4154D" w:rsidRPr="00FE21B8">
        <w:t xml:space="preserve">identified with </w:t>
      </w:r>
      <w:r w:rsidR="00997276">
        <w:t xml:space="preserve">Public Finance Management Act (PFMA), </w:t>
      </w:r>
      <w:r w:rsidR="00F4154D" w:rsidRPr="00FE21B8">
        <w:t>Preferential Procurement Regula</w:t>
      </w:r>
      <w:r w:rsidR="00F4154D">
        <w:t>tions and</w:t>
      </w:r>
      <w:r w:rsidR="00315907">
        <w:t>-</w:t>
      </w:r>
      <w:r w:rsidR="00F4154D">
        <w:t xml:space="preserve"> Treasury Regulations. </w:t>
      </w:r>
      <w:r w:rsidR="00F4154D" w:rsidRPr="00FE21B8">
        <w:t>In certain inst</w:t>
      </w:r>
      <w:r w:rsidR="00F4154D">
        <w:t>ances, such non-compliances</w:t>
      </w:r>
      <w:r w:rsidR="00F4154D" w:rsidRPr="00FE21B8">
        <w:t xml:space="preserve"> </w:t>
      </w:r>
      <w:r w:rsidR="00886C50">
        <w:t>resulted in</w:t>
      </w:r>
      <w:r w:rsidR="00F4154D" w:rsidRPr="00FE21B8">
        <w:t xml:space="preserve"> irregular</w:t>
      </w:r>
      <w:r w:rsidR="00886C50">
        <w:t>, fruitless and wasteful expenditure</w:t>
      </w:r>
      <w:r w:rsidR="00F4154D">
        <w:t xml:space="preserve"> </w:t>
      </w:r>
      <w:r w:rsidR="00886C50">
        <w:t>being incurred</w:t>
      </w:r>
      <w:r w:rsidR="00F4154D" w:rsidRPr="00FE21B8">
        <w:t>.</w:t>
      </w:r>
      <w:r w:rsidR="00F4154D">
        <w:t xml:space="preserve"> The entity will also need to perform some investigations to determine the extent of irregular expenditure on certain non-compliances identified during the audit.</w:t>
      </w:r>
    </w:p>
    <w:p w14:paraId="06860246" w14:textId="6E6DF6B1" w:rsidR="00401119" w:rsidRDefault="00F4154D" w:rsidP="006306CE">
      <w:pPr>
        <w:pStyle w:val="Numbernormal"/>
        <w:numPr>
          <w:ilvl w:val="0"/>
          <w:numId w:val="15"/>
        </w:numPr>
        <w:jc w:val="both"/>
      </w:pPr>
      <w:r>
        <w:t xml:space="preserve">Internal controls in relation to </w:t>
      </w:r>
      <w:r w:rsidRPr="00CD645F">
        <w:t>expenditure management</w:t>
      </w:r>
      <w:r>
        <w:t xml:space="preserve"> hav</w:t>
      </w:r>
      <w:r w:rsidR="00886C50">
        <w:t>e not</w:t>
      </w:r>
      <w:r>
        <w:t xml:space="preserve"> been </w:t>
      </w:r>
      <w:r w:rsidR="00997276">
        <w:t xml:space="preserve">adequately implemented </w:t>
      </w:r>
      <w:r w:rsidR="00886C50">
        <w:t xml:space="preserve">which </w:t>
      </w:r>
      <w:r w:rsidR="00997276">
        <w:t>resulted in</w:t>
      </w:r>
      <w:r w:rsidR="00886C50">
        <w:t xml:space="preserve"> </w:t>
      </w:r>
      <w:r w:rsidR="00401119">
        <w:t xml:space="preserve">the entity failing to have effective and appropriate steps to prevent irregular, fruitless and wasteful </w:t>
      </w:r>
      <w:r w:rsidR="00401119" w:rsidRPr="00D8057D">
        <w:t>expenditure</w:t>
      </w:r>
      <w:r w:rsidR="00A560B9">
        <w:t>. In</w:t>
      </w:r>
      <w:r w:rsidR="00401119">
        <w:t xml:space="preserve"> certain </w:t>
      </w:r>
      <w:r w:rsidR="00A560B9">
        <w:t>instances,</w:t>
      </w:r>
      <w:r w:rsidR="00401119">
        <w:t xml:space="preserve"> we identified that payments were made in </w:t>
      </w:r>
      <w:r w:rsidR="00A560B9">
        <w:t xml:space="preserve">advance despite the fact that such advance payments were not required by contract. In other instances, </w:t>
      </w:r>
      <w:r w:rsidR="00FB5B12">
        <w:t xml:space="preserve">different regions experienced shortage of staff within the finance department; as a </w:t>
      </w:r>
      <w:r w:rsidR="005A304D">
        <w:t>result,</w:t>
      </w:r>
      <w:r w:rsidR="00FB5B12">
        <w:t xml:space="preserve"> </w:t>
      </w:r>
      <w:r w:rsidR="00A560B9">
        <w:t xml:space="preserve">invoices were not paid within 30 days. </w:t>
      </w:r>
      <w:r w:rsidR="00A560B9" w:rsidRPr="00A274FB">
        <w:t>Overpayments made to landlords in terms of private leased properties</w:t>
      </w:r>
      <w:r w:rsidR="00A560B9">
        <w:t xml:space="preserve"> continued in the current </w:t>
      </w:r>
      <w:r w:rsidR="00A560B9" w:rsidRPr="00A274FB">
        <w:t xml:space="preserve">year, while management estimates that approximately half of all lease overpayments may not be recoverable. The process put into place to verify payment amounts before payments are made, have not yet made a significant difference since the overpayment has </w:t>
      </w:r>
      <w:r w:rsidR="00A560B9">
        <w:t>continued to occur</w:t>
      </w:r>
      <w:r w:rsidR="004D31DD">
        <w:t>, this was a result of leases that were duplicated on the ARCHIBUS system</w:t>
      </w:r>
      <w:r w:rsidR="00A560B9" w:rsidRPr="00A274FB">
        <w:t xml:space="preserve">. </w:t>
      </w:r>
      <w:r w:rsidR="00FC0D57">
        <w:t xml:space="preserve">The </w:t>
      </w:r>
      <w:r w:rsidR="00FC0D57" w:rsidRPr="00FC0D57">
        <w:t>implementation of a new computerised leases system in September 2019 resulted in numerous errors in operating leases</w:t>
      </w:r>
      <w:r w:rsidR="00FB5B12">
        <w:t xml:space="preserve">, this was as a result of lack of review of the details </w:t>
      </w:r>
      <w:r w:rsidR="005A304D">
        <w:t>of leases</w:t>
      </w:r>
      <w:r w:rsidR="00FB5B12">
        <w:t xml:space="preserve"> which were incorrectly captured on the </w:t>
      </w:r>
      <w:r w:rsidR="005A304D">
        <w:t>system.</w:t>
      </w:r>
      <w:r w:rsidR="00FC0D57">
        <w:t xml:space="preserve"> </w:t>
      </w:r>
      <w:r w:rsidR="00205A11">
        <w:t>Management should continue to strengthen their control environment</w:t>
      </w:r>
      <w:r w:rsidR="00205A11" w:rsidDel="00997276">
        <w:t xml:space="preserve"> </w:t>
      </w:r>
      <w:r w:rsidR="00205A11">
        <w:t>to prevent such non-compliance.</w:t>
      </w:r>
    </w:p>
    <w:p w14:paraId="5E11E3A3" w14:textId="77777777" w:rsidR="00205A11" w:rsidRDefault="00997276" w:rsidP="006306CE">
      <w:pPr>
        <w:pStyle w:val="Numbernormal"/>
        <w:numPr>
          <w:ilvl w:val="0"/>
          <w:numId w:val="15"/>
        </w:numPr>
        <w:jc w:val="both"/>
      </w:pPr>
      <w:r>
        <w:t>M</w:t>
      </w:r>
      <w:r w:rsidR="00826A79">
        <w:t>aterial findings were raised w</w:t>
      </w:r>
      <w:r w:rsidR="00B6323F">
        <w:t>h</w:t>
      </w:r>
      <w:r w:rsidR="00826A79">
        <w:t>ere</w:t>
      </w:r>
      <w:r w:rsidR="00B6323F">
        <w:t xml:space="preserve"> the </w:t>
      </w:r>
      <w:r w:rsidR="00B6323F" w:rsidRPr="00CD645F">
        <w:rPr>
          <w:b/>
        </w:rPr>
        <w:t>reported information</w:t>
      </w:r>
      <w:r w:rsidR="00826A79">
        <w:t xml:space="preserve"> was not useful and reliable. </w:t>
      </w:r>
      <w:r>
        <w:t xml:space="preserve">In other instances, inconsistences were identified between the </w:t>
      </w:r>
      <w:r w:rsidR="00041D3B">
        <w:t xml:space="preserve">technical indicator description </w:t>
      </w:r>
      <w:r>
        <w:t xml:space="preserve">and the reported </w:t>
      </w:r>
      <w:r w:rsidR="00041D3B">
        <w:t>performance.</w:t>
      </w:r>
      <w:r>
        <w:t xml:space="preserve"> </w:t>
      </w:r>
      <w:r w:rsidR="007D081E">
        <w:t xml:space="preserve">Furthermore, in relation to the </w:t>
      </w:r>
      <w:r w:rsidR="007D081E" w:rsidRPr="007D081E">
        <w:t>Number of EPWP work opportunities created through construction projects</w:t>
      </w:r>
      <w:r w:rsidR="007D081E">
        <w:t xml:space="preserve">, </w:t>
      </w:r>
      <w:r w:rsidR="006F3A59">
        <w:t xml:space="preserve">we </w:t>
      </w:r>
      <w:r w:rsidR="007D081E">
        <w:t xml:space="preserve">noted that supporting documents </w:t>
      </w:r>
      <w:r w:rsidR="007D081E" w:rsidRPr="00246CAE">
        <w:t>provided did not agree to the reported achievement and materially differed from the reported achievement</w:t>
      </w:r>
      <w:r w:rsidR="00454BD7">
        <w:t xml:space="preserve">. </w:t>
      </w:r>
      <w:r w:rsidR="00B71157" w:rsidRPr="00B71157">
        <w:t>Our audit of the APR revealed that there is insufficient co-ordination between the responsible branches and the Planning and Reporting sections, resulting in the documentation required to support achievements against the Annual Performance Plan (APP) not being sufficient to support the reported results.</w:t>
      </w:r>
    </w:p>
    <w:p w14:paraId="6F56C47F" w14:textId="77777777" w:rsidR="00A6797F" w:rsidRPr="00A6797F" w:rsidRDefault="00A6797F" w:rsidP="006306CE">
      <w:pPr>
        <w:pStyle w:val="ListParagraph"/>
        <w:numPr>
          <w:ilvl w:val="0"/>
          <w:numId w:val="15"/>
        </w:numPr>
        <w:jc w:val="both"/>
        <w:rPr>
          <w:rFonts w:ascii="Arial" w:hAnsi="Arial" w:cs="Arial"/>
          <w:szCs w:val="36"/>
        </w:rPr>
      </w:pPr>
      <w:r w:rsidRPr="004E4648">
        <w:rPr>
          <w:rFonts w:ascii="Arial" w:hAnsi="Arial" w:cs="Arial"/>
        </w:rPr>
        <w:t xml:space="preserve">Management </w:t>
      </w:r>
      <w:r>
        <w:rPr>
          <w:rFonts w:ascii="Arial" w:hAnsi="Arial" w:cs="Arial"/>
        </w:rPr>
        <w:t>made progress in implementing action</w:t>
      </w:r>
      <w:bookmarkStart w:id="13" w:name="_GoBack"/>
      <w:bookmarkEnd w:id="13"/>
      <w:r>
        <w:rPr>
          <w:rFonts w:ascii="Arial" w:hAnsi="Arial" w:cs="Arial"/>
        </w:rPr>
        <w:t xml:space="preserve"> plans to address prior year audit findings on areas relating to </w:t>
      </w:r>
      <w:r w:rsidRPr="00F15A82">
        <w:rPr>
          <w:rFonts w:ascii="Arial" w:hAnsi="Arial" w:cs="Arial"/>
          <w:szCs w:val="36"/>
        </w:rPr>
        <w:t>information technology (IT) governance</w:t>
      </w:r>
      <w:r w:rsidRPr="0001288D">
        <w:rPr>
          <w:rFonts w:ascii="Arial" w:hAnsi="Arial" w:cs="Arial"/>
          <w:szCs w:val="36"/>
        </w:rPr>
        <w:t xml:space="preserve">. </w:t>
      </w:r>
      <w:r w:rsidRPr="00F15A82">
        <w:rPr>
          <w:rFonts w:ascii="Arial" w:hAnsi="Arial" w:cs="Arial"/>
          <w:szCs w:val="36"/>
        </w:rPr>
        <w:t>However, there are still areas of concerns requiring attention.</w:t>
      </w:r>
      <w:r w:rsidRPr="0001288D">
        <w:rPr>
          <w:rFonts w:ascii="Arial" w:hAnsi="Arial" w:cs="Arial"/>
          <w:szCs w:val="36"/>
        </w:rPr>
        <w:t xml:space="preserve"> The ICT focus areas relating to user access management, security management and IT service continuity still require improvement. </w:t>
      </w:r>
      <w:r w:rsidRPr="006C4A0A">
        <w:rPr>
          <w:rFonts w:ascii="Arial" w:hAnsi="Arial" w:cs="Arial"/>
          <w:szCs w:val="36"/>
        </w:rPr>
        <w:t xml:space="preserve">As previously reported, we still noticed </w:t>
      </w:r>
      <w:r>
        <w:rPr>
          <w:rFonts w:ascii="Arial" w:hAnsi="Arial" w:cs="Arial"/>
          <w:szCs w:val="36"/>
        </w:rPr>
        <w:t>some</w:t>
      </w:r>
      <w:r w:rsidRPr="006C4A0A">
        <w:rPr>
          <w:rFonts w:ascii="Arial" w:hAnsi="Arial" w:cs="Arial"/>
          <w:szCs w:val="36"/>
        </w:rPr>
        <w:t xml:space="preserve"> vacancies around key ICT positions. This resulted in capacity constraints, which was evident in slow progress to address prior year’s findings.</w:t>
      </w:r>
      <w:r w:rsidRPr="0001288D">
        <w:rPr>
          <w:rFonts w:ascii="Arial" w:hAnsi="Arial" w:cs="Arial"/>
          <w:szCs w:val="36"/>
        </w:rPr>
        <w:t xml:space="preserve"> </w:t>
      </w:r>
    </w:p>
    <w:p w14:paraId="6EBD25A2" w14:textId="77777777" w:rsidR="00A6797F" w:rsidRDefault="00A6797F" w:rsidP="006306CE">
      <w:pPr>
        <w:pStyle w:val="Numbernormal"/>
        <w:numPr>
          <w:ilvl w:val="0"/>
          <w:numId w:val="15"/>
        </w:numPr>
        <w:jc w:val="both"/>
      </w:pPr>
      <w:r w:rsidRPr="0001288D">
        <w:rPr>
          <w:rFonts w:eastAsia="Times New Roman"/>
          <w:szCs w:val="36"/>
        </w:rPr>
        <w:t>The lack of implementing basic IT security and user access controls could further lead to unauthorised users gaining access to systems, resulting in data being compromised, denial of service attacks or data integrity issues and consequently overall disruption to business processes</w:t>
      </w:r>
    </w:p>
    <w:p w14:paraId="26CA8275" w14:textId="1ED332C6" w:rsidR="00C7497F" w:rsidRPr="00FC19D6" w:rsidRDefault="009E79C4" w:rsidP="006306CE">
      <w:pPr>
        <w:pStyle w:val="ListParagraph"/>
        <w:numPr>
          <w:ilvl w:val="0"/>
          <w:numId w:val="15"/>
        </w:numPr>
        <w:jc w:val="both"/>
        <w:rPr>
          <w:rFonts w:ascii="Arial" w:eastAsia="Calibri" w:hAnsi="Arial" w:cs="Arial"/>
        </w:rPr>
      </w:pPr>
      <w:r w:rsidRPr="00452158">
        <w:lastRenderedPageBreak/>
        <w:t>The overall financial position of the trading entity remains a concern and requires intervention.</w:t>
      </w:r>
      <w:r w:rsidR="003B4632" w:rsidRPr="00452158">
        <w:t xml:space="preserve"> The bank overdraft slightly decreased</w:t>
      </w:r>
      <w:r w:rsidR="00452158" w:rsidRPr="00452158">
        <w:t xml:space="preserve"> by 4% in the current year while the net current liability </w:t>
      </w:r>
      <w:r w:rsidRPr="00452158">
        <w:t xml:space="preserve">slightly </w:t>
      </w:r>
      <w:r w:rsidR="00452158" w:rsidRPr="00452158">
        <w:t xml:space="preserve">improved. </w:t>
      </w:r>
      <w:r w:rsidR="00041D3B">
        <w:t>Significant concerns remain with respect the receivables, where the proportion of debtors that have been impaired has increased significantly when compared to the prior period.</w:t>
      </w:r>
      <w:r w:rsidR="004A1EC0">
        <w:t xml:space="preserve"> This is because </w:t>
      </w:r>
      <w:r w:rsidR="00041D3B">
        <w:t xml:space="preserve">the entity </w:t>
      </w:r>
      <w:r w:rsidR="004A1EC0">
        <w:t xml:space="preserve">is </w:t>
      </w:r>
      <w:r w:rsidR="00041D3B">
        <w:t>struggling to collect receivables as they become due.</w:t>
      </w:r>
      <w:r w:rsidR="006C7935">
        <w:t xml:space="preserve"> Conversely, the entity continued to make significant upfront payments for implementation of projects</w:t>
      </w:r>
      <w:r w:rsidR="006C7935" w:rsidRPr="00C75861">
        <w:t>, which combined with the issues identified on receivables, result in the over reliance on the bank overdraft.</w:t>
      </w:r>
      <w:r w:rsidR="00B71157" w:rsidRPr="00C75861">
        <w:t xml:space="preserve"> </w:t>
      </w:r>
      <w:r w:rsidR="00B71157" w:rsidRPr="00C75861">
        <w:rPr>
          <w:rFonts w:ascii="Arial" w:eastAsia="Calibri" w:hAnsi="Arial" w:cs="Arial"/>
        </w:rPr>
        <w:t>Overpayments</w:t>
      </w:r>
      <w:r w:rsidR="00C75861" w:rsidRPr="00C75861">
        <w:rPr>
          <w:rFonts w:ascii="Arial" w:eastAsia="Calibri" w:hAnsi="Arial" w:cs="Arial"/>
        </w:rPr>
        <w:t xml:space="preserve"> were</w:t>
      </w:r>
      <w:r w:rsidR="00B71157" w:rsidRPr="00C75861">
        <w:rPr>
          <w:rFonts w:ascii="Arial" w:eastAsia="Calibri" w:hAnsi="Arial" w:cs="Arial"/>
        </w:rPr>
        <w:t xml:space="preserve"> made to landlords in terms of private leased properti</w:t>
      </w:r>
      <w:r w:rsidR="00C75861" w:rsidRPr="00C75861">
        <w:rPr>
          <w:rFonts w:ascii="Arial" w:eastAsia="Calibri" w:hAnsi="Arial" w:cs="Arial"/>
        </w:rPr>
        <w:t>es</w:t>
      </w:r>
      <w:r w:rsidR="00B71157" w:rsidRPr="00C75861">
        <w:rPr>
          <w:rFonts w:ascii="Arial" w:eastAsia="Calibri" w:hAnsi="Arial" w:cs="Arial"/>
        </w:rPr>
        <w:t>, while management estimates that approximately half of all lease overpayments may not be recoverable. The process put into place to verify payment amounts before payments are made, have not yet made a significant difference since the overpayment has continued to occur</w:t>
      </w:r>
      <w:r w:rsidR="00B71157" w:rsidRPr="00B71157">
        <w:rPr>
          <w:rFonts w:ascii="Arial" w:eastAsia="Calibri" w:hAnsi="Arial" w:cs="Arial"/>
        </w:rPr>
        <w:t xml:space="preserve">. </w:t>
      </w:r>
    </w:p>
    <w:p w14:paraId="606D90BF" w14:textId="16233B27" w:rsidR="00253FDE" w:rsidRPr="0077659B" w:rsidRDefault="00253FDE" w:rsidP="00253FDE">
      <w:pPr>
        <w:pStyle w:val="Heading2"/>
        <w:rPr>
          <w:rFonts w:ascii="Arial" w:eastAsia="Calibri" w:hAnsi="Arial"/>
        </w:rPr>
      </w:pPr>
      <w:bookmarkStart w:id="14" w:name="_Toc447106582"/>
      <w:bookmarkStart w:id="15" w:name="_Toc53608717"/>
      <w:r w:rsidRPr="0077659B">
        <w:t>SECTION 1: Interactions with stakeholders responsible for oversight and governance</w:t>
      </w:r>
      <w:bookmarkEnd w:id="14"/>
      <w:bookmarkEnd w:id="15"/>
    </w:p>
    <w:p w14:paraId="6656E28D" w14:textId="77777777" w:rsidR="00C22F2B" w:rsidRPr="002F3943" w:rsidRDefault="00C22F2B" w:rsidP="006306CE">
      <w:pPr>
        <w:pStyle w:val="Numbernormal"/>
        <w:numPr>
          <w:ilvl w:val="0"/>
          <w:numId w:val="15"/>
        </w:numPr>
        <w:ind w:left="567" w:hanging="567"/>
        <w:jc w:val="both"/>
      </w:pPr>
      <w:bookmarkStart w:id="16" w:name="Section1"/>
      <w:bookmarkEnd w:id="16"/>
      <w:r w:rsidRPr="0077659B">
        <w:t xml:space="preserve">During the audit cycle, we met with the following key stakeholders responsible for oversight and governance to communicate matters relating to the audit outcome </w:t>
      </w:r>
      <w:r w:rsidR="0077556A" w:rsidRPr="0077659B">
        <w:t>and matters identified during</w:t>
      </w:r>
      <w:r w:rsidR="002F3943">
        <w:t xml:space="preserve"> our status of records review of the Property Management Trading Entity</w:t>
      </w:r>
    </w:p>
    <w:tbl>
      <w:tblPr>
        <w:tblStyle w:val="TableGrid171"/>
        <w:tblW w:w="5000" w:type="pct"/>
        <w:tblInd w:w="-34" w:type="dxa"/>
        <w:tblLook w:val="04A0" w:firstRow="1" w:lastRow="0" w:firstColumn="1" w:lastColumn="0" w:noHBand="0" w:noVBand="1"/>
      </w:tblPr>
      <w:tblGrid>
        <w:gridCol w:w="3326"/>
        <w:gridCol w:w="4708"/>
        <w:gridCol w:w="1594"/>
      </w:tblGrid>
      <w:tr w:rsidR="00AD5129" w:rsidRPr="0077659B" w14:paraId="0CC147C6" w14:textId="77777777" w:rsidTr="000C4D17">
        <w:trPr>
          <w:tblHeader/>
        </w:trPr>
        <w:tc>
          <w:tcPr>
            <w:tcW w:w="1727" w:type="pct"/>
            <w:shd w:val="clear" w:color="auto" w:fill="A6A6A6" w:themeFill="background1" w:themeFillShade="A6"/>
            <w:hideMark/>
          </w:tcPr>
          <w:p w14:paraId="2E3E1C08" w14:textId="77777777" w:rsidR="00AD5129" w:rsidRPr="0077659B" w:rsidRDefault="00AD5129" w:rsidP="000C4D17">
            <w:pPr>
              <w:pStyle w:val="NoSpacing"/>
            </w:pPr>
            <w:r w:rsidRPr="0077659B">
              <w:t>Key stakeholder</w:t>
            </w:r>
          </w:p>
        </w:tc>
        <w:tc>
          <w:tcPr>
            <w:tcW w:w="2445" w:type="pct"/>
            <w:shd w:val="clear" w:color="auto" w:fill="A6A6A6" w:themeFill="background1" w:themeFillShade="A6"/>
            <w:hideMark/>
          </w:tcPr>
          <w:p w14:paraId="1FC62C76" w14:textId="77777777" w:rsidR="00AD5129" w:rsidRPr="0077659B" w:rsidRDefault="00AD5129" w:rsidP="002F3943">
            <w:pPr>
              <w:pStyle w:val="NoSpacing"/>
              <w:jc w:val="left"/>
            </w:pPr>
            <w:r w:rsidRPr="0077659B">
              <w:t>Purpose of interaction</w:t>
            </w:r>
          </w:p>
        </w:tc>
        <w:tc>
          <w:tcPr>
            <w:tcW w:w="828" w:type="pct"/>
            <w:shd w:val="clear" w:color="auto" w:fill="A6A6A6" w:themeFill="background1" w:themeFillShade="A6"/>
            <w:hideMark/>
          </w:tcPr>
          <w:p w14:paraId="10A45E45" w14:textId="77777777" w:rsidR="00AD5129" w:rsidRPr="0077659B" w:rsidRDefault="00AD5129" w:rsidP="000C4D17">
            <w:pPr>
              <w:pStyle w:val="NoSpacing"/>
            </w:pPr>
            <w:r w:rsidRPr="0077659B">
              <w:t>Number of interactions</w:t>
            </w:r>
          </w:p>
        </w:tc>
      </w:tr>
      <w:tr w:rsidR="006F2BFF" w:rsidRPr="0077659B" w14:paraId="5B0C1FCB" w14:textId="77777777" w:rsidTr="000C4D17">
        <w:trPr>
          <w:trHeight w:val="255"/>
        </w:trPr>
        <w:tc>
          <w:tcPr>
            <w:tcW w:w="1727" w:type="pct"/>
            <w:shd w:val="clear" w:color="auto" w:fill="D9D9D9" w:themeFill="background1" w:themeFillShade="D9"/>
          </w:tcPr>
          <w:p w14:paraId="6DEB2E13" w14:textId="77777777" w:rsidR="006F2BFF" w:rsidRPr="00BB6EEC" w:rsidRDefault="006F2BFF" w:rsidP="006F2BFF">
            <w:pPr>
              <w:pStyle w:val="Tabletext"/>
              <w:rPr>
                <w:lang w:val="en-ZA"/>
              </w:rPr>
            </w:pPr>
            <w:r>
              <w:rPr>
                <w:lang w:val="en-ZA"/>
              </w:rPr>
              <w:t>P</w:t>
            </w:r>
            <w:r w:rsidRPr="00BB6EEC">
              <w:rPr>
                <w:lang w:val="en-ZA"/>
              </w:rPr>
              <w:t xml:space="preserve">ortfolio </w:t>
            </w:r>
            <w:r>
              <w:rPr>
                <w:lang w:val="en-ZA"/>
              </w:rPr>
              <w:t>committee on Public Works</w:t>
            </w:r>
          </w:p>
        </w:tc>
        <w:tc>
          <w:tcPr>
            <w:tcW w:w="2445" w:type="pct"/>
          </w:tcPr>
          <w:p w14:paraId="7253831D" w14:textId="77777777" w:rsidR="006F2BFF" w:rsidRDefault="006F2BFF" w:rsidP="006306CE">
            <w:pPr>
              <w:pStyle w:val="Tabletext"/>
              <w:numPr>
                <w:ilvl w:val="0"/>
                <w:numId w:val="16"/>
              </w:numPr>
              <w:ind w:left="278" w:hanging="278"/>
              <w:rPr>
                <w:lang w:val="en-ZA"/>
              </w:rPr>
            </w:pPr>
            <w:r w:rsidRPr="00375608">
              <w:rPr>
                <w:lang w:val="en-ZA"/>
              </w:rPr>
              <w:t>Budgetary review and</w:t>
            </w:r>
            <w:r>
              <w:rPr>
                <w:lang w:val="en-ZA"/>
              </w:rPr>
              <w:t xml:space="preserve"> recommendations report – 201</w:t>
            </w:r>
            <w:r w:rsidRPr="00375608">
              <w:rPr>
                <w:lang w:val="en-ZA"/>
              </w:rPr>
              <w:t>8</w:t>
            </w:r>
            <w:r>
              <w:rPr>
                <w:lang w:val="en-ZA"/>
              </w:rPr>
              <w:t>/19</w:t>
            </w:r>
            <w:r w:rsidRPr="00375608">
              <w:rPr>
                <w:lang w:val="en-ZA"/>
              </w:rPr>
              <w:t xml:space="preserve"> Audit Outcomes and key messages</w:t>
            </w:r>
          </w:p>
          <w:p w14:paraId="08D9E540" w14:textId="77777777" w:rsidR="006F2BFF" w:rsidRDefault="006F2BFF" w:rsidP="006306CE">
            <w:pPr>
              <w:pStyle w:val="Tabletext"/>
              <w:numPr>
                <w:ilvl w:val="0"/>
                <w:numId w:val="16"/>
              </w:numPr>
              <w:ind w:left="278" w:hanging="278"/>
              <w:rPr>
                <w:lang w:val="en-ZA"/>
              </w:rPr>
            </w:pPr>
            <w:r w:rsidRPr="00DD1A72">
              <w:rPr>
                <w:lang w:val="en-ZA"/>
              </w:rPr>
              <w:t xml:space="preserve">Presentation of </w:t>
            </w:r>
            <w:r>
              <w:rPr>
                <w:lang w:val="en-ZA"/>
              </w:rPr>
              <w:t>annual report</w:t>
            </w:r>
            <w:r w:rsidRPr="00DD1A72">
              <w:rPr>
                <w:lang w:val="en-ZA"/>
              </w:rPr>
              <w:t xml:space="preserve"> by the Department</w:t>
            </w:r>
          </w:p>
          <w:p w14:paraId="2A3C8984" w14:textId="77777777" w:rsidR="006F2BFF" w:rsidRPr="00BB6EEC" w:rsidRDefault="006F2BFF" w:rsidP="006F2BFF">
            <w:pPr>
              <w:pStyle w:val="Tabletext"/>
              <w:rPr>
                <w:lang w:val="en-ZA"/>
              </w:rPr>
            </w:pPr>
            <w:r>
              <w:rPr>
                <w:lang w:val="en-ZA"/>
              </w:rPr>
              <w:t>Oversight visit to Beitbridge</w:t>
            </w:r>
          </w:p>
        </w:tc>
        <w:tc>
          <w:tcPr>
            <w:tcW w:w="828" w:type="pct"/>
          </w:tcPr>
          <w:p w14:paraId="6F744872" w14:textId="77777777" w:rsidR="006F2BFF" w:rsidRPr="00BB6EEC" w:rsidRDefault="006F2BFF" w:rsidP="006F2BFF">
            <w:pPr>
              <w:pStyle w:val="Tabletext"/>
              <w:rPr>
                <w:lang w:val="en-ZA"/>
              </w:rPr>
            </w:pPr>
            <w:r>
              <w:rPr>
                <w:lang w:val="en-ZA"/>
              </w:rPr>
              <w:t>3</w:t>
            </w:r>
          </w:p>
        </w:tc>
      </w:tr>
      <w:tr w:rsidR="006F2BFF" w:rsidRPr="0077659B" w14:paraId="1BFCBAC2" w14:textId="77777777" w:rsidTr="000C4D17">
        <w:trPr>
          <w:trHeight w:val="255"/>
        </w:trPr>
        <w:tc>
          <w:tcPr>
            <w:tcW w:w="1727" w:type="pct"/>
            <w:shd w:val="clear" w:color="auto" w:fill="D9D9D9" w:themeFill="background1" w:themeFillShade="D9"/>
          </w:tcPr>
          <w:p w14:paraId="7B2C9B9D" w14:textId="77777777" w:rsidR="006F2BFF" w:rsidRPr="00BB6EEC" w:rsidRDefault="006F2BFF" w:rsidP="006F2BFF">
            <w:pPr>
              <w:pStyle w:val="Tabletext"/>
              <w:rPr>
                <w:lang w:val="en-ZA"/>
              </w:rPr>
            </w:pPr>
            <w:r w:rsidRPr="00BB6EEC">
              <w:rPr>
                <w:lang w:val="en-ZA"/>
              </w:rPr>
              <w:t>Standing committee on public accounts</w:t>
            </w:r>
          </w:p>
        </w:tc>
        <w:tc>
          <w:tcPr>
            <w:tcW w:w="2445" w:type="pct"/>
          </w:tcPr>
          <w:p w14:paraId="795AD350" w14:textId="77777777" w:rsidR="006F2BFF" w:rsidRDefault="006F2BFF" w:rsidP="006306CE">
            <w:pPr>
              <w:pStyle w:val="Tabletext"/>
              <w:numPr>
                <w:ilvl w:val="0"/>
                <w:numId w:val="16"/>
              </w:numPr>
              <w:ind w:left="278" w:hanging="278"/>
              <w:rPr>
                <w:lang w:val="en-ZA"/>
              </w:rPr>
            </w:pPr>
            <w:r>
              <w:rPr>
                <w:lang w:val="en-ZA"/>
              </w:rPr>
              <w:t>Annual report hearings</w:t>
            </w:r>
          </w:p>
          <w:p w14:paraId="2C6998E1" w14:textId="77777777" w:rsidR="006F2BFF" w:rsidRPr="00BB6EEC" w:rsidRDefault="006F2BFF" w:rsidP="006F2BFF">
            <w:pPr>
              <w:pStyle w:val="Tabletext"/>
              <w:rPr>
                <w:lang w:val="en-ZA"/>
              </w:rPr>
            </w:pPr>
            <w:r>
              <w:rPr>
                <w:lang w:val="en-ZA"/>
              </w:rPr>
              <w:t>Oversight visit to Beitbridge</w:t>
            </w:r>
          </w:p>
        </w:tc>
        <w:tc>
          <w:tcPr>
            <w:tcW w:w="828" w:type="pct"/>
          </w:tcPr>
          <w:p w14:paraId="6A1AAA1B" w14:textId="77777777" w:rsidR="006F2BFF" w:rsidRPr="00BB6EEC" w:rsidRDefault="006F2BFF" w:rsidP="006F2BFF">
            <w:pPr>
              <w:pStyle w:val="Tabletext"/>
              <w:rPr>
                <w:lang w:val="en-ZA"/>
              </w:rPr>
            </w:pPr>
            <w:r>
              <w:rPr>
                <w:lang w:val="en-ZA"/>
              </w:rPr>
              <w:t>2</w:t>
            </w:r>
          </w:p>
        </w:tc>
      </w:tr>
      <w:tr w:rsidR="006F2BFF" w:rsidRPr="0077659B" w14:paraId="0E869BBC" w14:textId="77777777" w:rsidTr="000C4D17">
        <w:trPr>
          <w:trHeight w:val="255"/>
        </w:trPr>
        <w:tc>
          <w:tcPr>
            <w:tcW w:w="1727" w:type="pct"/>
            <w:shd w:val="clear" w:color="auto" w:fill="D9D9D9" w:themeFill="background1" w:themeFillShade="D9"/>
          </w:tcPr>
          <w:p w14:paraId="49955C00" w14:textId="77777777" w:rsidR="006F2BFF" w:rsidRPr="00BB6EEC" w:rsidRDefault="006F2BFF" w:rsidP="006306CE">
            <w:pPr>
              <w:pStyle w:val="Tabletext"/>
              <w:numPr>
                <w:ilvl w:val="0"/>
                <w:numId w:val="16"/>
              </w:numPr>
              <w:ind w:left="278" w:hanging="278"/>
              <w:rPr>
                <w:lang w:val="en-ZA"/>
              </w:rPr>
            </w:pPr>
            <w:r w:rsidRPr="00BB6EEC">
              <w:rPr>
                <w:lang w:val="en-ZA"/>
              </w:rPr>
              <w:t>Min</w:t>
            </w:r>
            <w:r>
              <w:rPr>
                <w:lang w:val="en-ZA"/>
              </w:rPr>
              <w:t>ister of Public Works</w:t>
            </w:r>
          </w:p>
        </w:tc>
        <w:tc>
          <w:tcPr>
            <w:tcW w:w="2445" w:type="pct"/>
          </w:tcPr>
          <w:p w14:paraId="01F73655" w14:textId="77777777" w:rsidR="006C7935" w:rsidRDefault="006C7935" w:rsidP="006306CE">
            <w:pPr>
              <w:pStyle w:val="Tabletext"/>
              <w:numPr>
                <w:ilvl w:val="0"/>
                <w:numId w:val="16"/>
              </w:numPr>
              <w:ind w:left="278" w:hanging="278"/>
              <w:rPr>
                <w:lang w:val="en-ZA"/>
              </w:rPr>
            </w:pPr>
            <w:r>
              <w:rPr>
                <w:lang w:val="en-ZA"/>
              </w:rPr>
              <w:t>Presentation on amendments to Public Audit Act</w:t>
            </w:r>
          </w:p>
          <w:p w14:paraId="03EC158D" w14:textId="77777777" w:rsidR="006C7935" w:rsidRDefault="006C7935" w:rsidP="006306CE">
            <w:pPr>
              <w:pStyle w:val="Tabletext"/>
              <w:numPr>
                <w:ilvl w:val="0"/>
                <w:numId w:val="16"/>
              </w:numPr>
              <w:ind w:left="278" w:hanging="278"/>
              <w:rPr>
                <w:lang w:val="en-ZA"/>
              </w:rPr>
            </w:pPr>
            <w:r w:rsidRPr="00DD1A72">
              <w:rPr>
                <w:lang w:val="en-ZA"/>
              </w:rPr>
              <w:t>Presentation on audit outcomes and key messages</w:t>
            </w:r>
          </w:p>
          <w:p w14:paraId="13037E52" w14:textId="77777777" w:rsidR="006C7935" w:rsidRDefault="006C7935" w:rsidP="006306CE">
            <w:pPr>
              <w:pStyle w:val="Tabletext"/>
              <w:numPr>
                <w:ilvl w:val="0"/>
                <w:numId w:val="16"/>
              </w:numPr>
              <w:ind w:left="278" w:hanging="278"/>
              <w:rPr>
                <w:lang w:val="en-ZA"/>
              </w:rPr>
            </w:pPr>
            <w:r w:rsidRPr="00DD1A72">
              <w:rPr>
                <w:lang w:val="en-ZA"/>
              </w:rPr>
              <w:t>Letter was sent to the Minister notifying h</w:t>
            </w:r>
            <w:r>
              <w:rPr>
                <w:lang w:val="en-ZA"/>
              </w:rPr>
              <w:t xml:space="preserve">er </w:t>
            </w:r>
            <w:r w:rsidRPr="00DD1A72">
              <w:rPr>
                <w:lang w:val="en-ZA"/>
              </w:rPr>
              <w:t>of critical matters identified during 2018</w:t>
            </w:r>
            <w:r>
              <w:rPr>
                <w:lang w:val="en-ZA"/>
              </w:rPr>
              <w:t>-19</w:t>
            </w:r>
            <w:r w:rsidRPr="00DD1A72">
              <w:rPr>
                <w:lang w:val="en-ZA"/>
              </w:rPr>
              <w:t xml:space="preserve"> audit which should be addressed to improved outcomes within Public Works Portfolio</w:t>
            </w:r>
          </w:p>
          <w:p w14:paraId="0811CDD3" w14:textId="77777777" w:rsidR="006C7935" w:rsidRDefault="006C7935" w:rsidP="006306CE">
            <w:pPr>
              <w:pStyle w:val="Tabletext"/>
              <w:numPr>
                <w:ilvl w:val="0"/>
                <w:numId w:val="16"/>
              </w:numPr>
              <w:ind w:left="278" w:hanging="278"/>
              <w:rPr>
                <w:lang w:val="en-ZA"/>
              </w:rPr>
            </w:pPr>
            <w:r>
              <w:rPr>
                <w:lang w:val="en-ZA"/>
              </w:rPr>
              <w:t>Discussion on scope of COVID-19 special audit to be undertaken</w:t>
            </w:r>
          </w:p>
          <w:p w14:paraId="2E11CB2B" w14:textId="77777777" w:rsidR="006F2BFF" w:rsidRPr="00BB6EEC" w:rsidRDefault="006C7935" w:rsidP="006306CE">
            <w:pPr>
              <w:pStyle w:val="Tabletext"/>
              <w:numPr>
                <w:ilvl w:val="0"/>
                <w:numId w:val="16"/>
              </w:numPr>
              <w:ind w:left="278" w:hanging="278"/>
              <w:rPr>
                <w:lang w:val="en-ZA"/>
              </w:rPr>
            </w:pPr>
            <w:r>
              <w:rPr>
                <w:lang w:val="en-ZA"/>
              </w:rPr>
              <w:t>Audit progress on COVID-19 special audit</w:t>
            </w:r>
          </w:p>
        </w:tc>
        <w:tc>
          <w:tcPr>
            <w:tcW w:w="828" w:type="pct"/>
          </w:tcPr>
          <w:p w14:paraId="7BABF298" w14:textId="77777777" w:rsidR="006F2BFF" w:rsidRPr="00BB6EEC" w:rsidRDefault="006C7935" w:rsidP="006F2BFF">
            <w:pPr>
              <w:pStyle w:val="Tabletext"/>
              <w:rPr>
                <w:lang w:val="en-ZA"/>
              </w:rPr>
            </w:pPr>
            <w:r>
              <w:rPr>
                <w:lang w:val="en-ZA"/>
              </w:rPr>
              <w:t>5</w:t>
            </w:r>
          </w:p>
        </w:tc>
      </w:tr>
      <w:tr w:rsidR="006F2BFF" w:rsidRPr="0077659B" w14:paraId="581A48B4" w14:textId="77777777" w:rsidTr="000C4D17">
        <w:trPr>
          <w:trHeight w:val="255"/>
        </w:trPr>
        <w:tc>
          <w:tcPr>
            <w:tcW w:w="1727" w:type="pct"/>
            <w:shd w:val="clear" w:color="auto" w:fill="D9D9D9" w:themeFill="background1" w:themeFillShade="D9"/>
          </w:tcPr>
          <w:p w14:paraId="5D112362" w14:textId="77777777" w:rsidR="006F2BFF" w:rsidRPr="00BB6EEC" w:rsidRDefault="006F2BFF" w:rsidP="006F2BFF">
            <w:pPr>
              <w:pStyle w:val="Tabletext"/>
              <w:rPr>
                <w:lang w:val="en-ZA"/>
              </w:rPr>
            </w:pPr>
            <w:r>
              <w:rPr>
                <w:lang w:val="en-ZA"/>
              </w:rPr>
              <w:t xml:space="preserve"> D</w:t>
            </w:r>
            <w:r w:rsidRPr="00BB6EEC">
              <w:rPr>
                <w:lang w:val="en-ZA"/>
              </w:rPr>
              <w:t>irector-g</w:t>
            </w:r>
            <w:r>
              <w:rPr>
                <w:lang w:val="en-ZA"/>
              </w:rPr>
              <w:t>eneral</w:t>
            </w:r>
          </w:p>
        </w:tc>
        <w:tc>
          <w:tcPr>
            <w:tcW w:w="2445" w:type="pct"/>
          </w:tcPr>
          <w:p w14:paraId="75874742" w14:textId="77777777" w:rsidR="006F2BFF" w:rsidRDefault="006F2BFF" w:rsidP="006306CE">
            <w:pPr>
              <w:pStyle w:val="Tabletext"/>
              <w:numPr>
                <w:ilvl w:val="0"/>
                <w:numId w:val="16"/>
              </w:numPr>
              <w:ind w:left="278" w:hanging="278"/>
              <w:rPr>
                <w:lang w:val="en-ZA"/>
              </w:rPr>
            </w:pPr>
            <w:r>
              <w:rPr>
                <w:lang w:val="en-ZA"/>
              </w:rPr>
              <w:t>Presentation on amendments to Public Audit Act</w:t>
            </w:r>
          </w:p>
          <w:p w14:paraId="61C594F4" w14:textId="77777777" w:rsidR="006F2BFF" w:rsidRPr="00DD1A72" w:rsidRDefault="006F2BFF" w:rsidP="006306CE">
            <w:pPr>
              <w:pStyle w:val="Tabletext"/>
              <w:numPr>
                <w:ilvl w:val="0"/>
                <w:numId w:val="16"/>
              </w:numPr>
              <w:ind w:left="278" w:hanging="278"/>
              <w:rPr>
                <w:lang w:val="en-ZA"/>
              </w:rPr>
            </w:pPr>
            <w:r w:rsidRPr="00DD1A72">
              <w:rPr>
                <w:lang w:val="en-ZA"/>
              </w:rPr>
              <w:t>Detail discussion on quarterly Status of Records review and presentation of engagement letter and audit Strategy</w:t>
            </w:r>
          </w:p>
          <w:p w14:paraId="73F036B8" w14:textId="77777777" w:rsidR="006F2BFF" w:rsidRPr="00DD1A72" w:rsidRDefault="006F2BFF" w:rsidP="006306CE">
            <w:pPr>
              <w:pStyle w:val="Tabletext"/>
              <w:numPr>
                <w:ilvl w:val="0"/>
                <w:numId w:val="16"/>
              </w:numPr>
              <w:ind w:left="278" w:hanging="278"/>
              <w:rPr>
                <w:lang w:val="en-ZA"/>
              </w:rPr>
            </w:pPr>
            <w:r w:rsidRPr="00DD1A72">
              <w:rPr>
                <w:lang w:val="en-ZA"/>
              </w:rPr>
              <w:t>Audit progress of the Public works portfolio</w:t>
            </w:r>
          </w:p>
          <w:p w14:paraId="61702821" w14:textId="77777777" w:rsidR="006F2BFF" w:rsidRPr="009E79C4" w:rsidRDefault="006F2BFF" w:rsidP="006306CE">
            <w:pPr>
              <w:pStyle w:val="Tabletext"/>
              <w:numPr>
                <w:ilvl w:val="0"/>
                <w:numId w:val="16"/>
              </w:numPr>
              <w:ind w:left="278" w:hanging="278"/>
              <w:rPr>
                <w:lang w:val="en-ZA"/>
              </w:rPr>
            </w:pPr>
            <w:r w:rsidRPr="00DD1A72">
              <w:rPr>
                <w:lang w:val="en-ZA"/>
              </w:rPr>
              <w:t xml:space="preserve">Messages relating to </w:t>
            </w:r>
            <w:r>
              <w:rPr>
                <w:lang w:val="en-ZA"/>
              </w:rPr>
              <w:t>COVID-19 special audits</w:t>
            </w:r>
          </w:p>
          <w:p w14:paraId="26C05A6C" w14:textId="77777777" w:rsidR="006F2BFF" w:rsidRPr="00BB6EEC" w:rsidRDefault="006F2BFF" w:rsidP="006306CE">
            <w:pPr>
              <w:pStyle w:val="Tabletext"/>
              <w:numPr>
                <w:ilvl w:val="0"/>
                <w:numId w:val="16"/>
              </w:numPr>
              <w:ind w:left="278" w:hanging="278"/>
              <w:rPr>
                <w:lang w:val="en-ZA"/>
              </w:rPr>
            </w:pPr>
            <w:r>
              <w:rPr>
                <w:lang w:val="en-ZA"/>
              </w:rPr>
              <w:t>Follow up on completed investigations</w:t>
            </w:r>
          </w:p>
        </w:tc>
        <w:tc>
          <w:tcPr>
            <w:tcW w:w="828" w:type="pct"/>
          </w:tcPr>
          <w:p w14:paraId="3C59B24F" w14:textId="77777777" w:rsidR="006F2BFF" w:rsidRPr="00BB6EEC" w:rsidRDefault="009E79C4" w:rsidP="006F2BFF">
            <w:pPr>
              <w:pStyle w:val="Tabletext"/>
              <w:rPr>
                <w:lang w:val="en-ZA"/>
              </w:rPr>
            </w:pPr>
            <w:r>
              <w:rPr>
                <w:lang w:val="en-ZA"/>
              </w:rPr>
              <w:t>5</w:t>
            </w:r>
          </w:p>
        </w:tc>
      </w:tr>
      <w:tr w:rsidR="006F2BFF" w:rsidRPr="0077659B" w14:paraId="7996ABF9" w14:textId="77777777" w:rsidTr="000C4D17">
        <w:trPr>
          <w:trHeight w:val="255"/>
        </w:trPr>
        <w:tc>
          <w:tcPr>
            <w:tcW w:w="1727" w:type="pct"/>
            <w:shd w:val="clear" w:color="auto" w:fill="D9D9D9" w:themeFill="background1" w:themeFillShade="D9"/>
          </w:tcPr>
          <w:p w14:paraId="03641097" w14:textId="77777777" w:rsidR="006F2BFF" w:rsidRPr="00BB6EEC" w:rsidRDefault="006F2BFF" w:rsidP="006F2BFF">
            <w:pPr>
              <w:pStyle w:val="Tabletext"/>
              <w:rPr>
                <w:lang w:val="en-ZA"/>
              </w:rPr>
            </w:pPr>
            <w:r w:rsidRPr="00BB6EEC">
              <w:rPr>
                <w:lang w:val="en-ZA"/>
              </w:rPr>
              <w:t>Audit committee</w:t>
            </w:r>
          </w:p>
        </w:tc>
        <w:tc>
          <w:tcPr>
            <w:tcW w:w="2445" w:type="pct"/>
          </w:tcPr>
          <w:p w14:paraId="30DD1340" w14:textId="77777777" w:rsidR="006C7935" w:rsidRDefault="006C7935" w:rsidP="006306CE">
            <w:pPr>
              <w:pStyle w:val="Tabletext"/>
              <w:numPr>
                <w:ilvl w:val="0"/>
                <w:numId w:val="16"/>
              </w:numPr>
              <w:ind w:left="278" w:hanging="278"/>
              <w:rPr>
                <w:lang w:val="en-ZA"/>
              </w:rPr>
            </w:pPr>
            <w:r>
              <w:rPr>
                <w:lang w:val="en-ZA"/>
              </w:rPr>
              <w:t>Presentation on amendments to Public Audit Act</w:t>
            </w:r>
          </w:p>
          <w:p w14:paraId="2C38400A" w14:textId="77777777" w:rsidR="006C7935" w:rsidRPr="00DD1A72" w:rsidRDefault="006C7935" w:rsidP="006306CE">
            <w:pPr>
              <w:pStyle w:val="Tabletext"/>
              <w:numPr>
                <w:ilvl w:val="0"/>
                <w:numId w:val="16"/>
              </w:numPr>
              <w:ind w:left="278" w:hanging="278"/>
              <w:rPr>
                <w:lang w:val="en-ZA"/>
              </w:rPr>
            </w:pPr>
            <w:r w:rsidRPr="00DD1A72">
              <w:rPr>
                <w:lang w:val="en-ZA"/>
              </w:rPr>
              <w:t xml:space="preserve">Presentation of quarterly </w:t>
            </w:r>
            <w:r>
              <w:rPr>
                <w:lang w:val="en-ZA"/>
              </w:rPr>
              <w:t>S</w:t>
            </w:r>
            <w:r w:rsidRPr="00DD1A72">
              <w:rPr>
                <w:lang w:val="en-ZA"/>
              </w:rPr>
              <w:t>tatus of Records Review</w:t>
            </w:r>
          </w:p>
          <w:p w14:paraId="04FD858B" w14:textId="77777777" w:rsidR="006C7935" w:rsidRPr="00DD1A72" w:rsidRDefault="006C7935" w:rsidP="006306CE">
            <w:pPr>
              <w:pStyle w:val="Tabletext"/>
              <w:numPr>
                <w:ilvl w:val="0"/>
                <w:numId w:val="16"/>
              </w:numPr>
              <w:ind w:left="278" w:hanging="278"/>
              <w:rPr>
                <w:lang w:val="en-ZA"/>
              </w:rPr>
            </w:pPr>
            <w:r w:rsidRPr="00DD1A72">
              <w:rPr>
                <w:lang w:val="en-ZA"/>
              </w:rPr>
              <w:t>Presenting the engagement letter and audit strategy</w:t>
            </w:r>
          </w:p>
          <w:p w14:paraId="0CF8EB08" w14:textId="77777777" w:rsidR="006C7935" w:rsidRPr="00DD1A72" w:rsidRDefault="006C7935" w:rsidP="006306CE">
            <w:pPr>
              <w:pStyle w:val="Tabletext"/>
              <w:numPr>
                <w:ilvl w:val="0"/>
                <w:numId w:val="16"/>
              </w:numPr>
              <w:ind w:left="278" w:hanging="278"/>
              <w:rPr>
                <w:lang w:val="en-ZA"/>
              </w:rPr>
            </w:pPr>
            <w:r w:rsidRPr="00DD1A72">
              <w:rPr>
                <w:lang w:val="en-ZA"/>
              </w:rPr>
              <w:t>Approval of the Department’s Annual Financial Statements</w:t>
            </w:r>
          </w:p>
          <w:p w14:paraId="445D5AF6" w14:textId="77777777" w:rsidR="006C7935" w:rsidRDefault="006C7935" w:rsidP="006306CE">
            <w:pPr>
              <w:pStyle w:val="Tabletext"/>
              <w:numPr>
                <w:ilvl w:val="0"/>
                <w:numId w:val="16"/>
              </w:numPr>
              <w:ind w:left="278" w:hanging="278"/>
              <w:rPr>
                <w:lang w:val="en-ZA"/>
              </w:rPr>
            </w:pPr>
            <w:r w:rsidRPr="00DD1A72">
              <w:rPr>
                <w:lang w:val="en-ZA"/>
              </w:rPr>
              <w:lastRenderedPageBreak/>
              <w:t>Presentation of interim management report</w:t>
            </w:r>
          </w:p>
          <w:p w14:paraId="4C776D07" w14:textId="77777777" w:rsidR="006C7935" w:rsidRPr="00DD1A72" w:rsidRDefault="006C7935" w:rsidP="006306CE">
            <w:pPr>
              <w:pStyle w:val="Tabletext"/>
              <w:numPr>
                <w:ilvl w:val="0"/>
                <w:numId w:val="16"/>
              </w:numPr>
              <w:ind w:left="278" w:hanging="278"/>
              <w:rPr>
                <w:lang w:val="en-ZA"/>
              </w:rPr>
            </w:pPr>
            <w:r>
              <w:rPr>
                <w:lang w:val="en-ZA"/>
              </w:rPr>
              <w:t>Closed session between audit team and audit committee</w:t>
            </w:r>
          </w:p>
          <w:p w14:paraId="1C9E8155" w14:textId="77777777" w:rsidR="006F2BFF" w:rsidRPr="00BB6EEC" w:rsidRDefault="006F2BFF" w:rsidP="00CD645F">
            <w:pPr>
              <w:pStyle w:val="Tabletext"/>
              <w:ind w:left="278"/>
              <w:rPr>
                <w:lang w:val="en-ZA"/>
              </w:rPr>
            </w:pPr>
          </w:p>
        </w:tc>
        <w:tc>
          <w:tcPr>
            <w:tcW w:w="828" w:type="pct"/>
          </w:tcPr>
          <w:p w14:paraId="07D460EA" w14:textId="77777777" w:rsidR="006F2BFF" w:rsidRPr="00BB6EEC" w:rsidRDefault="006C7935" w:rsidP="006F2BFF">
            <w:pPr>
              <w:pStyle w:val="Tabletext"/>
              <w:rPr>
                <w:lang w:val="en-ZA"/>
              </w:rPr>
            </w:pPr>
            <w:r>
              <w:rPr>
                <w:lang w:val="en-ZA"/>
              </w:rPr>
              <w:lastRenderedPageBreak/>
              <w:t>6</w:t>
            </w:r>
          </w:p>
        </w:tc>
      </w:tr>
    </w:tbl>
    <w:p w14:paraId="24506DCA" w14:textId="77777777" w:rsidR="00C22F2B" w:rsidRPr="0077659B" w:rsidRDefault="00C22F2B" w:rsidP="00C22F2B">
      <w:pPr>
        <w:shd w:val="clear" w:color="auto" w:fill="FFFFFF"/>
        <w:spacing w:line="240" w:lineRule="auto"/>
        <w:ind w:left="709"/>
        <w:rPr>
          <w:rFonts w:eastAsia="Times New Roman" w:cs="Arial"/>
        </w:rPr>
      </w:pPr>
    </w:p>
    <w:p w14:paraId="3C909B73" w14:textId="77777777" w:rsidR="00F110DC" w:rsidRPr="0077659B" w:rsidRDefault="006F2BFF" w:rsidP="006306CE">
      <w:pPr>
        <w:pStyle w:val="Numbernormal"/>
        <w:numPr>
          <w:ilvl w:val="0"/>
          <w:numId w:val="15"/>
        </w:numPr>
        <w:ind w:left="567" w:hanging="567"/>
      </w:pPr>
      <w:r>
        <w:t>At these interactions, we shared</w:t>
      </w:r>
      <w:r w:rsidR="00F110DC" w:rsidRPr="0077659B">
        <w:t xml:space="preserve"> the following key matters affecting a</w:t>
      </w:r>
      <w:r w:rsidR="004F1630">
        <w:t>udit outcomes and the auditee:</w:t>
      </w:r>
    </w:p>
    <w:p w14:paraId="12A8660B" w14:textId="77777777" w:rsidR="004F1630" w:rsidRPr="00156F9E" w:rsidRDefault="004F1630" w:rsidP="006306CE">
      <w:pPr>
        <w:numPr>
          <w:ilvl w:val="0"/>
          <w:numId w:val="6"/>
        </w:numPr>
        <w:spacing w:after="240" w:line="240" w:lineRule="auto"/>
        <w:ind w:left="567"/>
        <w:contextualSpacing/>
        <w:jc w:val="both"/>
        <w:rPr>
          <w:rFonts w:eastAsia="Calibri" w:cs="Arial"/>
        </w:rPr>
      </w:pPr>
      <w:r>
        <w:rPr>
          <w:rFonts w:eastAsia="Calibri" w:cs="Arial"/>
        </w:rPr>
        <w:t xml:space="preserve">The status of key controls of the Department of Public Works and Infrastructure (DPWI) and its entities (PMTE, IDT, CBE, CIDB, ASA and ECSA) were discussed with the Portfolio Committee. </w:t>
      </w:r>
    </w:p>
    <w:p w14:paraId="615F709D" w14:textId="77777777" w:rsidR="004F1630" w:rsidRPr="00F0451C" w:rsidRDefault="004F1630" w:rsidP="006306CE">
      <w:pPr>
        <w:numPr>
          <w:ilvl w:val="0"/>
          <w:numId w:val="6"/>
        </w:numPr>
        <w:spacing w:after="240" w:line="240" w:lineRule="auto"/>
        <w:ind w:left="567"/>
        <w:contextualSpacing/>
        <w:jc w:val="both"/>
        <w:rPr>
          <w:rFonts w:eastAsia="Calibri" w:cs="Arial"/>
        </w:rPr>
      </w:pPr>
      <w:r w:rsidRPr="001E37CD">
        <w:rPr>
          <w:rFonts w:eastAsia="Calibri" w:cs="Arial"/>
        </w:rPr>
        <w:t>Terms of the engagement for the current year 201</w:t>
      </w:r>
      <w:r>
        <w:rPr>
          <w:rFonts w:eastAsia="Calibri" w:cs="Arial"/>
        </w:rPr>
        <w:t>9/20</w:t>
      </w:r>
      <w:r w:rsidRPr="001E37CD">
        <w:rPr>
          <w:rFonts w:eastAsia="Calibri" w:cs="Arial"/>
        </w:rPr>
        <w:t xml:space="preserve"> audit cycle </w:t>
      </w:r>
      <w:r w:rsidRPr="001E37CD">
        <w:rPr>
          <w:rFonts w:cs="Arial"/>
        </w:rPr>
        <w:t xml:space="preserve">with specific emphasis on the </w:t>
      </w:r>
      <w:r>
        <w:rPr>
          <w:rFonts w:cs="Arial"/>
        </w:rPr>
        <w:t>amendments to the Public</w:t>
      </w:r>
      <w:r>
        <w:rPr>
          <w:rFonts w:eastAsia="Calibri" w:cs="Arial"/>
        </w:rPr>
        <w:t xml:space="preserve"> Audit Act, and its impact on the audit of DPWI</w:t>
      </w:r>
    </w:p>
    <w:p w14:paraId="25700EDA" w14:textId="77777777" w:rsidR="004F1630" w:rsidRPr="004E6E14" w:rsidRDefault="004F1630" w:rsidP="006306CE">
      <w:pPr>
        <w:numPr>
          <w:ilvl w:val="0"/>
          <w:numId w:val="6"/>
        </w:numPr>
        <w:spacing w:after="240" w:line="240" w:lineRule="auto"/>
        <w:ind w:left="567"/>
        <w:contextualSpacing/>
        <w:jc w:val="both"/>
        <w:rPr>
          <w:rFonts w:eastAsia="Calibri" w:cs="Arial"/>
        </w:rPr>
      </w:pPr>
      <w:r>
        <w:rPr>
          <w:rFonts w:cs="Arial"/>
        </w:rPr>
        <w:t>O</w:t>
      </w:r>
      <w:r w:rsidRPr="004E6E14">
        <w:rPr>
          <w:rFonts w:cs="Arial"/>
        </w:rPr>
        <w:t xml:space="preserve">verall audit strategy including the proposed nature, timing and extent of audit procedures to </w:t>
      </w:r>
      <w:r>
        <w:rPr>
          <w:rFonts w:cs="Arial"/>
        </w:rPr>
        <w:t>be performed, risk assessment (i</w:t>
      </w:r>
      <w:r w:rsidRPr="004E6E14">
        <w:rPr>
          <w:rFonts w:cs="Arial"/>
        </w:rPr>
        <w:t>ncluding fraud risk assessment) and the effectiveness of internal control</w:t>
      </w:r>
      <w:r>
        <w:rPr>
          <w:rFonts w:cs="Arial"/>
        </w:rPr>
        <w:t>. Included in this discussion was the impact on COVID-19 on the audit scope for 2019/20 audit cycle.</w:t>
      </w:r>
    </w:p>
    <w:p w14:paraId="56F6968A" w14:textId="77777777" w:rsidR="004F1630" w:rsidRDefault="004F1630" w:rsidP="006306CE">
      <w:pPr>
        <w:numPr>
          <w:ilvl w:val="0"/>
          <w:numId w:val="6"/>
        </w:numPr>
        <w:spacing w:after="240" w:line="240" w:lineRule="auto"/>
        <w:ind w:left="567"/>
        <w:contextualSpacing/>
        <w:jc w:val="both"/>
        <w:rPr>
          <w:rFonts w:eastAsia="Calibri" w:cs="Arial"/>
        </w:rPr>
      </w:pPr>
      <w:r w:rsidRPr="004E6E14">
        <w:rPr>
          <w:rFonts w:cs="Arial"/>
        </w:rPr>
        <w:t>Audit progress and findings were discussed on a continuous basis</w:t>
      </w:r>
      <w:r>
        <w:rPr>
          <w:rFonts w:cs="Arial"/>
        </w:rPr>
        <w:t xml:space="preserve">. </w:t>
      </w:r>
      <w:r>
        <w:rPr>
          <w:rFonts w:eastAsia="Calibri" w:cs="Arial"/>
        </w:rPr>
        <w:t xml:space="preserve">The key issues discussed for PMTE related to Immovable assets.  </w:t>
      </w:r>
    </w:p>
    <w:p w14:paraId="4CFA01B3" w14:textId="77777777" w:rsidR="00F110DC" w:rsidRPr="004F1630" w:rsidRDefault="004F1630" w:rsidP="006306CE">
      <w:pPr>
        <w:numPr>
          <w:ilvl w:val="0"/>
          <w:numId w:val="6"/>
        </w:numPr>
        <w:spacing w:after="240" w:line="240" w:lineRule="auto"/>
        <w:ind w:left="567"/>
        <w:contextualSpacing/>
        <w:jc w:val="both"/>
        <w:rPr>
          <w:rFonts w:eastAsia="Calibri" w:cs="Arial"/>
        </w:rPr>
      </w:pPr>
      <w:r>
        <w:rPr>
          <w:rFonts w:eastAsia="Calibri" w:cs="Arial"/>
        </w:rPr>
        <w:t>Interim management report was presented</w:t>
      </w:r>
    </w:p>
    <w:p w14:paraId="2E201A80" w14:textId="77777777" w:rsidR="00F110DC" w:rsidRPr="0077659B" w:rsidRDefault="00C170F3" w:rsidP="006306CE">
      <w:pPr>
        <w:pStyle w:val="Numbernormal"/>
        <w:numPr>
          <w:ilvl w:val="0"/>
          <w:numId w:val="15"/>
        </w:numPr>
        <w:ind w:left="567" w:hanging="567"/>
      </w:pPr>
      <w:r>
        <w:t xml:space="preserve">Some </w:t>
      </w:r>
      <w:r w:rsidR="00F110DC" w:rsidRPr="0077659B">
        <w:t>stakeholders made commitments to implemen</w:t>
      </w:r>
      <w:r>
        <w:t xml:space="preserve">t initiatives that can </w:t>
      </w:r>
      <w:r w:rsidR="00F110DC" w:rsidRPr="0077659B">
        <w:t>improve the audit outcome. The commitments given and the progress of previous commitments are included in section</w:t>
      </w:r>
      <w:r w:rsidR="00C64231" w:rsidRPr="0077659B">
        <w:t xml:space="preserve"> 3.2</w:t>
      </w:r>
      <w:r w:rsidR="00F110DC" w:rsidRPr="0077659B">
        <w:t>, which deals with the assessment of assurance providers.</w:t>
      </w:r>
    </w:p>
    <w:p w14:paraId="20A57E9D" w14:textId="77777777" w:rsidR="00C22F2B" w:rsidRPr="0077659B" w:rsidRDefault="00C22F2B" w:rsidP="00C22F2B">
      <w:pPr>
        <w:shd w:val="clear" w:color="auto" w:fill="FFFFFF"/>
        <w:spacing w:line="240" w:lineRule="auto"/>
        <w:rPr>
          <w:rFonts w:eastAsia="Times New Roman" w:cs="Arial"/>
        </w:rPr>
      </w:pPr>
    </w:p>
    <w:p w14:paraId="07F705E9" w14:textId="77777777" w:rsidR="00C22F2B" w:rsidRPr="0077659B" w:rsidRDefault="00C22F2B" w:rsidP="006306CE">
      <w:pPr>
        <w:numPr>
          <w:ilvl w:val="0"/>
          <w:numId w:val="4"/>
        </w:numPr>
        <w:shd w:val="clear" w:color="auto" w:fill="FFFFFF"/>
        <w:spacing w:line="240" w:lineRule="auto"/>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14:paraId="2AAA69F4" w14:textId="77777777" w:rsidR="00253FDE" w:rsidRPr="0077659B" w:rsidRDefault="00253FDE" w:rsidP="000C4D17">
      <w:pPr>
        <w:pStyle w:val="Heading2"/>
      </w:pPr>
      <w:bookmarkStart w:id="17" w:name="_Toc447106583"/>
      <w:bookmarkStart w:id="18" w:name="_Toc53608718"/>
      <w:bookmarkStart w:id="19" w:name="_Toc447106584"/>
      <w:r w:rsidRPr="0077659B">
        <w:lastRenderedPageBreak/>
        <w:t>SECTION 2: Matters relating to the auditor’s report</w:t>
      </w:r>
      <w:bookmarkEnd w:id="17"/>
      <w:bookmarkEnd w:id="18"/>
    </w:p>
    <w:p w14:paraId="66AF72DB" w14:textId="77777777" w:rsidR="00C22F2B" w:rsidRPr="00BB6EEC" w:rsidRDefault="00BA71FA" w:rsidP="00A3735E">
      <w:pPr>
        <w:pStyle w:val="Heading3"/>
        <w:rPr>
          <w:lang w:val="en-ZA"/>
        </w:rPr>
      </w:pPr>
      <w:bookmarkStart w:id="20" w:name="_Toc53608719"/>
      <w:r w:rsidRPr="00BB6EEC">
        <w:rPr>
          <w:lang w:val="en-ZA"/>
        </w:rPr>
        <w:t xml:space="preserve">AUDIT OF </w:t>
      </w:r>
      <w:r w:rsidR="006A4063" w:rsidRPr="00BB6EEC">
        <w:rPr>
          <w:lang w:val="en-ZA"/>
        </w:rPr>
        <w:t>THE</w:t>
      </w:r>
      <w:r w:rsidR="00C170F3">
        <w:rPr>
          <w:lang w:val="en-ZA"/>
        </w:rPr>
        <w:t xml:space="preserve"> </w:t>
      </w:r>
      <w:r w:rsidR="00C22F2B" w:rsidRPr="00BB6EEC">
        <w:rPr>
          <w:lang w:val="en-ZA"/>
        </w:rPr>
        <w:t>FINANCIAL STATEMENTS</w:t>
      </w:r>
      <w:bookmarkEnd w:id="19"/>
      <w:bookmarkEnd w:id="20"/>
      <w:r w:rsidR="00C22F2B" w:rsidRPr="00BB6EEC">
        <w:rPr>
          <w:lang w:val="en-ZA"/>
        </w:rPr>
        <w:t xml:space="preserve"> </w:t>
      </w:r>
    </w:p>
    <w:p w14:paraId="73D624C1" w14:textId="77777777" w:rsidR="00C22F2B" w:rsidRPr="0077659B" w:rsidRDefault="00C22F2B" w:rsidP="006306CE">
      <w:pPr>
        <w:pStyle w:val="Numbernormal"/>
        <w:numPr>
          <w:ilvl w:val="0"/>
          <w:numId w:val="15"/>
        </w:numPr>
        <w:ind w:left="567" w:hanging="567"/>
      </w:pPr>
      <w:r w:rsidRPr="0077659B">
        <w:t>We identified material mi</w:t>
      </w:r>
      <w:r w:rsidR="00C170F3">
        <w:t>sstatements in the</w:t>
      </w:r>
      <w:r w:rsidRPr="0077659B">
        <w:t xml:space="preserve"> financial statements during the audit. These misstatements were not prevented or </w:t>
      </w:r>
      <w:r w:rsidR="00C170F3">
        <w:t>detected by the Entity</w:t>
      </w:r>
      <w:r w:rsidRPr="0077659B">
        <w:t xml:space="preserve">’s system of internal control. These material misstatements also </w:t>
      </w:r>
      <w:r w:rsidR="00C170F3">
        <w:t>constitute non-compliance with section 40(1)</w:t>
      </w:r>
      <w:r w:rsidR="00422D63">
        <w:t xml:space="preserve"> </w:t>
      </w:r>
      <w:r w:rsidRPr="0077659B">
        <w:t xml:space="preserve">of the Public Finance Management Act (PFMA). </w:t>
      </w:r>
    </w:p>
    <w:p w14:paraId="794D0136" w14:textId="51042EC9" w:rsidR="00C22F2B" w:rsidRPr="0077659B" w:rsidRDefault="00C22F2B" w:rsidP="006306CE">
      <w:pPr>
        <w:pStyle w:val="Numbernormal"/>
        <w:numPr>
          <w:ilvl w:val="0"/>
          <w:numId w:val="15"/>
        </w:numPr>
        <w:ind w:left="567" w:hanging="567"/>
      </w:pPr>
      <w:r w:rsidRPr="00422D63">
        <w:t>The misstatements that were not corrected f</w:t>
      </w:r>
      <w:r w:rsidR="00422D63" w:rsidRPr="00422D63">
        <w:t xml:space="preserve">orm the basis for the </w:t>
      </w:r>
      <w:r w:rsidR="00D82150">
        <w:t>qualified</w:t>
      </w:r>
      <w:r w:rsidRPr="00422D63">
        <w:t xml:space="preserve"> on the financial statements.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6519"/>
        <w:gridCol w:w="1427"/>
        <w:gridCol w:w="2124"/>
        <w:gridCol w:w="1830"/>
      </w:tblGrid>
      <w:tr w:rsidR="00C22F2B" w:rsidRPr="00E36CEF" w14:paraId="24A1500B" w14:textId="77777777" w:rsidTr="00384D8C">
        <w:trPr>
          <w:trHeight w:val="186"/>
          <w:tblHeader/>
        </w:trPr>
        <w:tc>
          <w:tcPr>
            <w:tcW w:w="3645" w:type="pct"/>
            <w:gridSpan w:val="3"/>
            <w:shd w:val="clear" w:color="auto" w:fill="A6A6A6" w:themeFill="background1" w:themeFillShade="A6"/>
          </w:tcPr>
          <w:p w14:paraId="1A3473A0"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Material misstatement</w:t>
            </w:r>
          </w:p>
        </w:tc>
        <w:tc>
          <w:tcPr>
            <w:tcW w:w="728" w:type="pct"/>
            <w:vMerge w:val="restart"/>
            <w:shd w:val="clear" w:color="auto" w:fill="BFBFBF" w:themeFill="background1" w:themeFillShade="BF"/>
          </w:tcPr>
          <w:p w14:paraId="6944701A"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Impact</w:t>
            </w:r>
          </w:p>
          <w:p w14:paraId="018D9161"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R</w:t>
            </w:r>
          </w:p>
          <w:p w14:paraId="2F0EFA59" w14:textId="77777777" w:rsidR="00C22F2B" w:rsidRPr="00E36CEF" w:rsidRDefault="00C22F2B" w:rsidP="000C4D17">
            <w:pPr>
              <w:pStyle w:val="NoSpacing"/>
              <w:rPr>
                <w:rFonts w:cs="Arial"/>
                <w:b w:val="0"/>
                <w:snapToGrid w:val="0"/>
                <w:sz w:val="18"/>
                <w:szCs w:val="18"/>
              </w:rPr>
            </w:pPr>
            <w:r w:rsidRPr="00E36CEF">
              <w:rPr>
                <w:rFonts w:cs="Arial"/>
                <w:b w:val="0"/>
                <w:snapToGrid w:val="0"/>
                <w:sz w:val="18"/>
                <w:szCs w:val="18"/>
              </w:rPr>
              <w:t>current year</w:t>
            </w:r>
          </w:p>
        </w:tc>
        <w:tc>
          <w:tcPr>
            <w:tcW w:w="627" w:type="pct"/>
            <w:vMerge w:val="restart"/>
            <w:shd w:val="clear" w:color="auto" w:fill="BFBFBF" w:themeFill="background1" w:themeFillShade="BF"/>
          </w:tcPr>
          <w:p w14:paraId="6CA70671"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Impact</w:t>
            </w:r>
          </w:p>
          <w:p w14:paraId="5EAF07C9"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R</w:t>
            </w:r>
          </w:p>
          <w:p w14:paraId="7BCA8D72" w14:textId="77777777" w:rsidR="00C22F2B" w:rsidRPr="00E36CEF" w:rsidRDefault="00C22F2B" w:rsidP="000C4D17">
            <w:pPr>
              <w:pStyle w:val="NoSpacing"/>
              <w:rPr>
                <w:rFonts w:cs="Arial"/>
                <w:b w:val="0"/>
                <w:snapToGrid w:val="0"/>
                <w:sz w:val="18"/>
                <w:szCs w:val="18"/>
              </w:rPr>
            </w:pPr>
            <w:r w:rsidRPr="00E36CEF">
              <w:rPr>
                <w:rFonts w:cs="Arial"/>
                <w:b w:val="0"/>
                <w:snapToGrid w:val="0"/>
                <w:sz w:val="18"/>
                <w:szCs w:val="18"/>
              </w:rPr>
              <w:t>prior year</w:t>
            </w:r>
          </w:p>
        </w:tc>
      </w:tr>
      <w:tr w:rsidR="00E36CEF" w:rsidRPr="00E36CEF" w14:paraId="6DC4EDCB" w14:textId="77777777" w:rsidTr="00F81845">
        <w:trPr>
          <w:trHeight w:val="663"/>
          <w:tblHeader/>
        </w:trPr>
        <w:tc>
          <w:tcPr>
            <w:tcW w:w="922" w:type="pct"/>
            <w:shd w:val="clear" w:color="auto" w:fill="BFBFBF" w:themeFill="background1" w:themeFillShade="BF"/>
          </w:tcPr>
          <w:p w14:paraId="5B8872C3" w14:textId="77777777" w:rsidR="00C22F2B" w:rsidRPr="00E36CEF" w:rsidRDefault="00E36CEF" w:rsidP="000C4D17">
            <w:pPr>
              <w:pStyle w:val="NoSpacing"/>
              <w:rPr>
                <w:rFonts w:cs="Arial"/>
                <w:snapToGrid w:val="0"/>
                <w:sz w:val="18"/>
                <w:szCs w:val="18"/>
              </w:rPr>
            </w:pPr>
            <w:r w:rsidRPr="00E36CEF">
              <w:rPr>
                <w:rFonts w:cs="Arial"/>
                <w:snapToGrid w:val="0"/>
                <w:sz w:val="18"/>
                <w:szCs w:val="18"/>
              </w:rPr>
              <w:t xml:space="preserve">Financial statement </w:t>
            </w:r>
          </w:p>
        </w:tc>
        <w:tc>
          <w:tcPr>
            <w:tcW w:w="2234" w:type="pct"/>
            <w:shd w:val="clear" w:color="auto" w:fill="BFBFBF" w:themeFill="background1" w:themeFillShade="BF"/>
          </w:tcPr>
          <w:p w14:paraId="1CA78898"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 xml:space="preserve">Finding </w:t>
            </w:r>
          </w:p>
          <w:p w14:paraId="622FFC51" w14:textId="77777777" w:rsidR="00C22F2B" w:rsidRPr="00E36CEF" w:rsidRDefault="00C22F2B">
            <w:pPr>
              <w:pStyle w:val="NoSpacing"/>
              <w:rPr>
                <w:rFonts w:cs="Arial"/>
                <w:snapToGrid w:val="0"/>
                <w:sz w:val="18"/>
                <w:szCs w:val="18"/>
              </w:rPr>
            </w:pPr>
          </w:p>
        </w:tc>
        <w:tc>
          <w:tcPr>
            <w:tcW w:w="489" w:type="pct"/>
            <w:shd w:val="clear" w:color="auto" w:fill="BFBFBF" w:themeFill="background1" w:themeFillShade="BF"/>
          </w:tcPr>
          <w:p w14:paraId="65EFAC1B" w14:textId="77777777" w:rsidR="00C22F2B" w:rsidRPr="00E36CEF" w:rsidRDefault="00C22F2B" w:rsidP="000C4D17">
            <w:pPr>
              <w:pStyle w:val="NoSpacing"/>
              <w:rPr>
                <w:rFonts w:cs="Arial"/>
                <w:snapToGrid w:val="0"/>
                <w:sz w:val="18"/>
                <w:szCs w:val="18"/>
              </w:rPr>
            </w:pPr>
            <w:r w:rsidRPr="00E36CEF">
              <w:rPr>
                <w:rFonts w:cs="Arial"/>
                <w:snapToGrid w:val="0"/>
                <w:sz w:val="18"/>
                <w:szCs w:val="18"/>
              </w:rPr>
              <w:t>Occurred in prior year</w:t>
            </w:r>
          </w:p>
          <w:p w14:paraId="36AA6B3D" w14:textId="77777777" w:rsidR="00C22F2B" w:rsidRPr="00E36CEF" w:rsidRDefault="00C22F2B" w:rsidP="000C4D17">
            <w:pPr>
              <w:pStyle w:val="NoSpacing"/>
              <w:rPr>
                <w:rFonts w:cs="Arial"/>
                <w:snapToGrid w:val="0"/>
                <w:sz w:val="18"/>
                <w:szCs w:val="18"/>
              </w:rPr>
            </w:pPr>
          </w:p>
        </w:tc>
        <w:tc>
          <w:tcPr>
            <w:tcW w:w="728" w:type="pct"/>
            <w:vMerge/>
            <w:shd w:val="clear" w:color="auto" w:fill="BFBFBF" w:themeFill="background1" w:themeFillShade="BF"/>
          </w:tcPr>
          <w:p w14:paraId="42E0DE6C" w14:textId="77777777" w:rsidR="00C22F2B" w:rsidRPr="00E36CEF" w:rsidRDefault="00C22F2B" w:rsidP="00C22F2B">
            <w:pPr>
              <w:spacing w:after="0" w:line="240" w:lineRule="auto"/>
              <w:jc w:val="center"/>
              <w:rPr>
                <w:rFonts w:eastAsia="Times New Roman" w:cs="Arial"/>
                <w:b/>
                <w:snapToGrid w:val="0"/>
                <w:sz w:val="18"/>
                <w:szCs w:val="18"/>
              </w:rPr>
            </w:pPr>
          </w:p>
        </w:tc>
        <w:tc>
          <w:tcPr>
            <w:tcW w:w="627" w:type="pct"/>
            <w:vMerge/>
            <w:shd w:val="clear" w:color="auto" w:fill="BFBFBF" w:themeFill="background1" w:themeFillShade="BF"/>
          </w:tcPr>
          <w:p w14:paraId="47C1B837" w14:textId="77777777" w:rsidR="00C22F2B" w:rsidRPr="00E36CEF" w:rsidRDefault="00C22F2B" w:rsidP="00C22F2B">
            <w:pPr>
              <w:spacing w:after="0" w:line="240" w:lineRule="auto"/>
              <w:jc w:val="center"/>
              <w:rPr>
                <w:rFonts w:eastAsia="Times New Roman" w:cs="Arial"/>
                <w:b/>
                <w:snapToGrid w:val="0"/>
                <w:sz w:val="18"/>
                <w:szCs w:val="18"/>
              </w:rPr>
            </w:pPr>
          </w:p>
        </w:tc>
      </w:tr>
      <w:tr w:rsidR="00C22F2B" w:rsidRPr="00E36CEF" w14:paraId="50C3B7C8" w14:textId="77777777" w:rsidTr="00E36CEF">
        <w:trPr>
          <w:trHeight w:val="58"/>
        </w:trPr>
        <w:tc>
          <w:tcPr>
            <w:tcW w:w="5000" w:type="pct"/>
            <w:gridSpan w:val="5"/>
            <w:shd w:val="clear" w:color="auto" w:fill="D9D9D9" w:themeFill="background1" w:themeFillShade="D9"/>
          </w:tcPr>
          <w:p w14:paraId="36E38074" w14:textId="77777777" w:rsidR="00C22F2B" w:rsidRPr="00E36CEF" w:rsidRDefault="00C22F2B" w:rsidP="00CD645F">
            <w:pPr>
              <w:pStyle w:val="NoSpacing"/>
              <w:jc w:val="left"/>
              <w:rPr>
                <w:rFonts w:cs="Arial"/>
                <w:snapToGrid w:val="0"/>
                <w:sz w:val="18"/>
                <w:szCs w:val="18"/>
              </w:rPr>
            </w:pPr>
            <w:bookmarkStart w:id="21" w:name="S2E1"/>
            <w:bookmarkEnd w:id="21"/>
            <w:r w:rsidRPr="00E36CEF">
              <w:rPr>
                <w:rFonts w:cs="Arial"/>
                <w:snapToGrid w:val="0"/>
                <w:sz w:val="18"/>
                <w:szCs w:val="18"/>
              </w:rPr>
              <w:t>Material misstatements not corrected</w:t>
            </w:r>
          </w:p>
        </w:tc>
      </w:tr>
      <w:tr w:rsidR="0024796A" w:rsidRPr="00E36CEF" w14:paraId="500B7439" w14:textId="77777777" w:rsidTr="000F68EC">
        <w:trPr>
          <w:trHeight w:val="218"/>
        </w:trPr>
        <w:tc>
          <w:tcPr>
            <w:tcW w:w="922" w:type="pct"/>
          </w:tcPr>
          <w:p w14:paraId="7F6E6518" w14:textId="77777777" w:rsidR="0024796A" w:rsidRPr="00E36CEF" w:rsidRDefault="0024796A" w:rsidP="000C4D17">
            <w:pPr>
              <w:pStyle w:val="Tabletext"/>
              <w:rPr>
                <w:rFonts w:cs="Arial"/>
                <w:b/>
                <w:snapToGrid w:val="0"/>
                <w:szCs w:val="18"/>
                <w:lang w:val="en-ZA"/>
              </w:rPr>
            </w:pPr>
            <w:r w:rsidRPr="00E36CEF">
              <w:rPr>
                <w:rFonts w:cs="Arial"/>
                <w:b/>
                <w:snapToGrid w:val="0"/>
                <w:szCs w:val="18"/>
                <w:lang w:val="en-ZA"/>
              </w:rPr>
              <w:t>Non-Current Assets</w:t>
            </w:r>
          </w:p>
        </w:tc>
        <w:tc>
          <w:tcPr>
            <w:tcW w:w="4078" w:type="pct"/>
            <w:gridSpan w:val="4"/>
          </w:tcPr>
          <w:p w14:paraId="49294A12" w14:textId="77777777" w:rsidR="0024796A" w:rsidRPr="00E36CEF" w:rsidRDefault="0024796A" w:rsidP="000C4D17">
            <w:pPr>
              <w:pStyle w:val="Tabletext"/>
              <w:rPr>
                <w:rFonts w:cs="Arial"/>
                <w:snapToGrid w:val="0"/>
                <w:szCs w:val="18"/>
                <w:lang w:val="en-ZA"/>
              </w:rPr>
            </w:pPr>
          </w:p>
        </w:tc>
      </w:tr>
      <w:tr w:rsidR="006C7935" w:rsidRPr="00E36CEF" w14:paraId="7A80A1F7" w14:textId="77777777" w:rsidTr="00F81845">
        <w:tc>
          <w:tcPr>
            <w:tcW w:w="922" w:type="pct"/>
          </w:tcPr>
          <w:p w14:paraId="627686D2" w14:textId="77777777" w:rsidR="006C7935" w:rsidRPr="00E36CEF" w:rsidRDefault="006C7935" w:rsidP="0036472E">
            <w:pPr>
              <w:pStyle w:val="Tabletext"/>
              <w:rPr>
                <w:rFonts w:cs="Arial"/>
                <w:snapToGrid w:val="0"/>
                <w:szCs w:val="18"/>
              </w:rPr>
            </w:pPr>
            <w:r w:rsidRPr="00E36CEF">
              <w:rPr>
                <w:rFonts w:cs="Arial"/>
                <w:snapToGrid w:val="0"/>
                <w:szCs w:val="18"/>
              </w:rPr>
              <w:t xml:space="preserve">Property, plant and equipment </w:t>
            </w:r>
          </w:p>
          <w:p w14:paraId="781F1781" w14:textId="77777777" w:rsidR="006C7935" w:rsidRPr="00E36CEF" w:rsidRDefault="006C7935" w:rsidP="0036472E">
            <w:pPr>
              <w:pStyle w:val="Tabletext"/>
              <w:rPr>
                <w:rFonts w:cs="Arial"/>
                <w:snapToGrid w:val="0"/>
                <w:szCs w:val="18"/>
              </w:rPr>
            </w:pPr>
            <w:r w:rsidRPr="00E36CEF">
              <w:rPr>
                <w:rFonts w:cs="Arial"/>
                <w:snapToGrid w:val="0"/>
                <w:szCs w:val="18"/>
              </w:rPr>
              <w:t>Depreciation and accumulated depreciation</w:t>
            </w:r>
          </w:p>
        </w:tc>
        <w:tc>
          <w:tcPr>
            <w:tcW w:w="2234" w:type="pct"/>
          </w:tcPr>
          <w:p w14:paraId="5BD59B4F" w14:textId="06A39B6A" w:rsidR="006C7935" w:rsidRDefault="006C7935" w:rsidP="0036472E">
            <w:pPr>
              <w:spacing w:after="0" w:line="240" w:lineRule="auto"/>
              <w:jc w:val="both"/>
              <w:rPr>
                <w:rFonts w:eastAsia="Times New Roman" w:cs="Arial"/>
                <w:snapToGrid w:val="0"/>
                <w:sz w:val="18"/>
                <w:szCs w:val="18"/>
              </w:rPr>
            </w:pPr>
            <w:r w:rsidRPr="00E36CEF">
              <w:rPr>
                <w:rFonts w:eastAsia="Times New Roman" w:cs="Arial"/>
                <w:snapToGrid w:val="0"/>
                <w:sz w:val="18"/>
                <w:szCs w:val="18"/>
              </w:rPr>
              <w:t xml:space="preserve">In calculating deemed cost for </w:t>
            </w:r>
            <w:r>
              <w:rPr>
                <w:rFonts w:eastAsia="Times New Roman" w:cs="Arial"/>
                <w:snapToGrid w:val="0"/>
                <w:sz w:val="18"/>
                <w:szCs w:val="18"/>
              </w:rPr>
              <w:t xml:space="preserve">immovable </w:t>
            </w:r>
            <w:r w:rsidRPr="00E36CEF">
              <w:rPr>
                <w:rFonts w:eastAsia="Times New Roman" w:cs="Arial"/>
                <w:snapToGrid w:val="0"/>
                <w:sz w:val="18"/>
                <w:szCs w:val="18"/>
              </w:rPr>
              <w:t>assets, the area of the property in m² (extents) is multiplied by the rate for the spe</w:t>
            </w:r>
            <w:r w:rsidR="00B04E1B">
              <w:rPr>
                <w:rFonts w:eastAsia="Times New Roman" w:cs="Arial"/>
                <w:snapToGrid w:val="0"/>
                <w:sz w:val="18"/>
                <w:szCs w:val="18"/>
              </w:rPr>
              <w:t>cific type of asset.  M</w:t>
            </w:r>
            <w:r w:rsidRPr="00E36CEF">
              <w:rPr>
                <w:rFonts w:eastAsia="Times New Roman" w:cs="Arial"/>
                <w:snapToGrid w:val="0"/>
                <w:sz w:val="18"/>
                <w:szCs w:val="18"/>
              </w:rPr>
              <w:t xml:space="preserve">isstatements were identified in the </w:t>
            </w:r>
            <w:r>
              <w:rPr>
                <w:rFonts w:eastAsia="Times New Roman" w:cs="Arial"/>
                <w:snapToGrid w:val="0"/>
                <w:sz w:val="18"/>
                <w:szCs w:val="18"/>
              </w:rPr>
              <w:t>immovable assets register (</w:t>
            </w:r>
            <w:r w:rsidRPr="00E36CEF">
              <w:rPr>
                <w:rFonts w:eastAsia="Times New Roman" w:cs="Arial"/>
                <w:snapToGrid w:val="0"/>
                <w:sz w:val="18"/>
                <w:szCs w:val="18"/>
              </w:rPr>
              <w:t>IAR</w:t>
            </w:r>
            <w:r>
              <w:rPr>
                <w:rFonts w:eastAsia="Times New Roman" w:cs="Arial"/>
                <w:snapToGrid w:val="0"/>
                <w:sz w:val="18"/>
                <w:szCs w:val="18"/>
              </w:rPr>
              <w:t>)</w:t>
            </w:r>
            <w:r w:rsidRPr="00E36CEF">
              <w:rPr>
                <w:rFonts w:eastAsia="Times New Roman" w:cs="Arial"/>
                <w:snapToGrid w:val="0"/>
                <w:sz w:val="18"/>
                <w:szCs w:val="18"/>
              </w:rPr>
              <w:t xml:space="preserve"> due to the incorrect extents being utilised for properties being measured. Furthermore, we identified misstatements on the properties valued using the Municipal valuation rolls (MV</w:t>
            </w:r>
            <w:r>
              <w:rPr>
                <w:rFonts w:eastAsia="Times New Roman" w:cs="Arial"/>
                <w:snapToGrid w:val="0"/>
                <w:sz w:val="18"/>
                <w:szCs w:val="18"/>
              </w:rPr>
              <w:t>R</w:t>
            </w:r>
            <w:r w:rsidRPr="00E36CEF">
              <w:rPr>
                <w:rFonts w:eastAsia="Times New Roman" w:cs="Arial"/>
                <w:snapToGrid w:val="0"/>
                <w:sz w:val="18"/>
                <w:szCs w:val="18"/>
              </w:rPr>
              <w:t>) where management used MVRs</w:t>
            </w:r>
            <w:r w:rsidR="003F392D">
              <w:rPr>
                <w:rFonts w:eastAsia="Times New Roman" w:cs="Arial"/>
                <w:snapToGrid w:val="0"/>
                <w:sz w:val="18"/>
                <w:szCs w:val="18"/>
              </w:rPr>
              <w:t xml:space="preserve"> that have values </w:t>
            </w:r>
            <w:r w:rsidRPr="00E36CEF">
              <w:rPr>
                <w:rFonts w:eastAsia="Times New Roman" w:cs="Arial"/>
                <w:snapToGrid w:val="0"/>
                <w:sz w:val="18"/>
                <w:szCs w:val="18"/>
              </w:rPr>
              <w:t>which did</w:t>
            </w:r>
            <w:r>
              <w:rPr>
                <w:rFonts w:eastAsia="Times New Roman" w:cs="Arial"/>
                <w:snapToGrid w:val="0"/>
                <w:sz w:val="18"/>
                <w:szCs w:val="18"/>
              </w:rPr>
              <w:t xml:space="preserve"> not </w:t>
            </w:r>
            <w:r w:rsidRPr="00E36CEF">
              <w:rPr>
                <w:rFonts w:eastAsia="Times New Roman" w:cs="Arial"/>
                <w:snapToGrid w:val="0"/>
                <w:sz w:val="18"/>
                <w:szCs w:val="18"/>
              </w:rPr>
              <w:t>reflect the market value of properties.</w:t>
            </w:r>
            <w:r w:rsidR="003F392D">
              <w:rPr>
                <w:rFonts w:eastAsia="Times New Roman" w:cs="Arial"/>
                <w:snapToGrid w:val="0"/>
                <w:sz w:val="18"/>
                <w:szCs w:val="18"/>
              </w:rPr>
              <w:t xml:space="preserve"> </w:t>
            </w:r>
          </w:p>
          <w:p w14:paraId="2CB411D2" w14:textId="77777777" w:rsidR="006C7935" w:rsidRDefault="006C7935" w:rsidP="0036472E">
            <w:pPr>
              <w:spacing w:after="0" w:line="240" w:lineRule="auto"/>
              <w:jc w:val="both"/>
              <w:rPr>
                <w:rFonts w:eastAsia="Times New Roman" w:cs="Arial"/>
                <w:snapToGrid w:val="0"/>
                <w:sz w:val="18"/>
                <w:szCs w:val="18"/>
              </w:rPr>
            </w:pPr>
          </w:p>
          <w:p w14:paraId="2AF4FA5A" w14:textId="77777777" w:rsidR="003F392D" w:rsidRDefault="003F392D" w:rsidP="003F392D">
            <w:pPr>
              <w:spacing w:after="0" w:line="240" w:lineRule="auto"/>
              <w:jc w:val="both"/>
              <w:rPr>
                <w:rFonts w:eastAsia="Times New Roman" w:cs="Arial"/>
                <w:snapToGrid w:val="0"/>
                <w:sz w:val="18"/>
                <w:szCs w:val="18"/>
              </w:rPr>
            </w:pPr>
            <w:r>
              <w:rPr>
                <w:rFonts w:eastAsia="Times New Roman" w:cs="Arial"/>
                <w:snapToGrid w:val="0"/>
                <w:sz w:val="18"/>
                <w:szCs w:val="18"/>
              </w:rPr>
              <w:t xml:space="preserve">Additionally, we </w:t>
            </w:r>
            <w:r w:rsidR="006C7935" w:rsidRPr="00E36CEF">
              <w:rPr>
                <w:rFonts w:eastAsia="Times New Roman" w:cs="Arial"/>
                <w:snapToGrid w:val="0"/>
                <w:sz w:val="18"/>
                <w:szCs w:val="18"/>
              </w:rPr>
              <w:t>have identified assets under construction (AUC) projects which were not included o</w:t>
            </w:r>
            <w:r>
              <w:rPr>
                <w:rFonts w:eastAsia="Times New Roman" w:cs="Arial"/>
                <w:snapToGrid w:val="0"/>
                <w:sz w:val="18"/>
                <w:szCs w:val="18"/>
              </w:rPr>
              <w:t>n the AUC register. This was due to an incorrect classification of project as OPEX instead of being recognised as capital project(CAPEX). As a results</w:t>
            </w:r>
            <w:r w:rsidR="006C7935" w:rsidRPr="00E36CEF">
              <w:rPr>
                <w:rFonts w:eastAsia="Times New Roman" w:cs="Arial"/>
                <w:snapToGrid w:val="0"/>
                <w:sz w:val="18"/>
                <w:szCs w:val="18"/>
              </w:rPr>
              <w:t xml:space="preserve"> t</w:t>
            </w:r>
            <w:r>
              <w:rPr>
                <w:rFonts w:eastAsia="Times New Roman" w:cs="Arial"/>
                <w:snapToGrid w:val="0"/>
                <w:sz w:val="18"/>
                <w:szCs w:val="18"/>
              </w:rPr>
              <w:t xml:space="preserve">he property plant and equipment (PPE) </w:t>
            </w:r>
            <w:r w:rsidR="006C7935" w:rsidRPr="00E36CEF">
              <w:rPr>
                <w:rFonts w:eastAsia="Times New Roman" w:cs="Arial"/>
                <w:snapToGrid w:val="0"/>
                <w:sz w:val="18"/>
                <w:szCs w:val="18"/>
              </w:rPr>
              <w:t xml:space="preserve">has been understated. </w:t>
            </w:r>
          </w:p>
          <w:p w14:paraId="1B53B39A" w14:textId="77777777" w:rsidR="00E14CF0" w:rsidRDefault="00E14CF0" w:rsidP="003F392D">
            <w:pPr>
              <w:spacing w:after="0" w:line="240" w:lineRule="auto"/>
              <w:jc w:val="both"/>
              <w:rPr>
                <w:rFonts w:eastAsia="Times New Roman" w:cs="Arial"/>
                <w:snapToGrid w:val="0"/>
                <w:sz w:val="18"/>
                <w:szCs w:val="18"/>
              </w:rPr>
            </w:pPr>
          </w:p>
          <w:p w14:paraId="0470EA80" w14:textId="77777777" w:rsidR="00E14CF0" w:rsidRDefault="00E14CF0" w:rsidP="003F392D">
            <w:pPr>
              <w:spacing w:after="0" w:line="240" w:lineRule="auto"/>
              <w:jc w:val="both"/>
              <w:rPr>
                <w:rFonts w:eastAsia="Times New Roman" w:cs="Arial"/>
                <w:snapToGrid w:val="0"/>
                <w:sz w:val="18"/>
                <w:szCs w:val="18"/>
              </w:rPr>
            </w:pPr>
          </w:p>
          <w:p w14:paraId="131C8341" w14:textId="1F686ED7" w:rsidR="00E14CF0" w:rsidRPr="00E36CEF" w:rsidRDefault="00E14CF0" w:rsidP="003F392D">
            <w:pPr>
              <w:spacing w:after="0" w:line="240" w:lineRule="auto"/>
              <w:jc w:val="both"/>
              <w:rPr>
                <w:rFonts w:eastAsia="Times New Roman" w:cs="Arial"/>
                <w:snapToGrid w:val="0"/>
                <w:sz w:val="18"/>
                <w:szCs w:val="18"/>
              </w:rPr>
            </w:pPr>
          </w:p>
        </w:tc>
        <w:tc>
          <w:tcPr>
            <w:tcW w:w="489" w:type="pct"/>
          </w:tcPr>
          <w:p w14:paraId="47E3FF8C" w14:textId="77777777" w:rsidR="006C7935" w:rsidRPr="00E36CEF" w:rsidRDefault="006C7935" w:rsidP="0036472E">
            <w:pPr>
              <w:pStyle w:val="Tabletext"/>
              <w:jc w:val="center"/>
              <w:rPr>
                <w:rFonts w:cs="Arial"/>
                <w:snapToGrid w:val="0"/>
                <w:szCs w:val="18"/>
                <w:lang w:val="en-ZA"/>
              </w:rPr>
            </w:pPr>
            <w:r w:rsidRPr="00E36CEF">
              <w:rPr>
                <w:rFonts w:cs="Arial"/>
                <w:snapToGrid w:val="0"/>
                <w:szCs w:val="18"/>
                <w:lang w:val="en-ZA"/>
              </w:rPr>
              <w:t>Yes</w:t>
            </w:r>
          </w:p>
        </w:tc>
        <w:tc>
          <w:tcPr>
            <w:tcW w:w="728" w:type="pct"/>
          </w:tcPr>
          <w:p w14:paraId="10CF7AC6" w14:textId="77777777" w:rsidR="006C7935" w:rsidRDefault="006C7935" w:rsidP="0036472E">
            <w:pPr>
              <w:pStyle w:val="Tabletext"/>
              <w:jc w:val="right"/>
              <w:rPr>
                <w:rFonts w:cs="Arial"/>
                <w:bCs/>
                <w:snapToGrid w:val="0"/>
                <w:szCs w:val="18"/>
              </w:rPr>
            </w:pPr>
            <w:r w:rsidRPr="007A37AB">
              <w:rPr>
                <w:rFonts w:cs="Arial"/>
                <w:bCs/>
                <w:snapToGrid w:val="0"/>
                <w:szCs w:val="18"/>
              </w:rPr>
              <w:t xml:space="preserve"> </w:t>
            </w:r>
            <w:r>
              <w:rPr>
                <w:rFonts w:cs="Arial"/>
                <w:bCs/>
                <w:snapToGrid w:val="0"/>
                <w:szCs w:val="18"/>
              </w:rPr>
              <w:t xml:space="preserve">Estimated understatement of </w:t>
            </w:r>
          </w:p>
          <w:p w14:paraId="02A5BA67" w14:textId="374DE8CC" w:rsidR="006C7935" w:rsidRPr="00CD645F" w:rsidRDefault="003E0ADE" w:rsidP="00CD645F">
            <w:pPr>
              <w:pStyle w:val="Tabletext"/>
              <w:jc w:val="right"/>
              <w:rPr>
                <w:rFonts w:cs="Arial"/>
                <w:bCs/>
                <w:snapToGrid w:val="0"/>
                <w:szCs w:val="18"/>
              </w:rPr>
            </w:pPr>
            <w:r>
              <w:rPr>
                <w:rFonts w:cs="Arial"/>
                <w:bCs/>
                <w:snapToGrid w:val="0"/>
                <w:szCs w:val="18"/>
              </w:rPr>
              <w:t>R2 818 767 125</w:t>
            </w:r>
          </w:p>
        </w:tc>
        <w:tc>
          <w:tcPr>
            <w:tcW w:w="627" w:type="pct"/>
          </w:tcPr>
          <w:p w14:paraId="2AECA4F0" w14:textId="77777777" w:rsidR="006C7935" w:rsidRDefault="006C7935" w:rsidP="004A398C">
            <w:pPr>
              <w:pStyle w:val="Tabletext"/>
              <w:jc w:val="right"/>
              <w:rPr>
                <w:rFonts w:cs="Arial"/>
                <w:bCs/>
                <w:snapToGrid w:val="0"/>
                <w:szCs w:val="18"/>
              </w:rPr>
            </w:pPr>
            <w:r>
              <w:rPr>
                <w:rFonts w:cs="Arial"/>
                <w:bCs/>
                <w:snapToGrid w:val="0"/>
                <w:szCs w:val="18"/>
              </w:rPr>
              <w:t xml:space="preserve">Estimated overstatement of </w:t>
            </w:r>
          </w:p>
          <w:p w14:paraId="53804269" w14:textId="49FB3817" w:rsidR="006C7935" w:rsidRPr="00E36CEF" w:rsidRDefault="003B1B8D" w:rsidP="00CD645F">
            <w:pPr>
              <w:pStyle w:val="Tabletext"/>
              <w:jc w:val="right"/>
              <w:rPr>
                <w:rFonts w:cs="Arial"/>
                <w:snapToGrid w:val="0"/>
                <w:szCs w:val="18"/>
                <w:lang w:val="en-ZA"/>
              </w:rPr>
            </w:pPr>
            <w:r>
              <w:rPr>
                <w:rFonts w:cs="Arial"/>
                <w:bCs/>
                <w:snapToGrid w:val="0"/>
                <w:szCs w:val="18"/>
              </w:rPr>
              <w:t>R9 663 512 844</w:t>
            </w:r>
          </w:p>
        </w:tc>
      </w:tr>
      <w:tr w:rsidR="00384D8C" w:rsidRPr="00E36CEF" w14:paraId="4CEF5B31" w14:textId="77777777" w:rsidTr="00384D8C">
        <w:tc>
          <w:tcPr>
            <w:tcW w:w="5000" w:type="pct"/>
            <w:gridSpan w:val="5"/>
          </w:tcPr>
          <w:p w14:paraId="175903B1" w14:textId="77777777" w:rsidR="00384D8C" w:rsidRPr="00384D8C" w:rsidRDefault="00384D8C" w:rsidP="00D11F3C">
            <w:pPr>
              <w:pStyle w:val="Tabletext"/>
              <w:rPr>
                <w:rFonts w:cs="Arial"/>
                <w:b/>
                <w:snapToGrid w:val="0"/>
                <w:szCs w:val="18"/>
                <w:lang w:val="en-ZA"/>
              </w:rPr>
            </w:pPr>
            <w:r w:rsidRPr="00384D8C">
              <w:rPr>
                <w:rFonts w:cs="Arial"/>
                <w:b/>
                <w:snapToGrid w:val="0"/>
                <w:szCs w:val="18"/>
                <w:lang w:val="en-ZA"/>
              </w:rPr>
              <w:lastRenderedPageBreak/>
              <w:t>Revenue</w:t>
            </w:r>
          </w:p>
        </w:tc>
      </w:tr>
      <w:tr w:rsidR="00384D8C" w:rsidRPr="00E36CEF" w14:paraId="0CF6526B" w14:textId="77777777" w:rsidTr="00F81845">
        <w:tc>
          <w:tcPr>
            <w:tcW w:w="922" w:type="pct"/>
          </w:tcPr>
          <w:p w14:paraId="158A41FE" w14:textId="6A4C54DA" w:rsidR="00384D8C" w:rsidRDefault="00384D8C" w:rsidP="00230212">
            <w:pPr>
              <w:pStyle w:val="Tabletext"/>
              <w:rPr>
                <w:rFonts w:cs="Arial"/>
                <w:snapToGrid w:val="0"/>
                <w:szCs w:val="18"/>
                <w:lang w:val="en-ZA"/>
              </w:rPr>
            </w:pPr>
            <w:r>
              <w:rPr>
                <w:rFonts w:eastAsia="Times New Roman" w:cs="Arial"/>
                <w:snapToGrid w:val="0"/>
              </w:rPr>
              <w:t xml:space="preserve">Revenue from exchange transaction: Leasehold inter-governmental </w:t>
            </w:r>
          </w:p>
        </w:tc>
        <w:tc>
          <w:tcPr>
            <w:tcW w:w="2234" w:type="pct"/>
          </w:tcPr>
          <w:p w14:paraId="741262EB" w14:textId="77777777" w:rsidR="00384D8C" w:rsidRDefault="00384D8C" w:rsidP="00D11F3C">
            <w:pPr>
              <w:pStyle w:val="Tabletext"/>
              <w:rPr>
                <w:rFonts w:cs="Arial"/>
                <w:snapToGrid w:val="0"/>
                <w:szCs w:val="18"/>
                <w:lang w:val="en-ZA"/>
              </w:rPr>
            </w:pPr>
            <w:r w:rsidRPr="00384D8C">
              <w:rPr>
                <w:rFonts w:cs="Arial"/>
                <w:snapToGrid w:val="0"/>
                <w:szCs w:val="18"/>
                <w:lang w:val="en-ZA"/>
              </w:rPr>
              <w:t>Differences were identified between amounts calculated in the schedule supporting the annual financial statements (AFS) and the amount recalculated from the lease agreements</w:t>
            </w:r>
          </w:p>
        </w:tc>
        <w:tc>
          <w:tcPr>
            <w:tcW w:w="489" w:type="pct"/>
          </w:tcPr>
          <w:p w14:paraId="0069D3AD" w14:textId="77777777" w:rsidR="00384D8C" w:rsidRDefault="00384D8C" w:rsidP="00D11F3C">
            <w:pPr>
              <w:pStyle w:val="Tabletext"/>
              <w:jc w:val="center"/>
              <w:rPr>
                <w:rFonts w:cs="Arial"/>
                <w:snapToGrid w:val="0"/>
                <w:szCs w:val="18"/>
                <w:lang w:val="en-ZA"/>
              </w:rPr>
            </w:pPr>
            <w:r>
              <w:rPr>
                <w:rFonts w:cs="Arial"/>
                <w:snapToGrid w:val="0"/>
                <w:szCs w:val="18"/>
                <w:lang w:val="en-ZA"/>
              </w:rPr>
              <w:t>No</w:t>
            </w:r>
          </w:p>
        </w:tc>
        <w:tc>
          <w:tcPr>
            <w:tcW w:w="728" w:type="pct"/>
          </w:tcPr>
          <w:p w14:paraId="76EA4286" w14:textId="77777777" w:rsidR="00CC7CEE" w:rsidRDefault="004A398C" w:rsidP="00D11F3C">
            <w:pPr>
              <w:pStyle w:val="Tabletext"/>
              <w:jc w:val="right"/>
              <w:rPr>
                <w:rFonts w:cs="Arial"/>
                <w:snapToGrid w:val="0"/>
                <w:szCs w:val="18"/>
                <w:lang w:val="en-ZA"/>
              </w:rPr>
            </w:pPr>
            <w:r>
              <w:rPr>
                <w:rFonts w:cs="Arial"/>
                <w:snapToGrid w:val="0"/>
                <w:szCs w:val="18"/>
                <w:lang w:val="en-ZA"/>
              </w:rPr>
              <w:t>Estimated o</w:t>
            </w:r>
            <w:r w:rsidR="00CC7CEE">
              <w:rPr>
                <w:rFonts w:cs="Arial"/>
                <w:snapToGrid w:val="0"/>
                <w:szCs w:val="18"/>
                <w:lang w:val="en-ZA"/>
              </w:rPr>
              <w:t>verstatement</w:t>
            </w:r>
          </w:p>
          <w:p w14:paraId="1407151B" w14:textId="1A687FEE" w:rsidR="00384D8C" w:rsidRDefault="00230212" w:rsidP="00D11F3C">
            <w:pPr>
              <w:pStyle w:val="Tabletext"/>
              <w:jc w:val="right"/>
              <w:rPr>
                <w:rFonts w:cs="Arial"/>
                <w:snapToGrid w:val="0"/>
                <w:szCs w:val="18"/>
                <w:lang w:val="en-ZA"/>
              </w:rPr>
            </w:pPr>
            <w:r w:rsidRPr="00230212">
              <w:rPr>
                <w:rFonts w:cs="Arial"/>
                <w:snapToGrid w:val="0"/>
                <w:szCs w:val="18"/>
                <w:lang w:val="en-ZA"/>
              </w:rPr>
              <w:t>R159 624 735</w:t>
            </w:r>
          </w:p>
        </w:tc>
        <w:tc>
          <w:tcPr>
            <w:tcW w:w="627" w:type="pct"/>
          </w:tcPr>
          <w:p w14:paraId="6EC1696C" w14:textId="77777777" w:rsidR="00384D8C" w:rsidRPr="00E36CEF" w:rsidRDefault="00382876" w:rsidP="00382876">
            <w:pPr>
              <w:pStyle w:val="Tabletext"/>
              <w:jc w:val="center"/>
              <w:rPr>
                <w:rFonts w:cs="Arial"/>
                <w:snapToGrid w:val="0"/>
                <w:szCs w:val="18"/>
                <w:lang w:val="en-ZA"/>
              </w:rPr>
            </w:pPr>
            <w:r>
              <w:rPr>
                <w:rFonts w:cs="Arial"/>
                <w:snapToGrid w:val="0"/>
                <w:szCs w:val="18"/>
                <w:lang w:val="en-ZA"/>
              </w:rPr>
              <w:t>0</w:t>
            </w:r>
          </w:p>
        </w:tc>
      </w:tr>
      <w:tr w:rsidR="00384D8C" w:rsidRPr="00E36CEF" w14:paraId="0837EC51" w14:textId="77777777" w:rsidTr="00D11FB6">
        <w:tc>
          <w:tcPr>
            <w:tcW w:w="922" w:type="pct"/>
          </w:tcPr>
          <w:p w14:paraId="60C481D9" w14:textId="77777777" w:rsidR="00384D8C" w:rsidRPr="00275BFC" w:rsidRDefault="00384D8C" w:rsidP="00D11F3C">
            <w:pPr>
              <w:pStyle w:val="Tabletext"/>
              <w:rPr>
                <w:rFonts w:cs="Arial"/>
                <w:b/>
                <w:snapToGrid w:val="0"/>
                <w:szCs w:val="18"/>
                <w:lang w:val="en-ZA"/>
              </w:rPr>
            </w:pPr>
            <w:r>
              <w:rPr>
                <w:rFonts w:cs="Arial"/>
                <w:b/>
                <w:snapToGrid w:val="0"/>
                <w:szCs w:val="18"/>
                <w:lang w:val="en-ZA"/>
              </w:rPr>
              <w:t>Expenditure</w:t>
            </w:r>
          </w:p>
        </w:tc>
        <w:tc>
          <w:tcPr>
            <w:tcW w:w="4078" w:type="pct"/>
            <w:gridSpan w:val="4"/>
          </w:tcPr>
          <w:p w14:paraId="6DB65DC3" w14:textId="77777777" w:rsidR="00384D8C" w:rsidRPr="00E36CEF" w:rsidRDefault="00384D8C" w:rsidP="00D11F3C">
            <w:pPr>
              <w:pStyle w:val="Tabletext"/>
              <w:rPr>
                <w:rFonts w:cs="Arial"/>
                <w:snapToGrid w:val="0"/>
                <w:szCs w:val="18"/>
                <w:lang w:val="en-ZA"/>
              </w:rPr>
            </w:pPr>
          </w:p>
        </w:tc>
      </w:tr>
      <w:tr w:rsidR="00384D8C" w:rsidRPr="00E36CEF" w14:paraId="0E48E9F8" w14:textId="77777777" w:rsidTr="00F81845">
        <w:tc>
          <w:tcPr>
            <w:tcW w:w="922" w:type="pct"/>
          </w:tcPr>
          <w:p w14:paraId="6471973F" w14:textId="77777777" w:rsidR="00384D8C" w:rsidRPr="00384D8C" w:rsidRDefault="00CC7CEE" w:rsidP="00D11F3C">
            <w:pPr>
              <w:pStyle w:val="Tabletext"/>
              <w:rPr>
                <w:rFonts w:cs="Arial"/>
                <w:snapToGrid w:val="0"/>
                <w:szCs w:val="18"/>
                <w:lang w:val="en-ZA"/>
              </w:rPr>
            </w:pPr>
            <w:r w:rsidRPr="00CC7CEE">
              <w:rPr>
                <w:rFonts w:cs="Arial"/>
                <w:snapToGrid w:val="0"/>
                <w:szCs w:val="18"/>
                <w:lang w:val="en-ZA"/>
              </w:rPr>
              <w:t>Operating lease expenditure</w:t>
            </w:r>
          </w:p>
        </w:tc>
        <w:tc>
          <w:tcPr>
            <w:tcW w:w="2234" w:type="pct"/>
          </w:tcPr>
          <w:p w14:paraId="74C43216" w14:textId="77777777" w:rsidR="00384D8C" w:rsidRPr="00E36CEF" w:rsidRDefault="00CC7CEE" w:rsidP="00CD645F">
            <w:pPr>
              <w:pStyle w:val="Tabletext"/>
              <w:rPr>
                <w:rFonts w:cs="Arial"/>
                <w:snapToGrid w:val="0"/>
                <w:szCs w:val="18"/>
                <w:lang w:val="en-ZA"/>
              </w:rPr>
            </w:pPr>
            <w:r w:rsidRPr="00CC7CEE">
              <w:rPr>
                <w:rFonts w:cs="Arial"/>
                <w:snapToGrid w:val="0"/>
                <w:szCs w:val="18"/>
                <w:lang w:val="en-ZA"/>
              </w:rPr>
              <w:t xml:space="preserve">Differences were identified between amounts calculated in the schedule supporting the annual financial statements (AFS) and the amount recalculated from the lease agreements. </w:t>
            </w:r>
          </w:p>
        </w:tc>
        <w:tc>
          <w:tcPr>
            <w:tcW w:w="489" w:type="pct"/>
          </w:tcPr>
          <w:p w14:paraId="25C26CE8" w14:textId="77777777" w:rsidR="00384D8C" w:rsidRPr="00E36CEF" w:rsidRDefault="00CC7CEE" w:rsidP="00CC7CEE">
            <w:pPr>
              <w:pStyle w:val="Tabletext"/>
              <w:jc w:val="center"/>
              <w:rPr>
                <w:rFonts w:cs="Arial"/>
                <w:snapToGrid w:val="0"/>
                <w:szCs w:val="18"/>
                <w:lang w:val="en-ZA"/>
              </w:rPr>
            </w:pPr>
            <w:r>
              <w:rPr>
                <w:rFonts w:cs="Arial"/>
                <w:snapToGrid w:val="0"/>
                <w:szCs w:val="18"/>
                <w:lang w:val="en-ZA"/>
              </w:rPr>
              <w:t>No</w:t>
            </w:r>
          </w:p>
        </w:tc>
        <w:tc>
          <w:tcPr>
            <w:tcW w:w="728" w:type="pct"/>
          </w:tcPr>
          <w:p w14:paraId="2ED8BDF3" w14:textId="77777777" w:rsidR="00CC7CEE" w:rsidRDefault="004A398C" w:rsidP="00CC7CEE">
            <w:pPr>
              <w:pStyle w:val="Tabletext"/>
              <w:jc w:val="right"/>
              <w:rPr>
                <w:rFonts w:cs="Arial"/>
                <w:snapToGrid w:val="0"/>
                <w:szCs w:val="18"/>
                <w:lang w:val="en-ZA"/>
              </w:rPr>
            </w:pPr>
            <w:r>
              <w:rPr>
                <w:rFonts w:cs="Arial"/>
                <w:snapToGrid w:val="0"/>
                <w:szCs w:val="18"/>
                <w:lang w:val="en-ZA"/>
              </w:rPr>
              <w:t>Estimated o</w:t>
            </w:r>
            <w:r w:rsidR="00CC7CEE">
              <w:rPr>
                <w:rFonts w:cs="Arial"/>
                <w:snapToGrid w:val="0"/>
                <w:szCs w:val="18"/>
                <w:lang w:val="en-ZA"/>
              </w:rPr>
              <w:t>verstatement</w:t>
            </w:r>
          </w:p>
          <w:p w14:paraId="4BFBD98F" w14:textId="77777777" w:rsidR="00384D8C" w:rsidRPr="00E36CEF" w:rsidRDefault="007F2788" w:rsidP="007F2788">
            <w:pPr>
              <w:pStyle w:val="Tabletext"/>
              <w:jc w:val="right"/>
              <w:rPr>
                <w:rFonts w:cs="Arial"/>
                <w:snapToGrid w:val="0"/>
                <w:szCs w:val="18"/>
                <w:lang w:val="en-ZA"/>
              </w:rPr>
            </w:pPr>
            <w:r>
              <w:rPr>
                <w:rFonts w:cs="Arial"/>
                <w:snapToGrid w:val="0"/>
                <w:szCs w:val="18"/>
                <w:lang w:val="en-ZA"/>
              </w:rPr>
              <w:t>R161 810 300</w:t>
            </w:r>
          </w:p>
        </w:tc>
        <w:tc>
          <w:tcPr>
            <w:tcW w:w="627" w:type="pct"/>
          </w:tcPr>
          <w:p w14:paraId="17D62B54" w14:textId="77777777" w:rsidR="00384D8C" w:rsidRPr="00E36CEF" w:rsidRDefault="00382876" w:rsidP="00382876">
            <w:pPr>
              <w:pStyle w:val="Tabletext"/>
              <w:jc w:val="center"/>
              <w:rPr>
                <w:rFonts w:cs="Arial"/>
                <w:snapToGrid w:val="0"/>
                <w:szCs w:val="18"/>
                <w:lang w:val="en-ZA"/>
              </w:rPr>
            </w:pPr>
            <w:r>
              <w:rPr>
                <w:rFonts w:cs="Arial"/>
                <w:snapToGrid w:val="0"/>
                <w:szCs w:val="18"/>
                <w:lang w:val="en-ZA"/>
              </w:rPr>
              <w:t>0</w:t>
            </w:r>
          </w:p>
        </w:tc>
      </w:tr>
      <w:tr w:rsidR="00F81845" w:rsidRPr="00E36CEF" w14:paraId="029D743F" w14:textId="77777777" w:rsidTr="00F81845">
        <w:tc>
          <w:tcPr>
            <w:tcW w:w="922" w:type="pct"/>
          </w:tcPr>
          <w:p w14:paraId="1E448844" w14:textId="77777777" w:rsidR="00F81845" w:rsidRPr="00CC7CEE" w:rsidRDefault="00F81845" w:rsidP="00D11F3C">
            <w:pPr>
              <w:pStyle w:val="Tabletext"/>
              <w:rPr>
                <w:rFonts w:cs="Arial"/>
                <w:snapToGrid w:val="0"/>
                <w:szCs w:val="18"/>
                <w:lang w:val="en-ZA"/>
              </w:rPr>
            </w:pPr>
            <w:r>
              <w:rPr>
                <w:rFonts w:cs="Arial"/>
                <w:snapToGrid w:val="0"/>
                <w:szCs w:val="18"/>
                <w:lang w:val="en-ZA"/>
              </w:rPr>
              <w:t>Property maintenance (contracted services)</w:t>
            </w:r>
          </w:p>
        </w:tc>
        <w:tc>
          <w:tcPr>
            <w:tcW w:w="2234" w:type="pct"/>
          </w:tcPr>
          <w:p w14:paraId="462C62E2" w14:textId="77777777" w:rsidR="00F81845" w:rsidRPr="00CC7CEE" w:rsidRDefault="00D93A72" w:rsidP="00D93A72">
            <w:pPr>
              <w:pStyle w:val="Tabletext"/>
              <w:rPr>
                <w:rFonts w:cs="Arial"/>
                <w:snapToGrid w:val="0"/>
                <w:szCs w:val="18"/>
                <w:lang w:val="en-ZA"/>
              </w:rPr>
            </w:pPr>
            <w:r>
              <w:rPr>
                <w:rFonts w:eastAsia="Times New Roman" w:cs="Arial"/>
                <w:snapToGrid w:val="0"/>
                <w:szCs w:val="18"/>
              </w:rPr>
              <w:t xml:space="preserve">We </w:t>
            </w:r>
            <w:r w:rsidRPr="00E36CEF">
              <w:rPr>
                <w:rFonts w:eastAsia="Times New Roman" w:cs="Arial"/>
                <w:snapToGrid w:val="0"/>
                <w:szCs w:val="18"/>
              </w:rPr>
              <w:t>have identified</w:t>
            </w:r>
            <w:r>
              <w:rPr>
                <w:rFonts w:eastAsia="Times New Roman" w:cs="Arial"/>
                <w:snapToGrid w:val="0"/>
                <w:szCs w:val="18"/>
              </w:rPr>
              <w:t xml:space="preserve"> projects which are capital in nature which were incorrectly classified as operating expenditure (OPEX) instead of being recognized as capital projects (CAPEX). This has resulted in the overstatement of property maintenance.  </w:t>
            </w:r>
          </w:p>
        </w:tc>
        <w:tc>
          <w:tcPr>
            <w:tcW w:w="489" w:type="pct"/>
          </w:tcPr>
          <w:p w14:paraId="2FDA4B33" w14:textId="77777777" w:rsidR="00F81845" w:rsidRDefault="00D93A72" w:rsidP="00CC7CEE">
            <w:pPr>
              <w:pStyle w:val="Tabletext"/>
              <w:jc w:val="center"/>
              <w:rPr>
                <w:rFonts w:cs="Arial"/>
                <w:snapToGrid w:val="0"/>
                <w:szCs w:val="18"/>
                <w:lang w:val="en-ZA"/>
              </w:rPr>
            </w:pPr>
            <w:r>
              <w:rPr>
                <w:rFonts w:cs="Arial"/>
                <w:snapToGrid w:val="0"/>
                <w:szCs w:val="18"/>
                <w:lang w:val="en-ZA"/>
              </w:rPr>
              <w:t>No</w:t>
            </w:r>
          </w:p>
        </w:tc>
        <w:tc>
          <w:tcPr>
            <w:tcW w:w="728" w:type="pct"/>
          </w:tcPr>
          <w:p w14:paraId="6483A7DC" w14:textId="77777777" w:rsidR="00F81845" w:rsidRDefault="00F81845" w:rsidP="00F81845">
            <w:pPr>
              <w:pStyle w:val="Tabletext"/>
              <w:jc w:val="right"/>
              <w:rPr>
                <w:rFonts w:cs="Arial"/>
                <w:snapToGrid w:val="0"/>
                <w:szCs w:val="18"/>
                <w:lang w:val="en-ZA"/>
              </w:rPr>
            </w:pPr>
            <w:r>
              <w:rPr>
                <w:rFonts w:cs="Arial"/>
                <w:snapToGrid w:val="0"/>
                <w:szCs w:val="18"/>
                <w:lang w:val="en-ZA"/>
              </w:rPr>
              <w:t>Estimated overstatement</w:t>
            </w:r>
          </w:p>
          <w:p w14:paraId="29CB95F0" w14:textId="2BD03497" w:rsidR="00F81845" w:rsidRDefault="003E0ADE" w:rsidP="00F81845">
            <w:pPr>
              <w:pStyle w:val="Tabletext"/>
              <w:jc w:val="right"/>
              <w:rPr>
                <w:rFonts w:cs="Arial"/>
                <w:snapToGrid w:val="0"/>
                <w:szCs w:val="18"/>
                <w:lang w:val="en-ZA"/>
              </w:rPr>
            </w:pPr>
            <w:r>
              <w:rPr>
                <w:rFonts w:cs="Arial"/>
                <w:snapToGrid w:val="0"/>
                <w:szCs w:val="18"/>
                <w:lang w:val="en-ZA"/>
              </w:rPr>
              <w:t>R452 489 422</w:t>
            </w:r>
          </w:p>
        </w:tc>
        <w:tc>
          <w:tcPr>
            <w:tcW w:w="627" w:type="pct"/>
          </w:tcPr>
          <w:p w14:paraId="0243EB10" w14:textId="77777777" w:rsidR="00F81845" w:rsidRPr="00E36CEF" w:rsidRDefault="00382876" w:rsidP="00382876">
            <w:pPr>
              <w:pStyle w:val="Tabletext"/>
              <w:jc w:val="center"/>
              <w:rPr>
                <w:rFonts w:cs="Arial"/>
                <w:snapToGrid w:val="0"/>
                <w:szCs w:val="18"/>
                <w:lang w:val="en-ZA"/>
              </w:rPr>
            </w:pPr>
            <w:r>
              <w:rPr>
                <w:rFonts w:cs="Arial"/>
                <w:snapToGrid w:val="0"/>
                <w:szCs w:val="18"/>
                <w:lang w:val="en-ZA"/>
              </w:rPr>
              <w:t>0</w:t>
            </w:r>
          </w:p>
        </w:tc>
      </w:tr>
      <w:tr w:rsidR="006C5964" w:rsidRPr="00E36CEF" w14:paraId="46F3462C" w14:textId="77777777" w:rsidTr="00F81845">
        <w:tc>
          <w:tcPr>
            <w:tcW w:w="922" w:type="pct"/>
          </w:tcPr>
          <w:p w14:paraId="285CD5CD" w14:textId="77777777" w:rsidR="006C5964" w:rsidRDefault="006C5964" w:rsidP="00D11F3C">
            <w:pPr>
              <w:pStyle w:val="Tabletext"/>
              <w:rPr>
                <w:rFonts w:cs="Arial"/>
                <w:snapToGrid w:val="0"/>
                <w:szCs w:val="18"/>
                <w:lang w:val="en-ZA"/>
              </w:rPr>
            </w:pPr>
          </w:p>
        </w:tc>
        <w:tc>
          <w:tcPr>
            <w:tcW w:w="2234" w:type="pct"/>
          </w:tcPr>
          <w:p w14:paraId="0C82D857" w14:textId="77777777" w:rsidR="006C5964" w:rsidRDefault="006C5964" w:rsidP="00D93A72">
            <w:pPr>
              <w:pStyle w:val="Tabletext"/>
              <w:rPr>
                <w:rFonts w:eastAsia="Times New Roman" w:cs="Arial"/>
                <w:snapToGrid w:val="0"/>
                <w:szCs w:val="18"/>
              </w:rPr>
            </w:pPr>
          </w:p>
        </w:tc>
        <w:tc>
          <w:tcPr>
            <w:tcW w:w="489" w:type="pct"/>
          </w:tcPr>
          <w:p w14:paraId="12B2444B" w14:textId="77777777" w:rsidR="006C5964" w:rsidRDefault="006C5964" w:rsidP="00CC7CEE">
            <w:pPr>
              <w:pStyle w:val="Tabletext"/>
              <w:jc w:val="center"/>
              <w:rPr>
                <w:rFonts w:cs="Arial"/>
                <w:snapToGrid w:val="0"/>
                <w:szCs w:val="18"/>
                <w:lang w:val="en-ZA"/>
              </w:rPr>
            </w:pPr>
          </w:p>
        </w:tc>
        <w:tc>
          <w:tcPr>
            <w:tcW w:w="728" w:type="pct"/>
          </w:tcPr>
          <w:p w14:paraId="5BF2BE0C" w14:textId="77777777" w:rsidR="006C5964" w:rsidRDefault="006C5964" w:rsidP="00F81845">
            <w:pPr>
              <w:pStyle w:val="Tabletext"/>
              <w:jc w:val="right"/>
              <w:rPr>
                <w:rFonts w:cs="Arial"/>
                <w:snapToGrid w:val="0"/>
                <w:szCs w:val="18"/>
                <w:lang w:val="en-ZA"/>
              </w:rPr>
            </w:pPr>
          </w:p>
        </w:tc>
        <w:tc>
          <w:tcPr>
            <w:tcW w:w="627" w:type="pct"/>
          </w:tcPr>
          <w:p w14:paraId="0A71B32C" w14:textId="77777777" w:rsidR="006C5964" w:rsidRDefault="006C5964" w:rsidP="00382876">
            <w:pPr>
              <w:pStyle w:val="Tabletext"/>
              <w:jc w:val="center"/>
              <w:rPr>
                <w:rFonts w:cs="Arial"/>
                <w:snapToGrid w:val="0"/>
                <w:szCs w:val="18"/>
                <w:lang w:val="en-ZA"/>
              </w:rPr>
            </w:pPr>
          </w:p>
        </w:tc>
      </w:tr>
      <w:tr w:rsidR="00D11F3C" w:rsidRPr="00E36CEF" w14:paraId="2F08E9B7" w14:textId="77777777" w:rsidTr="00361D37">
        <w:trPr>
          <w:trHeight w:val="268"/>
        </w:trPr>
        <w:tc>
          <w:tcPr>
            <w:tcW w:w="5000" w:type="pct"/>
            <w:gridSpan w:val="5"/>
            <w:shd w:val="clear" w:color="auto" w:fill="D9D9D9" w:themeFill="background1" w:themeFillShade="D9"/>
          </w:tcPr>
          <w:p w14:paraId="76C2ECF2" w14:textId="77777777" w:rsidR="00D11F3C" w:rsidRPr="00E36CEF" w:rsidRDefault="00D11F3C" w:rsidP="00156FBB">
            <w:pPr>
              <w:pStyle w:val="NoSpacing"/>
              <w:jc w:val="left"/>
              <w:rPr>
                <w:rFonts w:cs="Arial"/>
                <w:snapToGrid w:val="0"/>
                <w:sz w:val="18"/>
                <w:szCs w:val="18"/>
              </w:rPr>
            </w:pPr>
            <w:bookmarkStart w:id="22" w:name="S2E2"/>
            <w:bookmarkEnd w:id="22"/>
            <w:r w:rsidRPr="00E36CEF">
              <w:rPr>
                <w:rFonts w:cs="Arial"/>
                <w:snapToGrid w:val="0"/>
                <w:sz w:val="18"/>
                <w:szCs w:val="18"/>
              </w:rPr>
              <w:t>Material misstatements corrected</w:t>
            </w:r>
          </w:p>
        </w:tc>
      </w:tr>
      <w:tr w:rsidR="00382876" w:rsidRPr="00E36CEF" w14:paraId="20BA2FAB" w14:textId="77777777" w:rsidTr="00382876">
        <w:tc>
          <w:tcPr>
            <w:tcW w:w="922" w:type="pct"/>
          </w:tcPr>
          <w:p w14:paraId="7FBCA18A" w14:textId="77777777" w:rsidR="00382876" w:rsidRDefault="00382876" w:rsidP="00D11F3C">
            <w:pPr>
              <w:pStyle w:val="Tabletext"/>
              <w:rPr>
                <w:rFonts w:cs="Arial"/>
                <w:snapToGrid w:val="0"/>
                <w:szCs w:val="18"/>
                <w:lang w:val="en-ZA"/>
              </w:rPr>
            </w:pPr>
            <w:r>
              <w:rPr>
                <w:rFonts w:cs="Arial"/>
                <w:b/>
                <w:snapToGrid w:val="0"/>
                <w:szCs w:val="18"/>
                <w:lang w:val="en-ZA"/>
              </w:rPr>
              <w:t>Current Liabilities</w:t>
            </w:r>
          </w:p>
        </w:tc>
        <w:tc>
          <w:tcPr>
            <w:tcW w:w="4078" w:type="pct"/>
            <w:gridSpan w:val="4"/>
          </w:tcPr>
          <w:p w14:paraId="028E1B4E" w14:textId="77777777" w:rsidR="00382876" w:rsidRPr="00E36CEF" w:rsidRDefault="00382876" w:rsidP="00D11F3C">
            <w:pPr>
              <w:pStyle w:val="Tabletext"/>
              <w:rPr>
                <w:rFonts w:cs="Arial"/>
                <w:snapToGrid w:val="0"/>
                <w:szCs w:val="18"/>
                <w:lang w:val="en-ZA"/>
              </w:rPr>
            </w:pPr>
          </w:p>
        </w:tc>
      </w:tr>
      <w:tr w:rsidR="00F81845" w:rsidRPr="00E36CEF" w14:paraId="12F8F526" w14:textId="77777777" w:rsidTr="00F81845">
        <w:tc>
          <w:tcPr>
            <w:tcW w:w="922" w:type="pct"/>
            <w:tcBorders>
              <w:top w:val="single" w:sz="4" w:space="0" w:color="auto"/>
              <w:left w:val="single" w:sz="4" w:space="0" w:color="auto"/>
              <w:bottom w:val="single" w:sz="4" w:space="0" w:color="auto"/>
              <w:right w:val="single" w:sz="4" w:space="0" w:color="auto"/>
            </w:tcBorders>
          </w:tcPr>
          <w:p w14:paraId="21C36CAC" w14:textId="77777777" w:rsidR="00F81845" w:rsidRPr="00E36CEF" w:rsidRDefault="00F81845" w:rsidP="00F81845">
            <w:pPr>
              <w:pStyle w:val="Tabletext"/>
              <w:rPr>
                <w:rFonts w:cs="Arial"/>
                <w:snapToGrid w:val="0"/>
                <w:szCs w:val="18"/>
                <w:lang w:val="en-ZA"/>
              </w:rPr>
            </w:pPr>
            <w:r>
              <w:rPr>
                <w:rFonts w:cs="Arial"/>
                <w:snapToGrid w:val="0"/>
                <w:szCs w:val="18"/>
                <w:lang w:val="en-ZA"/>
              </w:rPr>
              <w:t>Payables from exchange transactions</w:t>
            </w:r>
          </w:p>
        </w:tc>
        <w:tc>
          <w:tcPr>
            <w:tcW w:w="2234" w:type="pct"/>
            <w:tcBorders>
              <w:top w:val="single" w:sz="4" w:space="0" w:color="auto"/>
              <w:left w:val="single" w:sz="4" w:space="0" w:color="auto"/>
              <w:bottom w:val="single" w:sz="4" w:space="0" w:color="auto"/>
              <w:right w:val="single" w:sz="4" w:space="0" w:color="auto"/>
            </w:tcBorders>
          </w:tcPr>
          <w:p w14:paraId="612CB9C8" w14:textId="77777777" w:rsidR="00F81845" w:rsidRDefault="00F81845" w:rsidP="00F81845">
            <w:pPr>
              <w:pStyle w:val="Tabletext"/>
              <w:rPr>
                <w:rFonts w:cs="Arial"/>
                <w:snapToGrid w:val="0"/>
                <w:szCs w:val="18"/>
                <w:lang w:val="en-ZA"/>
              </w:rPr>
            </w:pPr>
            <w:r>
              <w:rPr>
                <w:rFonts w:cs="Arial"/>
                <w:snapToGrid w:val="0"/>
                <w:szCs w:val="18"/>
                <w:lang w:val="en-ZA"/>
              </w:rPr>
              <w:t>The incorrect classification of provisions (municipal services and property rates and maintenance) as stated above resulted in understatement of payables from exchange transactions.</w:t>
            </w:r>
          </w:p>
          <w:p w14:paraId="0BE00972" w14:textId="77777777" w:rsidR="00F81845" w:rsidRPr="00E36CEF" w:rsidRDefault="00F81845" w:rsidP="00F81845">
            <w:pPr>
              <w:pStyle w:val="Tabletext"/>
              <w:rPr>
                <w:rFonts w:cs="Arial"/>
                <w:snapToGrid w:val="0"/>
                <w:szCs w:val="18"/>
                <w:lang w:val="en-ZA"/>
              </w:rPr>
            </w:pPr>
          </w:p>
        </w:tc>
        <w:tc>
          <w:tcPr>
            <w:tcW w:w="489" w:type="pct"/>
            <w:tcBorders>
              <w:top w:val="single" w:sz="4" w:space="0" w:color="auto"/>
              <w:left w:val="single" w:sz="4" w:space="0" w:color="auto"/>
              <w:bottom w:val="single" w:sz="4" w:space="0" w:color="auto"/>
              <w:right w:val="single" w:sz="4" w:space="0" w:color="auto"/>
            </w:tcBorders>
          </w:tcPr>
          <w:p w14:paraId="2CD72173" w14:textId="77777777" w:rsidR="00F81845" w:rsidRPr="00E36CEF" w:rsidRDefault="00382876" w:rsidP="00F81845">
            <w:pPr>
              <w:pStyle w:val="Tabletext"/>
              <w:rPr>
                <w:rFonts w:cs="Arial"/>
                <w:snapToGrid w:val="0"/>
                <w:szCs w:val="18"/>
                <w:lang w:val="en-ZA"/>
              </w:rPr>
            </w:pPr>
            <w:r>
              <w:rPr>
                <w:rFonts w:cs="Arial"/>
                <w:snapToGrid w:val="0"/>
                <w:szCs w:val="18"/>
                <w:lang w:val="en-ZA"/>
              </w:rPr>
              <w:t xml:space="preserve">         </w:t>
            </w:r>
            <w:r w:rsidR="00F81845">
              <w:rPr>
                <w:rFonts w:cs="Arial"/>
                <w:snapToGrid w:val="0"/>
                <w:szCs w:val="18"/>
                <w:lang w:val="en-ZA"/>
              </w:rPr>
              <w:t>No</w:t>
            </w:r>
          </w:p>
        </w:tc>
        <w:tc>
          <w:tcPr>
            <w:tcW w:w="728" w:type="pct"/>
            <w:tcBorders>
              <w:top w:val="single" w:sz="4" w:space="0" w:color="auto"/>
              <w:left w:val="single" w:sz="4" w:space="0" w:color="auto"/>
              <w:bottom w:val="single" w:sz="4" w:space="0" w:color="auto"/>
              <w:right w:val="single" w:sz="4" w:space="0" w:color="auto"/>
            </w:tcBorders>
          </w:tcPr>
          <w:p w14:paraId="542AF3BF" w14:textId="77777777" w:rsidR="00F81845" w:rsidRDefault="00F81845" w:rsidP="00382876">
            <w:pPr>
              <w:pStyle w:val="Tabletext"/>
              <w:jc w:val="right"/>
              <w:rPr>
                <w:rFonts w:cs="Arial"/>
                <w:snapToGrid w:val="0"/>
                <w:szCs w:val="18"/>
                <w:lang w:val="en-ZA"/>
              </w:rPr>
            </w:pPr>
            <w:r>
              <w:rPr>
                <w:rFonts w:cs="Arial"/>
                <w:snapToGrid w:val="0"/>
                <w:szCs w:val="18"/>
                <w:lang w:val="en-ZA"/>
              </w:rPr>
              <w:t xml:space="preserve">Estimated understatement of </w:t>
            </w:r>
          </w:p>
          <w:p w14:paraId="0ED5BE5B" w14:textId="77777777" w:rsidR="00F81845" w:rsidRPr="00E36CEF" w:rsidRDefault="00F81845" w:rsidP="00382876">
            <w:pPr>
              <w:pStyle w:val="Tabletext"/>
              <w:jc w:val="right"/>
              <w:rPr>
                <w:rFonts w:cs="Arial"/>
                <w:snapToGrid w:val="0"/>
                <w:szCs w:val="18"/>
                <w:lang w:val="en-ZA"/>
              </w:rPr>
            </w:pPr>
            <w:r>
              <w:rPr>
                <w:rFonts w:cs="Arial"/>
                <w:snapToGrid w:val="0"/>
                <w:szCs w:val="18"/>
                <w:lang w:val="en-ZA"/>
              </w:rPr>
              <w:t>R1 560 993 032</w:t>
            </w:r>
          </w:p>
        </w:tc>
        <w:tc>
          <w:tcPr>
            <w:tcW w:w="627" w:type="pct"/>
            <w:tcBorders>
              <w:top w:val="single" w:sz="4" w:space="0" w:color="auto"/>
              <w:left w:val="single" w:sz="4" w:space="0" w:color="auto"/>
              <w:bottom w:val="single" w:sz="4" w:space="0" w:color="auto"/>
              <w:right w:val="single" w:sz="4" w:space="0" w:color="auto"/>
            </w:tcBorders>
          </w:tcPr>
          <w:p w14:paraId="38F465FA" w14:textId="77777777" w:rsidR="00F81845" w:rsidRPr="00E36CEF" w:rsidRDefault="00382876" w:rsidP="00382876">
            <w:pPr>
              <w:pStyle w:val="Tabletext"/>
              <w:jc w:val="center"/>
              <w:rPr>
                <w:rFonts w:cs="Arial"/>
                <w:snapToGrid w:val="0"/>
                <w:szCs w:val="18"/>
                <w:lang w:val="en-ZA"/>
              </w:rPr>
            </w:pPr>
            <w:r>
              <w:rPr>
                <w:rFonts w:cs="Arial"/>
                <w:snapToGrid w:val="0"/>
                <w:szCs w:val="18"/>
                <w:lang w:val="en-ZA"/>
              </w:rPr>
              <w:t>0</w:t>
            </w:r>
          </w:p>
        </w:tc>
      </w:tr>
      <w:tr w:rsidR="006C5964" w:rsidRPr="00E36CEF" w14:paraId="2A8D1D7D" w14:textId="77777777" w:rsidTr="00571F93">
        <w:tc>
          <w:tcPr>
            <w:tcW w:w="922" w:type="pct"/>
          </w:tcPr>
          <w:p w14:paraId="319DD1FC" w14:textId="77777777" w:rsidR="006C5964" w:rsidRDefault="006C5964" w:rsidP="00571F93">
            <w:pPr>
              <w:pStyle w:val="Tabletext"/>
              <w:rPr>
                <w:rFonts w:cs="Arial"/>
                <w:snapToGrid w:val="0"/>
                <w:szCs w:val="18"/>
                <w:lang w:val="en-ZA"/>
              </w:rPr>
            </w:pPr>
            <w:r>
              <w:rPr>
                <w:rFonts w:cs="Arial"/>
                <w:snapToGrid w:val="0"/>
                <w:szCs w:val="18"/>
                <w:lang w:val="en-ZA"/>
              </w:rPr>
              <w:t>Provisions</w:t>
            </w:r>
          </w:p>
        </w:tc>
        <w:tc>
          <w:tcPr>
            <w:tcW w:w="2234" w:type="pct"/>
          </w:tcPr>
          <w:p w14:paraId="0E8D7BA1" w14:textId="77777777" w:rsidR="006C5964" w:rsidRDefault="006C5964" w:rsidP="00571F93">
            <w:pPr>
              <w:pStyle w:val="Tabletext"/>
              <w:rPr>
                <w:rFonts w:cs="Arial"/>
                <w:snapToGrid w:val="0"/>
                <w:szCs w:val="18"/>
                <w:lang w:val="en-ZA"/>
              </w:rPr>
            </w:pPr>
            <w:r>
              <w:rPr>
                <w:rFonts w:cs="Arial"/>
                <w:snapToGrid w:val="0"/>
                <w:szCs w:val="18"/>
                <w:lang w:val="en-ZA"/>
              </w:rPr>
              <w:t xml:space="preserve">In assessing the provision for municipal services and property rates (Backlog), we noted that there was no uncertainty on the amount or timing as the process conducted by management in verifying the amounts owed to municipality was </w:t>
            </w:r>
            <w:r>
              <w:rPr>
                <w:rFonts w:cs="Arial"/>
                <w:snapToGrid w:val="0"/>
                <w:szCs w:val="18"/>
                <w:lang w:val="en-ZA"/>
              </w:rPr>
              <w:lastRenderedPageBreak/>
              <w:t>confirmed. This resulted in the backlog amount incorrectly classified as a provision.</w:t>
            </w:r>
          </w:p>
          <w:p w14:paraId="64CC831D" w14:textId="77777777" w:rsidR="006C5964" w:rsidRPr="00E36CEF" w:rsidRDefault="006C5964" w:rsidP="00571F93">
            <w:pPr>
              <w:pStyle w:val="Tabletext"/>
              <w:rPr>
                <w:rFonts w:cs="Arial"/>
                <w:snapToGrid w:val="0"/>
                <w:szCs w:val="18"/>
                <w:lang w:val="en-ZA"/>
              </w:rPr>
            </w:pPr>
            <w:r>
              <w:rPr>
                <w:rFonts w:cs="Arial"/>
                <w:snapToGrid w:val="0"/>
                <w:szCs w:val="18"/>
                <w:lang w:val="en-ZA"/>
              </w:rPr>
              <w:t xml:space="preserve">Furthermore, instances where noted on maintenance provision where the job was done and the trading entity was in a position of an invoice or quotation but these transactions were incorrectly included as provision. </w:t>
            </w:r>
          </w:p>
        </w:tc>
        <w:tc>
          <w:tcPr>
            <w:tcW w:w="489" w:type="pct"/>
          </w:tcPr>
          <w:p w14:paraId="14CECF26" w14:textId="77777777" w:rsidR="006C5964" w:rsidRPr="00E36CEF" w:rsidRDefault="006C5964" w:rsidP="00571F93">
            <w:pPr>
              <w:pStyle w:val="Tabletext"/>
              <w:rPr>
                <w:rFonts w:cs="Arial"/>
                <w:snapToGrid w:val="0"/>
                <w:szCs w:val="18"/>
                <w:lang w:val="en-ZA"/>
              </w:rPr>
            </w:pPr>
            <w:r>
              <w:rPr>
                <w:rFonts w:cs="Arial"/>
                <w:snapToGrid w:val="0"/>
                <w:szCs w:val="18"/>
                <w:lang w:val="en-ZA"/>
              </w:rPr>
              <w:lastRenderedPageBreak/>
              <w:t xml:space="preserve">       No</w:t>
            </w:r>
          </w:p>
        </w:tc>
        <w:tc>
          <w:tcPr>
            <w:tcW w:w="728" w:type="pct"/>
          </w:tcPr>
          <w:p w14:paraId="5CED8F96" w14:textId="77777777" w:rsidR="006C5964" w:rsidRDefault="006C5964" w:rsidP="00571F93">
            <w:pPr>
              <w:pStyle w:val="Tabletext"/>
              <w:jc w:val="right"/>
              <w:rPr>
                <w:rFonts w:cs="Arial"/>
                <w:snapToGrid w:val="0"/>
                <w:szCs w:val="18"/>
                <w:lang w:val="en-ZA"/>
              </w:rPr>
            </w:pPr>
            <w:r>
              <w:rPr>
                <w:rFonts w:cs="Arial"/>
                <w:snapToGrid w:val="0"/>
                <w:szCs w:val="18"/>
                <w:lang w:val="en-ZA"/>
              </w:rPr>
              <w:t xml:space="preserve">Estimated overstatement of </w:t>
            </w:r>
          </w:p>
          <w:p w14:paraId="20AA62D5" w14:textId="77777777" w:rsidR="006C5964" w:rsidRPr="00E36CEF" w:rsidRDefault="006C5964" w:rsidP="00571F93">
            <w:pPr>
              <w:pStyle w:val="Tabletext"/>
              <w:rPr>
                <w:rFonts w:cs="Arial"/>
                <w:snapToGrid w:val="0"/>
                <w:szCs w:val="18"/>
                <w:lang w:val="en-ZA"/>
              </w:rPr>
            </w:pPr>
            <w:r>
              <w:rPr>
                <w:rFonts w:cs="Arial"/>
                <w:snapToGrid w:val="0"/>
                <w:szCs w:val="18"/>
                <w:lang w:val="en-ZA"/>
              </w:rPr>
              <w:lastRenderedPageBreak/>
              <w:t xml:space="preserve">            R1 514 190 231</w:t>
            </w:r>
          </w:p>
        </w:tc>
        <w:tc>
          <w:tcPr>
            <w:tcW w:w="627" w:type="pct"/>
          </w:tcPr>
          <w:p w14:paraId="439E4A17" w14:textId="77777777" w:rsidR="006C5964" w:rsidRPr="00E36CEF" w:rsidRDefault="006C5964" w:rsidP="00571F93">
            <w:pPr>
              <w:pStyle w:val="Tabletext"/>
              <w:jc w:val="center"/>
              <w:rPr>
                <w:rFonts w:cs="Arial"/>
                <w:snapToGrid w:val="0"/>
                <w:szCs w:val="18"/>
                <w:lang w:val="en-ZA"/>
              </w:rPr>
            </w:pPr>
            <w:r>
              <w:rPr>
                <w:rFonts w:cs="Arial"/>
                <w:snapToGrid w:val="0"/>
                <w:szCs w:val="18"/>
                <w:lang w:val="en-ZA"/>
              </w:rPr>
              <w:lastRenderedPageBreak/>
              <w:t>0</w:t>
            </w:r>
          </w:p>
        </w:tc>
      </w:tr>
      <w:tr w:rsidR="006C5964" w:rsidRPr="00E36CEF" w14:paraId="074C62CE" w14:textId="77777777" w:rsidTr="00571F93">
        <w:tc>
          <w:tcPr>
            <w:tcW w:w="922" w:type="pct"/>
          </w:tcPr>
          <w:p w14:paraId="0C505D3B" w14:textId="77777777" w:rsidR="006C5964" w:rsidRPr="00275BFC" w:rsidRDefault="006C5964" w:rsidP="00571F93">
            <w:pPr>
              <w:pStyle w:val="Tabletext"/>
              <w:rPr>
                <w:rFonts w:cs="Arial"/>
                <w:b/>
                <w:snapToGrid w:val="0"/>
                <w:szCs w:val="18"/>
                <w:lang w:val="en-ZA"/>
              </w:rPr>
            </w:pPr>
            <w:r w:rsidRPr="00275BFC">
              <w:rPr>
                <w:rFonts w:cs="Arial"/>
                <w:b/>
                <w:snapToGrid w:val="0"/>
                <w:szCs w:val="18"/>
                <w:lang w:val="en-ZA"/>
              </w:rPr>
              <w:lastRenderedPageBreak/>
              <w:t>Disclosure</w:t>
            </w:r>
          </w:p>
        </w:tc>
        <w:tc>
          <w:tcPr>
            <w:tcW w:w="4078" w:type="pct"/>
            <w:gridSpan w:val="4"/>
          </w:tcPr>
          <w:p w14:paraId="02155437" w14:textId="77777777" w:rsidR="006C5964" w:rsidRPr="00E36CEF" w:rsidRDefault="006C5964" w:rsidP="00571F93">
            <w:pPr>
              <w:pStyle w:val="Tabletext"/>
              <w:rPr>
                <w:rFonts w:cs="Arial"/>
                <w:snapToGrid w:val="0"/>
                <w:szCs w:val="18"/>
                <w:lang w:val="en-ZA"/>
              </w:rPr>
            </w:pPr>
          </w:p>
        </w:tc>
      </w:tr>
      <w:tr w:rsidR="006C5964" w:rsidRPr="00E36CEF" w14:paraId="4AB09A48" w14:textId="77777777" w:rsidTr="00571F93">
        <w:tc>
          <w:tcPr>
            <w:tcW w:w="922" w:type="pct"/>
          </w:tcPr>
          <w:p w14:paraId="18771B62" w14:textId="77777777" w:rsidR="006C5964" w:rsidRPr="00D93A72" w:rsidRDefault="006C5964" w:rsidP="00571F93">
            <w:pPr>
              <w:pStyle w:val="Tabletext"/>
              <w:rPr>
                <w:snapToGrid w:val="0"/>
                <w:szCs w:val="18"/>
                <w:lang w:val="en-ZA"/>
              </w:rPr>
            </w:pPr>
            <w:r w:rsidRPr="00D93A72">
              <w:rPr>
                <w:rFonts w:eastAsia="Times New Roman" w:cs="Arial"/>
                <w:snapToGrid w:val="0"/>
                <w:szCs w:val="18"/>
              </w:rPr>
              <w:t>Irregular Expenditure</w:t>
            </w:r>
          </w:p>
        </w:tc>
        <w:tc>
          <w:tcPr>
            <w:tcW w:w="2234" w:type="pct"/>
          </w:tcPr>
          <w:p w14:paraId="2C623EF5" w14:textId="77777777" w:rsidR="006C5964" w:rsidRPr="00D93A72" w:rsidRDefault="006C5964" w:rsidP="00571F93">
            <w:pPr>
              <w:spacing w:before="60" w:after="60"/>
              <w:rPr>
                <w:rFonts w:eastAsia="Calibri" w:cs="Arial"/>
                <w:sz w:val="18"/>
                <w:szCs w:val="18"/>
              </w:rPr>
            </w:pPr>
            <w:r w:rsidRPr="00D93A72">
              <w:rPr>
                <w:rFonts w:eastAsia="Calibri" w:cs="Arial"/>
                <w:sz w:val="18"/>
                <w:szCs w:val="18"/>
              </w:rPr>
              <w:t>During the audit of irregular expenditure (disclosure note 32), it was noted that the following irregular expenditure transactions were not adequately disclosed for the current financial year:</w:t>
            </w:r>
          </w:p>
          <w:p w14:paraId="501608B8" w14:textId="77777777" w:rsidR="006C5964" w:rsidRPr="00D93A72" w:rsidRDefault="006C5964" w:rsidP="00571F93">
            <w:pPr>
              <w:numPr>
                <w:ilvl w:val="0"/>
                <w:numId w:val="20"/>
              </w:numPr>
              <w:spacing w:before="60" w:after="60"/>
              <w:rPr>
                <w:rFonts w:eastAsia="Calibri" w:cs="Times New Roman"/>
                <w:snapToGrid w:val="0"/>
                <w:sz w:val="18"/>
                <w:szCs w:val="18"/>
              </w:rPr>
            </w:pPr>
            <w:r w:rsidRPr="00D93A72">
              <w:rPr>
                <w:rFonts w:eastAsia="Calibri" w:cs="Times New Roman"/>
                <w:snapToGrid w:val="0"/>
                <w:sz w:val="18"/>
                <w:szCs w:val="18"/>
              </w:rPr>
              <w:t>Irregular expenditure relating to internal investigations completed by Governance Risk and Compliance Unit</w:t>
            </w:r>
          </w:p>
          <w:p w14:paraId="78595684" w14:textId="77777777" w:rsidR="006C5964" w:rsidRPr="00D93A72" w:rsidRDefault="006C5964" w:rsidP="00571F93">
            <w:pPr>
              <w:pStyle w:val="Tabletext"/>
              <w:numPr>
                <w:ilvl w:val="0"/>
                <w:numId w:val="20"/>
              </w:numPr>
              <w:rPr>
                <w:snapToGrid w:val="0"/>
                <w:sz w:val="16"/>
                <w:lang w:val="en-ZA"/>
              </w:rPr>
            </w:pPr>
            <w:r w:rsidRPr="00D93A72">
              <w:rPr>
                <w:rFonts w:eastAsiaTheme="minorHAnsi" w:cstheme="minorBidi"/>
                <w:snapToGrid w:val="0"/>
                <w:szCs w:val="18"/>
                <w:lang w:val="en-ZA"/>
              </w:rPr>
              <w:t>Irregular expenditure relating to leases that are running on a month to month basis</w:t>
            </w:r>
          </w:p>
        </w:tc>
        <w:tc>
          <w:tcPr>
            <w:tcW w:w="489" w:type="pct"/>
          </w:tcPr>
          <w:p w14:paraId="1658FC0B" w14:textId="77777777" w:rsidR="006C5964" w:rsidRPr="00E36CEF" w:rsidRDefault="006C5964" w:rsidP="00571F93">
            <w:pPr>
              <w:pStyle w:val="Tabletext"/>
              <w:jc w:val="center"/>
              <w:rPr>
                <w:rFonts w:cs="Arial"/>
                <w:snapToGrid w:val="0"/>
                <w:szCs w:val="18"/>
                <w:lang w:val="en-ZA"/>
              </w:rPr>
            </w:pPr>
            <w:r>
              <w:rPr>
                <w:rFonts w:cs="Arial"/>
                <w:snapToGrid w:val="0"/>
                <w:szCs w:val="18"/>
                <w:lang w:val="en-ZA"/>
              </w:rPr>
              <w:t>No</w:t>
            </w:r>
          </w:p>
        </w:tc>
        <w:tc>
          <w:tcPr>
            <w:tcW w:w="728" w:type="pct"/>
          </w:tcPr>
          <w:p w14:paraId="6EC9EFA9" w14:textId="77777777" w:rsidR="006C5964" w:rsidRDefault="006C5964" w:rsidP="00571F93">
            <w:pPr>
              <w:pStyle w:val="Tabletext"/>
              <w:jc w:val="right"/>
              <w:rPr>
                <w:rFonts w:cs="Arial"/>
                <w:snapToGrid w:val="0"/>
                <w:szCs w:val="18"/>
                <w:lang w:val="en-ZA"/>
              </w:rPr>
            </w:pPr>
            <w:r>
              <w:rPr>
                <w:rFonts w:cs="Arial"/>
                <w:snapToGrid w:val="0"/>
                <w:szCs w:val="18"/>
                <w:lang w:val="en-ZA"/>
              </w:rPr>
              <w:t xml:space="preserve">Understatement of </w:t>
            </w:r>
          </w:p>
          <w:p w14:paraId="4CA15CE7" w14:textId="3AC01E3F" w:rsidR="006C5964" w:rsidRDefault="00401BDE" w:rsidP="00571F93">
            <w:pPr>
              <w:pStyle w:val="Tabletext"/>
              <w:jc w:val="right"/>
              <w:rPr>
                <w:rFonts w:cs="Arial"/>
                <w:snapToGrid w:val="0"/>
                <w:szCs w:val="18"/>
                <w:lang w:val="en-ZA"/>
              </w:rPr>
            </w:pPr>
            <w:r>
              <w:rPr>
                <w:rFonts w:cs="Arial"/>
                <w:snapToGrid w:val="0"/>
                <w:szCs w:val="18"/>
                <w:lang w:val="en-ZA"/>
              </w:rPr>
              <w:t>R320 386 972</w:t>
            </w:r>
          </w:p>
          <w:p w14:paraId="53FC130A" w14:textId="2217AD00" w:rsidR="00401BDE" w:rsidRPr="00E36CEF" w:rsidRDefault="00401BDE" w:rsidP="00401BDE">
            <w:pPr>
              <w:pStyle w:val="Tabletext"/>
              <w:rPr>
                <w:rFonts w:cs="Arial"/>
                <w:snapToGrid w:val="0"/>
                <w:szCs w:val="18"/>
                <w:lang w:val="en-ZA"/>
              </w:rPr>
            </w:pPr>
            <w:r>
              <w:rPr>
                <w:rFonts w:cs="Arial"/>
                <w:snapToGrid w:val="0"/>
                <w:szCs w:val="18"/>
                <w:lang w:val="en-ZA"/>
              </w:rPr>
              <w:t xml:space="preserve">Furthermore, transactions amounting to R1 205 614 016 was disclosed as  irregular expenditure that will go through the assessment and determination process in line with NT Framework </w:t>
            </w:r>
          </w:p>
        </w:tc>
        <w:tc>
          <w:tcPr>
            <w:tcW w:w="627" w:type="pct"/>
          </w:tcPr>
          <w:p w14:paraId="08734F29" w14:textId="77777777" w:rsidR="006C5964" w:rsidRPr="00E36CEF" w:rsidRDefault="006C5964" w:rsidP="00571F93">
            <w:pPr>
              <w:pStyle w:val="Tabletext"/>
              <w:jc w:val="center"/>
              <w:rPr>
                <w:rFonts w:cs="Arial"/>
                <w:snapToGrid w:val="0"/>
                <w:szCs w:val="18"/>
                <w:lang w:val="en-ZA"/>
              </w:rPr>
            </w:pPr>
            <w:r>
              <w:rPr>
                <w:rFonts w:cs="Arial"/>
                <w:snapToGrid w:val="0"/>
                <w:szCs w:val="18"/>
                <w:lang w:val="en-ZA"/>
              </w:rPr>
              <w:t>0</w:t>
            </w:r>
          </w:p>
        </w:tc>
      </w:tr>
    </w:tbl>
    <w:p w14:paraId="4E7A991C" w14:textId="77777777" w:rsidR="00C22F2B" w:rsidRPr="0077659B" w:rsidRDefault="00C22F2B" w:rsidP="002004A3">
      <w:pPr>
        <w:shd w:val="clear" w:color="auto" w:fill="FFFFFF"/>
        <w:spacing w:after="0" w:line="240" w:lineRule="auto"/>
        <w:rPr>
          <w:rFonts w:ascii="Times New Roman" w:eastAsia="Times New Roman" w:hAnsi="Times New Roman" w:cs="Arial"/>
          <w:sz w:val="6"/>
          <w:szCs w:val="6"/>
        </w:rPr>
      </w:pPr>
    </w:p>
    <w:p w14:paraId="5050ADF9" w14:textId="77777777" w:rsidR="00153824" w:rsidRPr="0077659B" w:rsidRDefault="00153824" w:rsidP="002004A3">
      <w:pPr>
        <w:shd w:val="clear" w:color="auto" w:fill="FFFFFF"/>
        <w:spacing w:after="0" w:line="240" w:lineRule="auto"/>
        <w:rPr>
          <w:rFonts w:ascii="Times New Roman" w:eastAsia="Times New Roman" w:hAnsi="Times New Roman" w:cs="Arial"/>
          <w:sz w:val="6"/>
          <w:szCs w:val="6"/>
        </w:rPr>
        <w:sectPr w:rsidR="00153824" w:rsidRPr="0077659B" w:rsidSect="00BB6EEC">
          <w:headerReference w:type="default" r:id="rId26"/>
          <w:endnotePr>
            <w:numFmt w:val="decimal"/>
          </w:endnotePr>
          <w:pgSz w:w="16838" w:h="11906" w:orient="landscape" w:code="9"/>
          <w:pgMar w:top="1134" w:right="1245" w:bottom="1134" w:left="993" w:header="1134" w:footer="709" w:gutter="0"/>
          <w:cols w:space="708"/>
          <w:docGrid w:linePitch="360"/>
        </w:sectPr>
      </w:pPr>
    </w:p>
    <w:p w14:paraId="422F0B63" w14:textId="77777777" w:rsidR="00F80D89" w:rsidRPr="00BB6EEC" w:rsidRDefault="00C22F2B" w:rsidP="003B4632">
      <w:pPr>
        <w:pStyle w:val="Heading3"/>
        <w:jc w:val="both"/>
        <w:rPr>
          <w:lang w:val="en-ZA"/>
        </w:rPr>
      </w:pPr>
      <w:bookmarkStart w:id="23" w:name="_Toc447106585"/>
      <w:bookmarkStart w:id="24" w:name="_Toc53608720"/>
      <w:r w:rsidRPr="00BB6EEC">
        <w:rPr>
          <w:lang w:val="en-ZA"/>
        </w:rPr>
        <w:lastRenderedPageBreak/>
        <w:t>MATTERS TO BE BROUGHT TO THE ATTENTION OF USERS</w:t>
      </w:r>
      <w:bookmarkEnd w:id="23"/>
      <w:bookmarkEnd w:id="24"/>
      <w:r w:rsidRPr="00BB6EEC">
        <w:rPr>
          <w:lang w:val="en-ZA"/>
        </w:rPr>
        <w:t xml:space="preserve"> </w:t>
      </w:r>
      <w:bookmarkStart w:id="25" w:name="EOM"/>
      <w:bookmarkStart w:id="26" w:name="KAM"/>
      <w:bookmarkStart w:id="27" w:name="_Toc447106586"/>
      <w:bookmarkEnd w:id="25"/>
      <w:bookmarkEnd w:id="26"/>
    </w:p>
    <w:p w14:paraId="21D4BE51" w14:textId="77777777" w:rsidR="00C22F2B" w:rsidRPr="0077659B" w:rsidRDefault="00071AAC" w:rsidP="003B4632">
      <w:pPr>
        <w:pStyle w:val="Heading4"/>
        <w:jc w:val="both"/>
      </w:pPr>
      <w:bookmarkStart w:id="28" w:name="EO1"/>
      <w:bookmarkEnd w:id="28"/>
      <w:r w:rsidRPr="0077659B">
        <w:t>Emphasis of matter paragraphs</w:t>
      </w:r>
      <w:bookmarkEnd w:id="27"/>
    </w:p>
    <w:p w14:paraId="7995EBBC" w14:textId="77777777" w:rsidR="00C22F2B" w:rsidRPr="0077659B" w:rsidRDefault="00C22F2B" w:rsidP="006306CE">
      <w:pPr>
        <w:pStyle w:val="Numbernormal"/>
        <w:numPr>
          <w:ilvl w:val="0"/>
          <w:numId w:val="15"/>
        </w:numPr>
        <w:ind w:left="567" w:hanging="567"/>
        <w:jc w:val="both"/>
      </w:pPr>
      <w:r w:rsidRPr="0077659B">
        <w:t>The following emphasis of matter paragraphs will be included in our auditor’s report to draw the users’ attention to matters presented or disclosed in the financial statements:</w:t>
      </w:r>
    </w:p>
    <w:p w14:paraId="078181FD" w14:textId="77777777" w:rsidR="00B35F12" w:rsidRPr="006A6AE8" w:rsidRDefault="00F61E2E" w:rsidP="003B4632">
      <w:pPr>
        <w:pStyle w:val="Heading5"/>
        <w:jc w:val="both"/>
      </w:pPr>
      <w:r w:rsidRPr="006A6AE8">
        <w:t>Material impairment of receivables</w:t>
      </w:r>
    </w:p>
    <w:p w14:paraId="0E646F99" w14:textId="77777777" w:rsidR="00B35F12" w:rsidRPr="0077659B" w:rsidRDefault="00F61E2E" w:rsidP="006306CE">
      <w:pPr>
        <w:pStyle w:val="Numbernormal"/>
        <w:numPr>
          <w:ilvl w:val="0"/>
          <w:numId w:val="15"/>
        </w:numPr>
        <w:ind w:left="567" w:hanging="567"/>
        <w:jc w:val="both"/>
      </w:pPr>
      <w:r>
        <w:t xml:space="preserve">As disclosed in note 22 to the financial </w:t>
      </w:r>
      <w:r w:rsidR="003A5DE4">
        <w:t>statement, material</w:t>
      </w:r>
      <w:r>
        <w:t xml:space="preserve"> losses of R</w:t>
      </w:r>
      <w:r w:rsidR="003A5DE4">
        <w:t>1 534 561 000 was incurred as a result of a write-off of irrecoverable receivables from exchange transactions.</w:t>
      </w:r>
    </w:p>
    <w:p w14:paraId="3E1A0C43" w14:textId="77777777" w:rsidR="00B35F12" w:rsidRPr="006A6AE8" w:rsidRDefault="003A5DE4" w:rsidP="003B4632">
      <w:pPr>
        <w:pStyle w:val="Heading4"/>
        <w:jc w:val="both"/>
        <w:rPr>
          <w:b w:val="0"/>
        </w:rPr>
      </w:pPr>
      <w:bookmarkStart w:id="29" w:name="GC1"/>
      <w:bookmarkEnd w:id="29"/>
      <w:r w:rsidRPr="006A6AE8">
        <w:rPr>
          <w:b w:val="0"/>
        </w:rPr>
        <w:t>Restatement of corresponding figures</w:t>
      </w:r>
      <w:bookmarkStart w:id="30" w:name="S2E3"/>
      <w:bookmarkStart w:id="31" w:name="S2E4"/>
      <w:bookmarkStart w:id="32" w:name="S2E5"/>
      <w:bookmarkStart w:id="33" w:name="S2E6"/>
      <w:bookmarkStart w:id="34" w:name="S2E7"/>
      <w:bookmarkStart w:id="35" w:name="S2E8"/>
      <w:bookmarkStart w:id="36" w:name="S2E9"/>
      <w:bookmarkStart w:id="37" w:name="S2E10"/>
      <w:bookmarkStart w:id="38" w:name="AM"/>
      <w:bookmarkStart w:id="39" w:name="_Toc447106587"/>
      <w:bookmarkEnd w:id="30"/>
      <w:bookmarkEnd w:id="31"/>
      <w:bookmarkEnd w:id="32"/>
      <w:bookmarkEnd w:id="33"/>
      <w:bookmarkEnd w:id="34"/>
      <w:bookmarkEnd w:id="35"/>
      <w:bookmarkEnd w:id="36"/>
      <w:bookmarkEnd w:id="37"/>
      <w:bookmarkEnd w:id="38"/>
    </w:p>
    <w:p w14:paraId="08552B5A" w14:textId="77777777" w:rsidR="006A6AE8" w:rsidRPr="0077659B" w:rsidRDefault="003A5DE4" w:rsidP="006306CE">
      <w:pPr>
        <w:pStyle w:val="Numbernormal"/>
        <w:numPr>
          <w:ilvl w:val="0"/>
          <w:numId w:val="15"/>
        </w:numPr>
        <w:ind w:left="567" w:hanging="567"/>
        <w:jc w:val="both"/>
      </w:pPr>
      <w:r>
        <w:t>As disclosed in note 37 to the financial statements, the corresponding figures for 31 March 2019 were restated as a result of an error in the financial statements of the entity at and for the year ended</w:t>
      </w:r>
      <w:r w:rsidR="00156FBB">
        <w:t xml:space="preserve"> </w:t>
      </w:r>
      <w:r>
        <w:t xml:space="preserve">31 March 2020 </w:t>
      </w:r>
    </w:p>
    <w:bookmarkEnd w:id="39"/>
    <w:p w14:paraId="466CDA56" w14:textId="77777777" w:rsidR="00C22F2B" w:rsidRPr="00CD645F" w:rsidRDefault="004A398C" w:rsidP="006A6AE8">
      <w:pPr>
        <w:pStyle w:val="Heading4"/>
        <w:rPr>
          <w:b w:val="0"/>
        </w:rPr>
      </w:pPr>
      <w:r w:rsidRPr="00CD645F">
        <w:rPr>
          <w:b w:val="0"/>
        </w:rPr>
        <w:t>G</w:t>
      </w:r>
      <w:r w:rsidR="006A6AE8" w:rsidRPr="00CD645F">
        <w:rPr>
          <w:b w:val="0"/>
        </w:rPr>
        <w:t xml:space="preserve">oing concern </w:t>
      </w:r>
    </w:p>
    <w:p w14:paraId="5900E963" w14:textId="77777777" w:rsidR="0017182D" w:rsidRPr="0017182D" w:rsidRDefault="008A7F7A" w:rsidP="006306CE">
      <w:pPr>
        <w:pStyle w:val="Numbernormal"/>
        <w:numPr>
          <w:ilvl w:val="0"/>
          <w:numId w:val="15"/>
        </w:numPr>
        <w:spacing w:before="0"/>
        <w:ind w:left="567" w:hanging="567"/>
        <w:jc w:val="both"/>
      </w:pPr>
      <w:r>
        <w:t>I draw attention to note 38 to the financial statements, which indicate that the trading entity as of 31 March 2020, has a bank overdraft of R2</w:t>
      </w:r>
      <w:r w:rsidR="00F54C15">
        <w:t>, 6</w:t>
      </w:r>
      <w:r>
        <w:t xml:space="preserve"> billion (March 2019: R2,7 billion) and the current liabilities exceed the current assets by R8,8 billion (March 2019: R11,2 billion).</w:t>
      </w:r>
      <w:bookmarkStart w:id="40" w:name="_Toc447106588"/>
    </w:p>
    <w:p w14:paraId="13065422" w14:textId="77777777" w:rsidR="008F6C98" w:rsidRPr="00BB6EEC" w:rsidRDefault="008516E0" w:rsidP="0017182D">
      <w:pPr>
        <w:pStyle w:val="Heading3"/>
        <w:spacing w:before="0"/>
        <w:jc w:val="both"/>
        <w:rPr>
          <w:lang w:val="en-ZA"/>
        </w:rPr>
      </w:pPr>
      <w:bookmarkStart w:id="41" w:name="_Toc53608721"/>
      <w:r w:rsidRPr="00BB6EEC">
        <w:rPr>
          <w:lang w:val="en-ZA"/>
        </w:rPr>
        <w:t xml:space="preserve">AUDIT OF </w:t>
      </w:r>
      <w:r w:rsidR="00922655" w:rsidRPr="00BB6EEC">
        <w:rPr>
          <w:lang w:val="en-ZA"/>
        </w:rPr>
        <w:t>THE ANNUAL PERFORMANCE REPORT</w:t>
      </w:r>
      <w:bookmarkEnd w:id="41"/>
    </w:p>
    <w:p w14:paraId="74D655AB" w14:textId="77777777" w:rsidR="008516E0" w:rsidRPr="00BF08F8" w:rsidRDefault="000C4D17" w:rsidP="006306CE">
      <w:pPr>
        <w:pStyle w:val="Numbernormal"/>
        <w:numPr>
          <w:ilvl w:val="0"/>
          <w:numId w:val="15"/>
        </w:numPr>
        <w:ind w:left="567" w:hanging="567"/>
        <w:jc w:val="both"/>
      </w:pPr>
      <w:bookmarkStart w:id="42" w:name="E6back"/>
      <w:bookmarkEnd w:id="42"/>
      <w:r w:rsidRPr="00BF08F8">
        <w:t>In terms of the</w:t>
      </w:r>
      <w:r w:rsidR="009D2681" w:rsidRPr="00BF08F8">
        <w:t xml:space="preserve"> general notice issued in terms of the PAA</w:t>
      </w:r>
      <w:r w:rsidR="00453D1F" w:rsidRPr="00BF08F8">
        <w:t>,</w:t>
      </w:r>
      <w:r w:rsidR="008516E0" w:rsidRPr="00BF08F8">
        <w:t xml:space="preserve"> the opinion on the audit of reported information will be included in the management report.  The report is included below to enable management and those charged with governance to see what the report will look like once it is published in the auditor’s report</w:t>
      </w:r>
      <w:r w:rsidR="00AF2986" w:rsidRPr="00BF08F8">
        <w:t>.</w:t>
      </w:r>
      <w:r w:rsidR="0068422E" w:rsidRPr="00BF08F8">
        <w:t xml:space="preserve"> </w:t>
      </w:r>
      <w:r w:rsidR="0009390C" w:rsidRPr="00BF08F8">
        <w:t xml:space="preserve">We </w:t>
      </w:r>
      <w:r w:rsidR="00E85458" w:rsidRPr="00BF08F8">
        <w:t xml:space="preserve">will report all the audit findings included under </w:t>
      </w:r>
      <w:r w:rsidR="00BF08F8" w:rsidRPr="00BF08F8">
        <w:t>the basis for opinion</w:t>
      </w:r>
      <w:r w:rsidR="00E85458" w:rsidRPr="00BF08F8">
        <w:t xml:space="preserve"> and the </w:t>
      </w:r>
      <w:r w:rsidR="008B14CD" w:rsidRPr="00BF08F8">
        <w:t>other</w:t>
      </w:r>
      <w:r w:rsidR="00E85458" w:rsidRPr="00BF08F8">
        <w:t xml:space="preserve"> matter sections of this report in the auditor’s report</w:t>
      </w:r>
      <w:r w:rsidR="003C57C8" w:rsidRPr="00BF08F8">
        <w:t>.</w:t>
      </w:r>
    </w:p>
    <w:p w14:paraId="5DA17F99" w14:textId="77777777" w:rsidR="008341AC" w:rsidRPr="0077659B" w:rsidRDefault="00C14072" w:rsidP="003B4632">
      <w:pPr>
        <w:pStyle w:val="Heading4"/>
        <w:jc w:val="both"/>
      </w:pPr>
      <w:bookmarkStart w:id="43" w:name="E7back"/>
      <w:bookmarkStart w:id="44" w:name="E10back"/>
      <w:bookmarkEnd w:id="40"/>
      <w:bookmarkEnd w:id="43"/>
      <w:bookmarkEnd w:id="44"/>
      <w:r w:rsidRPr="0077659B">
        <w:t>I</w:t>
      </w:r>
      <w:r w:rsidR="007D37B9" w:rsidRPr="0077659B">
        <w:t>ntroduction and scope</w:t>
      </w:r>
      <w:bookmarkStart w:id="45" w:name="Back25"/>
      <w:bookmarkEnd w:id="45"/>
    </w:p>
    <w:p w14:paraId="17A901CD" w14:textId="77777777" w:rsidR="007D37B9" w:rsidRPr="0077659B" w:rsidRDefault="0009390C" w:rsidP="006306CE">
      <w:pPr>
        <w:pStyle w:val="Numbernormal"/>
        <w:numPr>
          <w:ilvl w:val="0"/>
          <w:numId w:val="15"/>
        </w:numPr>
        <w:ind w:left="567" w:hanging="567"/>
        <w:jc w:val="both"/>
      </w:pPr>
      <w:r w:rsidRPr="0077659B">
        <w:t xml:space="preserve">We </w:t>
      </w:r>
      <w:r w:rsidR="007D37B9" w:rsidRPr="0077659B">
        <w:t>have undertaken a reasonable assurance engagement on the reported performance information for the follo</w:t>
      </w:r>
      <w:r w:rsidR="00E62C3F">
        <w:t xml:space="preserve">wing selected programmes </w:t>
      </w:r>
      <w:r w:rsidR="007D37B9" w:rsidRPr="0077659B">
        <w:t xml:space="preserve">presented in the annual performance report of </w:t>
      </w:r>
      <w:bookmarkStart w:id="46" w:name="E11back"/>
      <w:bookmarkEnd w:id="46"/>
      <w:r w:rsidR="00E62C3F">
        <w:t xml:space="preserve">the trading entity </w:t>
      </w:r>
      <w:r w:rsidR="007D37B9" w:rsidRPr="0077659B">
        <w:t>f</w:t>
      </w:r>
      <w:r w:rsidR="00625CB1" w:rsidRPr="0077659B">
        <w:t xml:space="preserve">or the year ended </w:t>
      </w:r>
      <w:r w:rsidR="00E62C3F">
        <w:t>31 March 2020</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2311"/>
        <w:gridCol w:w="1191"/>
        <w:gridCol w:w="1418"/>
      </w:tblGrid>
      <w:tr w:rsidR="00C059A5" w:rsidRPr="0077659B" w14:paraId="4EEDD5CC" w14:textId="77777777" w:rsidTr="007C790C">
        <w:trPr>
          <w:trHeight w:val="688"/>
        </w:trPr>
        <w:tc>
          <w:tcPr>
            <w:tcW w:w="2439" w:type="pct"/>
            <w:shd w:val="clear" w:color="auto" w:fill="A6A6A6" w:themeFill="background1" w:themeFillShade="A6"/>
          </w:tcPr>
          <w:p w14:paraId="49B6DA8E" w14:textId="77777777" w:rsidR="00C059A5" w:rsidRPr="0077659B" w:rsidRDefault="00C059A5" w:rsidP="003B4632">
            <w:pPr>
              <w:pStyle w:val="NoSpacing"/>
              <w:jc w:val="both"/>
              <w:rPr>
                <w:lang w:eastAsia="en-GB"/>
              </w:rPr>
            </w:pPr>
            <w:r w:rsidRPr="0077659B">
              <w:rPr>
                <w:lang w:eastAsia="en-GB"/>
              </w:rPr>
              <w:t>[Programmes/ objectives]</w:t>
            </w:r>
          </w:p>
        </w:tc>
        <w:tc>
          <w:tcPr>
            <w:tcW w:w="1203" w:type="pct"/>
            <w:shd w:val="clear" w:color="auto" w:fill="A6A6A6" w:themeFill="background1" w:themeFillShade="A6"/>
          </w:tcPr>
          <w:p w14:paraId="06EB6590" w14:textId="77777777" w:rsidR="00C059A5" w:rsidRPr="0077659B" w:rsidRDefault="00C059A5" w:rsidP="003B4632">
            <w:pPr>
              <w:pStyle w:val="NoSpacing"/>
              <w:jc w:val="both"/>
              <w:rPr>
                <w:lang w:eastAsia="en-GB"/>
              </w:rPr>
            </w:pPr>
            <w:r w:rsidRPr="0077659B">
              <w:rPr>
                <w:lang w:eastAsia="en-GB"/>
              </w:rPr>
              <w:t>Pages in annual performance report</w:t>
            </w:r>
          </w:p>
        </w:tc>
        <w:tc>
          <w:tcPr>
            <w:tcW w:w="620" w:type="pct"/>
            <w:shd w:val="clear" w:color="auto" w:fill="A6A6A6" w:themeFill="background1" w:themeFillShade="A6"/>
          </w:tcPr>
          <w:p w14:paraId="0FA3EEFA" w14:textId="77777777" w:rsidR="00C059A5" w:rsidRPr="0077659B" w:rsidRDefault="00C059A5" w:rsidP="003B4632">
            <w:pPr>
              <w:pStyle w:val="NoSpacing"/>
              <w:jc w:val="both"/>
              <w:rPr>
                <w:lang w:eastAsia="en-GB"/>
              </w:rPr>
            </w:pPr>
            <w:r w:rsidRPr="0077659B">
              <w:rPr>
                <w:lang w:eastAsia="en-GB"/>
              </w:rPr>
              <w:t>Opinion</w:t>
            </w:r>
          </w:p>
        </w:tc>
        <w:tc>
          <w:tcPr>
            <w:tcW w:w="738" w:type="pct"/>
            <w:shd w:val="clear" w:color="auto" w:fill="A6A6A6" w:themeFill="background1" w:themeFillShade="A6"/>
          </w:tcPr>
          <w:p w14:paraId="1F13A000" w14:textId="77777777" w:rsidR="00C059A5" w:rsidRPr="0077659B" w:rsidRDefault="00C059A5" w:rsidP="003B4632">
            <w:pPr>
              <w:pStyle w:val="NoSpacing"/>
              <w:jc w:val="both"/>
              <w:rPr>
                <w:lang w:eastAsia="en-GB"/>
              </w:rPr>
            </w:pPr>
            <w:r w:rsidRPr="0077659B">
              <w:rPr>
                <w:lang w:eastAsia="en-GB"/>
              </w:rPr>
              <w:t>Mov</w:t>
            </w:r>
            <w:r w:rsidR="00D40BD3" w:rsidRPr="0077659B">
              <w:rPr>
                <w:lang w:eastAsia="en-GB"/>
              </w:rPr>
              <w:t>ement</w:t>
            </w:r>
            <w:r w:rsidR="0067694C" w:rsidRPr="0077659B">
              <w:rPr>
                <w:rStyle w:val="EndnoteReference"/>
                <w:rFonts w:cs="Arial"/>
                <w:b w:val="0"/>
                <w:lang w:eastAsia="en-GB"/>
              </w:rPr>
              <w:endnoteReference w:id="3"/>
            </w:r>
            <w:r w:rsidRPr="0077659B">
              <w:rPr>
                <w:lang w:eastAsia="en-GB"/>
              </w:rPr>
              <w:t>.</w:t>
            </w:r>
          </w:p>
        </w:tc>
      </w:tr>
      <w:tr w:rsidR="00C059A5" w:rsidRPr="0077659B" w14:paraId="12246F0D" w14:textId="77777777" w:rsidTr="007C790C">
        <w:trPr>
          <w:trHeight w:val="398"/>
        </w:trPr>
        <w:tc>
          <w:tcPr>
            <w:tcW w:w="2439" w:type="pct"/>
            <w:shd w:val="clear" w:color="auto" w:fill="auto"/>
          </w:tcPr>
          <w:p w14:paraId="152FDCFC" w14:textId="77777777" w:rsidR="00C059A5" w:rsidRPr="00BB6EEC" w:rsidRDefault="007C790C" w:rsidP="003B4632">
            <w:pPr>
              <w:pStyle w:val="Tabletext"/>
              <w:jc w:val="both"/>
              <w:rPr>
                <w:lang w:val="en-ZA" w:eastAsia="en-GB"/>
              </w:rPr>
            </w:pPr>
            <w:r>
              <w:rPr>
                <w:lang w:val="en-ZA" w:eastAsia="en-GB"/>
              </w:rPr>
              <w:t>Programme 3 – construction project management</w:t>
            </w:r>
          </w:p>
        </w:tc>
        <w:tc>
          <w:tcPr>
            <w:tcW w:w="1203" w:type="pct"/>
            <w:shd w:val="clear" w:color="auto" w:fill="auto"/>
            <w:vAlign w:val="center"/>
          </w:tcPr>
          <w:p w14:paraId="683D7C45" w14:textId="77777777" w:rsidR="00C059A5" w:rsidRPr="00BB6EEC" w:rsidRDefault="00C059A5" w:rsidP="003B4632">
            <w:pPr>
              <w:pStyle w:val="Tabletext"/>
              <w:jc w:val="both"/>
              <w:rPr>
                <w:lang w:val="en-ZA" w:eastAsia="en-GB"/>
              </w:rPr>
            </w:pPr>
            <w:r w:rsidRPr="00BB6EEC">
              <w:rPr>
                <w:lang w:val="en-ZA" w:eastAsia="en-GB"/>
              </w:rPr>
              <w:t>x – x</w:t>
            </w:r>
          </w:p>
        </w:tc>
        <w:tc>
          <w:tcPr>
            <w:tcW w:w="620" w:type="pct"/>
            <w:vAlign w:val="center"/>
          </w:tcPr>
          <w:p w14:paraId="19D56345" w14:textId="77777777" w:rsidR="00C059A5" w:rsidRPr="00BB6EEC" w:rsidRDefault="001A1C0F" w:rsidP="003B4632">
            <w:pPr>
              <w:pStyle w:val="Tabletext"/>
              <w:jc w:val="both"/>
              <w:rPr>
                <w:lang w:val="en-ZA" w:eastAsia="en-GB"/>
              </w:rPr>
            </w:pPr>
            <w:r>
              <w:rPr>
                <w:lang w:val="en-ZA" w:eastAsia="en-GB"/>
              </w:rPr>
              <w:t>Qualified</w:t>
            </w:r>
          </w:p>
        </w:tc>
        <w:tc>
          <w:tcPr>
            <w:tcW w:w="738" w:type="pct"/>
            <w:vAlign w:val="center"/>
          </w:tcPr>
          <w:p w14:paraId="2A4E1FBD" w14:textId="77777777" w:rsidR="00C059A5" w:rsidRPr="00BB6EEC" w:rsidRDefault="001A1C0F" w:rsidP="001A1C0F">
            <w:pPr>
              <w:pStyle w:val="Tabletext"/>
              <w:jc w:val="both"/>
              <w:rPr>
                <w:lang w:val="en-ZA" w:eastAsia="en-GB"/>
              </w:rPr>
            </w:pPr>
            <w:r>
              <w:rPr>
                <w:noProof/>
                <w:lang w:val="en-ZA" w:eastAsia="en-ZA"/>
              </w:rPr>
              <w:drawing>
                <wp:anchor distT="0" distB="0" distL="114300" distR="114300" simplePos="0" relativeHeight="251659264" behindDoc="0" locked="0" layoutInCell="1" allowOverlap="1" wp14:anchorId="460070E2" wp14:editId="19F75A4E">
                  <wp:simplePos x="0" y="0"/>
                  <wp:positionH relativeFrom="column">
                    <wp:posOffset>259080</wp:posOffset>
                  </wp:positionH>
                  <wp:positionV relativeFrom="paragraph">
                    <wp:posOffset>12700</wp:posOffset>
                  </wp:positionV>
                  <wp:extent cx="179070" cy="179070"/>
                  <wp:effectExtent l="0" t="0" r="0" b="0"/>
                  <wp:wrapNone/>
                  <wp:docPr id="6" name="Picture 118"/>
                  <wp:cNvGraphicFramePr/>
                  <a:graphic xmlns:a="http://schemas.openxmlformats.org/drawingml/2006/main">
                    <a:graphicData uri="http://schemas.openxmlformats.org/drawingml/2006/picture">
                      <pic:pic xmlns:pic="http://schemas.openxmlformats.org/drawingml/2006/picture">
                        <pic:nvPicPr>
                          <pic:cNvPr id="18"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0"/>
                            <a:ext cx="179070" cy="179070"/>
                          </a:xfrm>
                          <a:prstGeom prst="rect">
                            <a:avLst/>
                          </a:prstGeom>
                        </pic:spPr>
                      </pic:pic>
                    </a:graphicData>
                  </a:graphic>
                  <wp14:sizeRelH relativeFrom="margin">
                    <wp14:pctWidth>0</wp14:pctWidth>
                  </wp14:sizeRelH>
                  <wp14:sizeRelV relativeFrom="margin">
                    <wp14:pctHeight>0</wp14:pctHeight>
                  </wp14:sizeRelV>
                </wp:anchor>
              </w:drawing>
            </w:r>
            <w:r w:rsidR="004A398C" w:rsidRPr="004A398C">
              <w:rPr>
                <w:rFonts w:eastAsiaTheme="minorHAnsi" w:cstheme="minorBidi"/>
                <w:noProof/>
                <w:sz w:val="22"/>
                <w:lang w:val="en-ZA" w:eastAsia="en-ZA"/>
              </w:rPr>
              <w:t xml:space="preserve"> </w:t>
            </w:r>
          </w:p>
        </w:tc>
      </w:tr>
    </w:tbl>
    <w:p w14:paraId="1AC513F3" w14:textId="77777777" w:rsidR="00470547" w:rsidRPr="0077659B" w:rsidRDefault="00470547" w:rsidP="003B4632">
      <w:pPr>
        <w:pStyle w:val="Default"/>
        <w:spacing w:after="120"/>
        <w:jc w:val="both"/>
        <w:rPr>
          <w:rFonts w:ascii="Arial" w:hAnsi="Arial" w:cs="Arial"/>
          <w:color w:val="auto"/>
          <w:sz w:val="22"/>
          <w:szCs w:val="22"/>
          <w:lang w:val="en-ZA"/>
        </w:rPr>
      </w:pPr>
    </w:p>
    <w:p w14:paraId="159B1D08" w14:textId="77777777" w:rsidR="007D37B9" w:rsidRPr="0077659B" w:rsidRDefault="0009390C" w:rsidP="006306CE">
      <w:pPr>
        <w:pStyle w:val="Numbernormal"/>
        <w:numPr>
          <w:ilvl w:val="0"/>
          <w:numId w:val="15"/>
        </w:numPr>
        <w:ind w:left="567" w:hanging="567"/>
        <w:jc w:val="both"/>
      </w:pPr>
      <w:r w:rsidRPr="0077659B">
        <w:t>We</w:t>
      </w:r>
      <w:r w:rsidR="007D37B9" w:rsidRPr="0077659B">
        <w:t xml:space="preserve"> conducted </w:t>
      </w:r>
      <w:r w:rsidRPr="0077659B">
        <w:t>our</w:t>
      </w:r>
      <w:r w:rsidR="007D37B9" w:rsidRPr="0077659B">
        <w:t xml:space="preserve"> reasonable assurance engagement in accordance with the International Standard on Assurance Engagements, ISAE 3000: </w:t>
      </w:r>
      <w:r w:rsidR="007D37B9" w:rsidRPr="0077659B">
        <w:rPr>
          <w:i/>
        </w:rPr>
        <w:t>Assurance engagements other than audits or reviews of historical financial information.</w:t>
      </w:r>
      <w:r w:rsidR="007D37B9" w:rsidRPr="0077659B">
        <w:t xml:space="preserve"> </w:t>
      </w:r>
    </w:p>
    <w:p w14:paraId="7AB587E1" w14:textId="77777777" w:rsidR="007D37B9" w:rsidRPr="0077659B" w:rsidRDefault="0009390C" w:rsidP="006306CE">
      <w:pPr>
        <w:pStyle w:val="Numbernormal"/>
        <w:numPr>
          <w:ilvl w:val="0"/>
          <w:numId w:val="15"/>
        </w:numPr>
        <w:ind w:left="567" w:hanging="567"/>
        <w:jc w:val="both"/>
      </w:pPr>
      <w:r w:rsidRPr="0077659B">
        <w:t xml:space="preserve">We </w:t>
      </w:r>
      <w:r w:rsidR="007D37B9" w:rsidRPr="0077659B">
        <w:t xml:space="preserve">believe that the evidence </w:t>
      </w:r>
      <w:r w:rsidRPr="0077659B">
        <w:t xml:space="preserve">we </w:t>
      </w:r>
      <w:r w:rsidR="007D37B9" w:rsidRPr="0077659B">
        <w:t xml:space="preserve">have obtained is sufficient and appropriate to provide a basis for </w:t>
      </w:r>
      <w:r w:rsidRPr="0077659B">
        <w:t>our</w:t>
      </w:r>
      <w:r w:rsidR="00DF20EE">
        <w:t xml:space="preserve"> opinions</w:t>
      </w:r>
      <w:r w:rsidR="007D37B9" w:rsidRPr="0077659B">
        <w:t>.</w:t>
      </w:r>
    </w:p>
    <w:p w14:paraId="212AC9FC" w14:textId="77777777" w:rsidR="008341AC" w:rsidRPr="0077659B" w:rsidRDefault="00AB1A00" w:rsidP="003B4632">
      <w:pPr>
        <w:pStyle w:val="Heading4"/>
        <w:jc w:val="both"/>
      </w:pPr>
      <w:bookmarkStart w:id="47" w:name="X2"/>
      <w:bookmarkStart w:id="48" w:name="MRInsertprogramme"/>
      <w:bookmarkStart w:id="49" w:name="E12back"/>
      <w:bookmarkEnd w:id="47"/>
      <w:bookmarkEnd w:id="48"/>
      <w:bookmarkEnd w:id="49"/>
      <w:r w:rsidRPr="0077659B">
        <w:lastRenderedPageBreak/>
        <w:t>P</w:t>
      </w:r>
      <w:r>
        <w:t xml:space="preserve">rogramme 3 </w:t>
      </w:r>
      <w:r w:rsidR="007D37B9" w:rsidRPr="0077659B">
        <w:t xml:space="preserve">– </w:t>
      </w:r>
      <w:bookmarkStart w:id="50" w:name="Back26"/>
      <w:bookmarkEnd w:id="50"/>
      <w:r>
        <w:t>construction project management</w:t>
      </w:r>
    </w:p>
    <w:p w14:paraId="01939D25" w14:textId="77777777" w:rsidR="007D37B9" w:rsidRPr="00114504" w:rsidRDefault="001A1C0F" w:rsidP="003B4632">
      <w:pPr>
        <w:pStyle w:val="Heading5"/>
        <w:jc w:val="both"/>
      </w:pPr>
      <w:r>
        <w:t>Qualified</w:t>
      </w:r>
      <w:r w:rsidR="0035648C" w:rsidRPr="00114504">
        <w:t xml:space="preserve"> </w:t>
      </w:r>
      <w:r w:rsidR="00AB1A00" w:rsidRPr="00114504">
        <w:t>opinion</w:t>
      </w:r>
    </w:p>
    <w:p w14:paraId="17004AB1" w14:textId="77777777" w:rsidR="007D37B9" w:rsidRPr="00114504" w:rsidRDefault="007D37B9" w:rsidP="006306CE">
      <w:pPr>
        <w:pStyle w:val="Numbernormal"/>
        <w:numPr>
          <w:ilvl w:val="0"/>
          <w:numId w:val="15"/>
        </w:numPr>
        <w:ind w:left="567" w:hanging="567"/>
        <w:jc w:val="both"/>
        <w:rPr>
          <w:u w:val="single"/>
        </w:rPr>
      </w:pPr>
      <w:r w:rsidRPr="00114504">
        <w:t xml:space="preserve">In </w:t>
      </w:r>
      <w:r w:rsidR="0009390C" w:rsidRPr="00114504">
        <w:t>our</w:t>
      </w:r>
      <w:r w:rsidRPr="00114504">
        <w:t xml:space="preserve"> opinion, </w:t>
      </w:r>
      <w:r w:rsidR="001A1C0F" w:rsidRPr="00825001">
        <w:t>except for the effects of the matters described in the basis for qualified opinion section of my report,</w:t>
      </w:r>
      <w:r w:rsidR="001A1C0F">
        <w:t xml:space="preserve"> </w:t>
      </w:r>
      <w:r w:rsidR="001A1C0F" w:rsidRPr="0077659B">
        <w:t xml:space="preserve">the reported performance information for </w:t>
      </w:r>
      <w:r w:rsidR="001A1C0F" w:rsidRPr="00114504">
        <w:t>programme 3</w:t>
      </w:r>
      <w:r w:rsidR="001A1C0F">
        <w:t>:</w:t>
      </w:r>
      <w:r w:rsidR="001A1C0F" w:rsidRPr="00114504">
        <w:t xml:space="preserve"> </w:t>
      </w:r>
      <w:r w:rsidR="00AB1A00" w:rsidRPr="00114504">
        <w:t>construction project management</w:t>
      </w:r>
      <w:r w:rsidRPr="00114504">
        <w:t xml:space="preserve"> is</w:t>
      </w:r>
      <w:r w:rsidR="0035648C">
        <w:t xml:space="preserve"> </w:t>
      </w:r>
      <w:r w:rsidRPr="00114504">
        <w:t xml:space="preserve">useful and reliable, in accordance with the applicable criteria as developed from the performance management and reporting framework as set out in </w:t>
      </w:r>
      <w:r w:rsidR="00453D1F" w:rsidRPr="00114504">
        <w:t>a</w:t>
      </w:r>
      <w:r w:rsidR="00DB2251" w:rsidRPr="00114504">
        <w:t>nnexure D</w:t>
      </w:r>
      <w:r w:rsidR="00B96493" w:rsidRPr="00114504">
        <w:t xml:space="preserve"> </w:t>
      </w:r>
      <w:r w:rsidR="00453D1F" w:rsidRPr="00114504">
        <w:t>to</w:t>
      </w:r>
      <w:r w:rsidR="00B96493" w:rsidRPr="00114504">
        <w:t xml:space="preserve"> this report</w:t>
      </w:r>
      <w:r w:rsidR="00D40BD3" w:rsidRPr="00114504">
        <w:t>.</w:t>
      </w:r>
    </w:p>
    <w:p w14:paraId="013E2F43" w14:textId="77777777" w:rsidR="004D5C13" w:rsidRDefault="00AB1A00" w:rsidP="003B4632">
      <w:pPr>
        <w:pStyle w:val="Heading5"/>
        <w:jc w:val="both"/>
        <w:rPr>
          <w:color w:val="auto"/>
        </w:rPr>
      </w:pPr>
      <w:bookmarkStart w:id="51" w:name="MRBasis"/>
      <w:bookmarkStart w:id="52" w:name="E14back"/>
      <w:bookmarkEnd w:id="51"/>
      <w:bookmarkEnd w:id="52"/>
      <w:r w:rsidRPr="00114504">
        <w:t xml:space="preserve">Basis for </w:t>
      </w:r>
      <w:r w:rsidR="001A1C0F">
        <w:t>qualified</w:t>
      </w:r>
      <w:r w:rsidR="0035648C">
        <w:t xml:space="preserve"> </w:t>
      </w:r>
      <w:r w:rsidR="007D37B9" w:rsidRPr="00114504">
        <w:t>opinion</w:t>
      </w:r>
      <w:r w:rsidR="007D37B9" w:rsidRPr="00114504">
        <w:rPr>
          <w:color w:val="auto"/>
        </w:rPr>
        <w:t xml:space="preserve"> </w:t>
      </w:r>
    </w:p>
    <w:p w14:paraId="49A7DCD7" w14:textId="77777777" w:rsidR="007D37B9" w:rsidRPr="001A1C0F" w:rsidRDefault="00256C48" w:rsidP="003B4632">
      <w:pPr>
        <w:pStyle w:val="Heading5"/>
        <w:jc w:val="both"/>
        <w:rPr>
          <w:sz w:val="22"/>
        </w:rPr>
      </w:pPr>
      <w:r w:rsidRPr="001A1C0F">
        <w:rPr>
          <w:sz w:val="22"/>
        </w:rPr>
        <w:t>Percentage reduction of infrastructure projects backlogs</w:t>
      </w:r>
    </w:p>
    <w:p w14:paraId="47D00ED8" w14:textId="040CB7DF" w:rsidR="00114504" w:rsidRPr="00114504" w:rsidRDefault="008C2164" w:rsidP="008765F0">
      <w:pPr>
        <w:pStyle w:val="Numbernormal"/>
        <w:numPr>
          <w:ilvl w:val="0"/>
          <w:numId w:val="15"/>
        </w:numPr>
        <w:ind w:left="567" w:hanging="567"/>
        <w:jc w:val="both"/>
      </w:pPr>
      <w:r w:rsidRPr="00277878">
        <w:rPr>
          <w:color w:val="000000" w:themeColor="text1"/>
        </w:rPr>
        <w:t xml:space="preserve">The source information and method of calculation for the achievement of the planned indicator </w:t>
      </w:r>
      <w:r>
        <w:rPr>
          <w:color w:val="000000" w:themeColor="text1"/>
        </w:rPr>
        <w:t xml:space="preserve">were </w:t>
      </w:r>
      <w:r w:rsidRPr="00277878">
        <w:rPr>
          <w:color w:val="000000" w:themeColor="text1"/>
        </w:rPr>
        <w:t>not clearly defined</w:t>
      </w:r>
      <w:r>
        <w:rPr>
          <w:color w:val="000000" w:themeColor="text1"/>
        </w:rPr>
        <w:t>,</w:t>
      </w:r>
      <w:r w:rsidRPr="00277878">
        <w:rPr>
          <w:color w:val="000000" w:themeColor="text1"/>
        </w:rPr>
        <w:t xml:space="preserve"> and the percentage reduction of infrastructure projects backlogs was not specified. </w:t>
      </w:r>
      <w:r>
        <w:rPr>
          <w:color w:val="000000" w:themeColor="text1"/>
        </w:rPr>
        <w:t xml:space="preserve">The trading entity reported an achievement of 8,5% </w:t>
      </w:r>
      <w:r w:rsidRPr="00277878">
        <w:rPr>
          <w:color w:val="000000" w:themeColor="text1"/>
        </w:rPr>
        <w:t xml:space="preserve">reduction of infrastructure projects backlogs against </w:t>
      </w:r>
      <w:r>
        <w:rPr>
          <w:color w:val="000000" w:themeColor="text1"/>
        </w:rPr>
        <w:t xml:space="preserve">a </w:t>
      </w:r>
      <w:r w:rsidRPr="00277878">
        <w:rPr>
          <w:color w:val="000000" w:themeColor="text1"/>
        </w:rPr>
        <w:t>planned target of 30%. However, the supporting evidence provided materially differed from the reported achievement</w:t>
      </w:r>
      <w:r w:rsidR="008765F0" w:rsidRPr="008765F0">
        <w:t>.</w:t>
      </w:r>
    </w:p>
    <w:tbl>
      <w:tblPr>
        <w:tblW w:w="0" w:type="auto"/>
        <w:tblLook w:val="04A0" w:firstRow="1" w:lastRow="0" w:firstColumn="1" w:lastColumn="0" w:noHBand="0" w:noVBand="1"/>
      </w:tblPr>
      <w:tblGrid>
        <w:gridCol w:w="6014"/>
        <w:gridCol w:w="1467"/>
        <w:gridCol w:w="2147"/>
      </w:tblGrid>
      <w:tr w:rsidR="00114504" w:rsidRPr="00555307" w14:paraId="687ECC19" w14:textId="77777777" w:rsidTr="008C2164">
        <w:trPr>
          <w:trHeight w:val="387"/>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3D63CED" w14:textId="77777777" w:rsidR="00114504" w:rsidRPr="00555307" w:rsidRDefault="00114504" w:rsidP="003B4632">
            <w:pPr>
              <w:spacing w:after="0" w:line="240" w:lineRule="auto"/>
              <w:jc w:val="both"/>
              <w:rPr>
                <w:rFonts w:eastAsia="Times New Roman" w:cs="Arial"/>
                <w:b/>
                <w:bCs/>
                <w:color w:val="000000"/>
                <w:sz w:val="18"/>
                <w:szCs w:val="18"/>
                <w:lang w:eastAsia="en-ZA"/>
              </w:rPr>
            </w:pPr>
            <w:r w:rsidRPr="00555307">
              <w:rPr>
                <w:rFonts w:eastAsia="Times New Roman" w:cs="Arial"/>
                <w:b/>
                <w:bCs/>
                <w:color w:val="000000"/>
                <w:sz w:val="18"/>
                <w:szCs w:val="18"/>
                <w:lang w:eastAsia="en-ZA"/>
              </w:rPr>
              <w:t xml:space="preserve">Indicator description  </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1CEC1C61" w14:textId="77777777" w:rsidR="00114504" w:rsidRPr="00555307" w:rsidRDefault="00114504" w:rsidP="003B4632">
            <w:pPr>
              <w:spacing w:after="0" w:line="240" w:lineRule="auto"/>
              <w:jc w:val="both"/>
              <w:rPr>
                <w:rFonts w:eastAsia="Times New Roman" w:cs="Arial"/>
                <w:b/>
                <w:bCs/>
                <w:color w:val="000000"/>
                <w:sz w:val="18"/>
                <w:szCs w:val="18"/>
                <w:lang w:eastAsia="en-ZA"/>
              </w:rPr>
            </w:pPr>
            <w:r w:rsidRPr="00555307">
              <w:rPr>
                <w:rFonts w:eastAsia="Times New Roman" w:cs="Arial"/>
                <w:b/>
                <w:bCs/>
                <w:color w:val="000000"/>
                <w:sz w:val="18"/>
                <w:szCs w:val="18"/>
                <w:lang w:eastAsia="en-ZA"/>
              </w:rPr>
              <w:t>Planned target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29096545" w14:textId="77777777" w:rsidR="00114504" w:rsidRPr="00555307" w:rsidRDefault="00114504" w:rsidP="003B4632">
            <w:pPr>
              <w:spacing w:after="0" w:line="240" w:lineRule="auto"/>
              <w:jc w:val="both"/>
              <w:rPr>
                <w:rFonts w:eastAsia="Times New Roman" w:cs="Arial"/>
                <w:b/>
                <w:bCs/>
                <w:color w:val="000000"/>
                <w:sz w:val="18"/>
                <w:szCs w:val="18"/>
                <w:lang w:eastAsia="en-ZA"/>
              </w:rPr>
            </w:pPr>
            <w:r w:rsidRPr="00555307">
              <w:rPr>
                <w:rFonts w:eastAsia="Times New Roman" w:cs="Arial"/>
                <w:b/>
                <w:bCs/>
                <w:color w:val="000000"/>
                <w:sz w:val="18"/>
                <w:szCs w:val="18"/>
                <w:lang w:eastAsia="en-ZA"/>
              </w:rPr>
              <w:t>Reported achievement</w:t>
            </w:r>
          </w:p>
        </w:tc>
      </w:tr>
      <w:tr w:rsidR="00114504" w:rsidRPr="00555307" w14:paraId="64FA44B9" w14:textId="77777777" w:rsidTr="008C2164">
        <w:trPr>
          <w:trHeight w:val="387"/>
        </w:trPr>
        <w:tc>
          <w:tcPr>
            <w:tcW w:w="0" w:type="auto"/>
            <w:tcBorders>
              <w:top w:val="nil"/>
              <w:left w:val="single" w:sz="4" w:space="0" w:color="auto"/>
              <w:bottom w:val="single" w:sz="4" w:space="0" w:color="auto"/>
              <w:right w:val="single" w:sz="4" w:space="0" w:color="auto"/>
            </w:tcBorders>
            <w:shd w:val="clear" w:color="auto" w:fill="auto"/>
            <w:hideMark/>
          </w:tcPr>
          <w:p w14:paraId="6368D896" w14:textId="6808AF58" w:rsidR="00114504" w:rsidRPr="00555307" w:rsidRDefault="008C2164" w:rsidP="003B4632">
            <w:pPr>
              <w:spacing w:after="0" w:line="240" w:lineRule="auto"/>
              <w:jc w:val="both"/>
              <w:rPr>
                <w:rFonts w:eastAsia="Times New Roman" w:cs="Arial"/>
                <w:sz w:val="18"/>
                <w:szCs w:val="18"/>
                <w:lang w:eastAsia="en-ZA"/>
              </w:rPr>
            </w:pPr>
            <w:r w:rsidRPr="008C2164">
              <w:rPr>
                <w:rFonts w:eastAsia="Times New Roman" w:cs="Arial"/>
                <w:sz w:val="18"/>
                <w:szCs w:val="18"/>
                <w:lang w:eastAsia="en-ZA"/>
              </w:rPr>
              <w:t>Number of EPWP work opportunities created through construction projects</w:t>
            </w:r>
          </w:p>
        </w:tc>
        <w:tc>
          <w:tcPr>
            <w:tcW w:w="0" w:type="auto"/>
            <w:tcBorders>
              <w:top w:val="nil"/>
              <w:left w:val="nil"/>
              <w:bottom w:val="single" w:sz="4" w:space="0" w:color="auto"/>
              <w:right w:val="single" w:sz="4" w:space="0" w:color="auto"/>
            </w:tcBorders>
            <w:shd w:val="clear" w:color="auto" w:fill="auto"/>
            <w:hideMark/>
          </w:tcPr>
          <w:p w14:paraId="4849D5D9" w14:textId="77777777" w:rsidR="00114504" w:rsidRPr="00555307" w:rsidRDefault="00114504" w:rsidP="003B4632">
            <w:pPr>
              <w:spacing w:after="0" w:line="240" w:lineRule="auto"/>
              <w:jc w:val="both"/>
              <w:rPr>
                <w:rFonts w:eastAsia="Times New Roman" w:cs="Arial"/>
                <w:sz w:val="18"/>
                <w:szCs w:val="18"/>
                <w:lang w:eastAsia="en-ZA"/>
              </w:rPr>
            </w:pPr>
            <w:r w:rsidRPr="00555307">
              <w:rPr>
                <w:rFonts w:eastAsia="Times New Roman" w:cs="Arial"/>
                <w:sz w:val="18"/>
                <w:szCs w:val="18"/>
                <w:lang w:eastAsia="en-ZA"/>
              </w:rPr>
              <w:t>30%</w:t>
            </w:r>
          </w:p>
        </w:tc>
        <w:tc>
          <w:tcPr>
            <w:tcW w:w="0" w:type="auto"/>
            <w:tcBorders>
              <w:top w:val="nil"/>
              <w:left w:val="nil"/>
              <w:bottom w:val="single" w:sz="4" w:space="0" w:color="auto"/>
              <w:right w:val="single" w:sz="4" w:space="0" w:color="auto"/>
            </w:tcBorders>
            <w:shd w:val="clear" w:color="auto" w:fill="auto"/>
            <w:hideMark/>
          </w:tcPr>
          <w:p w14:paraId="539DBA20" w14:textId="77777777" w:rsidR="00114504" w:rsidRPr="00555307" w:rsidRDefault="00114504" w:rsidP="003B4632">
            <w:pPr>
              <w:spacing w:after="0" w:line="240" w:lineRule="auto"/>
              <w:jc w:val="both"/>
              <w:rPr>
                <w:rFonts w:eastAsia="Times New Roman" w:cs="Arial"/>
                <w:sz w:val="18"/>
                <w:szCs w:val="18"/>
                <w:lang w:eastAsia="en-ZA"/>
              </w:rPr>
            </w:pPr>
            <w:r w:rsidRPr="00555307">
              <w:rPr>
                <w:rFonts w:eastAsia="Times New Roman" w:cs="Arial"/>
                <w:sz w:val="18"/>
                <w:szCs w:val="18"/>
                <w:lang w:eastAsia="en-ZA"/>
              </w:rPr>
              <w:t>8,50%</w:t>
            </w:r>
          </w:p>
        </w:tc>
      </w:tr>
    </w:tbl>
    <w:p w14:paraId="702B6B02" w14:textId="77777777" w:rsidR="001A1C0F" w:rsidRDefault="001A1C0F" w:rsidP="001A1C0F">
      <w:pPr>
        <w:spacing w:after="0"/>
        <w:jc w:val="both"/>
        <w:rPr>
          <w:rFonts w:eastAsia="Calibri" w:cs="Arial"/>
        </w:rPr>
      </w:pPr>
    </w:p>
    <w:p w14:paraId="4CB52AF4" w14:textId="77777777" w:rsidR="00246CAE" w:rsidRPr="00246CAE" w:rsidRDefault="00246CAE" w:rsidP="001A1C0F">
      <w:pPr>
        <w:spacing w:after="0"/>
        <w:jc w:val="both"/>
        <w:rPr>
          <w:rFonts w:eastAsia="Times New Roman" w:cs="Arial"/>
          <w:color w:val="4F81BD" w:themeColor="accent1"/>
        </w:rPr>
      </w:pPr>
      <w:r w:rsidRPr="00246CAE">
        <w:rPr>
          <w:rFonts w:eastAsia="Times New Roman" w:cs="Arial"/>
          <w:color w:val="4F81BD" w:themeColor="accent1"/>
        </w:rPr>
        <w:t>Number of EPWP work opportunities created through construction projects</w:t>
      </w:r>
    </w:p>
    <w:p w14:paraId="4816CB6A" w14:textId="77777777" w:rsidR="008C2164" w:rsidRPr="008C2164" w:rsidRDefault="008C2164" w:rsidP="008C2164">
      <w:pPr>
        <w:pStyle w:val="Numbernormal"/>
        <w:numPr>
          <w:ilvl w:val="0"/>
          <w:numId w:val="15"/>
        </w:numPr>
        <w:ind w:left="567" w:hanging="567"/>
        <w:jc w:val="both"/>
        <w:rPr>
          <w:color w:val="000000" w:themeColor="text1"/>
        </w:rPr>
      </w:pPr>
      <w:bookmarkStart w:id="53" w:name="Back35"/>
      <w:bookmarkStart w:id="54" w:name="MROthermatter"/>
      <w:bookmarkEnd w:id="53"/>
      <w:bookmarkEnd w:id="54"/>
      <w:r w:rsidRPr="008C2164">
        <w:rPr>
          <w:color w:val="000000" w:themeColor="text1"/>
        </w:rPr>
        <w:t>The entity reported an achievement of 3 609 expanded public works programme (EPWP) work opportunities created through construction projects against a target of 8 200 in the annual performance report. However, the supporting evidence provided materially differed from the reported achievement.</w:t>
      </w:r>
    </w:p>
    <w:p w14:paraId="24871FE8" w14:textId="77777777" w:rsidR="007D37B9" w:rsidRPr="0077659B" w:rsidRDefault="007D37B9" w:rsidP="003B4632">
      <w:pPr>
        <w:pStyle w:val="Heading4"/>
        <w:jc w:val="both"/>
      </w:pPr>
      <w:r w:rsidRPr="0077659B">
        <w:t>Other</w:t>
      </w:r>
      <w:bookmarkStart w:id="55" w:name="Back14a"/>
      <w:bookmarkEnd w:id="55"/>
      <w:r w:rsidR="007E025B">
        <w:t xml:space="preserve"> matter</w:t>
      </w:r>
      <w:bookmarkStart w:id="56" w:name="Back36"/>
      <w:bookmarkEnd w:id="56"/>
      <w:r w:rsidR="001A1C0F">
        <w:t>s</w:t>
      </w:r>
    </w:p>
    <w:p w14:paraId="6EDFC864" w14:textId="77777777" w:rsidR="007D37B9" w:rsidRPr="0077659B" w:rsidRDefault="0009390C" w:rsidP="006306CE">
      <w:pPr>
        <w:pStyle w:val="Numbernormal"/>
        <w:numPr>
          <w:ilvl w:val="0"/>
          <w:numId w:val="15"/>
        </w:numPr>
        <w:ind w:left="567" w:hanging="567"/>
        <w:jc w:val="both"/>
      </w:pPr>
      <w:r w:rsidRPr="0077659B">
        <w:t xml:space="preserve">We </w:t>
      </w:r>
      <w:r w:rsidR="00B34D80">
        <w:t>draw attention to the matter</w:t>
      </w:r>
      <w:r w:rsidR="001A1C0F">
        <w:t>s</w:t>
      </w:r>
      <w:r w:rsidR="00B34D80">
        <w:t xml:space="preserve"> </w:t>
      </w:r>
      <w:r w:rsidR="007D37B9" w:rsidRPr="0077659B">
        <w:t xml:space="preserve">below. </w:t>
      </w:r>
      <w:r w:rsidRPr="0077659B">
        <w:t>Our</w:t>
      </w:r>
      <w:r w:rsidR="00B34D80">
        <w:t xml:space="preserve"> opinions are</w:t>
      </w:r>
      <w:r w:rsidR="007D37B9" w:rsidRPr="0077659B">
        <w:t xml:space="preserve"> not mod</w:t>
      </w:r>
      <w:r w:rsidR="00B34D80">
        <w:t>ified in respect of th</w:t>
      </w:r>
      <w:r w:rsidR="001A1C0F">
        <w:t>e</w:t>
      </w:r>
      <w:r w:rsidR="00B34D80">
        <w:t>s</w:t>
      </w:r>
      <w:r w:rsidR="001A1C0F">
        <w:t>e</w:t>
      </w:r>
      <w:r w:rsidR="00B34D80">
        <w:t xml:space="preserve"> matters</w:t>
      </w:r>
      <w:r w:rsidR="007D37B9" w:rsidRPr="0077659B">
        <w:t>.</w:t>
      </w:r>
    </w:p>
    <w:p w14:paraId="1A179E9D" w14:textId="77777777" w:rsidR="004127C3" w:rsidRPr="0077659B" w:rsidRDefault="004127C3" w:rsidP="003B4632">
      <w:pPr>
        <w:pStyle w:val="Heading5"/>
        <w:jc w:val="both"/>
      </w:pPr>
      <w:r w:rsidRPr="0077659B">
        <w:t>Achievement of planned targets</w:t>
      </w:r>
    </w:p>
    <w:p w14:paraId="172CB14C" w14:textId="77777777" w:rsidR="009B436F" w:rsidRDefault="004127C3" w:rsidP="006306CE">
      <w:pPr>
        <w:pStyle w:val="Numbernormal"/>
        <w:numPr>
          <w:ilvl w:val="0"/>
          <w:numId w:val="15"/>
        </w:numPr>
        <w:ind w:left="567" w:hanging="567"/>
        <w:jc w:val="both"/>
      </w:pPr>
      <w:r w:rsidRPr="0077659B">
        <w:t>Refer to th</w:t>
      </w:r>
      <w:r w:rsidR="00E41501">
        <w:t xml:space="preserve">e annual performance report on page(s) </w:t>
      </w:r>
      <w:r w:rsidR="00E41501" w:rsidRPr="00CD645F">
        <w:rPr>
          <w:highlight w:val="yellow"/>
        </w:rPr>
        <w:t>x to x; x to x</w:t>
      </w:r>
      <w:r w:rsidRPr="0077659B">
        <w:t xml:space="preserve"> for information on the achievement of planned targets for the year</w:t>
      </w:r>
      <w:r w:rsidR="00B527C9" w:rsidRPr="0077659B">
        <w:t xml:space="preserve"> and explanations provided</w:t>
      </w:r>
      <w:r w:rsidR="00B34D80">
        <w:t xml:space="preserve"> for the under/overachievement of a significant</w:t>
      </w:r>
      <w:r w:rsidR="00B527C9" w:rsidRPr="0077659B">
        <w:t xml:space="preserve"> number of targets.</w:t>
      </w:r>
      <w:r w:rsidRPr="0077659B">
        <w:t xml:space="preserve"> This information should be co</w:t>
      </w:r>
      <w:r w:rsidR="00E41501">
        <w:t xml:space="preserve">nsidered in the context of the </w:t>
      </w:r>
      <w:r w:rsidR="00E41501" w:rsidRPr="0077659B">
        <w:t xml:space="preserve">qualified </w:t>
      </w:r>
      <w:r w:rsidR="00E41501">
        <w:t xml:space="preserve">of </w:t>
      </w:r>
      <w:r w:rsidR="00651F93" w:rsidRPr="0077659B">
        <w:t>opinions</w:t>
      </w:r>
      <w:r w:rsidRPr="0077659B">
        <w:t xml:space="preserve"> expressed on the usefulness and reliability of the reported performance information in paragraph(s</w:t>
      </w:r>
      <w:r w:rsidRPr="00CD645F">
        <w:rPr>
          <w:highlight w:val="yellow"/>
        </w:rPr>
        <w:t>) [x; x; x]</w:t>
      </w:r>
      <w:r w:rsidRPr="0077659B">
        <w:t xml:space="preserve"> of this report</w:t>
      </w:r>
      <w:r w:rsidR="00C22528" w:rsidRPr="0077659B">
        <w:t>.</w:t>
      </w:r>
    </w:p>
    <w:p w14:paraId="289A764B" w14:textId="77777777" w:rsidR="001A1C0F" w:rsidRDefault="001A1C0F" w:rsidP="001A1C0F">
      <w:pPr>
        <w:pStyle w:val="Heading5"/>
        <w:jc w:val="both"/>
      </w:pPr>
      <w:r>
        <w:t>Adjustment of material misstatements</w:t>
      </w:r>
    </w:p>
    <w:p w14:paraId="48B8F23D" w14:textId="77777777" w:rsidR="001A1C0F" w:rsidRPr="0077659B" w:rsidRDefault="001A1C0F" w:rsidP="006306CE">
      <w:pPr>
        <w:pStyle w:val="Numbernormal"/>
        <w:numPr>
          <w:ilvl w:val="0"/>
          <w:numId w:val="15"/>
        </w:numPr>
        <w:ind w:hanging="643"/>
        <w:jc w:val="both"/>
      </w:pPr>
      <w:r>
        <w:t>I identified material misstatements in the annual performance report submitted for auditing. These material misstatements were in the reported performance information of Programme 3 – construction project management. As management subsequently corrected only some of the misstatements, I raised material findings on the usefulness and reliability of the reported performance information. Those that were not corrected are reported above.</w:t>
      </w:r>
    </w:p>
    <w:p w14:paraId="7A31E393" w14:textId="77777777" w:rsidR="007D37B9" w:rsidRPr="0077659B" w:rsidRDefault="007D37B9" w:rsidP="00FE551C">
      <w:pPr>
        <w:pStyle w:val="Heading4"/>
        <w:jc w:val="both"/>
      </w:pPr>
      <w:bookmarkStart w:id="57" w:name="MRResponsibilities"/>
      <w:bookmarkEnd w:id="57"/>
      <w:r w:rsidRPr="0077659B">
        <w:lastRenderedPageBreak/>
        <w:t xml:space="preserve">Responsibilities of </w:t>
      </w:r>
      <w:bookmarkStart w:id="58" w:name="_Toc257816773"/>
      <w:r w:rsidR="00E41501">
        <w:t xml:space="preserve">accounting officer on </w:t>
      </w:r>
      <w:bookmarkEnd w:id="58"/>
      <w:r w:rsidRPr="0077659B">
        <w:t xml:space="preserve">the reported performance information </w:t>
      </w:r>
    </w:p>
    <w:p w14:paraId="66F4814D" w14:textId="77777777" w:rsidR="007D37B9" w:rsidRPr="0077659B" w:rsidRDefault="00E41501" w:rsidP="006306CE">
      <w:pPr>
        <w:pStyle w:val="Numbernormal"/>
        <w:numPr>
          <w:ilvl w:val="0"/>
          <w:numId w:val="15"/>
        </w:numPr>
        <w:ind w:left="567" w:hanging="567"/>
        <w:jc w:val="both"/>
      </w:pPr>
      <w:r>
        <w:t>The accounting officer</w:t>
      </w:r>
      <w:r w:rsidR="007D37B9" w:rsidRPr="0077659B">
        <w:t xml:space="preserve"> is responsible for the preparation of the annual performance report in accordance with the prescribed performance management and reporting framework, as set out in </w:t>
      </w:r>
      <w:r w:rsidR="00453D1F" w:rsidRPr="0077659B">
        <w:t>a</w:t>
      </w:r>
      <w:r w:rsidR="00DB2251" w:rsidRPr="0077659B">
        <w:t>nnexure D</w:t>
      </w:r>
      <w:r w:rsidR="003D7E72" w:rsidRPr="0077659B">
        <w:t xml:space="preserve"> </w:t>
      </w:r>
      <w:r w:rsidR="00453D1F" w:rsidRPr="0077659B">
        <w:t xml:space="preserve">to </w:t>
      </w:r>
      <w:r w:rsidR="003D7E72" w:rsidRPr="0077659B">
        <w:t xml:space="preserve">this report </w:t>
      </w:r>
      <w:r w:rsidR="007D37B9" w:rsidRPr="0077659B">
        <w:t>and for such internal control</w:t>
      </w:r>
      <w:r>
        <w:t xml:space="preserve"> as the accounting officer</w:t>
      </w:r>
      <w:r w:rsidR="007F4B70" w:rsidRPr="0077659B">
        <w:rPr>
          <w:rStyle w:val="Hyperlink"/>
          <w:b/>
          <w:vertAlign w:val="superscript"/>
        </w:rPr>
        <w:t xml:space="preserve"> </w:t>
      </w:r>
      <w:r w:rsidR="007D37B9" w:rsidRPr="0077659B">
        <w:t>determines is necessary to enable the preparation of performance information that is free from material misstatement in terms of its usefulness and reliability.</w:t>
      </w:r>
    </w:p>
    <w:p w14:paraId="4D114D66" w14:textId="77777777" w:rsidR="007D37B9" w:rsidRPr="0077659B" w:rsidRDefault="007D37B9" w:rsidP="00FE551C">
      <w:pPr>
        <w:pStyle w:val="Heading4"/>
        <w:jc w:val="both"/>
      </w:pPr>
      <w:bookmarkStart w:id="59" w:name="X6"/>
      <w:bookmarkStart w:id="60" w:name="MRAGResponsibilities"/>
      <w:bookmarkStart w:id="61" w:name="_Toc257816774"/>
      <w:bookmarkEnd w:id="59"/>
      <w:bookmarkEnd w:id="60"/>
      <w:r w:rsidRPr="0077659B">
        <w:t>Auditor-general’s responsibilities for the reasonable assurance engagement on the reported performance information</w:t>
      </w:r>
      <w:bookmarkStart w:id="62" w:name="Back29"/>
      <w:bookmarkEnd w:id="61"/>
      <w:bookmarkEnd w:id="62"/>
      <w:r w:rsidRPr="0077659B">
        <w:t xml:space="preserve"> </w:t>
      </w:r>
    </w:p>
    <w:p w14:paraId="2BD32782" w14:textId="77777777" w:rsidR="007D37B9" w:rsidRPr="0077659B" w:rsidRDefault="0009390C" w:rsidP="006306CE">
      <w:pPr>
        <w:pStyle w:val="Numbernormal"/>
        <w:numPr>
          <w:ilvl w:val="0"/>
          <w:numId w:val="15"/>
        </w:numPr>
        <w:ind w:left="567" w:hanging="567"/>
        <w:jc w:val="both"/>
      </w:pPr>
      <w:r w:rsidRPr="0077659B">
        <w:t>Our</w:t>
      </w:r>
      <w:r w:rsidR="007D37B9" w:rsidRPr="0077659B">
        <w:t xml:space="preserve"> objectives are to obtain reasonable assurance about whether the reported performanc</w:t>
      </w:r>
      <w:r w:rsidR="00CF6863">
        <w:t>e information for the selected programmes</w:t>
      </w:r>
      <w:r w:rsidR="007D37B9" w:rsidRPr="0077659B">
        <w:t xml:space="preserve"> presented in the annual performance report is free from material misstatement and to issue a</w:t>
      </w:r>
      <w:r w:rsidR="002812BF" w:rsidRPr="0077659B">
        <w:t xml:space="preserve"> management </w:t>
      </w:r>
      <w:r w:rsidR="007D37B9" w:rsidRPr="0077659B">
        <w:t xml:space="preserve">report that includes </w:t>
      </w:r>
      <w:r w:rsidRPr="0077659B">
        <w:t xml:space="preserve">our </w:t>
      </w:r>
      <w:r w:rsidR="00CF6863">
        <w:t>opinion</w:t>
      </w:r>
      <w:r w:rsidR="007D37B9" w:rsidRPr="0077659B">
        <w:t>. Reasonable assurance is a high level of assurance, but is not a 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5E9F7DD1" w14:textId="77777777" w:rsidR="007D37B9" w:rsidRPr="0077659B" w:rsidRDefault="0009390C" w:rsidP="006306CE">
      <w:pPr>
        <w:pStyle w:val="Numbernormal"/>
        <w:numPr>
          <w:ilvl w:val="0"/>
          <w:numId w:val="15"/>
        </w:numPr>
        <w:ind w:left="567" w:hanging="567"/>
        <w:jc w:val="both"/>
      </w:pPr>
      <w:r w:rsidRPr="0077659B">
        <w:t>Our</w:t>
      </w:r>
      <w:r w:rsidR="007D37B9" w:rsidRPr="0077659B">
        <w:t xml:space="preserve"> procedures address the </w:t>
      </w:r>
      <w:r w:rsidR="00AB361A" w:rsidRPr="0077659B">
        <w:rPr>
          <w:rFonts w:eastAsia="MS Mincho"/>
          <w:lang w:eastAsia="ja-JP"/>
        </w:rPr>
        <w:t xml:space="preserve">usefulness and reliability of the </w:t>
      </w:r>
      <w:r w:rsidR="007D37B9" w:rsidRPr="0077659B">
        <w:t>reported performance information, which must be based on the approved performance planning d</w:t>
      </w:r>
      <w:r w:rsidR="00CF6863">
        <w:t>ocuments of the trading entity</w:t>
      </w:r>
      <w:r w:rsidR="007D37B9" w:rsidRPr="0077659B">
        <w:t xml:space="preserve">. </w:t>
      </w:r>
      <w:r w:rsidRPr="0077659B">
        <w:t xml:space="preserve">We </w:t>
      </w:r>
      <w:r w:rsidR="007D37B9" w:rsidRPr="0077659B">
        <w:t>have not evaluated the appr</w:t>
      </w:r>
      <w:r w:rsidR="00CF6863">
        <w:t xml:space="preserve">opriateness of the performance indicators measures </w:t>
      </w:r>
      <w:r w:rsidR="007D37B9" w:rsidRPr="0077659B">
        <w:t xml:space="preserve">established and included in the planning documents. </w:t>
      </w:r>
      <w:r w:rsidRPr="0077659B">
        <w:t>Our</w:t>
      </w:r>
      <w:r w:rsidR="007D37B9" w:rsidRPr="0077659B">
        <w:t xml:space="preserve"> procedures </w:t>
      </w:r>
      <w:r w:rsidR="00AB361A" w:rsidRPr="0077659B">
        <w:t>do not examine whether the actio</w:t>
      </w:r>
      <w:r w:rsidR="00CF6863">
        <w:t xml:space="preserve">ns taken by the trading entity </w:t>
      </w:r>
      <w:r w:rsidR="00AB361A" w:rsidRPr="0077659B">
        <w:t xml:space="preserve">enabled service delivery. Our procedures </w:t>
      </w:r>
      <w:r w:rsidR="00F44349" w:rsidRPr="0077659B">
        <w:t xml:space="preserve">also </w:t>
      </w:r>
      <w:r w:rsidR="007D37B9" w:rsidRPr="0077659B">
        <w:t>d</w:t>
      </w:r>
      <w:r w:rsidR="00AB361A" w:rsidRPr="0077659B">
        <w:t>o</w:t>
      </w:r>
      <w:r w:rsidR="007D37B9" w:rsidRPr="0077659B">
        <w:t xml:space="preserve"> not extend to any disclosures or assertions relating to planned performance strategies and information relating to future periods that may be included as part of the reported performance. Accordingly, </w:t>
      </w:r>
      <w:r w:rsidRPr="0077659B">
        <w:t>our</w:t>
      </w:r>
      <w:r w:rsidR="007D37B9" w:rsidRPr="0077659B">
        <w:t xml:space="preserve"> opinion does not extend to these matters.</w:t>
      </w:r>
      <w:r w:rsidR="007D37B9" w:rsidRPr="0077659B">
        <w:rPr>
          <w:rFonts w:eastAsia="MS Mincho"/>
          <w:lang w:eastAsia="ja-JP"/>
        </w:rPr>
        <w:t xml:space="preserve"> </w:t>
      </w:r>
    </w:p>
    <w:p w14:paraId="27AAA1BB" w14:textId="77777777" w:rsidR="00DD1780" w:rsidRPr="00BB6EEC" w:rsidRDefault="007D37B9" w:rsidP="006306CE">
      <w:pPr>
        <w:pStyle w:val="Numbernormal"/>
        <w:numPr>
          <w:ilvl w:val="0"/>
          <w:numId w:val="15"/>
        </w:numPr>
        <w:ind w:left="567" w:hanging="567"/>
        <w:jc w:val="both"/>
      </w:pPr>
      <w:bookmarkStart w:id="63" w:name="MRDelete11"/>
      <w:bookmarkStart w:id="64" w:name="E14BBack"/>
      <w:bookmarkEnd w:id="63"/>
      <w:bookmarkEnd w:id="64"/>
      <w:r w:rsidRPr="0077659B">
        <w:t xml:space="preserve">A further description of </w:t>
      </w:r>
      <w:r w:rsidR="0009390C" w:rsidRPr="0077659B">
        <w:t>our</w:t>
      </w:r>
      <w:r w:rsidRPr="0077659B">
        <w:t xml:space="preserve"> responsibilities for the reasonable assurance engagement on reported performance information is inclu</w:t>
      </w:r>
      <w:r w:rsidR="003D7E72" w:rsidRPr="0077659B">
        <w:t xml:space="preserve">ded in </w:t>
      </w:r>
      <w:bookmarkStart w:id="65" w:name="AnnexureEback"/>
      <w:bookmarkEnd w:id="65"/>
      <w:r w:rsidR="000262C0" w:rsidRPr="0077659B">
        <w:t>a</w:t>
      </w:r>
      <w:r w:rsidR="00DB2251" w:rsidRPr="0077659B">
        <w:t>nnexure E</w:t>
      </w:r>
      <w:r w:rsidR="003D7E72" w:rsidRPr="0077659B">
        <w:t xml:space="preserve"> </w:t>
      </w:r>
      <w:r w:rsidR="000262C0" w:rsidRPr="0077659B">
        <w:t>to</w:t>
      </w:r>
      <w:r w:rsidR="003D7E72" w:rsidRPr="0077659B">
        <w:t xml:space="preserve"> this report</w:t>
      </w:r>
      <w:r w:rsidRPr="00BB6EEC">
        <w:t>.</w:t>
      </w:r>
      <w:r w:rsidR="00C71E23" w:rsidRPr="00BB6EEC">
        <w:t xml:space="preserve"> </w:t>
      </w:r>
      <w:bookmarkStart w:id="66" w:name="X7"/>
      <w:bookmarkStart w:id="67" w:name="Back30"/>
      <w:bookmarkStart w:id="68" w:name="MRLInsertprogramme"/>
      <w:bookmarkStart w:id="69" w:name="back17b"/>
      <w:bookmarkStart w:id="70" w:name="Back31"/>
      <w:bookmarkStart w:id="71" w:name="X8"/>
      <w:bookmarkStart w:id="72" w:name="MRLConclusion"/>
      <w:bookmarkStart w:id="73" w:name="Back32"/>
      <w:bookmarkStart w:id="74" w:name="ZZ4"/>
      <w:bookmarkStart w:id="75" w:name="E4a"/>
      <w:bookmarkStart w:id="76" w:name="X9"/>
      <w:bookmarkStart w:id="77" w:name="MRLBasis"/>
      <w:bookmarkStart w:id="78" w:name="MRLOthermatter"/>
      <w:bookmarkStart w:id="79" w:name="MRLResponsibilities"/>
      <w:bookmarkStart w:id="80" w:name="X10"/>
      <w:bookmarkStart w:id="81" w:name="MRLAGResponsibilities"/>
      <w:bookmarkStart w:id="82" w:name="NewAOPOSummary"/>
      <w:bookmarkStart w:id="83" w:name="Summary_audit_conclusion"/>
      <w:bookmarkStart w:id="84" w:name="Basis_for_qualified_adverse_disclaimer"/>
      <w:bookmarkStart w:id="85" w:name="AoPO1"/>
      <w:bookmarkStart w:id="86" w:name="AoPO2"/>
      <w:bookmarkStart w:id="87" w:name="Usefulness_of_APR"/>
      <w:bookmarkStart w:id="88" w:name="Presentation_2"/>
      <w:bookmarkStart w:id="89" w:name="AoPO3"/>
      <w:bookmarkStart w:id="90" w:name="Ch5_1"/>
      <w:bookmarkStart w:id="91" w:name="Consistency_3"/>
      <w:bookmarkStart w:id="92" w:name="NewBasis2"/>
      <w:bookmarkStart w:id="93" w:name="Ch5_2"/>
      <w:bookmarkStart w:id="94" w:name="Measurability_1"/>
      <w:bookmarkStart w:id="95" w:name="Ch5_3"/>
      <w:bookmarkStart w:id="96" w:name="Relevance"/>
      <w:bookmarkStart w:id="97" w:name="Ch5_4"/>
      <w:bookmarkStart w:id="98" w:name="AOPO4"/>
      <w:bookmarkStart w:id="99" w:name="Ch5_5"/>
      <w:bookmarkStart w:id="100" w:name="AoPO5"/>
      <w:bookmarkStart w:id="101" w:name="AoPO6"/>
      <w:bookmarkStart w:id="102" w:name="Ch5_6"/>
      <w:bookmarkStart w:id="103" w:name="Reliability"/>
      <w:bookmarkStart w:id="104" w:name="Validity"/>
      <w:bookmarkStart w:id="105" w:name="Accuracy_1"/>
      <w:bookmarkStart w:id="106" w:name="Completeness_2"/>
      <w:bookmarkStart w:id="107" w:name="Reliability1"/>
      <w:bookmarkStart w:id="108" w:name="Ch5_7"/>
      <w:bookmarkStart w:id="109" w:name="Adverse_conclusion_1"/>
      <w:bookmarkStart w:id="110" w:name="AoPO7"/>
      <w:bookmarkStart w:id="111" w:name="Material_adjustments_1"/>
      <w:bookmarkStart w:id="112" w:name="Ch5_8"/>
      <w:bookmarkStart w:id="113" w:name="Ch5_9"/>
      <w:bookmarkStart w:id="114" w:name="back15"/>
      <w:bookmarkStart w:id="115" w:name="_Toc44710659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580B3E80" w14:textId="77777777" w:rsidR="00C22F2B" w:rsidRPr="00BB6EEC" w:rsidRDefault="00BA71FA" w:rsidP="00FE551C">
      <w:pPr>
        <w:pStyle w:val="Heading3"/>
        <w:jc w:val="both"/>
        <w:rPr>
          <w:lang w:val="en-ZA"/>
        </w:rPr>
      </w:pPr>
      <w:bookmarkStart w:id="116" w:name="_Toc53608722"/>
      <w:r w:rsidRPr="00BB6EEC">
        <w:rPr>
          <w:lang w:val="en-ZA"/>
        </w:rPr>
        <w:t xml:space="preserve">AUDIT OF </w:t>
      </w:r>
      <w:r w:rsidR="00C22F2B" w:rsidRPr="00BB6EEC">
        <w:rPr>
          <w:lang w:val="en-ZA"/>
        </w:rPr>
        <w:t>COMPLIANCE WITH LEGISLATION</w:t>
      </w:r>
      <w:bookmarkEnd w:id="115"/>
      <w:bookmarkEnd w:id="116"/>
    </w:p>
    <w:p w14:paraId="42699DD9" w14:textId="77777777" w:rsidR="00C22F2B" w:rsidRDefault="00C22F2B" w:rsidP="006306CE">
      <w:pPr>
        <w:pStyle w:val="Numbernormal"/>
        <w:numPr>
          <w:ilvl w:val="0"/>
          <w:numId w:val="15"/>
        </w:numPr>
        <w:ind w:left="567" w:hanging="567"/>
        <w:jc w:val="both"/>
      </w:pPr>
      <w:r w:rsidRPr="0077659B">
        <w:t>Included below are material findings on compliance with selected specific requirements of applicable legislation, as set out in the general notice</w:t>
      </w:r>
      <w:r w:rsidR="004F04B4">
        <w:t xml:space="preserve"> issued in terms of the PAA.</w:t>
      </w:r>
    </w:p>
    <w:p w14:paraId="68D97681" w14:textId="77777777" w:rsidR="00A62B46" w:rsidRPr="0077659B" w:rsidRDefault="00A62B46" w:rsidP="00A62B46">
      <w:pPr>
        <w:pStyle w:val="Heading4"/>
        <w:jc w:val="both"/>
      </w:pPr>
      <w:r>
        <w:t>Annual Financial Statements</w:t>
      </w:r>
    </w:p>
    <w:p w14:paraId="29DAD546" w14:textId="1F6F4318" w:rsidR="00A62B46" w:rsidRPr="0077659B" w:rsidRDefault="00A62B46">
      <w:pPr>
        <w:pStyle w:val="Numbernormal"/>
        <w:numPr>
          <w:ilvl w:val="0"/>
          <w:numId w:val="15"/>
        </w:numPr>
        <w:ind w:left="567" w:hanging="567"/>
        <w:jc w:val="both"/>
      </w:pPr>
      <w:r>
        <w:t xml:space="preserve">The financial statements submitted for auditing were not prepared in accordance with the prescribed financial reporting framework in certain instances, and supported by full and proper records as required by section 40(1) (a) and (b) of the PFMA. Material misstatements identified by the auditors in the submitted financial statements were not adequately corrected and the supporting records could not be provided subsequently, which resulted in the financial statements receiving a </w:t>
      </w:r>
      <w:r w:rsidR="00D82150">
        <w:t>qualified</w:t>
      </w:r>
      <w:r>
        <w:t xml:space="preserve"> audit opinion.</w:t>
      </w:r>
    </w:p>
    <w:p w14:paraId="4B34AA2F" w14:textId="77777777" w:rsidR="00C22F2B" w:rsidRDefault="004F04B4" w:rsidP="00A62B46">
      <w:pPr>
        <w:pStyle w:val="Heading4"/>
        <w:jc w:val="both"/>
      </w:pPr>
      <w:bookmarkStart w:id="117" w:name="_Toc447106598"/>
      <w:r>
        <w:t>Expenditure management</w:t>
      </w:r>
      <w:bookmarkEnd w:id="117"/>
    </w:p>
    <w:p w14:paraId="3443308A" w14:textId="77777777" w:rsidR="00DF6344" w:rsidRPr="00DF6344" w:rsidRDefault="00DF6344" w:rsidP="00DF6344">
      <w:pPr>
        <w:numPr>
          <w:ilvl w:val="0"/>
          <w:numId w:val="15"/>
        </w:numPr>
        <w:shd w:val="clear" w:color="auto" w:fill="FFFFFF"/>
        <w:spacing w:before="120"/>
        <w:ind w:left="567" w:hanging="567"/>
        <w:jc w:val="both"/>
        <w:rPr>
          <w:rFonts w:eastAsia="Calibri" w:cs="Arial"/>
        </w:rPr>
      </w:pPr>
      <w:r w:rsidRPr="00DF6344">
        <w:rPr>
          <w:rFonts w:eastAsia="Calibri" w:cs="Arial"/>
        </w:rPr>
        <w:t xml:space="preserve">Effective and appropriate steps were not taken to prevent irregular expenditure, as required by section 38(1)(c)(ii) of the PFMA and treasury regulation 9.1.1. The value, as disclosed in note 32 to the financial statements, is not complete as management was still in the process of quantifying the full extent of the irregular expenditure. The majority of the irregular expenditure </w:t>
      </w:r>
      <w:r w:rsidRPr="00DF6344">
        <w:rPr>
          <w:rFonts w:eastAsia="Calibri" w:cs="Arial"/>
        </w:rPr>
        <w:lastRenderedPageBreak/>
        <w:t>was due to irregularities noted on extension of contracts and irregular supply chain management processes followed in appointing suppliers.</w:t>
      </w:r>
    </w:p>
    <w:p w14:paraId="2EFED6D4"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Effective internal controls were not in place for approval and processing of payments, as required by treasury regulation 8.1.1.</w:t>
      </w:r>
    </w:p>
    <w:p w14:paraId="018458AA" w14:textId="1789679A"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I</w:t>
      </w:r>
      <w:r w:rsidR="00454657">
        <w:rPr>
          <w:rFonts w:eastAsia="Calibri" w:cs="Arial"/>
        </w:rPr>
        <w:t xml:space="preserve">n certain instances, resources of the trading entity were not utilised economically, </w:t>
      </w:r>
      <w:r w:rsidRPr="00A62B46">
        <w:rPr>
          <w:rFonts w:eastAsia="Calibri" w:cs="Arial"/>
        </w:rPr>
        <w:t>as required by section 38(1)(b) of the PFMA.</w:t>
      </w:r>
    </w:p>
    <w:p w14:paraId="4D4A1679" w14:textId="110D7361"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Payments were not made within 30 days or an agreed period after receipt of an invoice</w:t>
      </w:r>
      <w:r w:rsidR="00454657">
        <w:rPr>
          <w:rFonts w:eastAsia="Calibri" w:cs="Arial"/>
        </w:rPr>
        <w:t xml:space="preserve"> in certain instances</w:t>
      </w:r>
      <w:r w:rsidRPr="00A62B46">
        <w:rPr>
          <w:rFonts w:eastAsia="Calibri" w:cs="Arial"/>
        </w:rPr>
        <w:t>, as required by treasury regulation 8.2.3</w:t>
      </w:r>
    </w:p>
    <w:p w14:paraId="2E4CF9F3" w14:textId="26B60509" w:rsidR="00A62B46" w:rsidRPr="00A62B46" w:rsidRDefault="00454657" w:rsidP="006306CE">
      <w:pPr>
        <w:numPr>
          <w:ilvl w:val="0"/>
          <w:numId w:val="15"/>
        </w:numPr>
        <w:shd w:val="clear" w:color="auto" w:fill="FFFFFF"/>
        <w:spacing w:before="120"/>
        <w:ind w:left="567" w:hanging="567"/>
        <w:jc w:val="both"/>
        <w:rPr>
          <w:rFonts w:eastAsia="Calibri" w:cs="Arial"/>
        </w:rPr>
      </w:pPr>
      <w:r w:rsidRPr="00A62B46">
        <w:rPr>
          <w:rFonts w:eastAsia="Calibri" w:cs="Arial"/>
        </w:rPr>
        <w:t>I</w:t>
      </w:r>
      <w:r>
        <w:rPr>
          <w:rFonts w:eastAsia="Calibri" w:cs="Arial"/>
        </w:rPr>
        <w:t>n certain instances, p</w:t>
      </w:r>
      <w:r w:rsidR="00A62B46" w:rsidRPr="00A62B46">
        <w:rPr>
          <w:rFonts w:eastAsia="Calibri" w:cs="Arial"/>
        </w:rPr>
        <w:t>ayments were made before services were received with respect to operating leases, in contravention of treasury regulation 15.10.1.2(c).</w:t>
      </w:r>
    </w:p>
    <w:p w14:paraId="5A1DA3FC" w14:textId="77777777" w:rsidR="000F25AA" w:rsidRDefault="000F25AA" w:rsidP="00A62B46">
      <w:pPr>
        <w:pStyle w:val="Heading4"/>
        <w:jc w:val="both"/>
      </w:pPr>
      <w:r w:rsidRPr="00E041BA">
        <w:t>Procurement and contract management</w:t>
      </w:r>
    </w:p>
    <w:p w14:paraId="3E28EA0A" w14:textId="77777777" w:rsidR="00B86F40"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In certain instances, some of the contracts were not awarded in an economical manner and the prices of the goods and services were not reasonable as required by PFMA 38(1)(b) and PFMA 45(b).</w:t>
      </w:r>
    </w:p>
    <w:p w14:paraId="42A76643" w14:textId="77777777" w:rsidR="00A266A2" w:rsidRPr="00BB6EEC" w:rsidRDefault="0043232E" w:rsidP="00A3735E">
      <w:pPr>
        <w:pStyle w:val="Heading3"/>
        <w:rPr>
          <w:lang w:val="en-ZA"/>
        </w:rPr>
      </w:pPr>
      <w:bookmarkStart w:id="118" w:name="_Toc53608723"/>
      <w:r w:rsidRPr="00BB6EEC">
        <w:rPr>
          <w:lang w:val="en-ZA"/>
        </w:rPr>
        <w:t>OTHER INFORMATION</w:t>
      </w:r>
      <w:bookmarkEnd w:id="118"/>
    </w:p>
    <w:p w14:paraId="2B0AF002" w14:textId="77777777" w:rsidR="00A266A2" w:rsidRPr="0077659B" w:rsidRDefault="0037708D" w:rsidP="006306CE">
      <w:pPr>
        <w:pStyle w:val="Numbernormal"/>
        <w:numPr>
          <w:ilvl w:val="0"/>
          <w:numId w:val="15"/>
        </w:numPr>
        <w:jc w:val="both"/>
      </w:pPr>
      <w:r>
        <w:t xml:space="preserve">The </w:t>
      </w:r>
      <w:r w:rsidR="00904D91" w:rsidRPr="0077659B">
        <w:t xml:space="preserve">accounting </w:t>
      </w:r>
      <w:r>
        <w:t>office</w:t>
      </w:r>
      <w:r w:rsidR="00A266A2" w:rsidRPr="0077659B">
        <w:t xml:space="preserve"> is responsible for the other information. The other information comprises the information included in the annual </w:t>
      </w:r>
      <w:r w:rsidRPr="0077659B">
        <w:t>report.</w:t>
      </w:r>
      <w:r w:rsidR="00A266A2" w:rsidRPr="0077659B">
        <w:t xml:space="preserve"> The other information does not include </w:t>
      </w:r>
      <w:r>
        <w:t xml:space="preserve">the </w:t>
      </w:r>
      <w:r w:rsidR="00A266A2" w:rsidRPr="0077659B">
        <w:t xml:space="preserve">financial statements, the auditor’s report and those </w:t>
      </w:r>
      <w:r w:rsidR="00B83EEB">
        <w:t>selected programmes</w:t>
      </w:r>
      <w:r w:rsidR="00A266A2" w:rsidRPr="0077659B">
        <w:t xml:space="preserve"> presented in the annual performance report that have been specifically reported on in the auditor’s report. </w:t>
      </w:r>
    </w:p>
    <w:p w14:paraId="5DA64422" w14:textId="77777777" w:rsidR="00A266A2" w:rsidRPr="0077659B" w:rsidRDefault="000809AC" w:rsidP="006306CE">
      <w:pPr>
        <w:pStyle w:val="Numbernormal"/>
        <w:numPr>
          <w:ilvl w:val="0"/>
          <w:numId w:val="15"/>
        </w:numPr>
        <w:jc w:val="both"/>
      </w:pPr>
      <w:r w:rsidRPr="0077659B">
        <w:t>Our</w:t>
      </w:r>
      <w:r w:rsidR="00A266A2" w:rsidRPr="0077659B">
        <w:t xml:space="preserve"> opinion on the financial statements and findings on the reported performance information</w:t>
      </w:r>
      <w:r w:rsidR="0037708D">
        <w:t xml:space="preserve"> </w:t>
      </w:r>
      <w:r w:rsidR="00A266A2" w:rsidRPr="0077659B">
        <w:t xml:space="preserve">and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14:paraId="4E90AA29" w14:textId="77777777" w:rsidR="00A266A2" w:rsidRPr="0077659B" w:rsidRDefault="00A266A2" w:rsidP="006306CE">
      <w:pPr>
        <w:pStyle w:val="Numbernormal"/>
        <w:numPr>
          <w:ilvl w:val="0"/>
          <w:numId w:val="15"/>
        </w:numPr>
        <w:jc w:val="both"/>
      </w:pPr>
      <w:r w:rsidRPr="0077659B">
        <w:t xml:space="preserve">In connection with </w:t>
      </w:r>
      <w:r w:rsidR="00934A8F" w:rsidRPr="0077659B">
        <w:t xml:space="preserve">our </w:t>
      </w:r>
      <w:r w:rsidRPr="0077659B">
        <w:t xml:space="preserve">audit, </w:t>
      </w:r>
      <w:r w:rsidR="00934A8F" w:rsidRPr="0077659B">
        <w:t xml:space="preserve">our </w:t>
      </w:r>
      <w:r w:rsidRPr="0077659B">
        <w:t xml:space="preserve">responsibility is to read the other information and, in doing so, consider whether the other information is materially inconsistent with </w:t>
      </w:r>
      <w:r w:rsidR="0037708D">
        <w:t xml:space="preserve">the </w:t>
      </w:r>
      <w:r w:rsidRPr="0077659B">
        <w:t>financi</w:t>
      </w:r>
      <w:r w:rsidR="0037708D">
        <w:t xml:space="preserve">al statements and the selected programmes </w:t>
      </w:r>
      <w:r w:rsidRPr="0077659B">
        <w:t>presented in the annual performance report</w:t>
      </w:r>
      <w:r w:rsidR="00325162" w:rsidRPr="0077659B">
        <w:t>,</w:t>
      </w:r>
      <w:r w:rsidR="0037708D" w:rsidRPr="0077659B">
        <w:t xml:space="preserve"> </w:t>
      </w:r>
      <w:r w:rsidRPr="0077659B">
        <w:t xml:space="preserve">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119" w:name="Other_information"/>
      <w:bookmarkEnd w:id="119"/>
    </w:p>
    <w:p w14:paraId="1EDCD09F" w14:textId="77777777" w:rsidR="00934A8F" w:rsidRDefault="0037708D" w:rsidP="006306CE">
      <w:pPr>
        <w:pStyle w:val="Numbernormal"/>
        <w:numPr>
          <w:ilvl w:val="0"/>
          <w:numId w:val="15"/>
        </w:numPr>
        <w:jc w:val="both"/>
      </w:pPr>
      <w:bookmarkStart w:id="120" w:name="OI1"/>
      <w:bookmarkEnd w:id="120"/>
      <w:r>
        <w:t>I did not receive the other information prior to the date of this auditor’s report. When I do receive and read this information, if I conclude that there is a material misstatement therein, I am required to communicate the matter to those charged with governance and request that the other information be corrected. If the other information is not corrected, I may have to retract this auditor’s report and re-issue an amended report as appropriate. however, if it is corrected this will not be necessary</w:t>
      </w:r>
      <w:r w:rsidR="001A1C0F">
        <w:t>.</w:t>
      </w:r>
    </w:p>
    <w:p w14:paraId="56065D4E" w14:textId="2DC8A28E" w:rsidR="001A1C0F" w:rsidRPr="0077659B" w:rsidRDefault="001A1C0F" w:rsidP="001A1C0F">
      <w:pPr>
        <w:pStyle w:val="Numbernormal"/>
        <w:jc w:val="both"/>
      </w:pPr>
    </w:p>
    <w:p w14:paraId="4D364A42" w14:textId="77777777" w:rsidR="00C22F2B" w:rsidRPr="00BB6EEC" w:rsidRDefault="00C22F2B" w:rsidP="00A3735E">
      <w:pPr>
        <w:pStyle w:val="Heading3"/>
        <w:rPr>
          <w:lang w:val="en-ZA"/>
        </w:rPr>
      </w:pPr>
      <w:bookmarkStart w:id="121" w:name="_Toc447106599"/>
      <w:bookmarkStart w:id="122" w:name="_Toc53608724"/>
      <w:r w:rsidRPr="00BB6EEC">
        <w:rPr>
          <w:lang w:val="en-ZA"/>
        </w:rPr>
        <w:t>INTERNAL CONTROL</w:t>
      </w:r>
      <w:r w:rsidR="008E1830" w:rsidRPr="00BB6EEC">
        <w:rPr>
          <w:lang w:val="en-ZA"/>
        </w:rPr>
        <w:t>S</w:t>
      </w:r>
      <w:bookmarkEnd w:id="121"/>
      <w:bookmarkEnd w:id="122"/>
    </w:p>
    <w:p w14:paraId="36CBA669" w14:textId="77777777" w:rsidR="00C22F2B" w:rsidRPr="0077659B" w:rsidRDefault="00B130D0" w:rsidP="006306CE">
      <w:pPr>
        <w:pStyle w:val="Numbernormal"/>
        <w:numPr>
          <w:ilvl w:val="0"/>
          <w:numId w:val="15"/>
        </w:numPr>
        <w:jc w:val="both"/>
      </w:pPr>
      <w:bookmarkStart w:id="123" w:name="S2E16"/>
      <w:bookmarkStart w:id="124" w:name="S5E17"/>
      <w:bookmarkStart w:id="125" w:name="Controlfigure"/>
      <w:bookmarkEnd w:id="123"/>
      <w:bookmarkEnd w:id="124"/>
      <w:bookmarkEnd w:id="125"/>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37708D">
        <w:t>paragraph x,</w:t>
      </w:r>
      <w:r w:rsidRPr="0077659B">
        <w:t xml:space="preserve">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14:paraId="3DBBDB38" w14:textId="77777777" w:rsidR="00953B4C" w:rsidRPr="00837BBD" w:rsidRDefault="001F4789" w:rsidP="007435D9">
      <w:pPr>
        <w:pStyle w:val="Heading4"/>
        <w:jc w:val="both"/>
      </w:pPr>
      <w:bookmarkStart w:id="126" w:name="IC1"/>
      <w:bookmarkEnd w:id="126"/>
      <w:r w:rsidRPr="0077659B">
        <w:lastRenderedPageBreak/>
        <w:t>Leadership</w:t>
      </w:r>
    </w:p>
    <w:p w14:paraId="6AD5BB59" w14:textId="77777777" w:rsidR="00FC16A3" w:rsidRPr="0077659B" w:rsidRDefault="00FC16A3" w:rsidP="00C743D7">
      <w:pPr>
        <w:pStyle w:val="Heading5"/>
        <w:jc w:val="both"/>
        <w:rPr>
          <w:rFonts w:eastAsia="MS Mincho"/>
        </w:rPr>
      </w:pPr>
      <w:r w:rsidRPr="0077659B">
        <w:rPr>
          <w:rFonts w:eastAsia="MS Mincho"/>
        </w:rPr>
        <w:t>Effective leadership culture</w:t>
      </w:r>
    </w:p>
    <w:p w14:paraId="24813487" w14:textId="55FF8B2F" w:rsidR="005720C4" w:rsidRPr="005720C4" w:rsidRDefault="005720C4" w:rsidP="006306CE">
      <w:pPr>
        <w:pStyle w:val="Numbernormal"/>
        <w:numPr>
          <w:ilvl w:val="0"/>
          <w:numId w:val="15"/>
        </w:numPr>
        <w:jc w:val="both"/>
      </w:pPr>
      <w:r w:rsidRPr="005720C4">
        <w:t>We commend the leadersh</w:t>
      </w:r>
      <w:r>
        <w:t>ip of the entity</w:t>
      </w:r>
      <w:r w:rsidRPr="005720C4">
        <w:t xml:space="preserve"> for the demonstrated commitment to preventative controls around material irregularities which is evident by the numerous sessions that the members of the executive committee had on PAA amendments to bring about awareness of the implications of PAA. We however</w:t>
      </w:r>
      <w:r>
        <w:t xml:space="preserve"> note with concern that the </w:t>
      </w:r>
      <w:r w:rsidRPr="005720C4">
        <w:t>leadership was implicated in the invest</w:t>
      </w:r>
      <w:r>
        <w:t>igation report on Beitbridge</w:t>
      </w:r>
      <w:r w:rsidRPr="005720C4">
        <w:t xml:space="preserve"> where the leadership members contributed to the non-compliance</w:t>
      </w:r>
      <w:r w:rsidR="0096631A">
        <w:t xml:space="preserve"> which resulted in irregular expenditure as disclosed in the notes for irregular expenditure.</w:t>
      </w:r>
      <w:r w:rsidRPr="005720C4">
        <w:t>. In addition, the Public Service Commission investigation report which was completed in the current year also cited senior management which were irregularly appointed which further resulted in irregular expendi</w:t>
      </w:r>
      <w:r>
        <w:t>ture incurred by the entity</w:t>
      </w:r>
      <w:r w:rsidRPr="005720C4">
        <w:t>. This lack of effective leadership culture sets an unwanted tone of non-compliance which may permeate throughout the department and its trading entity trading entity.</w:t>
      </w:r>
    </w:p>
    <w:p w14:paraId="0BC8E7CD" w14:textId="77777777" w:rsidR="005720C4" w:rsidRPr="00837BBD" w:rsidRDefault="005720C4" w:rsidP="006306CE">
      <w:pPr>
        <w:pStyle w:val="Numbernormal"/>
        <w:numPr>
          <w:ilvl w:val="0"/>
          <w:numId w:val="15"/>
        </w:numPr>
        <w:jc w:val="both"/>
      </w:pPr>
      <w:r w:rsidRPr="005720C4">
        <w:t>We have noted from our review of the work of internal audit as well as the review of progress in implementation of action plans that management has, in some instances, been slow to respond to the findings of internal audit (which also incorporates follow ups on finding raised by external audit), or not committed to timeous submission of the information as requested by internal audit. Consequently, the reports of internal audit in most instances cite findings relating to limitation of scope where information requested by internal audit is not always provided by management to enable the internal audit function to provide full assurance that will strengthen the operating effectiveness of int</w:t>
      </w:r>
      <w:r>
        <w:t>ernal controls of the entity</w:t>
      </w:r>
      <w:r w:rsidRPr="005720C4">
        <w:t>. The internal audit unit will not be having the desired impact on control until management prioritises their findings, and embraces the value of preventative controls.</w:t>
      </w:r>
    </w:p>
    <w:p w14:paraId="35716543" w14:textId="77777777" w:rsidR="007C0082" w:rsidRPr="007435D9" w:rsidRDefault="00B02276" w:rsidP="00C743D7">
      <w:pPr>
        <w:pStyle w:val="Heading5"/>
        <w:jc w:val="both"/>
        <w:rPr>
          <w:rFonts w:eastAsia="MS Mincho"/>
        </w:rPr>
      </w:pPr>
      <w:r w:rsidRPr="0077659B">
        <w:rPr>
          <w:rFonts w:eastAsia="MS Mincho"/>
        </w:rPr>
        <w:t>Oversight responsibility</w:t>
      </w:r>
    </w:p>
    <w:p w14:paraId="5A46813F" w14:textId="6E8B460C" w:rsidR="00452BCD" w:rsidRDefault="00452BCD" w:rsidP="006306CE">
      <w:pPr>
        <w:pStyle w:val="Numbernormal"/>
        <w:numPr>
          <w:ilvl w:val="0"/>
          <w:numId w:val="15"/>
        </w:numPr>
        <w:jc w:val="both"/>
      </w:pPr>
      <w:r>
        <w:t>T</w:t>
      </w:r>
      <w:r w:rsidRPr="004E6626">
        <w:t xml:space="preserve">he governance, risk and compliance </w:t>
      </w:r>
      <w:r>
        <w:t xml:space="preserve">(GRC) </w:t>
      </w:r>
      <w:r w:rsidRPr="004E6626">
        <w:t>unit</w:t>
      </w:r>
      <w:r>
        <w:t xml:space="preserve"> plays a key role in oversight for the department, as their functions include risk management as well investigations. The unit completed a number of investigations over the past two </w:t>
      </w:r>
      <w:r w:rsidR="005A304D">
        <w:t>years such</w:t>
      </w:r>
      <w:r w:rsidR="0096631A">
        <w:t xml:space="preserve"> as the C-Max project investigation and the Beitbridge investigation </w:t>
      </w:r>
      <w:r w:rsidR="00AD6BDB">
        <w:t>which revealed irregular</w:t>
      </w:r>
      <w:r w:rsidR="0096631A">
        <w:t xml:space="preserve">ities </w:t>
      </w:r>
      <w:r w:rsidR="00AD6BDB">
        <w:t xml:space="preserve">  that </w:t>
      </w:r>
      <w:r w:rsidR="0096631A">
        <w:t xml:space="preserve">were </w:t>
      </w:r>
      <w:r w:rsidR="00AD6BDB">
        <w:t xml:space="preserve">subsequently disclosed by the </w:t>
      </w:r>
      <w:r w:rsidR="0096631A">
        <w:t xml:space="preserve">trading </w:t>
      </w:r>
      <w:r w:rsidR="00AD6BDB">
        <w:t>entity</w:t>
      </w:r>
      <w:r w:rsidR="0096631A">
        <w:t xml:space="preserve"> and enabled the leadership to exercise relevant consequence management. H</w:t>
      </w:r>
      <w:r>
        <w:t xml:space="preserve">owever senior management has been slow to implement the </w:t>
      </w:r>
      <w:r w:rsidR="00076C78">
        <w:t xml:space="preserve">other </w:t>
      </w:r>
      <w:r>
        <w:t>recommendations in these reports.</w:t>
      </w:r>
    </w:p>
    <w:p w14:paraId="5DD939C8" w14:textId="77777777" w:rsidR="00FC16A3" w:rsidRPr="0077659B" w:rsidRDefault="007C0082" w:rsidP="006306CE">
      <w:pPr>
        <w:pStyle w:val="Numbernormal"/>
        <w:numPr>
          <w:ilvl w:val="0"/>
          <w:numId w:val="15"/>
        </w:numPr>
        <w:jc w:val="both"/>
      </w:pPr>
      <w:r>
        <w:t>Senior management’s responsibility towards quality checks have not always been fruitful. This is evidenced by the findings raised on non-compliance with legislations as well as slow response to address the prior year issues. The procurement and contract management processes have not been reviewed to ensure to compliance with Preferential Procurement Regulations and Treasury Regulations. Instances of overpayments on leases results from minimum quality checks done to validate payments made on Archibus. Slow progress has been noted on the implementation of the action plans developed to address the prior year findings. The leadership role to monitor the implementation of such action plans have not yield the positive results for the entity.</w:t>
      </w:r>
    </w:p>
    <w:p w14:paraId="718A9D12" w14:textId="77777777" w:rsidR="007C0082" w:rsidRPr="00C743D7" w:rsidRDefault="00FC16A3" w:rsidP="00C743D7">
      <w:pPr>
        <w:pStyle w:val="Heading5"/>
        <w:jc w:val="both"/>
        <w:rPr>
          <w:rFonts w:eastAsia="MS Mincho"/>
        </w:rPr>
      </w:pPr>
      <w:r w:rsidRPr="0077659B">
        <w:rPr>
          <w:rFonts w:eastAsia="MS Mincho"/>
        </w:rPr>
        <w:lastRenderedPageBreak/>
        <w:t>Human resource management</w:t>
      </w:r>
    </w:p>
    <w:p w14:paraId="6DB8BF8F" w14:textId="09102A8D" w:rsidR="001D40E7" w:rsidRPr="001D40E7" w:rsidRDefault="007C0082" w:rsidP="006306CE">
      <w:pPr>
        <w:pStyle w:val="Numbernormal"/>
        <w:numPr>
          <w:ilvl w:val="0"/>
          <w:numId w:val="15"/>
        </w:numPr>
        <w:jc w:val="both"/>
        <w:rPr>
          <w:color w:val="000000"/>
        </w:rPr>
      </w:pPr>
      <w:r w:rsidRPr="007C0082">
        <w:t>A slight regression was noted with the overall vacancy increasing from 9% as at 31 March 2019 to 10% at the time of performing this assessment. However, the most concern is on the Senior Management vacancy rate which is currently reported at 33%</w:t>
      </w:r>
      <w:r w:rsidR="005226C3">
        <w:t xml:space="preserve"> compared to 27.5% for 2019 year end</w:t>
      </w:r>
      <w:r w:rsidRPr="007C0082">
        <w:t xml:space="preserve">. </w:t>
      </w:r>
    </w:p>
    <w:p w14:paraId="6399D33F" w14:textId="77777777" w:rsidR="00FC16A3" w:rsidRPr="007C0082" w:rsidRDefault="001D40E7" w:rsidP="006306CE">
      <w:pPr>
        <w:pStyle w:val="Numbernormal"/>
        <w:numPr>
          <w:ilvl w:val="0"/>
          <w:numId w:val="15"/>
        </w:numPr>
        <w:jc w:val="both"/>
        <w:rPr>
          <w:color w:val="000000"/>
        </w:rPr>
      </w:pPr>
      <w:r w:rsidRPr="001D40E7">
        <w:rPr>
          <w:color w:val="000000"/>
        </w:rPr>
        <w:t>The entity does not have adequate and sufficiently skilled resources in place, as a significant number of positions were still vacant at the financial accounting division. Some senior management positions, including Chief Director: Financial Reporting, were filled by acting incumbents. In prior periods, the Finance Unit has been dependent on a number of contracted staff resources who played a key role in the preparation and review of annual financial statements. These staff members did not have their contracts renewed when they came to an end during the financial period.</w:t>
      </w:r>
    </w:p>
    <w:p w14:paraId="1F4A134C" w14:textId="77777777" w:rsidR="00FC16A3" w:rsidRPr="00106040" w:rsidRDefault="00FC16A3" w:rsidP="00C743D7">
      <w:pPr>
        <w:pStyle w:val="Heading5"/>
        <w:jc w:val="both"/>
        <w:rPr>
          <w:rFonts w:eastAsia="MS Mincho"/>
        </w:rPr>
      </w:pPr>
      <w:r w:rsidRPr="00106040">
        <w:rPr>
          <w:rFonts w:eastAsia="MS Mincho"/>
        </w:rPr>
        <w:t>Policies and procedures</w:t>
      </w:r>
    </w:p>
    <w:p w14:paraId="77D3044D" w14:textId="77777777" w:rsidR="00452BCD" w:rsidRDefault="00452BCD" w:rsidP="006306CE">
      <w:pPr>
        <w:pStyle w:val="Numbernormal"/>
        <w:numPr>
          <w:ilvl w:val="0"/>
          <w:numId w:val="15"/>
        </w:numPr>
        <w:jc w:val="both"/>
      </w:pPr>
      <w:r w:rsidRPr="00765AE9">
        <w:t xml:space="preserve">The </w:t>
      </w:r>
      <w:r>
        <w:t xml:space="preserve">entity </w:t>
      </w:r>
      <w:r w:rsidRPr="00765AE9">
        <w:t xml:space="preserve">should ensure that the existing policies are implemented and the implementation is regularly monitored. Non-implementation of the existing policies </w:t>
      </w:r>
      <w:r>
        <w:t xml:space="preserve">and regulations </w:t>
      </w:r>
      <w:r w:rsidRPr="00765AE9">
        <w:t xml:space="preserve">with respect to </w:t>
      </w:r>
      <w:r>
        <w:t xml:space="preserve">payments </w:t>
      </w:r>
      <w:r w:rsidRPr="00765AE9">
        <w:t>was the root cause of</w:t>
      </w:r>
      <w:r>
        <w:t xml:space="preserve"> overpayments continuing to be made on leases.</w:t>
      </w:r>
    </w:p>
    <w:p w14:paraId="7558F8ED" w14:textId="77777777" w:rsidR="00FC16A3" w:rsidRPr="00106040" w:rsidRDefault="00061B91" w:rsidP="006306CE">
      <w:pPr>
        <w:pStyle w:val="Numbernormal"/>
        <w:numPr>
          <w:ilvl w:val="0"/>
          <w:numId w:val="15"/>
        </w:numPr>
        <w:jc w:val="both"/>
      </w:pPr>
      <w:r w:rsidRPr="00106040">
        <w:t>The entity should ensure that approved policies and procedures are adequately and timeously communic</w:t>
      </w:r>
      <w:r w:rsidR="00106040" w:rsidRPr="00106040">
        <w:t>ated to officials in the entity. The policies should also be reviewed regularly as most of the polices are old</w:t>
      </w:r>
      <w:r w:rsidR="00452BCD">
        <w:t xml:space="preserve">. </w:t>
      </w:r>
    </w:p>
    <w:p w14:paraId="71529F25" w14:textId="77777777" w:rsidR="00FC16A3" w:rsidRDefault="00FC16A3" w:rsidP="00C743D7">
      <w:pPr>
        <w:pStyle w:val="Heading5"/>
        <w:jc w:val="both"/>
        <w:rPr>
          <w:rFonts w:eastAsia="MS Mincho"/>
        </w:rPr>
      </w:pPr>
      <w:r w:rsidRPr="0077659B">
        <w:rPr>
          <w:rFonts w:eastAsia="MS Mincho"/>
        </w:rPr>
        <w:t>Action plans to address internal control deficiencies</w:t>
      </w:r>
    </w:p>
    <w:p w14:paraId="09B042CF" w14:textId="77777777" w:rsidR="001D40E7" w:rsidRDefault="001D40E7" w:rsidP="006306CE">
      <w:pPr>
        <w:pStyle w:val="Numbernormal"/>
        <w:numPr>
          <w:ilvl w:val="0"/>
          <w:numId w:val="15"/>
        </w:numPr>
        <w:jc w:val="both"/>
      </w:pPr>
      <w:r w:rsidRPr="001D40E7">
        <w:t>Implementation of the audit actions plan has not transpired in all instances. I</w:t>
      </w:r>
      <w:r>
        <w:t>t is a concern that the some</w:t>
      </w:r>
      <w:r w:rsidRPr="001D40E7">
        <w:t xml:space="preserve"> of</w:t>
      </w:r>
      <w:r>
        <w:t xml:space="preserve"> the</w:t>
      </w:r>
      <w:r w:rsidRPr="001D40E7">
        <w:t xml:space="preserve"> issues identified have been recurrin</w:t>
      </w:r>
      <w:r>
        <w:t>g for a number of years and</w:t>
      </w:r>
      <w:r w:rsidRPr="001D40E7">
        <w:t xml:space="preserve"> have not yet been adequately addressed. The lack of an effective leadership culture and slow response by senior management to implement action plans has combined to create an environment where people are not held accoun</w:t>
      </w:r>
      <w:r>
        <w:t xml:space="preserve">table for causing the entity </w:t>
      </w:r>
      <w:r w:rsidRPr="001D40E7">
        <w:t>to obtain negative audit outcomes.</w:t>
      </w:r>
    </w:p>
    <w:p w14:paraId="613CB204" w14:textId="6EE62B2D" w:rsidR="00454657" w:rsidRDefault="001D40E7" w:rsidP="00ED64F5">
      <w:pPr>
        <w:pStyle w:val="Numbernormal"/>
        <w:numPr>
          <w:ilvl w:val="0"/>
          <w:numId w:val="15"/>
        </w:numPr>
        <w:jc w:val="both"/>
      </w:pPr>
      <w:r w:rsidRPr="00765AE9">
        <w:t xml:space="preserve">Management should also review audit action plans currently in place to confirm their effectiveness, </w:t>
      </w:r>
      <w:r>
        <w:t xml:space="preserve">especially with regards to Immovable assets and </w:t>
      </w:r>
      <w:r w:rsidR="00A6797F">
        <w:t>performance information</w:t>
      </w:r>
      <w:r>
        <w:t xml:space="preserve">. </w:t>
      </w:r>
      <w:r w:rsidR="00454657">
        <w:t>Even though</w:t>
      </w:r>
      <w:r w:rsidR="00ED64F5">
        <w:t xml:space="preserve"> were unable to clear the</w:t>
      </w:r>
      <w:r w:rsidR="00454657">
        <w:t xml:space="preserve"> qualification of immovable assets </w:t>
      </w:r>
      <w:r w:rsidR="00ED64F5">
        <w:t xml:space="preserve">in the current financial year, an improvement was noted in respect to the recognition of the assets for which the entity didn’t retain proof of ownership, which resulted in that portion of the prior period qualification being resolved. </w:t>
      </w:r>
      <w:r w:rsidR="00ED64F5" w:rsidRPr="000D37DB">
        <w:t>Furthermore, we noted a decrease in the amount of material misstatement of IAR in the current year compared to the prior year, however the remaining misstatements were confirmed to be material.</w:t>
      </w:r>
    </w:p>
    <w:p w14:paraId="71FAA291" w14:textId="77777777" w:rsidR="009B0177" w:rsidRPr="0001178B" w:rsidRDefault="00FC16A3" w:rsidP="00A01ED9">
      <w:pPr>
        <w:pStyle w:val="Heading5"/>
        <w:jc w:val="both"/>
        <w:rPr>
          <w:rFonts w:eastAsia="MS Mincho"/>
        </w:rPr>
      </w:pPr>
      <w:r w:rsidRPr="0077659B">
        <w:rPr>
          <w:rFonts w:eastAsia="MS Mincho"/>
        </w:rPr>
        <w:t>Information technology governance framework</w:t>
      </w:r>
    </w:p>
    <w:p w14:paraId="373B96AD" w14:textId="77777777" w:rsidR="00E76BFC" w:rsidRPr="00051839" w:rsidRDefault="00E76BFC" w:rsidP="006306CE">
      <w:pPr>
        <w:pStyle w:val="Numbernormal"/>
        <w:numPr>
          <w:ilvl w:val="0"/>
          <w:numId w:val="15"/>
        </w:numPr>
        <w:jc w:val="both"/>
      </w:pPr>
      <w:r>
        <w:t>I</w:t>
      </w:r>
      <w:r w:rsidRPr="000004E4">
        <w:rPr>
          <w:rFonts w:eastAsia="Times New Roman"/>
          <w:szCs w:val="36"/>
        </w:rPr>
        <w:t>nformation technology governance was found to be inadequately designed and implemented</w:t>
      </w:r>
      <w:r w:rsidRPr="003017E1">
        <w:rPr>
          <w:rFonts w:eastAsia="Times New Roman"/>
          <w:szCs w:val="36"/>
        </w:rPr>
        <w:t xml:space="preserve"> with the following internal control deficiencies to be considered by management:</w:t>
      </w:r>
    </w:p>
    <w:p w14:paraId="04104A63" w14:textId="77777777" w:rsidR="00E76BFC" w:rsidRPr="00A01ED9" w:rsidRDefault="00E76BFC" w:rsidP="006306CE">
      <w:pPr>
        <w:pStyle w:val="ListParagraph"/>
        <w:numPr>
          <w:ilvl w:val="0"/>
          <w:numId w:val="18"/>
        </w:numPr>
        <w:autoSpaceDE/>
        <w:autoSpaceDN/>
        <w:adjustRightInd/>
        <w:spacing w:before="240" w:after="200" w:line="276" w:lineRule="auto"/>
        <w:ind w:left="714" w:hanging="357"/>
        <w:contextualSpacing/>
        <w:jc w:val="both"/>
        <w:rPr>
          <w:rFonts w:ascii="Arial" w:hAnsi="Arial" w:cs="Arial"/>
          <w:lang w:val="en-US"/>
        </w:rPr>
      </w:pPr>
      <w:r w:rsidRPr="007D7752">
        <w:rPr>
          <w:rFonts w:ascii="Arial" w:hAnsi="Arial" w:cs="Arial"/>
          <w:lang w:val="en-US"/>
        </w:rPr>
        <w:t xml:space="preserve">The </w:t>
      </w:r>
      <w:r>
        <w:rPr>
          <w:rFonts w:ascii="Arial" w:hAnsi="Arial" w:cs="Arial"/>
          <w:lang w:val="en-US"/>
        </w:rPr>
        <w:t xml:space="preserve">ICT </w:t>
      </w:r>
      <w:r w:rsidRPr="007D7752">
        <w:rPr>
          <w:rFonts w:ascii="Arial" w:hAnsi="Arial" w:cs="Arial"/>
          <w:lang w:val="en-US"/>
        </w:rPr>
        <w:t xml:space="preserve">structure was recently approved, </w:t>
      </w:r>
      <w:r>
        <w:rPr>
          <w:rFonts w:ascii="Arial" w:hAnsi="Arial" w:cs="Arial"/>
          <w:lang w:val="en-US"/>
        </w:rPr>
        <w:t>t</w:t>
      </w:r>
      <w:r w:rsidRPr="0001288D">
        <w:rPr>
          <w:rFonts w:ascii="Arial" w:hAnsi="Arial" w:cs="Arial"/>
          <w:lang w:val="en-US"/>
        </w:rPr>
        <w:t>he new Minister requested a re-evaluation of the organisational structure to be align to the new mandate of DPWI</w:t>
      </w:r>
      <w:r>
        <w:rPr>
          <w:rFonts w:ascii="Arial" w:hAnsi="Arial" w:cs="Arial"/>
          <w:lang w:val="en-US"/>
        </w:rPr>
        <w:t xml:space="preserve">. Following </w:t>
      </w:r>
      <w:r w:rsidRPr="0001288D">
        <w:rPr>
          <w:rFonts w:ascii="Arial" w:hAnsi="Arial" w:cs="Arial"/>
          <w:lang w:val="en-US"/>
        </w:rPr>
        <w:t xml:space="preserve">the re-evaluation of the organisational </w:t>
      </w:r>
      <w:r>
        <w:rPr>
          <w:rFonts w:ascii="Arial" w:hAnsi="Arial" w:cs="Arial"/>
          <w:lang w:val="en-US"/>
        </w:rPr>
        <w:t xml:space="preserve">structure, ICT has started advertising </w:t>
      </w:r>
      <w:r w:rsidRPr="0001288D">
        <w:rPr>
          <w:rFonts w:ascii="Arial" w:hAnsi="Arial" w:cs="Arial"/>
          <w:lang w:val="en-US"/>
        </w:rPr>
        <w:t xml:space="preserve">the </w:t>
      </w:r>
      <w:r>
        <w:rPr>
          <w:rFonts w:ascii="Arial" w:hAnsi="Arial" w:cs="Arial"/>
          <w:lang w:val="en-US"/>
        </w:rPr>
        <w:t>key positions.</w:t>
      </w:r>
      <w:r w:rsidRPr="0001288D">
        <w:rPr>
          <w:rFonts w:ascii="Arial" w:hAnsi="Arial" w:cs="Arial"/>
          <w:lang w:val="en-US"/>
        </w:rPr>
        <w:t xml:space="preserve"> </w:t>
      </w:r>
      <w:r>
        <w:rPr>
          <w:rFonts w:ascii="Arial" w:hAnsi="Arial" w:cs="Arial"/>
          <w:lang w:val="en-US"/>
        </w:rPr>
        <w:t>Furthermore, the department</w:t>
      </w:r>
      <w:r w:rsidRPr="0001288D">
        <w:rPr>
          <w:rFonts w:ascii="Arial" w:hAnsi="Arial" w:cs="Arial"/>
          <w:lang w:val="en-US"/>
        </w:rPr>
        <w:t xml:space="preserve"> did not receive qualifying candidates for positions that were advertised. As a </w:t>
      </w:r>
      <w:r w:rsidRPr="0001288D">
        <w:rPr>
          <w:rFonts w:ascii="Arial" w:hAnsi="Arial" w:cs="Arial"/>
          <w:lang w:val="en-US"/>
        </w:rPr>
        <w:lastRenderedPageBreak/>
        <w:t>result, key vacancies within ICT remain a concern as</w:t>
      </w:r>
      <w:r>
        <w:rPr>
          <w:rFonts w:ascii="Arial" w:hAnsi="Arial" w:cs="Arial"/>
          <w:lang w:val="en-US"/>
        </w:rPr>
        <w:t xml:space="preserve"> two</w:t>
      </w:r>
      <w:r w:rsidRPr="0001288D">
        <w:rPr>
          <w:rFonts w:ascii="Arial" w:hAnsi="Arial" w:cs="Arial"/>
          <w:lang w:val="en-US"/>
        </w:rPr>
        <w:t xml:space="preserve"> (</w:t>
      </w:r>
      <w:r>
        <w:rPr>
          <w:rFonts w:ascii="Arial" w:hAnsi="Arial" w:cs="Arial"/>
          <w:lang w:val="en-US"/>
        </w:rPr>
        <w:t>2</w:t>
      </w:r>
      <w:r w:rsidRPr="0001288D">
        <w:rPr>
          <w:rFonts w:ascii="Arial" w:hAnsi="Arial" w:cs="Arial"/>
          <w:lang w:val="en-US"/>
        </w:rPr>
        <w:t>) key ICT vacancies were still not filled</w:t>
      </w:r>
      <w:r>
        <w:rPr>
          <w:rFonts w:ascii="Arial" w:hAnsi="Arial" w:cs="Arial"/>
          <w:lang w:val="en-US"/>
        </w:rPr>
        <w:t xml:space="preserve"> at the end of March 2020</w:t>
      </w:r>
      <w:r w:rsidRPr="0001288D">
        <w:rPr>
          <w:rFonts w:ascii="Arial" w:hAnsi="Arial" w:cs="Arial"/>
          <w:lang w:val="en-US"/>
        </w:rPr>
        <w:t>. If the ICT function is not fully capacitated, some ICT resources may be overloaded with more responsibilities. This may result in lack of ability by other ICT resources to perform critical ICT activities leading to an increase in the number and impact of incidents caused by unavailability of essential skills.</w:t>
      </w:r>
    </w:p>
    <w:p w14:paraId="00025BC9" w14:textId="77777777" w:rsidR="00C80248" w:rsidRPr="00135A8C" w:rsidRDefault="001F4789" w:rsidP="0001178B">
      <w:pPr>
        <w:pStyle w:val="Heading4"/>
        <w:jc w:val="both"/>
      </w:pPr>
      <w:bookmarkStart w:id="127" w:name="_Toc447106600"/>
      <w:r w:rsidRPr="0077659B">
        <w:t xml:space="preserve">Financial and performance management </w:t>
      </w:r>
    </w:p>
    <w:p w14:paraId="7587DAC0" w14:textId="77777777" w:rsidR="00FC16A3" w:rsidRPr="0077659B" w:rsidRDefault="00FC16A3" w:rsidP="0001178B">
      <w:pPr>
        <w:pStyle w:val="Heading5"/>
        <w:jc w:val="both"/>
        <w:rPr>
          <w:rFonts w:eastAsia="MS Mincho"/>
        </w:rPr>
      </w:pPr>
      <w:r w:rsidRPr="0077659B">
        <w:rPr>
          <w:rFonts w:eastAsia="MS Mincho"/>
        </w:rPr>
        <w:t>Proper record keeping</w:t>
      </w:r>
    </w:p>
    <w:p w14:paraId="3ED5D21A" w14:textId="77777777" w:rsidR="00E22A25" w:rsidRDefault="0001178B" w:rsidP="00C37650">
      <w:pPr>
        <w:pStyle w:val="Numbernormal"/>
        <w:numPr>
          <w:ilvl w:val="0"/>
          <w:numId w:val="15"/>
        </w:numPr>
        <w:jc w:val="both"/>
      </w:pPr>
      <w:r w:rsidRPr="00A50741">
        <w:t xml:space="preserve">The trading entity has not yet fully implemented the new record management system. </w:t>
      </w:r>
      <w:r w:rsidR="00F26926">
        <w:t>We experienced s</w:t>
      </w:r>
      <w:r w:rsidRPr="00A50741">
        <w:t>ig</w:t>
      </w:r>
      <w:r w:rsidR="00F26926">
        <w:t xml:space="preserve">nificant delays and limitations </w:t>
      </w:r>
      <w:r w:rsidRPr="00A50741">
        <w:t>wh</w:t>
      </w:r>
      <w:r w:rsidR="00F26926">
        <w:t>ere supporting documentation were</w:t>
      </w:r>
      <w:r w:rsidRPr="00A50741">
        <w:t xml:space="preserve"> provi</w:t>
      </w:r>
      <w:r w:rsidR="00A01ED9">
        <w:t>ded late,</w:t>
      </w:r>
      <w:r w:rsidRPr="00A50741">
        <w:t xml:space="preserve"> especially with respect to the</w:t>
      </w:r>
      <w:r w:rsidR="00F26926">
        <w:t xml:space="preserve"> regional</w:t>
      </w:r>
      <w:r w:rsidRPr="00A50741">
        <w:t xml:space="preserve"> audit</w:t>
      </w:r>
      <w:r w:rsidR="00A01ED9">
        <w:t xml:space="preserve">. </w:t>
      </w:r>
      <w:r w:rsidR="00EC5E55" w:rsidRPr="00ED64F5">
        <w:rPr>
          <w:bCs/>
        </w:rPr>
        <w:t xml:space="preserve">In certain instances, we noted that management did not adequately review the immovable assets register (IAR) to ensure that inputs are reasonable </w:t>
      </w:r>
      <w:r w:rsidR="00ED64F5" w:rsidRPr="00ED64F5">
        <w:t>and deemed cost calculations are correct.</w:t>
      </w:r>
      <w:r w:rsidR="006E7836">
        <w:t xml:space="preserve"> </w:t>
      </w:r>
    </w:p>
    <w:p w14:paraId="67E15871" w14:textId="7D38CC0B" w:rsidR="00ED64F5" w:rsidRDefault="00ED64F5" w:rsidP="00C37650">
      <w:pPr>
        <w:pStyle w:val="Numbernormal"/>
        <w:numPr>
          <w:ilvl w:val="0"/>
          <w:numId w:val="15"/>
        </w:numPr>
        <w:jc w:val="both"/>
      </w:pPr>
      <w:r>
        <w:t xml:space="preserve">Management did not properly review the details of the leases that were recorded on </w:t>
      </w:r>
      <w:r w:rsidR="00E22A25">
        <w:t>ARCHIBUS</w:t>
      </w:r>
      <w:r>
        <w:t xml:space="preserve">, as a result </w:t>
      </w:r>
      <w:r w:rsidR="00E22A25">
        <w:t>significant</w:t>
      </w:r>
      <w:r>
        <w:t xml:space="preserve"> differences were identified on the lease disclosed in the annual financial statements</w:t>
      </w:r>
      <w:r w:rsidR="005226C3">
        <w:t xml:space="preserve"> and the details of the lease as per the lease contract</w:t>
      </w:r>
      <w:r>
        <w:t>.</w:t>
      </w:r>
      <w:r w:rsidR="00E22A25">
        <w:t xml:space="preserve"> This was exacerbated by the fact that lease information is decentralised, and regional officials did not take ownership of ensuring that latest available information is utilised when capturing on the system.</w:t>
      </w:r>
    </w:p>
    <w:p w14:paraId="62FF305D" w14:textId="77777777" w:rsidR="00FC16A3" w:rsidRPr="0077659B" w:rsidRDefault="00FC16A3" w:rsidP="0001178B">
      <w:pPr>
        <w:pStyle w:val="Heading5"/>
        <w:jc w:val="both"/>
        <w:rPr>
          <w:rFonts w:eastAsia="MS Mincho"/>
        </w:rPr>
      </w:pPr>
      <w:r w:rsidRPr="0077659B">
        <w:rPr>
          <w:rFonts w:eastAsia="MS Mincho"/>
        </w:rPr>
        <w:t>Daily and monthly processing and reconciling of transactions</w:t>
      </w:r>
    </w:p>
    <w:p w14:paraId="72EF50D9" w14:textId="7492C1A4" w:rsidR="00C443FC" w:rsidRPr="00C443FC" w:rsidRDefault="00F465ED" w:rsidP="006306CE">
      <w:pPr>
        <w:pStyle w:val="Numbernormal"/>
        <w:numPr>
          <w:ilvl w:val="0"/>
          <w:numId w:val="15"/>
        </w:numPr>
        <w:jc w:val="both"/>
      </w:pPr>
      <w:r>
        <w:t>Management did not fully implement the daily and monthly reconciliation as duplicates of transact</w:t>
      </w:r>
      <w:r w:rsidR="00F26926">
        <w:t>ions were identified in provisions, accruals and immovable assets register (IAR).</w:t>
      </w:r>
      <w:r w:rsidR="00A274FB">
        <w:t xml:space="preserve"> </w:t>
      </w:r>
      <w:r w:rsidR="00A274FB">
        <w:rPr>
          <w:rFonts w:eastAsia="MS Mincho"/>
        </w:rPr>
        <w:t xml:space="preserve">The process of initially accounting for the immovable assets acquired through the transfer of function was not adequately completed prior to the date of this report. </w:t>
      </w:r>
    </w:p>
    <w:p w14:paraId="61FD98B4" w14:textId="77777777" w:rsidR="00FC16A3" w:rsidRPr="00CD645F" w:rsidRDefault="00C443FC" w:rsidP="006306CE">
      <w:pPr>
        <w:pStyle w:val="Numbernormal"/>
        <w:numPr>
          <w:ilvl w:val="0"/>
          <w:numId w:val="15"/>
        </w:numPr>
        <w:jc w:val="both"/>
      </w:pPr>
      <w:r w:rsidRPr="001B31B3">
        <w:rPr>
          <w:lang w:eastAsia="ja-JP"/>
        </w:rPr>
        <w:t xml:space="preserve">The </w:t>
      </w:r>
      <w:r>
        <w:rPr>
          <w:lang w:eastAsia="ja-JP"/>
        </w:rPr>
        <w:t>implementation</w:t>
      </w:r>
      <w:r w:rsidRPr="001B31B3">
        <w:rPr>
          <w:lang w:eastAsia="ja-JP"/>
        </w:rPr>
        <w:t xml:space="preserve"> of a new computerised </w:t>
      </w:r>
      <w:r>
        <w:rPr>
          <w:lang w:eastAsia="ja-JP"/>
        </w:rPr>
        <w:t>leases system in September 20</w:t>
      </w:r>
      <w:r w:rsidRPr="001B31B3">
        <w:rPr>
          <w:lang w:eastAsia="ja-JP"/>
        </w:rPr>
        <w:t>1</w:t>
      </w:r>
      <w:r>
        <w:rPr>
          <w:lang w:eastAsia="ja-JP"/>
        </w:rPr>
        <w:t>9</w:t>
      </w:r>
      <w:r w:rsidRPr="001B31B3">
        <w:rPr>
          <w:lang w:eastAsia="ja-JP"/>
        </w:rPr>
        <w:t xml:space="preserve"> resulted in numerous errors in </w:t>
      </w:r>
      <w:r>
        <w:rPr>
          <w:lang w:eastAsia="ja-JP"/>
        </w:rPr>
        <w:t>operating leases</w:t>
      </w:r>
      <w:r w:rsidRPr="00082C6B">
        <w:rPr>
          <w:lang w:eastAsia="ja-JP"/>
        </w:rPr>
        <w:t>.</w:t>
      </w:r>
      <w:r>
        <w:t xml:space="preserve"> The</w:t>
      </w:r>
      <w:r w:rsidRPr="00082C6B">
        <w:t xml:space="preserve"> </w:t>
      </w:r>
      <w:r w:rsidRPr="00082C6B">
        <w:rPr>
          <w:lang w:eastAsia="ja-JP"/>
        </w:rPr>
        <w:t xml:space="preserve">amounts disclosed did not agree in </w:t>
      </w:r>
      <w:r>
        <w:rPr>
          <w:lang w:eastAsia="ja-JP"/>
        </w:rPr>
        <w:t>certain</w:t>
      </w:r>
      <w:r w:rsidRPr="00082C6B">
        <w:rPr>
          <w:lang w:eastAsia="ja-JP"/>
        </w:rPr>
        <w:t xml:space="preserve"> instances with information per the signed lease agreements</w:t>
      </w:r>
      <w:r>
        <w:rPr>
          <w:lang w:eastAsia="ja-JP"/>
        </w:rPr>
        <w:t xml:space="preserve">. </w:t>
      </w:r>
      <w:r w:rsidRPr="00F34181">
        <w:rPr>
          <w:lang w:eastAsia="ja-JP"/>
        </w:rPr>
        <w:t>As of the date of this auditor’s report, management was still in the process of rectifying the system deficiencies and correcting the errors.</w:t>
      </w:r>
    </w:p>
    <w:p w14:paraId="58D8259A" w14:textId="77777777" w:rsidR="00A274FB" w:rsidRDefault="00A274FB" w:rsidP="006306CE">
      <w:pPr>
        <w:pStyle w:val="Numbernormal"/>
        <w:numPr>
          <w:ilvl w:val="0"/>
          <w:numId w:val="15"/>
        </w:numPr>
        <w:jc w:val="both"/>
      </w:pPr>
      <w:r w:rsidRPr="00A274FB">
        <w:t>Overpayments made to landlords in terms of private leased properties</w:t>
      </w:r>
      <w:r>
        <w:t xml:space="preserve"> continued in the current </w:t>
      </w:r>
      <w:r w:rsidRPr="00A274FB">
        <w:t xml:space="preserve">year, while management estimates that approximately half of all lease overpayments may not be recoverable. The process put into place to verify payment amounts before payments are made, have not yet made a significant difference since the overpayment has </w:t>
      </w:r>
      <w:r>
        <w:t>continued to occur</w:t>
      </w:r>
      <w:r w:rsidRPr="00A274FB">
        <w:t xml:space="preserve">. </w:t>
      </w:r>
    </w:p>
    <w:p w14:paraId="77277A94" w14:textId="77777777" w:rsidR="00A274FB" w:rsidRPr="00C443FC" w:rsidRDefault="00FC16A3" w:rsidP="00C443FC">
      <w:pPr>
        <w:pStyle w:val="Heading5"/>
        <w:jc w:val="both"/>
        <w:rPr>
          <w:rFonts w:eastAsia="MS Mincho"/>
        </w:rPr>
      </w:pPr>
      <w:r w:rsidRPr="0077659B">
        <w:rPr>
          <w:rFonts w:eastAsia="MS Mincho"/>
        </w:rPr>
        <w:t>Regular, accurate and complete financial and performance reports</w:t>
      </w:r>
    </w:p>
    <w:p w14:paraId="69BAD333" w14:textId="58F9E2BD" w:rsidR="0018197E" w:rsidRDefault="00012065" w:rsidP="00ED64F5">
      <w:pPr>
        <w:pStyle w:val="Numbernormal"/>
        <w:numPr>
          <w:ilvl w:val="0"/>
          <w:numId w:val="15"/>
        </w:numPr>
        <w:jc w:val="both"/>
      </w:pPr>
      <w:r w:rsidRPr="006D2DC7">
        <w:t>The reported achievements for predetermined objectives included in the annual performance report</w:t>
      </w:r>
      <w:r w:rsidR="0018197E">
        <w:t xml:space="preserve"> (APR)</w:t>
      </w:r>
      <w:r w:rsidRPr="006D2DC7">
        <w:t xml:space="preserve"> were not supported by appropriate au</w:t>
      </w:r>
      <w:r w:rsidR="00F26926">
        <w:t>dit evidence</w:t>
      </w:r>
      <w:r w:rsidRPr="006D2DC7">
        <w:t xml:space="preserve">. </w:t>
      </w:r>
      <w:r w:rsidR="0018197E">
        <w:rPr>
          <w:lang w:eastAsia="en-GB"/>
        </w:rPr>
        <w:t>W</w:t>
      </w:r>
      <w:r w:rsidR="0018197E" w:rsidRPr="00AB702E">
        <w:rPr>
          <w:lang w:eastAsia="en-GB"/>
        </w:rPr>
        <w:t xml:space="preserve">e </w:t>
      </w:r>
      <w:r w:rsidR="0018197E">
        <w:rPr>
          <w:lang w:eastAsia="en-GB"/>
        </w:rPr>
        <w:t xml:space="preserve">also </w:t>
      </w:r>
      <w:r w:rsidR="0018197E" w:rsidRPr="00AB702E">
        <w:rPr>
          <w:lang w:eastAsia="en-GB"/>
        </w:rPr>
        <w:t>noted that the manner in which the entity had planned to calculate the achievement</w:t>
      </w:r>
      <w:r w:rsidR="0018197E">
        <w:rPr>
          <w:lang w:eastAsia="en-GB"/>
        </w:rPr>
        <w:t xml:space="preserve"> for </w:t>
      </w:r>
      <w:r w:rsidR="0018197E" w:rsidRPr="00AB702E">
        <w:rPr>
          <w:lang w:eastAsia="en-GB"/>
        </w:rPr>
        <w:t>Programme 3: Indicator 3.8 Percentage reduction of infrastructure projects backlog</w:t>
      </w:r>
      <w:r w:rsidR="0018197E">
        <w:rPr>
          <w:lang w:eastAsia="en-GB"/>
        </w:rPr>
        <w:t xml:space="preserve"> was</w:t>
      </w:r>
      <w:r w:rsidR="0018197E" w:rsidRPr="00AB702E">
        <w:rPr>
          <w:lang w:eastAsia="en-GB"/>
        </w:rPr>
        <w:t xml:space="preserve"> not aligned to the description of the indicator as well as what the indicator aims to achieve</w:t>
      </w:r>
      <w:r w:rsidR="0018197E">
        <w:rPr>
          <w:lang w:eastAsia="en-GB"/>
        </w:rPr>
        <w:t>.</w:t>
      </w:r>
      <w:r w:rsidR="00B71157">
        <w:rPr>
          <w:lang w:eastAsia="en-GB"/>
        </w:rPr>
        <w:t xml:space="preserve"> </w:t>
      </w:r>
      <w:r w:rsidR="00B71157" w:rsidRPr="00214813">
        <w:t xml:space="preserve">Our audit of the APR revealed that there is insufficient co-ordination between the </w:t>
      </w:r>
      <w:r w:rsidR="00B71157">
        <w:t xml:space="preserve">responsible branches and the </w:t>
      </w:r>
      <w:r w:rsidR="00B71157" w:rsidRPr="00214813">
        <w:t xml:space="preserve">Planning and Reporting sections, resulting in the documentation required to support </w:t>
      </w:r>
      <w:r w:rsidR="00B71157" w:rsidRPr="00214813">
        <w:lastRenderedPageBreak/>
        <w:t>achievements against the Annual Performance Plan (APP) not being sufficient to support the reported results.</w:t>
      </w:r>
    </w:p>
    <w:p w14:paraId="3F4538A0" w14:textId="77777777" w:rsidR="00FC16A3" w:rsidRPr="0077659B" w:rsidRDefault="00A274FB" w:rsidP="006306CE">
      <w:pPr>
        <w:pStyle w:val="Numbernormal"/>
        <w:numPr>
          <w:ilvl w:val="0"/>
          <w:numId w:val="15"/>
        </w:numPr>
        <w:jc w:val="both"/>
      </w:pPr>
      <w:r>
        <w:rPr>
          <w:bCs/>
          <w:lang w:val="en-US"/>
        </w:rPr>
        <w:t xml:space="preserve">There is a lack of full implementation of the financial accounting system which results in the process of preparing financial statements being lengthy. The </w:t>
      </w:r>
      <w:r>
        <w:rPr>
          <w:lang w:val="en-US"/>
        </w:rPr>
        <w:t>entity</w:t>
      </w:r>
      <w:r w:rsidRPr="009E7739">
        <w:rPr>
          <w:lang w:val="en-US"/>
        </w:rPr>
        <w:t xml:space="preserve"> lack</w:t>
      </w:r>
      <w:r>
        <w:rPr>
          <w:lang w:val="en-US"/>
        </w:rPr>
        <w:t>s credible</w:t>
      </w:r>
      <w:r w:rsidRPr="009E7739">
        <w:rPr>
          <w:lang w:val="en-US"/>
        </w:rPr>
        <w:t xml:space="preserve"> financial reporting throughout the year to enable leadership to review and take appropriate and timeous corrective action where required.</w:t>
      </w:r>
      <w:r>
        <w:rPr>
          <w:lang w:val="en-US"/>
        </w:rPr>
        <w:t xml:space="preserve"> This is evident by the fact that </w:t>
      </w:r>
      <w:r>
        <w:t>t</w:t>
      </w:r>
      <w:r w:rsidR="0018197E">
        <w:t xml:space="preserve">he supporting schedules to the annual financial statement submitted by management </w:t>
      </w:r>
      <w:r w:rsidR="00375C94">
        <w:t>did not</w:t>
      </w:r>
      <w:r w:rsidR="0018197E">
        <w:t xml:space="preserve"> agree to the information disclosed on the </w:t>
      </w:r>
      <w:r w:rsidR="00B57538">
        <w:t>AFS as</w:t>
      </w:r>
      <w:r w:rsidR="0018197E">
        <w:t xml:space="preserve"> a results, management had to resubmit the information.</w:t>
      </w:r>
      <w:r w:rsidR="00B57538">
        <w:t xml:space="preserve"> </w:t>
      </w:r>
      <w:r w:rsidR="0018197E">
        <w:t>We have also identified</w:t>
      </w:r>
      <w:r w:rsidR="00B57538">
        <w:t xml:space="preserve"> completeness issues where capital projects were not included on the AUC register. </w:t>
      </w:r>
    </w:p>
    <w:p w14:paraId="5D9A1795" w14:textId="77777777" w:rsidR="00012065" w:rsidRPr="00886D03" w:rsidRDefault="00FC16A3" w:rsidP="0001178B">
      <w:pPr>
        <w:pStyle w:val="Heading5"/>
        <w:jc w:val="both"/>
        <w:rPr>
          <w:rFonts w:eastAsia="MS Mincho"/>
        </w:rPr>
      </w:pPr>
      <w:r w:rsidRPr="0077659B">
        <w:rPr>
          <w:rFonts w:eastAsia="MS Mincho"/>
        </w:rPr>
        <w:t>Compliance monitoring</w:t>
      </w:r>
    </w:p>
    <w:p w14:paraId="7B879793" w14:textId="77777777" w:rsidR="00012065" w:rsidRPr="00012065" w:rsidRDefault="00A274FB" w:rsidP="006306CE">
      <w:pPr>
        <w:pStyle w:val="Numbernormal"/>
        <w:numPr>
          <w:ilvl w:val="0"/>
          <w:numId w:val="15"/>
        </w:numPr>
        <w:jc w:val="both"/>
      </w:pPr>
      <w:r>
        <w:t>I</w:t>
      </w:r>
      <w:r w:rsidRPr="00D838E9">
        <w:t>nstances of non-compliance have been identified in the current audit cycle, as well by internal investigations and internal aud</w:t>
      </w:r>
      <w:r>
        <w:t>its. The focus of the trading entity</w:t>
      </w:r>
      <w:r w:rsidRPr="00D838E9">
        <w:t xml:space="preserve"> should be on the implementation of controls to prevent a recurrence of the situations which lead to the non-compliance with laws and regulations or deviations from prescribed supply chain management prescripts</w:t>
      </w:r>
      <w:r w:rsidRPr="00AD7463">
        <w:t>. In many instances we identified that deviations were used incorrectly</w:t>
      </w:r>
      <w:r w:rsidR="00C443FC">
        <w:t xml:space="preserve">. </w:t>
      </w:r>
      <w:r w:rsidR="00012065" w:rsidRPr="00012065">
        <w:t xml:space="preserve">Findings raised in procurement and contract management were similar to the issues raised in the prior year in certain instances. This indicates a lack of consequence management by leadership. </w:t>
      </w:r>
    </w:p>
    <w:p w14:paraId="1BCEEA8D" w14:textId="77777777" w:rsidR="00FC16A3" w:rsidRPr="0077659B" w:rsidRDefault="00C443FC" w:rsidP="006306CE">
      <w:pPr>
        <w:pStyle w:val="Numbernormal"/>
        <w:numPr>
          <w:ilvl w:val="0"/>
          <w:numId w:val="15"/>
        </w:numPr>
        <w:jc w:val="both"/>
      </w:pPr>
      <w:r w:rsidRPr="00C443FC">
        <w:t>Internal controls in relation to expenditure management have not been adequately implemented which resulted in the entity failing to have effective and appropriate steps to prevent irregular, fruitless and wasteful expenditure. In certain instances, we identified that payments were made in advance despite the fact that such advance payments were not required by contract. In other instances, invoices were not paid within 30 days.</w:t>
      </w:r>
    </w:p>
    <w:p w14:paraId="6C08D858" w14:textId="77777777" w:rsidR="00FC16A3" w:rsidRPr="00914B77" w:rsidRDefault="00FC16A3" w:rsidP="0001178B">
      <w:pPr>
        <w:pStyle w:val="Heading5"/>
        <w:jc w:val="both"/>
        <w:rPr>
          <w:rFonts w:eastAsia="MS Mincho"/>
        </w:rPr>
      </w:pPr>
      <w:r w:rsidRPr="00914B77">
        <w:rPr>
          <w:rFonts w:eastAsia="MS Mincho"/>
        </w:rPr>
        <w:t>Information technology systems</w:t>
      </w:r>
    </w:p>
    <w:p w14:paraId="2A609FDB" w14:textId="77777777" w:rsidR="00C443FC" w:rsidRDefault="00C443FC" w:rsidP="006306CE">
      <w:pPr>
        <w:pStyle w:val="Numbernormal"/>
        <w:numPr>
          <w:ilvl w:val="0"/>
          <w:numId w:val="15"/>
        </w:numPr>
        <w:jc w:val="both"/>
      </w:pPr>
      <w:r>
        <w:t>IT controls pertaining to service continuity, security management, user access management and change control management were not effectively designed and implemented due to the following key internal control deficiencies:</w:t>
      </w:r>
    </w:p>
    <w:p w14:paraId="57E16003" w14:textId="77777777" w:rsidR="00C443FC" w:rsidRDefault="00C443FC" w:rsidP="006306CE">
      <w:pPr>
        <w:pStyle w:val="Numbernormal"/>
        <w:numPr>
          <w:ilvl w:val="0"/>
          <w:numId w:val="25"/>
        </w:numPr>
        <w:spacing w:before="0" w:after="0"/>
        <w:jc w:val="both"/>
      </w:pPr>
      <w:r>
        <w:t xml:space="preserve">As previously reported, the following deficiencies were noted with regard to the management </w:t>
      </w:r>
      <w:r w:rsidR="006E6D55">
        <w:t xml:space="preserve">  </w:t>
      </w:r>
      <w:r>
        <w:t>and implementation of IT Service Continuity/ Disaster Recovery processes at the department:</w:t>
      </w:r>
    </w:p>
    <w:p w14:paraId="7C2D298E" w14:textId="77777777" w:rsidR="00C443FC" w:rsidRDefault="00C443FC" w:rsidP="006306CE">
      <w:pPr>
        <w:pStyle w:val="Numbernormal"/>
        <w:numPr>
          <w:ilvl w:val="0"/>
          <w:numId w:val="24"/>
        </w:numPr>
        <w:spacing w:before="0" w:after="0"/>
        <w:jc w:val="both"/>
      </w:pPr>
      <w:r>
        <w:t>Although Disaster Recovery Plan (DRP) was developed and approved, it was noted that the DRP was not tested in the financial year under review.</w:t>
      </w:r>
    </w:p>
    <w:p w14:paraId="6BA01DF3" w14:textId="77777777" w:rsidR="00C443FC" w:rsidRDefault="00C443FC" w:rsidP="006306CE">
      <w:pPr>
        <w:pStyle w:val="Numbernormal"/>
        <w:numPr>
          <w:ilvl w:val="0"/>
          <w:numId w:val="24"/>
        </w:numPr>
        <w:spacing w:before="0" w:after="0"/>
        <w:jc w:val="both"/>
      </w:pPr>
      <w:r>
        <w:t xml:space="preserve">There was no formal backup policy and procedure. </w:t>
      </w:r>
    </w:p>
    <w:p w14:paraId="78A9ECBC" w14:textId="77777777" w:rsidR="00C443FC" w:rsidRDefault="00C443FC" w:rsidP="006306CE">
      <w:pPr>
        <w:pStyle w:val="Numbernormal"/>
        <w:numPr>
          <w:ilvl w:val="0"/>
          <w:numId w:val="24"/>
        </w:numPr>
        <w:spacing w:before="0" w:after="0"/>
        <w:jc w:val="both"/>
      </w:pPr>
      <w:r>
        <w:t>There was no performance of periodic restoration of backups.</w:t>
      </w:r>
    </w:p>
    <w:p w14:paraId="29EBD312" w14:textId="77777777" w:rsidR="00C443FC" w:rsidRDefault="00C443FC" w:rsidP="006306CE">
      <w:pPr>
        <w:pStyle w:val="Numbernormal"/>
        <w:numPr>
          <w:ilvl w:val="0"/>
          <w:numId w:val="24"/>
        </w:numPr>
        <w:spacing w:before="0" w:after="0"/>
        <w:jc w:val="both"/>
      </w:pPr>
      <w:r>
        <w:t>These matters were reported in 2018-19 financial year.</w:t>
      </w:r>
    </w:p>
    <w:p w14:paraId="570D2D3C" w14:textId="77777777" w:rsidR="006E6D55" w:rsidRDefault="006E6D55" w:rsidP="006E6D55">
      <w:pPr>
        <w:pStyle w:val="Numbernormal"/>
        <w:spacing w:before="0" w:after="0"/>
        <w:ind w:left="1363"/>
        <w:jc w:val="both"/>
      </w:pPr>
    </w:p>
    <w:p w14:paraId="2F8D2C84" w14:textId="77777777" w:rsidR="00C443FC" w:rsidRDefault="00C443FC" w:rsidP="006306CE">
      <w:pPr>
        <w:pStyle w:val="Numbernormal"/>
        <w:numPr>
          <w:ilvl w:val="0"/>
          <w:numId w:val="25"/>
        </w:numPr>
        <w:spacing w:before="0" w:after="0"/>
        <w:jc w:val="both"/>
      </w:pPr>
      <w: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55F19600" w14:textId="77777777" w:rsidR="00C443FC" w:rsidRDefault="00C443FC" w:rsidP="006E6D55">
      <w:pPr>
        <w:pStyle w:val="Numbernormal"/>
        <w:spacing w:before="0" w:after="0"/>
        <w:ind w:left="643"/>
        <w:jc w:val="both"/>
      </w:pPr>
    </w:p>
    <w:p w14:paraId="301453DE" w14:textId="77777777" w:rsidR="00C443FC" w:rsidRDefault="00C443FC" w:rsidP="006306CE">
      <w:pPr>
        <w:pStyle w:val="Numbernormal"/>
        <w:numPr>
          <w:ilvl w:val="0"/>
          <w:numId w:val="25"/>
        </w:numPr>
        <w:spacing w:before="0" w:after="0"/>
        <w:jc w:val="both"/>
      </w:pPr>
      <w:r>
        <w:t>The following security management processes weaknesses were noted:</w:t>
      </w:r>
    </w:p>
    <w:p w14:paraId="16E24BA2" w14:textId="77777777" w:rsidR="00C443FC" w:rsidRDefault="00C443FC" w:rsidP="006306CE">
      <w:pPr>
        <w:pStyle w:val="Numbernormal"/>
        <w:numPr>
          <w:ilvl w:val="0"/>
          <w:numId w:val="26"/>
        </w:numPr>
        <w:spacing w:before="0" w:after="0"/>
        <w:jc w:val="both"/>
      </w:pPr>
      <w:r>
        <w:t>The ICT Security Policy was still in draft format;</w:t>
      </w:r>
    </w:p>
    <w:p w14:paraId="027C537B" w14:textId="77777777" w:rsidR="00C443FC" w:rsidRDefault="00C443FC" w:rsidP="006306CE">
      <w:pPr>
        <w:pStyle w:val="Numbernormal"/>
        <w:numPr>
          <w:ilvl w:val="0"/>
          <w:numId w:val="26"/>
        </w:numPr>
        <w:spacing w:before="0" w:after="0"/>
        <w:jc w:val="both"/>
      </w:pPr>
      <w:r>
        <w:t>There was no process in place to review the activity logs on active directory for security significant events;</w:t>
      </w:r>
    </w:p>
    <w:p w14:paraId="769B500D" w14:textId="77777777" w:rsidR="006E6D55" w:rsidRDefault="00C443FC" w:rsidP="006306CE">
      <w:pPr>
        <w:pStyle w:val="Numbernormal"/>
        <w:numPr>
          <w:ilvl w:val="0"/>
          <w:numId w:val="26"/>
        </w:numPr>
        <w:spacing w:before="0" w:after="0"/>
        <w:jc w:val="both"/>
      </w:pPr>
      <w:r>
        <w:t>Furthermore, the password security settings to the Archibus, EPWP, PMIS and SAGE systems were not in line with the department’s ICT security policy</w:t>
      </w:r>
      <w:r w:rsidR="006E6D55">
        <w:t>.</w:t>
      </w:r>
    </w:p>
    <w:p w14:paraId="3F5AEFAC" w14:textId="77777777" w:rsidR="00C443FC" w:rsidRDefault="00C443FC" w:rsidP="006E6D55">
      <w:pPr>
        <w:pStyle w:val="Numbernormal"/>
        <w:spacing w:before="0" w:after="0"/>
        <w:ind w:left="1363"/>
        <w:jc w:val="both"/>
      </w:pPr>
      <w: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1EA96816" w14:textId="77777777" w:rsidR="00C443FC" w:rsidRDefault="00C443FC" w:rsidP="006E6D55">
      <w:pPr>
        <w:pStyle w:val="Numbernormal"/>
        <w:spacing w:before="0" w:after="0"/>
        <w:ind w:left="643"/>
        <w:jc w:val="both"/>
      </w:pPr>
    </w:p>
    <w:p w14:paraId="640ADC39" w14:textId="77777777" w:rsidR="00C443FC" w:rsidRDefault="00C443FC" w:rsidP="006306CE">
      <w:pPr>
        <w:pStyle w:val="Numbernormal"/>
        <w:numPr>
          <w:ilvl w:val="0"/>
          <w:numId w:val="27"/>
        </w:numPr>
        <w:spacing w:before="0" w:after="0"/>
        <w:jc w:val="both"/>
      </w:pPr>
      <w:r>
        <w:t>The Consolidated Information and Communication Technology Policy included user access management and it was noted that the policy does not explicitly indicate the systems and/or applications that are covered by the policy. Furthermore, as previously reported in 2018/19 it was noted that the current policy was still in draft and does not provide adequate guidance on the process to follow when performing the below user access management activities:</w:t>
      </w:r>
    </w:p>
    <w:p w14:paraId="0FAF5472" w14:textId="77777777" w:rsidR="00C443FC" w:rsidRDefault="00C443FC" w:rsidP="006306CE">
      <w:pPr>
        <w:pStyle w:val="Numbernormal"/>
        <w:numPr>
          <w:ilvl w:val="0"/>
          <w:numId w:val="28"/>
        </w:numPr>
        <w:spacing w:before="0" w:after="0"/>
        <w:jc w:val="both"/>
      </w:pPr>
      <w:r>
        <w:t xml:space="preserve">User account termination. </w:t>
      </w:r>
    </w:p>
    <w:p w14:paraId="544755CE" w14:textId="77777777" w:rsidR="00C443FC" w:rsidRDefault="00C443FC" w:rsidP="006306CE">
      <w:pPr>
        <w:pStyle w:val="Numbernormal"/>
        <w:numPr>
          <w:ilvl w:val="0"/>
          <w:numId w:val="28"/>
        </w:numPr>
        <w:spacing w:before="0" w:after="0"/>
        <w:jc w:val="both"/>
      </w:pPr>
      <w:r>
        <w:t>User transfer requests.</w:t>
      </w:r>
    </w:p>
    <w:p w14:paraId="4FB3A91C" w14:textId="77777777" w:rsidR="00C443FC" w:rsidRDefault="00C443FC" w:rsidP="006306CE">
      <w:pPr>
        <w:pStyle w:val="Numbernormal"/>
        <w:numPr>
          <w:ilvl w:val="0"/>
          <w:numId w:val="28"/>
        </w:numPr>
        <w:spacing w:before="0" w:after="0"/>
        <w:jc w:val="both"/>
      </w:pPr>
      <w:r>
        <w:t xml:space="preserve">Monitoring of system controller actions on application security level (creation of IDs, user ID maintenance, allocating functions to users etc.) </w:t>
      </w:r>
    </w:p>
    <w:p w14:paraId="3A6B78E1" w14:textId="77777777" w:rsidR="00C443FC" w:rsidRDefault="00C443FC" w:rsidP="006306CE">
      <w:pPr>
        <w:pStyle w:val="Numbernormal"/>
        <w:numPr>
          <w:ilvl w:val="0"/>
          <w:numId w:val="28"/>
        </w:numPr>
        <w:spacing w:before="0" w:after="0"/>
        <w:jc w:val="both"/>
      </w:pPr>
      <w:r>
        <w:t>Periodic reviews of access and logon violation</w:t>
      </w:r>
    </w:p>
    <w:p w14:paraId="4809242F" w14:textId="77777777" w:rsidR="00C443FC" w:rsidRDefault="00C443FC" w:rsidP="006E6D55">
      <w:pPr>
        <w:pStyle w:val="Numbernormal"/>
        <w:spacing w:before="0" w:after="0"/>
        <w:ind w:left="643"/>
        <w:jc w:val="both"/>
      </w:pPr>
    </w:p>
    <w:p w14:paraId="21BDEDC0" w14:textId="77777777" w:rsidR="00C443FC" w:rsidRDefault="00C443FC" w:rsidP="006306CE">
      <w:pPr>
        <w:pStyle w:val="Numbernormal"/>
        <w:numPr>
          <w:ilvl w:val="0"/>
          <w:numId w:val="27"/>
        </w:numPr>
        <w:spacing w:before="0" w:after="0"/>
        <w:jc w:val="both"/>
      </w:pPr>
      <w:r>
        <w:t>Inadequate implementation of user access management controls around EPWP, Reapatala, Persal, GIS, SAGE, PMIS, WCS, Archibus and WORX4U. The following deficiencies were noted with regards to the administration of user access controls on the above DPW &amp;PMTE systems:</w:t>
      </w:r>
    </w:p>
    <w:p w14:paraId="0E56ADF4" w14:textId="77777777" w:rsidR="00C443FC" w:rsidRDefault="00C443FC" w:rsidP="006306CE">
      <w:pPr>
        <w:pStyle w:val="Numbernormal"/>
        <w:numPr>
          <w:ilvl w:val="0"/>
          <w:numId w:val="29"/>
        </w:numPr>
        <w:spacing w:before="0" w:after="0"/>
        <w:jc w:val="both"/>
      </w:pPr>
      <w:r>
        <w:t>Evidence of review performed to monitor user's access rights was not adequate as it did not entail users access, furthermore there was no evidence indicating that the report/list was reviewed to ensure that the functions allocated to the users commensurate with their job responsibilities.</w:t>
      </w:r>
    </w:p>
    <w:p w14:paraId="2E5C1CE5" w14:textId="77777777" w:rsidR="00C443FC" w:rsidRDefault="00C443FC" w:rsidP="006306CE">
      <w:pPr>
        <w:pStyle w:val="Numbernormal"/>
        <w:numPr>
          <w:ilvl w:val="0"/>
          <w:numId w:val="29"/>
        </w:numPr>
        <w:spacing w:before="0" w:after="0"/>
        <w:jc w:val="both"/>
      </w:pPr>
      <w: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p>
    <w:p w14:paraId="1ECD39F6" w14:textId="77777777" w:rsidR="00C443FC" w:rsidRDefault="00C443FC" w:rsidP="006E6D55">
      <w:pPr>
        <w:pStyle w:val="Numbernormal"/>
        <w:spacing w:before="0" w:after="0"/>
        <w:ind w:left="1363"/>
        <w:jc w:val="both"/>
      </w:pPr>
      <w:r>
        <w:t>Inadequate user account management processes could lead to unauthorised access to the system, which could result in potential system breaches and therefore compromising the integrity of data.</w:t>
      </w:r>
    </w:p>
    <w:p w14:paraId="423551C2" w14:textId="77777777" w:rsidR="00C443FC" w:rsidRDefault="00C443FC" w:rsidP="006E6D55">
      <w:pPr>
        <w:pStyle w:val="Numbernormal"/>
        <w:spacing w:before="0" w:after="0"/>
        <w:ind w:left="643"/>
        <w:jc w:val="both"/>
      </w:pPr>
    </w:p>
    <w:p w14:paraId="128E4C95" w14:textId="77777777" w:rsidR="00C443FC" w:rsidRDefault="00C443FC" w:rsidP="006306CE">
      <w:pPr>
        <w:pStyle w:val="Numbernormal"/>
        <w:numPr>
          <w:ilvl w:val="0"/>
          <w:numId w:val="27"/>
        </w:numPr>
        <w:spacing w:before="0" w:after="0"/>
        <w:jc w:val="both"/>
      </w:pPr>
      <w:r>
        <w:t>The ICT policy governing change management and access to Reapatala and EPWP applications was still in draft since August 2018, and does not provide adequate guidance on the process to be followed when:</w:t>
      </w:r>
    </w:p>
    <w:p w14:paraId="781CA014" w14:textId="77777777" w:rsidR="00C443FC" w:rsidRDefault="00C443FC" w:rsidP="006306CE">
      <w:pPr>
        <w:pStyle w:val="Numbernormal"/>
        <w:numPr>
          <w:ilvl w:val="0"/>
          <w:numId w:val="30"/>
        </w:numPr>
        <w:spacing w:before="0" w:after="0"/>
        <w:jc w:val="both"/>
      </w:pPr>
      <w:r>
        <w:t>Performing change management activities;</w:t>
      </w:r>
    </w:p>
    <w:p w14:paraId="7D36290E" w14:textId="77777777" w:rsidR="00C443FC" w:rsidRDefault="00C443FC" w:rsidP="006306CE">
      <w:pPr>
        <w:pStyle w:val="Numbernormal"/>
        <w:numPr>
          <w:ilvl w:val="0"/>
          <w:numId w:val="30"/>
        </w:numPr>
        <w:spacing w:before="0" w:after="0"/>
        <w:jc w:val="both"/>
      </w:pPr>
      <w:r>
        <w:t xml:space="preserve">Migration of changes to production </w:t>
      </w:r>
    </w:p>
    <w:p w14:paraId="21D1FFCA" w14:textId="77777777" w:rsidR="00C443FC" w:rsidRDefault="00C443FC" w:rsidP="006306CE">
      <w:pPr>
        <w:pStyle w:val="Numbernormal"/>
        <w:numPr>
          <w:ilvl w:val="0"/>
          <w:numId w:val="30"/>
        </w:numPr>
        <w:spacing w:before="0" w:after="0"/>
        <w:jc w:val="both"/>
      </w:pPr>
      <w:r>
        <w:lastRenderedPageBreak/>
        <w:t>Development of changes requested</w:t>
      </w:r>
    </w:p>
    <w:p w14:paraId="104EAC0C" w14:textId="77777777" w:rsidR="00C443FC" w:rsidRDefault="00C443FC" w:rsidP="006306CE">
      <w:pPr>
        <w:pStyle w:val="Numbernormal"/>
        <w:numPr>
          <w:ilvl w:val="0"/>
          <w:numId w:val="30"/>
        </w:numPr>
        <w:spacing w:before="0" w:after="0"/>
        <w:jc w:val="both"/>
      </w:pPr>
      <w:r>
        <w:t>Testing of changes (QA and user acceptance test); and</w:t>
      </w:r>
    </w:p>
    <w:p w14:paraId="352AFCA9" w14:textId="77777777" w:rsidR="00C443FC" w:rsidRDefault="00C443FC" w:rsidP="006306CE">
      <w:pPr>
        <w:pStyle w:val="Numbernormal"/>
        <w:numPr>
          <w:ilvl w:val="0"/>
          <w:numId w:val="30"/>
        </w:numPr>
        <w:spacing w:before="0" w:after="0"/>
        <w:jc w:val="both"/>
      </w:pPr>
      <w:r>
        <w:t>Implementation of changes.</w:t>
      </w:r>
    </w:p>
    <w:p w14:paraId="4D2BB0FE" w14:textId="77777777" w:rsidR="00E76BFC" w:rsidRPr="0077659B" w:rsidRDefault="00C443FC" w:rsidP="006E6D55">
      <w:pPr>
        <w:pStyle w:val="Numbernormal"/>
        <w:spacing w:before="0" w:after="0"/>
        <w:ind w:left="1003"/>
        <w:jc w:val="both"/>
      </w:pPr>
      <w: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2031D2B2" w14:textId="77777777" w:rsidR="00214936" w:rsidRPr="006F4B61" w:rsidRDefault="001F4789" w:rsidP="006B698F">
      <w:pPr>
        <w:pStyle w:val="Heading4"/>
        <w:jc w:val="both"/>
      </w:pPr>
      <w:r w:rsidRPr="0077659B">
        <w:t>Governance</w:t>
      </w:r>
    </w:p>
    <w:p w14:paraId="326CC903" w14:textId="77777777" w:rsidR="00FC16A3" w:rsidRPr="0077659B" w:rsidRDefault="00FC16A3" w:rsidP="006B698F">
      <w:pPr>
        <w:pStyle w:val="Heading5"/>
        <w:jc w:val="both"/>
        <w:rPr>
          <w:rFonts w:eastAsia="MS Mincho"/>
        </w:rPr>
      </w:pPr>
      <w:r w:rsidRPr="0077659B">
        <w:rPr>
          <w:rFonts w:eastAsia="MS Mincho"/>
        </w:rPr>
        <w:t>Risk management activities and risk strategy</w:t>
      </w:r>
    </w:p>
    <w:p w14:paraId="12684379" w14:textId="77777777" w:rsidR="00B55890" w:rsidRDefault="00BA4AF3" w:rsidP="006306CE">
      <w:pPr>
        <w:pStyle w:val="Numbernormal"/>
        <w:numPr>
          <w:ilvl w:val="0"/>
          <w:numId w:val="15"/>
        </w:numPr>
        <w:jc w:val="both"/>
      </w:pPr>
      <w:r>
        <w:t xml:space="preserve">We have noted that investigations relating to corruption and contravention with SCM </w:t>
      </w:r>
      <w:r w:rsidR="00B55890">
        <w:t>regulations were</w:t>
      </w:r>
      <w:r>
        <w:t xml:space="preserve"> conducted </w:t>
      </w:r>
      <w:r w:rsidR="00B55890">
        <w:t xml:space="preserve">and completed and the unit made recommendations on those completed cases </w:t>
      </w:r>
      <w:r w:rsidR="00773831">
        <w:t>including disciplinary action to be taken against officials</w:t>
      </w:r>
      <w:r w:rsidR="00022D13">
        <w:t>.</w:t>
      </w:r>
    </w:p>
    <w:p w14:paraId="44F12218" w14:textId="77777777" w:rsidR="00B55890" w:rsidRPr="0077659B" w:rsidRDefault="00B55890" w:rsidP="006306CE">
      <w:pPr>
        <w:pStyle w:val="Numbernormal"/>
        <w:numPr>
          <w:ilvl w:val="0"/>
          <w:numId w:val="15"/>
        </w:numPr>
        <w:jc w:val="both"/>
      </w:pPr>
      <w:r>
        <w:t xml:space="preserve">Some of the cases relating to corruption were referred to special investigation unit due to its complexity and management is still waiting for outcomes of those cases. </w:t>
      </w:r>
      <w:r w:rsidR="00A274FB" w:rsidRPr="00A274FB">
        <w:t xml:space="preserve"> </w:t>
      </w:r>
      <w:r w:rsidR="00A274FB" w:rsidRPr="00BC3C9A">
        <w:t xml:space="preserve">Where follow up actions are required from the </w:t>
      </w:r>
      <w:r w:rsidR="00A274FB">
        <w:t>entity</w:t>
      </w:r>
      <w:r w:rsidR="00A274FB" w:rsidRPr="00BC3C9A">
        <w:t xml:space="preserve"> as a result of findings from investigations (e.g. disciplinary hearings, etc.), these are not taking place on time in some instances</w:t>
      </w:r>
      <w:r w:rsidR="00A274FB">
        <w:t xml:space="preserve">. In addition, we have noted that leadership has been slow to implement some of the recommendations in these reports, especially in relation to holding people accountable for causing the entity to incur irregular, and fruitless and wasteful expenditure. Inadequate consequence management increases the likelihood of similar transgressions recurring, and the entity not receiving value for the high costs incurred in conducting these investigations. </w:t>
      </w:r>
    </w:p>
    <w:p w14:paraId="71B5C1D7" w14:textId="77777777" w:rsidR="00FC16A3" w:rsidRPr="0077659B" w:rsidRDefault="00FC16A3" w:rsidP="006B698F">
      <w:pPr>
        <w:pStyle w:val="Heading5"/>
        <w:jc w:val="both"/>
        <w:rPr>
          <w:rFonts w:eastAsia="MS Mincho"/>
        </w:rPr>
      </w:pPr>
      <w:r w:rsidRPr="0077659B">
        <w:rPr>
          <w:rFonts w:eastAsia="MS Mincho"/>
        </w:rPr>
        <w:t>Internal audit</w:t>
      </w:r>
    </w:p>
    <w:p w14:paraId="64DA4E1D" w14:textId="77777777" w:rsidR="00452BCD" w:rsidRDefault="00773831" w:rsidP="006306CE">
      <w:pPr>
        <w:pStyle w:val="Numbernormal"/>
        <w:numPr>
          <w:ilvl w:val="0"/>
          <w:numId w:val="15"/>
        </w:numPr>
        <w:jc w:val="both"/>
      </w:pPr>
      <w:r>
        <w:t>While it was noted that internal audit performed a number of audit</w:t>
      </w:r>
      <w:r w:rsidR="00BA5B0D">
        <w:t>s</w:t>
      </w:r>
      <w:r>
        <w:t xml:space="preserve"> throughout the financial period, we have placed reliance of their report during interim audit to assess progress made on performance information implementation plan to address prior year findings and it is clear that internal audit does provide assurance to the trading entity.</w:t>
      </w:r>
      <w:r w:rsidR="00AC4F67">
        <w:t xml:space="preserve"> </w:t>
      </w:r>
      <w:r w:rsidR="00452BCD" w:rsidRPr="00837BBD">
        <w:t xml:space="preserve">In our review of internal audit reports, we noted that in some instances, concerns were raised by internal audit relating to managements’ efforts in place to improve control weaknesses through the implementation of agreed audit action plans. The action plans developed have not been fully implemented. </w:t>
      </w:r>
    </w:p>
    <w:p w14:paraId="25F395DD" w14:textId="77777777" w:rsidR="00A274FB" w:rsidRPr="00837BBD" w:rsidRDefault="00A274FB" w:rsidP="006306CE">
      <w:pPr>
        <w:pStyle w:val="Numbernormal"/>
        <w:numPr>
          <w:ilvl w:val="0"/>
          <w:numId w:val="15"/>
        </w:numPr>
        <w:jc w:val="both"/>
      </w:pPr>
      <w:r>
        <w:t>M</w:t>
      </w:r>
      <w:r w:rsidRPr="00B60CDF">
        <w:t>any</w:t>
      </w:r>
      <w:r>
        <w:t xml:space="preserve"> of the</w:t>
      </w:r>
      <w:r w:rsidRPr="00B60CDF">
        <w:t xml:space="preserve"> findings raised </w:t>
      </w:r>
      <w:r>
        <w:t xml:space="preserve">on the work performed on performance information </w:t>
      </w:r>
      <w:r w:rsidRPr="00B60CDF">
        <w:t>related to limitation of scope</w:t>
      </w:r>
      <w:r>
        <w:t>, with management providing information to internal audit late, or not providing information at all</w:t>
      </w:r>
      <w:r w:rsidRPr="00B60CDF">
        <w:t>. In other instances, management responses to the issues raised were not adequate to resolve the matter</w:t>
      </w:r>
      <w:r>
        <w:t>s identified</w:t>
      </w:r>
      <w:r w:rsidR="00AC4F67">
        <w:t>. While senior management has a responsibility to design and implement preventative controls, internal audit function can also play a fundamental role in identifying areas of vulnerability where there are no preventative controls or where such require improvement and report such to enable oversight responsibility by other role players such as the audit committee and the accounting officer.</w:t>
      </w:r>
    </w:p>
    <w:p w14:paraId="0CC90546" w14:textId="77777777" w:rsidR="00FC16A3" w:rsidRPr="0077659B" w:rsidRDefault="00FC16A3" w:rsidP="006B698F">
      <w:pPr>
        <w:pStyle w:val="Heading5"/>
        <w:jc w:val="both"/>
        <w:rPr>
          <w:rFonts w:eastAsia="MS Mincho"/>
        </w:rPr>
      </w:pPr>
      <w:r w:rsidRPr="0077659B">
        <w:rPr>
          <w:rFonts w:eastAsia="MS Mincho"/>
        </w:rPr>
        <w:t>Audit committee</w:t>
      </w:r>
    </w:p>
    <w:p w14:paraId="16DBF492" w14:textId="77777777" w:rsidR="00A274FB" w:rsidRPr="00AD38E4" w:rsidRDefault="00A274FB" w:rsidP="006306CE">
      <w:pPr>
        <w:pStyle w:val="Numbernormal"/>
        <w:numPr>
          <w:ilvl w:val="0"/>
          <w:numId w:val="15"/>
        </w:numPr>
        <w:jc w:val="both"/>
      </w:pPr>
      <w:r w:rsidRPr="00AD38E4">
        <w:t xml:space="preserve">New members have been appointed to the audit committee after the term of the previous members </w:t>
      </w:r>
      <w:r>
        <w:t>expired mid-way through the 2019</w:t>
      </w:r>
      <w:r w:rsidRPr="00AD38E4">
        <w:t>/</w:t>
      </w:r>
      <w:r>
        <w:t>20</w:t>
      </w:r>
      <w:r w:rsidRPr="00AD38E4">
        <w:t xml:space="preserve"> financial year.  Regardless, the audit committee has consistently reported concerns with the number of control issues raised by Internal Audit and the Auditor General.  </w:t>
      </w:r>
    </w:p>
    <w:p w14:paraId="0F4249FA" w14:textId="5F16DE26" w:rsidR="00A274FB" w:rsidRPr="00AD38E4" w:rsidRDefault="00A274FB" w:rsidP="006306CE">
      <w:pPr>
        <w:pStyle w:val="Numbernormal"/>
        <w:numPr>
          <w:ilvl w:val="0"/>
          <w:numId w:val="15"/>
        </w:numPr>
        <w:jc w:val="both"/>
      </w:pPr>
      <w:r w:rsidRPr="00AD38E4">
        <w:lastRenderedPageBreak/>
        <w:t>The previous members concurred at the end of the previous financial year that there were inadequate control processes and procedures, by design and implementation, to ensure the accuracy and completeness of the financial stateme</w:t>
      </w:r>
      <w:r w:rsidR="005A304D">
        <w:t>nts and performance information</w:t>
      </w:r>
      <w:r w:rsidR="00324603">
        <w:t>.</w:t>
      </w:r>
      <w:r w:rsidRPr="00AD38E4">
        <w:t xml:space="preserve"> </w:t>
      </w:r>
    </w:p>
    <w:p w14:paraId="7D1CB37D" w14:textId="4C4CA548" w:rsidR="00A274FB" w:rsidRPr="00AD38E4" w:rsidRDefault="00A274FB" w:rsidP="006306CE">
      <w:pPr>
        <w:pStyle w:val="Numbernormal"/>
        <w:numPr>
          <w:ilvl w:val="0"/>
          <w:numId w:val="15"/>
        </w:numPr>
        <w:jc w:val="both"/>
      </w:pPr>
      <w:r w:rsidRPr="00AD38E4">
        <w:t xml:space="preserve">The audit committee is currently effectively involved from a governance perspective in the </w:t>
      </w:r>
      <w:r>
        <w:t xml:space="preserve">oversight </w:t>
      </w:r>
      <w:r w:rsidRPr="00AD38E4">
        <w:t xml:space="preserve">of the department, </w:t>
      </w:r>
      <w:r>
        <w:t>however improvements in outcomes can only follow from effective implementation of action plans by management</w:t>
      </w:r>
      <w:r w:rsidRPr="00AD38E4">
        <w:t>.</w:t>
      </w:r>
      <w:r w:rsidR="0096631A">
        <w:t>it is thus recommended that the implementation of the action plan monitoring responsibility and oversight is part of the key priorities that also aim to hold management accountable where the audit committee responsibilities are not addressed.</w:t>
      </w:r>
    </w:p>
    <w:p w14:paraId="511EC10A" w14:textId="77777777" w:rsidR="002B5779" w:rsidRPr="00AC4F67" w:rsidRDefault="00A274FB" w:rsidP="006306CE">
      <w:pPr>
        <w:pStyle w:val="Numbernormal"/>
        <w:numPr>
          <w:ilvl w:val="0"/>
          <w:numId w:val="15"/>
        </w:numPr>
        <w:jc w:val="both"/>
      </w:pPr>
      <w:r w:rsidRPr="00AD38E4">
        <w:t xml:space="preserve">The Chairperson of the Audit Committee should meet and give regular feedback to the </w:t>
      </w:r>
      <w:r w:rsidRPr="00AC4F67">
        <w:t>Minister of Public Works and Infrastructure.</w:t>
      </w:r>
    </w:p>
    <w:p w14:paraId="23E07593" w14:textId="77777777" w:rsidR="00C22F2B" w:rsidRPr="00AC4F67" w:rsidRDefault="00C22F2B" w:rsidP="000142F4">
      <w:pPr>
        <w:pStyle w:val="Heading4"/>
      </w:pPr>
      <w:bookmarkStart w:id="128" w:name="NewSummary"/>
      <w:bookmarkStart w:id="129" w:name="_Toc447106603"/>
      <w:bookmarkEnd w:id="127"/>
      <w:bookmarkEnd w:id="128"/>
      <w:r w:rsidRPr="00AC4F67">
        <w:t>Summary</w:t>
      </w:r>
      <w:bookmarkEnd w:id="129"/>
    </w:p>
    <w:p w14:paraId="750B532E" w14:textId="0C6E1268" w:rsidR="00C22F2B" w:rsidRPr="00AC4F67" w:rsidRDefault="00C22F2B" w:rsidP="006306CE">
      <w:pPr>
        <w:pStyle w:val="Numbernormal"/>
        <w:numPr>
          <w:ilvl w:val="0"/>
          <w:numId w:val="15"/>
        </w:numPr>
        <w:jc w:val="both"/>
      </w:pPr>
      <w:r w:rsidRPr="00AC4F67">
        <w:t>The matters above, as th</w:t>
      </w:r>
      <w:r w:rsidR="008E6C71" w:rsidRPr="00AC4F67">
        <w:t xml:space="preserve">ey relate to the basis for the </w:t>
      </w:r>
      <w:r w:rsidR="00D82150">
        <w:t>qualified</w:t>
      </w:r>
      <w:r w:rsidR="008E6C71" w:rsidRPr="00AC4F67">
        <w:t xml:space="preserve"> opinion, findings on the performance report</w:t>
      </w:r>
      <w:r w:rsidR="00AC4F67">
        <w:t xml:space="preserve">, financial statement and </w:t>
      </w:r>
      <w:r w:rsidRPr="00AC4F67">
        <w:t>compliance with legislation, will be summarised in the auditor’s report as follows:</w:t>
      </w:r>
    </w:p>
    <w:p w14:paraId="6F5F1578" w14:textId="77777777" w:rsidR="00DF6344" w:rsidRDefault="00DF6344" w:rsidP="00DF6344">
      <w:pPr>
        <w:pStyle w:val="Numbernormal"/>
        <w:numPr>
          <w:ilvl w:val="0"/>
          <w:numId w:val="15"/>
        </w:numPr>
        <w:spacing w:before="0" w:after="240"/>
        <w:jc w:val="both"/>
      </w:pPr>
      <w:bookmarkStart w:id="130" w:name="_Toc447106611"/>
      <w:bookmarkStart w:id="131" w:name="_Toc53608726"/>
      <w:r w:rsidRPr="00E22A25">
        <w:t xml:space="preserve">The </w:t>
      </w:r>
      <w:r>
        <w:t xml:space="preserve">trading </w:t>
      </w:r>
      <w:r w:rsidRPr="00E22A25">
        <w:t xml:space="preserve">entity does not have adequate and sufficiently skilled resources in place, as a significant number of positions were still vacant at the financial accounting division. </w:t>
      </w:r>
    </w:p>
    <w:p w14:paraId="2DC7A231" w14:textId="77777777" w:rsidR="00DF6344" w:rsidRDefault="00DF6344" w:rsidP="00DF6344">
      <w:pPr>
        <w:pStyle w:val="Numbernormal"/>
        <w:numPr>
          <w:ilvl w:val="0"/>
          <w:numId w:val="15"/>
        </w:numPr>
        <w:spacing w:before="0" w:after="240"/>
        <w:jc w:val="both"/>
      </w:pPr>
      <w:r>
        <w:t xml:space="preserve">In some instances, leadership did not </w:t>
      </w:r>
      <w:r w:rsidRPr="00C01DA4">
        <w:t xml:space="preserve">exercise oversight </w:t>
      </w:r>
      <w:r>
        <w:t>to ensure</w:t>
      </w:r>
      <w:r w:rsidRPr="00C01DA4">
        <w:t xml:space="preserve"> effective implementation of </w:t>
      </w:r>
      <w:r>
        <w:t xml:space="preserve">the </w:t>
      </w:r>
      <w:r w:rsidRPr="00C01DA4">
        <w:t>audit action plans</w:t>
      </w:r>
      <w:r>
        <w:t>. This resulted in recurring findings in property, plant and equipment and in performance information, which resulted in negative outcomes as cited above.</w:t>
      </w:r>
      <w:r w:rsidRPr="00C50322">
        <w:t xml:space="preserve"> </w:t>
      </w:r>
      <w:r>
        <w:t xml:space="preserve">I noted an </w:t>
      </w:r>
      <w:r w:rsidRPr="00C50322">
        <w:t>improvement for the recognition of property</w:t>
      </w:r>
      <w:r>
        <w:t>,</w:t>
      </w:r>
      <w:r w:rsidRPr="00C50322">
        <w:t xml:space="preserve"> plant and equipment assets for which the entity did</w:t>
      </w:r>
      <w:r>
        <w:t xml:space="preserve"> </w:t>
      </w:r>
      <w:r w:rsidRPr="00C50322">
        <w:t>n</w:t>
      </w:r>
      <w:r>
        <w:t>o</w:t>
      </w:r>
      <w:r w:rsidRPr="00C50322">
        <w:t>t retain proof of ownership, which resulted in that portion of the prior period qualifica</w:t>
      </w:r>
      <w:r>
        <w:t xml:space="preserve">tion being resolved. </w:t>
      </w:r>
      <w:r w:rsidRPr="00C50322">
        <w:t xml:space="preserve">However, while </w:t>
      </w:r>
      <w:r>
        <w:t xml:space="preserve">I noted a decrease in </w:t>
      </w:r>
      <w:r w:rsidRPr="00C50322">
        <w:t xml:space="preserve">the </w:t>
      </w:r>
      <w:r>
        <w:t xml:space="preserve">number </w:t>
      </w:r>
      <w:r w:rsidRPr="00C50322">
        <w:t>of material misstatement</w:t>
      </w:r>
      <w:r>
        <w:t>s</w:t>
      </w:r>
      <w:r w:rsidRPr="00C50322">
        <w:t xml:space="preserve"> </w:t>
      </w:r>
      <w:r>
        <w:t xml:space="preserve">relating </w:t>
      </w:r>
      <w:r w:rsidRPr="00C50322">
        <w:t xml:space="preserve">to the extent of </w:t>
      </w:r>
      <w:r>
        <w:t xml:space="preserve">valuation of </w:t>
      </w:r>
      <w:r w:rsidRPr="00C50322">
        <w:t xml:space="preserve">properties in the current year compared to the prior year, the remaining misstatements on valuation of immovable assets were material. </w:t>
      </w:r>
      <w:r w:rsidRPr="00F31B75">
        <w:t xml:space="preserve"> </w:t>
      </w:r>
    </w:p>
    <w:p w14:paraId="5EA6068B" w14:textId="77777777" w:rsidR="00DF6344" w:rsidRPr="0086324D" w:rsidRDefault="00DF6344" w:rsidP="00DF6344">
      <w:pPr>
        <w:pStyle w:val="Numbernormal"/>
        <w:numPr>
          <w:ilvl w:val="0"/>
          <w:numId w:val="15"/>
        </w:numPr>
        <w:spacing w:before="0" w:after="240"/>
        <w:jc w:val="both"/>
      </w:pPr>
      <w:r>
        <w:t xml:space="preserve">Financial statement items such as operating leases and operating lease revenue have regressed in the current year. This was because </w:t>
      </w:r>
      <w:r w:rsidRPr="00F31B75">
        <w:t xml:space="preserve">the entity </w:t>
      </w:r>
      <w:r>
        <w:t xml:space="preserve">did </w:t>
      </w:r>
      <w:r w:rsidRPr="00F31B75">
        <w:t>not hav</w:t>
      </w:r>
      <w:r>
        <w:t>e</w:t>
      </w:r>
      <w:r w:rsidRPr="00F31B75">
        <w:t xml:space="preserve"> </w:t>
      </w:r>
      <w:r>
        <w:t xml:space="preserve">enough </w:t>
      </w:r>
      <w:r w:rsidRPr="00F31B75">
        <w:t xml:space="preserve">sufficiently skilled resources in place to review the financial information </w:t>
      </w:r>
      <w:r>
        <w:t xml:space="preserve">before submitting </w:t>
      </w:r>
      <w:r w:rsidRPr="00F31B75">
        <w:t xml:space="preserve">for audit, as </w:t>
      </w:r>
      <w:r>
        <w:t xml:space="preserve">a </w:t>
      </w:r>
      <w:r w:rsidRPr="00F31B75">
        <w:t xml:space="preserve">significant number of positions </w:t>
      </w:r>
      <w:r>
        <w:t>in the f</w:t>
      </w:r>
      <w:r w:rsidRPr="00F31B75">
        <w:t xml:space="preserve">inance division were still </w:t>
      </w:r>
      <w:r>
        <w:t>vacant.</w:t>
      </w:r>
      <w:r w:rsidRPr="00F31B75">
        <w:t xml:space="preserve"> So</w:t>
      </w:r>
      <w:r>
        <w:t xml:space="preserve">me senior management positions </w:t>
      </w:r>
      <w:r w:rsidRPr="00F31B75">
        <w:t>were filled by acting incumbents quite late in process and very close to financial year</w:t>
      </w:r>
      <w:r>
        <w:t>-</w:t>
      </w:r>
      <w:r w:rsidRPr="00F31B75">
        <w:t>end</w:t>
      </w:r>
      <w:r>
        <w:t>,</w:t>
      </w:r>
      <w:r w:rsidRPr="00F31B75">
        <w:t xml:space="preserve"> which made the </w:t>
      </w:r>
      <w:r>
        <w:t xml:space="preserve">preparation of </w:t>
      </w:r>
      <w:r w:rsidRPr="00F31B75">
        <w:t>financial statement</w:t>
      </w:r>
      <w:r>
        <w:t xml:space="preserve">s </w:t>
      </w:r>
      <w:r w:rsidRPr="00F31B75">
        <w:t xml:space="preserve">more susceptible to errors. In prior periods, the </w:t>
      </w:r>
      <w:r>
        <w:t>f</w:t>
      </w:r>
      <w:r w:rsidRPr="00F31B75">
        <w:t xml:space="preserve">inance </w:t>
      </w:r>
      <w:r>
        <w:t xml:space="preserve">division </w:t>
      </w:r>
      <w:r w:rsidRPr="00F31B75">
        <w:t>depende</w:t>
      </w:r>
      <w:r>
        <w:t>d</w:t>
      </w:r>
      <w:r w:rsidRPr="00F31B75">
        <w:t xml:space="preserve"> on a number of contracted resources who played a key role in the preparation and review of </w:t>
      </w:r>
      <w:r>
        <w:t xml:space="preserve">the </w:t>
      </w:r>
      <w:r w:rsidRPr="00F31B75">
        <w:t>annual financial statements.</w:t>
      </w:r>
    </w:p>
    <w:p w14:paraId="2255ED0C" w14:textId="77777777" w:rsidR="00DF6344" w:rsidRPr="00EC3259" w:rsidRDefault="00DF6344" w:rsidP="00DF6344">
      <w:pPr>
        <w:pStyle w:val="Numbernormal"/>
        <w:numPr>
          <w:ilvl w:val="0"/>
          <w:numId w:val="15"/>
        </w:numPr>
        <w:spacing w:before="0" w:after="240"/>
        <w:jc w:val="both"/>
      </w:pPr>
      <w:r>
        <w:t>Management did not properly review the details of the leases that were recorded on the new computerised lease system, which resulted in significant differences between the amounts disclosed in the annual financial statements and the information per the signed lease agreements. The process of preparing financial statements is lengthy because the financial accounting system has not been fully implemented</w:t>
      </w:r>
      <w:r w:rsidRPr="00EC3259">
        <w:t>.</w:t>
      </w:r>
      <w:r>
        <w:t xml:space="preserve"> As a result, the trading </w:t>
      </w:r>
      <w:r w:rsidRPr="00EC3259">
        <w:t>entity</w:t>
      </w:r>
      <w:r>
        <w:t xml:space="preserve"> failed to produce </w:t>
      </w:r>
      <w:r w:rsidRPr="00EC3259">
        <w:t>credible financi</w:t>
      </w:r>
      <w:r>
        <w:t>al reporting</w:t>
      </w:r>
      <w:r w:rsidRPr="00EC3259">
        <w:t xml:space="preserve"> to enable leadership to review and take appropriate and timeous corrective action where required.</w:t>
      </w:r>
    </w:p>
    <w:p w14:paraId="5573A413" w14:textId="77777777" w:rsidR="00DF6344" w:rsidRPr="00CD645F" w:rsidRDefault="00DF6344" w:rsidP="00DF6344">
      <w:pPr>
        <w:pStyle w:val="Numbernormal"/>
        <w:numPr>
          <w:ilvl w:val="0"/>
          <w:numId w:val="15"/>
        </w:numPr>
        <w:spacing w:before="0" w:after="240"/>
        <w:jc w:val="both"/>
      </w:pPr>
      <w:bookmarkStart w:id="132" w:name="_Toc53608725"/>
      <w:r>
        <w:lastRenderedPageBreak/>
        <w:t xml:space="preserve">Management’s </w:t>
      </w:r>
      <w:r w:rsidRPr="00CD645F">
        <w:t xml:space="preserve">review and monitoring of compliance with applicable laws and regulations </w:t>
      </w:r>
      <w:r>
        <w:t xml:space="preserve">was </w:t>
      </w:r>
      <w:r w:rsidRPr="00CD645F">
        <w:t>ineffective in certain instances</w:t>
      </w:r>
      <w:bookmarkEnd w:id="132"/>
      <w:r>
        <w:t>, which resulted in material non-compliance findings on expenditure, procurement and contract management.</w:t>
      </w:r>
    </w:p>
    <w:p w14:paraId="262C2C53" w14:textId="77777777" w:rsidR="00F11C26" w:rsidRDefault="00F11C26" w:rsidP="006B698F">
      <w:pPr>
        <w:pStyle w:val="Heading3"/>
        <w:jc w:val="both"/>
        <w:rPr>
          <w:lang w:val="en-ZA"/>
        </w:rPr>
      </w:pPr>
    </w:p>
    <w:p w14:paraId="6FA83E50" w14:textId="383A0DB2" w:rsidR="004523B1" w:rsidRPr="00BB6EEC" w:rsidRDefault="004523B1" w:rsidP="006B698F">
      <w:pPr>
        <w:pStyle w:val="Heading3"/>
        <w:jc w:val="both"/>
        <w:rPr>
          <w:lang w:val="en-ZA"/>
        </w:rPr>
      </w:pPr>
      <w:r w:rsidRPr="00BB6EEC">
        <w:rPr>
          <w:lang w:val="en-ZA"/>
        </w:rPr>
        <w:t>OTHER REPORTS</w:t>
      </w:r>
      <w:bookmarkEnd w:id="130"/>
      <w:bookmarkEnd w:id="131"/>
    </w:p>
    <w:p w14:paraId="246B73D5" w14:textId="77777777" w:rsidR="004523B1" w:rsidRPr="0077659B" w:rsidRDefault="00307DE0" w:rsidP="006306CE">
      <w:pPr>
        <w:pStyle w:val="Numbernormal"/>
        <w:numPr>
          <w:ilvl w:val="0"/>
          <w:numId w:val="15"/>
        </w:numPr>
        <w:jc w:val="both"/>
      </w:pPr>
      <w:r w:rsidRPr="0077659B">
        <w:t>We</w:t>
      </w:r>
      <w:r w:rsidR="004523B1" w:rsidRPr="0077659B">
        <w:t xml:space="preserve"> draw attention to the following engagements conducted by various parties that have or could potentially have an</w:t>
      </w:r>
      <w:r w:rsidR="002148D1">
        <w:t xml:space="preserve"> impact on the trading entitie</w:t>
      </w:r>
      <w:r w:rsidR="002148D1" w:rsidRPr="0077659B">
        <w:t>s’</w:t>
      </w:r>
      <w:r w:rsidR="004523B1" w:rsidRPr="0077659B">
        <w:t xml:space="preserve"> financial statements, reported performance information and compliance with applicable legislation and other related matters. The reports noted do not form part of my opinion on the financial statements or my findings on the reported performance information</w:t>
      </w:r>
      <w:r w:rsidR="002148D1">
        <w:t xml:space="preserve"> </w:t>
      </w:r>
      <w:r w:rsidR="004523B1" w:rsidRPr="0077659B">
        <w:t xml:space="preserve">or compliance with legislation. </w:t>
      </w:r>
      <w:r w:rsidR="00775734" w:rsidRPr="0077659B">
        <w:t>The summarised other reports will be included in the auditor’s report as follows:</w:t>
      </w:r>
    </w:p>
    <w:p w14:paraId="49477417" w14:textId="77777777" w:rsidR="004523B1" w:rsidRPr="0077659B" w:rsidRDefault="002148D1" w:rsidP="006306CE">
      <w:pPr>
        <w:pStyle w:val="Numbernormal"/>
        <w:numPr>
          <w:ilvl w:val="0"/>
          <w:numId w:val="15"/>
        </w:numPr>
        <w:jc w:val="both"/>
      </w:pPr>
      <w:r>
        <w:t>Numerous allegations, mainly relating to alleged transgressions with regard to supply chain management, potential fraud and financial misconduct, are still being investigated on an ongoing basis by Special Investigation Unit.</w:t>
      </w:r>
    </w:p>
    <w:p w14:paraId="553D7BA8" w14:textId="77777777" w:rsidR="000142F4" w:rsidRPr="0077659B" w:rsidRDefault="000142F4" w:rsidP="000142F4">
      <w:pPr>
        <w:pStyle w:val="Heading2"/>
      </w:pPr>
      <w:bookmarkStart w:id="133" w:name="_Toc53608727"/>
      <w:r w:rsidRPr="0077659B">
        <w:t>SECTION 3: Assurance providers and status of implementation of commitments and recommendations</w:t>
      </w:r>
      <w:bookmarkEnd w:id="133"/>
    </w:p>
    <w:p w14:paraId="32BDCC0D" w14:textId="77777777" w:rsidR="00C47242" w:rsidRPr="00BB6EEC" w:rsidRDefault="006C0DAE" w:rsidP="00A3735E">
      <w:pPr>
        <w:pStyle w:val="Heading3"/>
        <w:rPr>
          <w:lang w:val="en-ZA"/>
        </w:rPr>
      </w:pPr>
      <w:bookmarkStart w:id="134" w:name="NewPartF"/>
      <w:bookmarkStart w:id="135" w:name="E2_6"/>
      <w:bookmarkStart w:id="136" w:name="_Toc53608728"/>
      <w:bookmarkEnd w:id="134"/>
      <w:bookmarkEnd w:id="135"/>
      <w:r w:rsidRPr="00BB6EEC">
        <w:rPr>
          <w:lang w:val="en-ZA"/>
        </w:rPr>
        <w:t>ASSESSMENT OF ASSURANCE PROVIDERS</w:t>
      </w:r>
      <w:bookmarkEnd w:id="136"/>
    </w:p>
    <w:p w14:paraId="3649D767" w14:textId="77777777" w:rsidR="00C22F2B" w:rsidRPr="0077659B" w:rsidRDefault="00C22F2B" w:rsidP="006306CE">
      <w:pPr>
        <w:pStyle w:val="Numbernormal"/>
        <w:numPr>
          <w:ilvl w:val="0"/>
          <w:numId w:val="15"/>
        </w:numPr>
        <w:jc w:val="both"/>
      </w:pPr>
      <w:r w:rsidRPr="0077659B">
        <w:t>The annual report is used to report on the financial position of auditees, their performance against predetermined objectives</w:t>
      </w:r>
      <w:r w:rsidR="00AB0E04">
        <w:t xml:space="preserve"> </w:t>
      </w:r>
      <w:r w:rsidRPr="0077659B">
        <w:t>and overall governance. One of the important oversight functi</w:t>
      </w:r>
      <w:r w:rsidR="00AB0E04">
        <w:t xml:space="preserve">ons of Parliament </w:t>
      </w:r>
      <w:r w:rsidRPr="0077659B">
        <w:t>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00AB0E04" w:rsidRPr="0077659B">
        <w:t xml:space="preserve"> </w:t>
      </w:r>
      <w:r w:rsidRPr="0077659B">
        <w:t xml:space="preserve">as well as on the auditee’s compliance with legislation. </w:t>
      </w:r>
    </w:p>
    <w:p w14:paraId="49D96B9A" w14:textId="77777777" w:rsidR="00C22F2B" w:rsidRPr="0077659B" w:rsidRDefault="00C22F2B" w:rsidP="006306CE">
      <w:pPr>
        <w:pStyle w:val="Numbernormal"/>
        <w:numPr>
          <w:ilvl w:val="0"/>
          <w:numId w:val="15"/>
        </w:numPr>
        <w:jc w:val="both"/>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3501BCFA" w14:textId="77777777" w:rsidR="00381C53" w:rsidRPr="0077659B" w:rsidRDefault="00C22F2B" w:rsidP="006306CE">
      <w:pPr>
        <w:pStyle w:val="Numbernormal"/>
        <w:numPr>
          <w:ilvl w:val="0"/>
          <w:numId w:val="15"/>
        </w:numPr>
        <w:jc w:val="both"/>
      </w:pPr>
      <w:r w:rsidRPr="0077659B">
        <w:t>We assess the level of assurance provided by these assurance providers based on the status of internal controls (as reported in section</w:t>
      </w:r>
      <w:r w:rsidR="00F52458" w:rsidRPr="0077659B">
        <w:t xml:space="preserve"> 2.6</w:t>
      </w:r>
      <w:r w:rsidRPr="0077659B">
        <w:t>) and the impact of the different role players on these controls. We provide our assessment for this audit cycle below.</w:t>
      </w:r>
      <w:bookmarkStart w:id="137" w:name="_Toc447106605"/>
    </w:p>
    <w:p w14:paraId="1EBB87FB" w14:textId="77777777" w:rsidR="00722F26" w:rsidRPr="00E91A4A" w:rsidRDefault="00722F26" w:rsidP="006B698F">
      <w:pPr>
        <w:pStyle w:val="Heading5"/>
        <w:jc w:val="both"/>
      </w:pPr>
      <w:r w:rsidRPr="0077659B">
        <w:t>Senior management</w:t>
      </w:r>
      <w:bookmarkEnd w:id="137"/>
      <w:r w:rsidR="00FE6B42" w:rsidRPr="0077659B">
        <w:t xml:space="preserve">: </w:t>
      </w:r>
      <w:r w:rsidR="00381C53" w:rsidRPr="0077659B">
        <w:t>p</w:t>
      </w:r>
      <w:r w:rsidR="00D859E5">
        <w:t xml:space="preserve">rovides </w:t>
      </w:r>
      <w:r w:rsidR="00F44449" w:rsidRPr="0077659B">
        <w:rPr>
          <w:color w:val="C0504D"/>
        </w:rPr>
        <w:t>limited assurance</w:t>
      </w:r>
      <w:r w:rsidR="00F44449" w:rsidRPr="0077659B" w:rsidDel="00F44449">
        <w:rPr>
          <w:color w:val="FFC000"/>
        </w:rPr>
        <w:t xml:space="preserve"> </w:t>
      </w:r>
    </w:p>
    <w:p w14:paraId="1B5C74C3" w14:textId="77777777" w:rsidR="00F93A8D" w:rsidRDefault="00F93A8D" w:rsidP="006B698F">
      <w:pPr>
        <w:pStyle w:val="Bulletedlist"/>
        <w:ind w:left="851" w:hanging="284"/>
        <w:jc w:val="both"/>
      </w:pPr>
      <w:r>
        <w:t>Senior management did not review and monitor compliance with applicable laws and regulations it is evidence by findings raised on procurement and contract management</w:t>
      </w:r>
    </w:p>
    <w:p w14:paraId="44F828BE" w14:textId="77777777" w:rsidR="00F93A8D" w:rsidRPr="00F93A8D" w:rsidRDefault="00F93A8D" w:rsidP="006B698F">
      <w:pPr>
        <w:pStyle w:val="Bulletedlist"/>
        <w:ind w:left="851" w:hanging="284"/>
        <w:jc w:val="both"/>
      </w:pPr>
      <w:r>
        <w:t>The controls around proper record keeping, processing and reconciling of transaction and regular still required major intervention, to ensure that overpayment on leases and duplicates of accruals does not continue even in the following financial year.</w:t>
      </w:r>
    </w:p>
    <w:p w14:paraId="7F3FDAEF" w14:textId="77777777" w:rsidR="00F93A8D" w:rsidRPr="00F93A8D" w:rsidRDefault="00F93A8D" w:rsidP="006B698F">
      <w:pPr>
        <w:pStyle w:val="Bulletedlist"/>
        <w:ind w:left="851" w:hanging="284"/>
        <w:jc w:val="both"/>
      </w:pPr>
      <w:r>
        <w:lastRenderedPageBreak/>
        <w:t>Senior management should enhance the review process of annual financial statement and annual performance report before submission for audit purposes so that they do not have repetitive findings.</w:t>
      </w:r>
    </w:p>
    <w:p w14:paraId="4FBF01D4" w14:textId="77777777" w:rsidR="00722F26" w:rsidRPr="0077659B" w:rsidRDefault="00722F26" w:rsidP="006B698F">
      <w:pPr>
        <w:pStyle w:val="Heading5"/>
        <w:jc w:val="both"/>
      </w:pPr>
      <w:bookmarkStart w:id="138" w:name="_Toc447106606"/>
      <w:r w:rsidRPr="0077659B">
        <w:t>Accounting officer</w:t>
      </w:r>
      <w:bookmarkEnd w:id="138"/>
      <w:r w:rsidR="00FE6B42" w:rsidRPr="0077659B">
        <w:t xml:space="preserve"> </w:t>
      </w:r>
      <w:r w:rsidR="00381C53" w:rsidRPr="0077659B">
        <w:t>p</w:t>
      </w:r>
      <w:r w:rsidRPr="0077659B">
        <w:t xml:space="preserve">rovides </w:t>
      </w:r>
      <w:r w:rsidR="00F44449" w:rsidRPr="0077659B">
        <w:rPr>
          <w:color w:val="C0504D"/>
        </w:rPr>
        <w:t>limited assurance</w:t>
      </w:r>
      <w:r w:rsidR="00F44449" w:rsidDel="00F44449">
        <w:rPr>
          <w:color w:val="FFC000"/>
        </w:rPr>
        <w:t xml:space="preserve"> </w:t>
      </w:r>
    </w:p>
    <w:p w14:paraId="6DB5F75B" w14:textId="77777777" w:rsidR="00722F26" w:rsidRPr="0077659B" w:rsidRDefault="00F8056F" w:rsidP="006B698F">
      <w:pPr>
        <w:pStyle w:val="Bulletedlist"/>
        <w:ind w:left="851" w:hanging="284"/>
        <w:jc w:val="both"/>
      </w:pPr>
      <w:r>
        <w:t xml:space="preserve">The accounting officer was placed on suspension pending the outcome of a disciplinary process due to findings made against him in the investigations conducted by SIU, Public Service Commission as well as the department’s internal investigations into state funerals. </w:t>
      </w:r>
    </w:p>
    <w:p w14:paraId="78DF59FD" w14:textId="77777777" w:rsidR="00722F26" w:rsidRPr="0077659B" w:rsidRDefault="00722F26" w:rsidP="006B698F">
      <w:pPr>
        <w:pStyle w:val="Heading5"/>
        <w:jc w:val="both"/>
      </w:pPr>
      <w:r w:rsidRPr="0077659B">
        <w:t>Executive authority</w:t>
      </w:r>
      <w:r w:rsidR="00FE6B42" w:rsidRPr="0077659B">
        <w:t xml:space="preserve"> </w:t>
      </w:r>
      <w:r w:rsidR="000142F4" w:rsidRPr="0077659B">
        <w:t>p</w:t>
      </w:r>
      <w:r w:rsidRPr="0077659B">
        <w:t xml:space="preserve">rovides </w:t>
      </w:r>
      <w:r w:rsidR="00F44449" w:rsidRPr="0077659B">
        <w:rPr>
          <w:color w:val="FFC000"/>
        </w:rPr>
        <w:t>some assurance</w:t>
      </w:r>
      <w:r w:rsidR="00F44449" w:rsidDel="00F44449">
        <w:rPr>
          <w:color w:val="00B050"/>
        </w:rPr>
        <w:t xml:space="preserve"> </w:t>
      </w:r>
    </w:p>
    <w:p w14:paraId="04986357" w14:textId="108C085A" w:rsidR="00E7753C" w:rsidRDefault="00E7753C" w:rsidP="006B698F">
      <w:pPr>
        <w:pStyle w:val="Bulletedlist"/>
        <w:ind w:left="851" w:hanging="284"/>
        <w:jc w:val="both"/>
      </w:pPr>
      <w:r>
        <w:t>The executive authority has been receptive to recommendations from the auditors during engagements held with respect to enhancing preventative controls as well as on implementation of amendments to Public Audit Act.</w:t>
      </w:r>
    </w:p>
    <w:p w14:paraId="637B7AEB" w14:textId="42705FA5" w:rsidR="0048052D" w:rsidRDefault="0048052D" w:rsidP="00B763F0">
      <w:pPr>
        <w:pStyle w:val="Bulletedlist"/>
        <w:ind w:left="851" w:hanging="284"/>
        <w:jc w:val="both"/>
      </w:pPr>
      <w:r>
        <w:t xml:space="preserve">In addition, the executive authority </w:t>
      </w:r>
      <w:r w:rsidR="00B90C92">
        <w:t xml:space="preserve"> </w:t>
      </w:r>
      <w:r w:rsidR="00E7753C">
        <w:t xml:space="preserve">initiated </w:t>
      </w:r>
      <w:r w:rsidR="00A32058">
        <w:t xml:space="preserve">the </w:t>
      </w:r>
      <w:r w:rsidR="00E7753C">
        <w:t>investigation into the construction of a fence at Beitbridge border post in response to COVID-19,</w:t>
      </w:r>
      <w:r w:rsidR="00A32058">
        <w:t xml:space="preserve"> </w:t>
      </w:r>
      <w:r w:rsidR="00E7753C">
        <w:t>due</w:t>
      </w:r>
      <w:r w:rsidR="00B90C92">
        <w:t xml:space="preserve"> </w:t>
      </w:r>
      <w:r w:rsidR="00E7753C">
        <w:t>to possible</w:t>
      </w:r>
      <w:r w:rsidR="00A32058">
        <w:t xml:space="preserve"> irregularities </w:t>
      </w:r>
      <w:r w:rsidR="00E7753C">
        <w:t>in the procurement process</w:t>
      </w:r>
      <w:r w:rsidR="00A32058">
        <w:t>.</w:t>
      </w:r>
      <w:r w:rsidR="00A32058" w:rsidRPr="00A32058">
        <w:t xml:space="preserve"> </w:t>
      </w:r>
      <w:r w:rsidR="0096631A">
        <w:t>It will be critical that all recommendations of the Beitbridge investigation report are implemented timeously.</w:t>
      </w:r>
      <w:r>
        <w:t xml:space="preserve"> </w:t>
      </w:r>
    </w:p>
    <w:p w14:paraId="2A9E285D" w14:textId="6C120911" w:rsidR="0048052D" w:rsidRPr="0048052D" w:rsidRDefault="0048052D" w:rsidP="00B763F0">
      <w:pPr>
        <w:pStyle w:val="Bulletedlist"/>
        <w:ind w:left="851" w:hanging="284"/>
        <w:jc w:val="both"/>
      </w:pPr>
      <w:r>
        <w:t>M</w:t>
      </w:r>
      <w:r w:rsidRPr="0048052D">
        <w:t>oreover, the cited number of issues that resulted in negative audit outcomes for the trading entity will require that the executive authority’s oversight role continues to be enhance in monitoring that all action plans which should be implemented by senior management and the accounting officer, are actually implemented.</w:t>
      </w:r>
    </w:p>
    <w:p w14:paraId="3B223287" w14:textId="77777777" w:rsidR="00722F26" w:rsidRPr="0077659B" w:rsidRDefault="00722F26" w:rsidP="00CC0AB4">
      <w:pPr>
        <w:pStyle w:val="Heading5"/>
        <w:jc w:val="both"/>
      </w:pPr>
      <w:bookmarkStart w:id="139" w:name="_Toc447106608"/>
      <w:r w:rsidRPr="0077659B">
        <w:t xml:space="preserve">Internal </w:t>
      </w:r>
      <w:bookmarkEnd w:id="139"/>
      <w:r w:rsidR="00CC0AB4" w:rsidRPr="0077659B">
        <w:t xml:space="preserve">audit: </w:t>
      </w:r>
      <w:r w:rsidR="00CC0AB4" w:rsidRPr="00CC0AB4">
        <w:rPr>
          <w:rFonts w:cs="Times New Roman"/>
          <w:color w:val="00B050"/>
          <w:szCs w:val="20"/>
        </w:rPr>
        <w:t xml:space="preserve">provides </w:t>
      </w:r>
      <w:r w:rsidR="00CC0AB4" w:rsidRPr="00602E29">
        <w:rPr>
          <w:rFonts w:cs="Times New Roman"/>
          <w:color w:val="00B050"/>
          <w:szCs w:val="20"/>
        </w:rPr>
        <w:t>assurance</w:t>
      </w:r>
    </w:p>
    <w:p w14:paraId="29F94301" w14:textId="77777777" w:rsidR="00BF566C" w:rsidRPr="0077659B" w:rsidRDefault="00BF566C" w:rsidP="00BF566C">
      <w:pPr>
        <w:pStyle w:val="Bulletedlist"/>
        <w:ind w:left="851" w:hanging="284"/>
        <w:jc w:val="both"/>
      </w:pPr>
      <w:r w:rsidRPr="0077659B">
        <w:t>Legislation in South Africa requires the establishment, roles and responsibilities of internal a</w:t>
      </w:r>
      <w:r>
        <w:t>udit units. Internal audit unit</w:t>
      </w:r>
      <w:r w:rsidRPr="0077659B">
        <w:t xml:space="preserve"> form</w:t>
      </w:r>
      <w:r>
        <w:t>s</w:t>
      </w:r>
      <w:r w:rsidRPr="0077659B">
        <w:t xml:space="preserve"> part of the internal control and governance structures of the </w:t>
      </w:r>
      <w:r>
        <w:t>entity</w:t>
      </w:r>
      <w:r w:rsidRPr="0077659B">
        <w:t xml:space="preserve"> and play an important role in its monitoring activities. Internal audit provides an independent assessment of the </w:t>
      </w:r>
      <w:r>
        <w:t>entity</w:t>
      </w:r>
      <w:r w:rsidRPr="0077659B">
        <w:t>’s governance, risk management and internal control processes.</w:t>
      </w:r>
    </w:p>
    <w:p w14:paraId="5A8C4EA9" w14:textId="77777777" w:rsidR="00BF566C" w:rsidRPr="0077659B" w:rsidRDefault="00BF566C" w:rsidP="00BF566C">
      <w:pPr>
        <w:pStyle w:val="Bulletedlist"/>
        <w:ind w:left="851" w:hanging="284"/>
        <w:jc w:val="both"/>
      </w:pPr>
      <w:r w:rsidRPr="0077659B">
        <w:t xml:space="preserve">The internal audit unit of the </w:t>
      </w:r>
      <w:r>
        <w:t>entity</w:t>
      </w:r>
      <w:r w:rsidRPr="0077659B">
        <w:t xml:space="preserve"> must prepare a risk-based audit plan and internal audit programme for each financial year. It must advise the </w:t>
      </w:r>
      <w:r>
        <w:t>accounting officer</w:t>
      </w:r>
      <w:r w:rsidRPr="0077659B">
        <w:t xml:space="preserve"> and report to the audit committee on the implementation of the internal audit plan and matters relating to internal audit, internal controls, accounting procedures and practices, risk and risk management, performance management, loss control and compliance with the PFMA. The internal audit unit must also perform such other duties as may be assigned by the </w:t>
      </w:r>
      <w:r>
        <w:t>accounting officer</w:t>
      </w:r>
      <w:r w:rsidRPr="0077659B">
        <w:t>.</w:t>
      </w:r>
    </w:p>
    <w:p w14:paraId="53B2864E" w14:textId="77777777" w:rsidR="00722F26" w:rsidRPr="0077659B" w:rsidRDefault="00BF566C" w:rsidP="00BF566C">
      <w:pPr>
        <w:pStyle w:val="Bulletedlist"/>
        <w:ind w:left="851" w:hanging="284"/>
        <w:jc w:val="both"/>
      </w:pPr>
      <w:r>
        <w:t>While we note that the quality and scope of the internal audits performed were of the required standard, tangible improvements will only be realised once management effectively and timeously implements the recommendations from the outcomes of these audits.</w:t>
      </w:r>
    </w:p>
    <w:p w14:paraId="02D7412C" w14:textId="77777777" w:rsidR="00722F26" w:rsidRPr="0077659B" w:rsidRDefault="00722F26" w:rsidP="006B698F">
      <w:pPr>
        <w:pStyle w:val="Heading5"/>
        <w:jc w:val="both"/>
      </w:pPr>
      <w:bookmarkStart w:id="140" w:name="_Toc447106609"/>
      <w:r w:rsidRPr="0077659B">
        <w:t>Audit committee</w:t>
      </w:r>
      <w:bookmarkEnd w:id="140"/>
      <w:r w:rsidR="00FE6B42" w:rsidRPr="0077659B">
        <w:t xml:space="preserve">: </w:t>
      </w:r>
      <w:r w:rsidR="00FE6B42" w:rsidRPr="00CC0AB4">
        <w:rPr>
          <w:rFonts w:cs="Times New Roman"/>
          <w:color w:val="00B050"/>
          <w:szCs w:val="20"/>
        </w:rPr>
        <w:t>pr</w:t>
      </w:r>
      <w:r w:rsidRPr="00CC0AB4">
        <w:rPr>
          <w:rFonts w:cs="Times New Roman"/>
          <w:color w:val="00B050"/>
          <w:szCs w:val="20"/>
        </w:rPr>
        <w:t xml:space="preserve">ovides </w:t>
      </w:r>
      <w:r w:rsidR="00F44449" w:rsidRPr="00602E29">
        <w:rPr>
          <w:rFonts w:cs="Times New Roman"/>
          <w:color w:val="00B050"/>
          <w:szCs w:val="20"/>
        </w:rPr>
        <w:t>assurance</w:t>
      </w:r>
      <w:r w:rsidR="00F44449" w:rsidDel="00F44449">
        <w:rPr>
          <w:color w:val="C0504D"/>
        </w:rPr>
        <w:t xml:space="preserve"> </w:t>
      </w:r>
    </w:p>
    <w:p w14:paraId="16EBD881" w14:textId="2AE42412" w:rsidR="009929EF" w:rsidRDefault="00F44449" w:rsidP="006B698F">
      <w:pPr>
        <w:pStyle w:val="Bulletedlist"/>
        <w:ind w:left="851" w:hanging="284"/>
        <w:jc w:val="both"/>
      </w:pPr>
      <w:r w:rsidRPr="002B6AFC">
        <w:t xml:space="preserve">The audit committee met regularly throughout the year. The committee reviewed and approved the annual financial statements and annual report before submission. The audit committee also follows up with management on the implementation of internal and external </w:t>
      </w:r>
      <w:r w:rsidRPr="002B6AFC">
        <w:lastRenderedPageBreak/>
        <w:t>audit recommendations</w:t>
      </w:r>
      <w:r w:rsidRPr="00C516E8">
        <w:t>.</w:t>
      </w:r>
      <w:r>
        <w:t xml:space="preserve"> The impact of the interventions put in place by the audit committee is however limited by the fact that management has not timeously or adequately implemented these action plans</w:t>
      </w:r>
      <w:r w:rsidR="00722F26" w:rsidRPr="0077659B">
        <w:t xml:space="preserve">. </w:t>
      </w:r>
    </w:p>
    <w:p w14:paraId="148419F2" w14:textId="671D1411" w:rsidR="00722F26" w:rsidRPr="009929EF" w:rsidRDefault="009929EF" w:rsidP="009929EF">
      <w:pPr>
        <w:spacing w:after="200"/>
        <w:rPr>
          <w:rFonts w:eastAsia="Calibri" w:cs="Arial"/>
        </w:rPr>
      </w:pPr>
      <w:r>
        <w:br w:type="page"/>
      </w:r>
    </w:p>
    <w:p w14:paraId="70DD8416" w14:textId="77777777" w:rsidR="00C22F2B" w:rsidRPr="00BB6EEC" w:rsidRDefault="006C0DAE" w:rsidP="006B698F">
      <w:pPr>
        <w:pStyle w:val="Heading3"/>
        <w:jc w:val="both"/>
        <w:rPr>
          <w:lang w:val="en-ZA"/>
        </w:rPr>
      </w:pPr>
      <w:bookmarkStart w:id="141" w:name="Back33"/>
      <w:bookmarkStart w:id="142" w:name="_Toc53608729"/>
      <w:bookmarkStart w:id="143" w:name="_Toc447106610"/>
      <w:bookmarkEnd w:id="141"/>
      <w:r w:rsidRPr="00BB6EEC">
        <w:rPr>
          <w:lang w:val="en-ZA"/>
        </w:rPr>
        <w:lastRenderedPageBreak/>
        <w:t>STATUS OF IMPLEMENTING COMMITMENTS AND RECOMMENDATIONS</w:t>
      </w:r>
      <w:r w:rsidR="00214936" w:rsidRPr="00BB6EEC">
        <w:rPr>
          <w:rStyle w:val="EndnoteReference"/>
          <w:rFonts w:ascii="Arial" w:hAnsi="Arial" w:cs="Arial"/>
          <w:b w:val="0"/>
          <w:sz w:val="24"/>
          <w:szCs w:val="24"/>
          <w:lang w:val="en-ZA"/>
        </w:rPr>
        <w:endnoteReference w:id="4"/>
      </w:r>
      <w:bookmarkEnd w:id="142"/>
      <w:r w:rsidRPr="00BB6EEC">
        <w:rPr>
          <w:lang w:val="en-ZA"/>
        </w:rPr>
        <w:t xml:space="preserve"> </w:t>
      </w:r>
      <w:bookmarkEnd w:id="143"/>
    </w:p>
    <w:p w14:paraId="7D212BD0" w14:textId="77777777" w:rsidR="00C22F2B" w:rsidRPr="0077659B" w:rsidRDefault="00C22F2B" w:rsidP="006306CE">
      <w:pPr>
        <w:pStyle w:val="Numbernormal"/>
        <w:numPr>
          <w:ilvl w:val="0"/>
          <w:numId w:val="15"/>
        </w:numPr>
        <w:jc w:val="both"/>
      </w:pPr>
      <w:r w:rsidRPr="0077659B">
        <w:t>Below is our assessment of the progress in implementing the commitme</w:t>
      </w:r>
      <w:r w:rsidR="000D51D5">
        <w:t xml:space="preserve">nts made by the trading entity </w:t>
      </w:r>
      <w:r w:rsidRPr="0077659B">
        <w:t xml:space="preserve">to address the prior and current year’s audit findings.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3592"/>
        <w:gridCol w:w="1327"/>
        <w:gridCol w:w="2542"/>
        <w:gridCol w:w="1400"/>
      </w:tblGrid>
      <w:tr w:rsidR="004211D1" w:rsidRPr="0077659B" w14:paraId="2681ED56" w14:textId="77777777" w:rsidTr="00D23D2D">
        <w:tc>
          <w:tcPr>
            <w:tcW w:w="398" w:type="pct"/>
            <w:shd w:val="clear" w:color="auto" w:fill="A6A6A6" w:themeFill="background1" w:themeFillShade="A6"/>
          </w:tcPr>
          <w:p w14:paraId="7C9AB316" w14:textId="77777777" w:rsidR="004211D1" w:rsidRPr="0077659B" w:rsidRDefault="004211D1" w:rsidP="006B1D3E">
            <w:pPr>
              <w:pStyle w:val="NoSpacing"/>
            </w:pPr>
            <w:r w:rsidRPr="0077659B">
              <w:t>No.</w:t>
            </w:r>
          </w:p>
        </w:tc>
        <w:tc>
          <w:tcPr>
            <w:tcW w:w="1865" w:type="pct"/>
            <w:shd w:val="clear" w:color="auto" w:fill="A6A6A6" w:themeFill="background1" w:themeFillShade="A6"/>
          </w:tcPr>
          <w:p w14:paraId="55D53BD1" w14:textId="77777777" w:rsidR="004211D1" w:rsidRPr="0077659B" w:rsidRDefault="004211D1" w:rsidP="006B1D3E">
            <w:pPr>
              <w:pStyle w:val="NoSpacing"/>
            </w:pPr>
            <w:r w:rsidRPr="0077659B">
              <w:t>Commitment</w:t>
            </w:r>
          </w:p>
        </w:tc>
        <w:tc>
          <w:tcPr>
            <w:tcW w:w="689" w:type="pct"/>
            <w:shd w:val="clear" w:color="auto" w:fill="A6A6A6" w:themeFill="background1" w:themeFillShade="A6"/>
          </w:tcPr>
          <w:p w14:paraId="70649F42" w14:textId="77777777" w:rsidR="004211D1" w:rsidRPr="0077659B" w:rsidRDefault="004211D1" w:rsidP="006B1D3E">
            <w:pPr>
              <w:pStyle w:val="NoSpacing"/>
            </w:pPr>
            <w:r w:rsidRPr="0077659B">
              <w:t>Made by</w:t>
            </w:r>
          </w:p>
        </w:tc>
        <w:tc>
          <w:tcPr>
            <w:tcW w:w="1320" w:type="pct"/>
            <w:shd w:val="clear" w:color="auto" w:fill="A6A6A6" w:themeFill="background1" w:themeFillShade="A6"/>
          </w:tcPr>
          <w:p w14:paraId="5F3E9B1D" w14:textId="77777777" w:rsidR="004211D1" w:rsidRPr="0077659B" w:rsidRDefault="004211D1" w:rsidP="006B1D3E">
            <w:pPr>
              <w:pStyle w:val="NoSpacing"/>
            </w:pPr>
            <w:r>
              <w:t>Auditors comments</w:t>
            </w:r>
          </w:p>
        </w:tc>
        <w:tc>
          <w:tcPr>
            <w:tcW w:w="727" w:type="pct"/>
            <w:shd w:val="clear" w:color="auto" w:fill="A6A6A6" w:themeFill="background1" w:themeFillShade="A6"/>
          </w:tcPr>
          <w:p w14:paraId="7FD1965A" w14:textId="77777777" w:rsidR="004211D1" w:rsidRPr="0077659B" w:rsidRDefault="004211D1" w:rsidP="006B1D3E">
            <w:pPr>
              <w:pStyle w:val="NoSpacing"/>
            </w:pPr>
            <w:r w:rsidRPr="0077659B">
              <w:t>Status</w:t>
            </w:r>
          </w:p>
        </w:tc>
      </w:tr>
      <w:tr w:rsidR="004211D1" w:rsidRPr="0077659B" w14:paraId="0B0846E2" w14:textId="77777777" w:rsidTr="00D23D2D">
        <w:tc>
          <w:tcPr>
            <w:tcW w:w="398" w:type="pct"/>
          </w:tcPr>
          <w:p w14:paraId="617AD2C8" w14:textId="77777777" w:rsidR="004211D1" w:rsidRPr="00BB6EEC" w:rsidRDefault="004211D1" w:rsidP="00F253E0">
            <w:pPr>
              <w:pStyle w:val="Tabletext"/>
              <w:rPr>
                <w:lang w:val="en-ZA"/>
              </w:rPr>
            </w:pPr>
            <w:r>
              <w:rPr>
                <w:lang w:val="en-ZA"/>
              </w:rPr>
              <w:t>1</w:t>
            </w:r>
          </w:p>
        </w:tc>
        <w:tc>
          <w:tcPr>
            <w:tcW w:w="1865" w:type="pct"/>
          </w:tcPr>
          <w:tbl>
            <w:tblPr>
              <w:tblW w:w="0" w:type="auto"/>
              <w:tblBorders>
                <w:top w:val="nil"/>
                <w:left w:val="nil"/>
                <w:bottom w:val="nil"/>
                <w:right w:val="nil"/>
              </w:tblBorders>
              <w:tblLook w:val="0000" w:firstRow="0" w:lastRow="0" w:firstColumn="0" w:lastColumn="0" w:noHBand="0" w:noVBand="0"/>
            </w:tblPr>
            <w:tblGrid>
              <w:gridCol w:w="3376"/>
            </w:tblGrid>
            <w:tr w:rsidR="004211D1" w:rsidRPr="000D51D5" w14:paraId="2942A087" w14:textId="77777777">
              <w:trPr>
                <w:trHeight w:val="1457"/>
              </w:trPr>
              <w:tc>
                <w:tcPr>
                  <w:tcW w:w="0" w:type="auto"/>
                </w:tcPr>
                <w:p w14:paraId="3FF53AFE" w14:textId="77777777" w:rsidR="004211D1" w:rsidRPr="000D51D5" w:rsidRDefault="004211D1" w:rsidP="00F253E0">
                  <w:pPr>
                    <w:spacing w:line="240" w:lineRule="auto"/>
                    <w:rPr>
                      <w:rFonts w:cs="Arial"/>
                      <w:b/>
                      <w:sz w:val="18"/>
                      <w:szCs w:val="18"/>
                    </w:rPr>
                  </w:pPr>
                  <w:r w:rsidRPr="000D51D5">
                    <w:rPr>
                      <w:rFonts w:cs="Arial"/>
                      <w:b/>
                      <w:sz w:val="18"/>
                      <w:szCs w:val="18"/>
                    </w:rPr>
                    <w:t xml:space="preserve">Immovable Assets </w:t>
                  </w:r>
                </w:p>
                <w:p w14:paraId="3DE4F12C" w14:textId="77777777" w:rsidR="004211D1" w:rsidRPr="000D51D5" w:rsidRDefault="004211D1" w:rsidP="00F253E0">
                  <w:pPr>
                    <w:spacing w:line="240" w:lineRule="auto"/>
                    <w:rPr>
                      <w:rFonts w:cs="Arial"/>
                      <w:sz w:val="18"/>
                      <w:szCs w:val="18"/>
                    </w:rPr>
                  </w:pPr>
                  <w:r w:rsidRPr="000D51D5">
                    <w:rPr>
                      <w:rFonts w:cs="Arial"/>
                      <w:sz w:val="18"/>
                      <w:szCs w:val="18"/>
                    </w:rPr>
                    <w:t xml:space="preserve">Differences in extent of structure. </w:t>
                  </w:r>
                </w:p>
                <w:p w14:paraId="13050917" w14:textId="77777777" w:rsidR="004211D1" w:rsidRPr="000D51D5" w:rsidRDefault="004211D1" w:rsidP="00F253E0">
                  <w:pPr>
                    <w:spacing w:line="240" w:lineRule="auto"/>
                    <w:rPr>
                      <w:rFonts w:cs="Arial"/>
                      <w:sz w:val="18"/>
                      <w:szCs w:val="18"/>
                    </w:rPr>
                  </w:pPr>
                  <w:r w:rsidRPr="000D51D5">
                    <w:rPr>
                      <w:rFonts w:cs="Arial"/>
                      <w:sz w:val="18"/>
                      <w:szCs w:val="18"/>
                    </w:rPr>
                    <w:t xml:space="preserve"> Ensure correct extents are recorded and reviewed during the transfer from the source data (GIS system, DOD raw data/ building conditions and wheel measurement) to the Asset Register </w:t>
                  </w:r>
                </w:p>
                <w:p w14:paraId="433A849B" w14:textId="77777777" w:rsidR="004211D1" w:rsidRPr="000D51D5" w:rsidRDefault="004211D1" w:rsidP="00F253E0">
                  <w:pPr>
                    <w:spacing w:line="240" w:lineRule="auto"/>
                    <w:rPr>
                      <w:rFonts w:cs="Arial"/>
                      <w:sz w:val="18"/>
                      <w:szCs w:val="18"/>
                    </w:rPr>
                  </w:pPr>
                  <w:r w:rsidRPr="000D51D5">
                    <w:rPr>
                      <w:rFonts w:cs="Arial"/>
                      <w:sz w:val="18"/>
                      <w:szCs w:val="18"/>
                    </w:rPr>
                    <w:t xml:space="preserve"> The population with unclear imagery in the IAR will be referred for wheel measurement. </w:t>
                  </w:r>
                </w:p>
                <w:p w14:paraId="36FE1290" w14:textId="77777777" w:rsidR="004211D1" w:rsidRPr="000D51D5" w:rsidRDefault="004211D1" w:rsidP="00F253E0">
                  <w:pPr>
                    <w:spacing w:line="240" w:lineRule="auto"/>
                    <w:rPr>
                      <w:rFonts w:cs="Arial"/>
                      <w:sz w:val="18"/>
                      <w:szCs w:val="18"/>
                    </w:rPr>
                  </w:pPr>
                  <w:r w:rsidRPr="000D51D5">
                    <w:rPr>
                      <w:rFonts w:cs="Arial"/>
                      <w:sz w:val="18"/>
                      <w:szCs w:val="18"/>
                    </w:rPr>
                    <w:t xml:space="preserve"> Review of updates to ensure correct alignment of data. </w:t>
                  </w:r>
                </w:p>
                <w:p w14:paraId="4C1AF980" w14:textId="77777777" w:rsidR="004211D1" w:rsidRPr="000D51D5" w:rsidRDefault="004211D1" w:rsidP="00F253E0">
                  <w:pPr>
                    <w:spacing w:line="240" w:lineRule="auto"/>
                    <w:rPr>
                      <w:rFonts w:cs="Arial"/>
                      <w:sz w:val="18"/>
                      <w:szCs w:val="18"/>
                    </w:rPr>
                  </w:pPr>
                  <w:r w:rsidRPr="000D51D5">
                    <w:rPr>
                      <w:rFonts w:cs="Arial"/>
                      <w:sz w:val="18"/>
                      <w:szCs w:val="18"/>
                    </w:rPr>
                    <w:t xml:space="preserve"> Entire population of land extents in the IAR that do not agree to the extents as per Deeds to be confirmed </w:t>
                  </w:r>
                </w:p>
                <w:p w14:paraId="41E27F83" w14:textId="77777777" w:rsidR="004211D1" w:rsidRPr="000D51D5" w:rsidRDefault="004211D1" w:rsidP="00F253E0">
                  <w:pPr>
                    <w:spacing w:line="240" w:lineRule="auto"/>
                    <w:rPr>
                      <w:rFonts w:cs="Arial"/>
                      <w:sz w:val="18"/>
                      <w:szCs w:val="18"/>
                    </w:rPr>
                  </w:pPr>
                </w:p>
              </w:tc>
            </w:tr>
          </w:tbl>
          <w:p w14:paraId="7C153002" w14:textId="77777777" w:rsidR="004211D1" w:rsidRPr="00BB6EEC" w:rsidRDefault="004211D1" w:rsidP="00F253E0">
            <w:pPr>
              <w:pStyle w:val="Tabletext"/>
              <w:rPr>
                <w:lang w:val="en-ZA"/>
              </w:rPr>
            </w:pPr>
          </w:p>
        </w:tc>
        <w:tc>
          <w:tcPr>
            <w:tcW w:w="689" w:type="pct"/>
          </w:tcPr>
          <w:p w14:paraId="53DFBC2E" w14:textId="77777777" w:rsidR="004211D1" w:rsidRPr="00BB6EEC" w:rsidRDefault="004211D1" w:rsidP="00F253E0">
            <w:pPr>
              <w:pStyle w:val="Tabletext"/>
              <w:rPr>
                <w:lang w:val="en-ZA"/>
              </w:rPr>
            </w:pPr>
            <w:r w:rsidRPr="00B05BA2">
              <w:rPr>
                <w:lang w:val="en-ZA"/>
              </w:rPr>
              <w:t>DDG: REIRS</w:t>
            </w:r>
          </w:p>
        </w:tc>
        <w:tc>
          <w:tcPr>
            <w:tcW w:w="1320" w:type="pct"/>
          </w:tcPr>
          <w:p w14:paraId="49430980" w14:textId="15358C5F" w:rsidR="004211D1" w:rsidRDefault="004211D1" w:rsidP="00F253E0">
            <w:pPr>
              <w:pStyle w:val="Tabletext"/>
              <w:rPr>
                <w:lang w:val="en-ZA"/>
              </w:rPr>
            </w:pPr>
            <w:r>
              <w:rPr>
                <w:lang w:val="en-ZA"/>
              </w:rPr>
              <w:t>Partially addressed</w:t>
            </w:r>
            <w:r w:rsidR="009929EF">
              <w:rPr>
                <w:lang w:val="en-ZA"/>
              </w:rPr>
              <w:t>.</w:t>
            </w:r>
          </w:p>
          <w:p w14:paraId="4256D02F" w14:textId="123E87FC" w:rsidR="009929EF" w:rsidRDefault="009929EF" w:rsidP="00F253E0">
            <w:pPr>
              <w:pStyle w:val="Tabletext"/>
              <w:rPr>
                <w:lang w:val="en-ZA"/>
              </w:rPr>
            </w:pPr>
          </w:p>
          <w:p w14:paraId="2BD056B5" w14:textId="7FF1371B" w:rsidR="004211D1" w:rsidRDefault="00906339" w:rsidP="00906339">
            <w:pPr>
              <w:pStyle w:val="Tabletext"/>
              <w:rPr>
                <w:lang w:val="en-ZA"/>
              </w:rPr>
            </w:pPr>
            <w:r>
              <w:rPr>
                <w:lang w:val="en-ZA"/>
              </w:rPr>
              <w:t>&gt;</w:t>
            </w:r>
            <w:r w:rsidR="004211D1">
              <w:rPr>
                <w:lang w:val="en-ZA"/>
              </w:rPr>
              <w:t>Issues relating to the extents of structure were identified during the final audit</w:t>
            </w:r>
            <w:r>
              <w:rPr>
                <w:lang w:val="en-ZA"/>
              </w:rPr>
              <w:t xml:space="preserve">. </w:t>
            </w:r>
          </w:p>
          <w:p w14:paraId="729B241C" w14:textId="77777777" w:rsidR="004211D1" w:rsidRDefault="004211D1" w:rsidP="00F253E0">
            <w:pPr>
              <w:pStyle w:val="Tabletext"/>
              <w:rPr>
                <w:lang w:val="en-ZA"/>
              </w:rPr>
            </w:pPr>
            <w:r>
              <w:rPr>
                <w:lang w:val="en-ZA"/>
              </w:rPr>
              <w:t>Issues relating to unclear images were resolved.</w:t>
            </w:r>
          </w:p>
          <w:p w14:paraId="44C53584" w14:textId="120437D9" w:rsidR="004211D1" w:rsidRDefault="00906339" w:rsidP="00F253E0">
            <w:pPr>
              <w:pStyle w:val="Tabletext"/>
              <w:rPr>
                <w:lang w:val="en-ZA"/>
              </w:rPr>
            </w:pPr>
            <w:r>
              <w:rPr>
                <w:lang w:val="en-ZA"/>
              </w:rPr>
              <w:t xml:space="preserve">&gt;We didn’t identify any findings relating to the unclear images in the current audit. </w:t>
            </w:r>
          </w:p>
          <w:p w14:paraId="5CA2DFCB" w14:textId="4DE3D850" w:rsidR="004211D1" w:rsidRDefault="009929EF" w:rsidP="00F253E0">
            <w:pPr>
              <w:pStyle w:val="Tabletext"/>
              <w:rPr>
                <w:lang w:val="en-ZA"/>
              </w:rPr>
            </w:pPr>
            <w:r>
              <w:rPr>
                <w:lang w:val="en-ZA"/>
              </w:rPr>
              <w:t>&gt; An issue raised in the prior year which rela</w:t>
            </w:r>
            <w:r w:rsidR="00906339">
              <w:rPr>
                <w:lang w:val="en-ZA"/>
              </w:rPr>
              <w:t xml:space="preserve">tes to an alignment of input of </w:t>
            </w:r>
            <w:r>
              <w:rPr>
                <w:lang w:val="en-ZA"/>
              </w:rPr>
              <w:t>IAR to the information captured in the</w:t>
            </w:r>
            <w:r w:rsidR="00906339">
              <w:rPr>
                <w:lang w:val="en-ZA"/>
              </w:rPr>
              <w:t xml:space="preserve"> GIS</w:t>
            </w:r>
            <w:r>
              <w:rPr>
                <w:lang w:val="en-ZA"/>
              </w:rPr>
              <w:t xml:space="preserve"> system was resolved. </w:t>
            </w:r>
          </w:p>
          <w:p w14:paraId="6F705C97" w14:textId="6DD2209F" w:rsidR="004211D1" w:rsidRPr="00D56BD3" w:rsidRDefault="009929EF" w:rsidP="009929EF">
            <w:pPr>
              <w:pStyle w:val="Tabletext"/>
              <w:rPr>
                <w:lang w:val="en-ZA"/>
              </w:rPr>
            </w:pPr>
            <w:r>
              <w:rPr>
                <w:lang w:val="en-ZA"/>
              </w:rPr>
              <w:t>&gt;</w:t>
            </w:r>
            <w:r w:rsidR="004211D1">
              <w:rPr>
                <w:lang w:val="en-ZA"/>
              </w:rPr>
              <w:t>We identified issues were the land extent as per supporting document doesn’t agree to the IAR.</w:t>
            </w:r>
          </w:p>
          <w:p w14:paraId="449CF1A2" w14:textId="77777777" w:rsidR="004211D1" w:rsidRPr="00BB6EEC" w:rsidRDefault="004211D1" w:rsidP="00F253E0">
            <w:pPr>
              <w:pStyle w:val="Tabletext"/>
              <w:rPr>
                <w:lang w:val="en-ZA"/>
              </w:rPr>
            </w:pPr>
          </w:p>
        </w:tc>
        <w:tc>
          <w:tcPr>
            <w:tcW w:w="727" w:type="pct"/>
          </w:tcPr>
          <w:p w14:paraId="53EEB987" w14:textId="6DD531E6" w:rsidR="004211D1" w:rsidRPr="00065BBE" w:rsidRDefault="00C37650" w:rsidP="004211D1">
            <w:pPr>
              <w:pStyle w:val="Tabletext"/>
              <w:rPr>
                <w:rFonts w:cs="Arial"/>
                <w:szCs w:val="18"/>
                <w:lang w:val="en-ZA"/>
              </w:rPr>
            </w:pPr>
            <w:r>
              <w:rPr>
                <w:rFonts w:cs="Arial"/>
                <w:szCs w:val="18"/>
                <w:lang w:val="en-ZA"/>
              </w:rPr>
              <w:t>Partially Resolved</w:t>
            </w:r>
          </w:p>
          <w:p w14:paraId="08505C8B" w14:textId="77777777" w:rsidR="004211D1" w:rsidRDefault="004211D1" w:rsidP="00F253E0">
            <w:pPr>
              <w:pStyle w:val="Tabletext"/>
              <w:rPr>
                <w:lang w:val="en-ZA"/>
              </w:rPr>
            </w:pPr>
          </w:p>
          <w:p w14:paraId="0DFAF493" w14:textId="77777777" w:rsidR="004211D1" w:rsidRDefault="004211D1" w:rsidP="00F253E0">
            <w:pPr>
              <w:pStyle w:val="Tabletext"/>
              <w:rPr>
                <w:lang w:val="en-ZA"/>
              </w:rPr>
            </w:pPr>
          </w:p>
          <w:p w14:paraId="6F856817" w14:textId="77777777" w:rsidR="004211D1" w:rsidRDefault="004211D1" w:rsidP="00F253E0">
            <w:pPr>
              <w:pStyle w:val="Tabletext"/>
              <w:rPr>
                <w:lang w:val="en-ZA"/>
              </w:rPr>
            </w:pPr>
          </w:p>
          <w:p w14:paraId="6BF73F80" w14:textId="77777777" w:rsidR="004211D1" w:rsidRPr="00D56BD3" w:rsidRDefault="004211D1" w:rsidP="00F253E0">
            <w:pPr>
              <w:pStyle w:val="Tabletext"/>
              <w:rPr>
                <w:lang w:val="en-ZA"/>
              </w:rPr>
            </w:pPr>
          </w:p>
          <w:p w14:paraId="074C092A" w14:textId="77777777" w:rsidR="004211D1" w:rsidRPr="00BB6EEC" w:rsidRDefault="004211D1" w:rsidP="00F253E0">
            <w:pPr>
              <w:pStyle w:val="Tabletext"/>
              <w:rPr>
                <w:lang w:val="en-ZA"/>
              </w:rPr>
            </w:pPr>
          </w:p>
        </w:tc>
      </w:tr>
      <w:tr w:rsidR="004211D1" w:rsidRPr="00065BBE" w14:paraId="4058BAF1" w14:textId="77777777" w:rsidTr="00D23D2D">
        <w:tc>
          <w:tcPr>
            <w:tcW w:w="398" w:type="pct"/>
          </w:tcPr>
          <w:p w14:paraId="57940F89" w14:textId="77777777" w:rsidR="004211D1" w:rsidRPr="00BB6EEC" w:rsidRDefault="004211D1" w:rsidP="00F253E0">
            <w:pPr>
              <w:pStyle w:val="Tabletext"/>
              <w:rPr>
                <w:lang w:val="en-ZA"/>
              </w:rPr>
            </w:pPr>
            <w:r>
              <w:rPr>
                <w:lang w:val="en-ZA"/>
              </w:rPr>
              <w:t>2</w:t>
            </w:r>
          </w:p>
        </w:tc>
        <w:tc>
          <w:tcPr>
            <w:tcW w:w="1865" w:type="pct"/>
          </w:tcPr>
          <w:p w14:paraId="6624E6E4" w14:textId="77777777" w:rsidR="004211D1" w:rsidRPr="00065BBE" w:rsidRDefault="004211D1" w:rsidP="00F253E0">
            <w:pPr>
              <w:pStyle w:val="Default"/>
              <w:rPr>
                <w:rFonts w:ascii="Arial" w:hAnsi="Arial" w:cs="Arial"/>
                <w:sz w:val="18"/>
                <w:szCs w:val="18"/>
              </w:rPr>
            </w:pPr>
            <w:r w:rsidRPr="00065BBE">
              <w:rPr>
                <w:rFonts w:ascii="Arial" w:hAnsi="Arial" w:cs="Arial"/>
                <w:b/>
                <w:bCs/>
                <w:sz w:val="18"/>
                <w:szCs w:val="18"/>
              </w:rPr>
              <w:t xml:space="preserve">Immovable Assets </w:t>
            </w:r>
          </w:p>
          <w:p w14:paraId="30BA96CA" w14:textId="77777777" w:rsidR="004211D1" w:rsidRPr="00065BBE" w:rsidRDefault="004211D1" w:rsidP="00F253E0">
            <w:pPr>
              <w:pStyle w:val="Default"/>
              <w:rPr>
                <w:rFonts w:ascii="Arial" w:hAnsi="Arial" w:cs="Arial"/>
                <w:sz w:val="18"/>
                <w:szCs w:val="18"/>
              </w:rPr>
            </w:pPr>
            <w:r w:rsidRPr="00065BBE">
              <w:rPr>
                <w:rFonts w:ascii="Arial" w:hAnsi="Arial" w:cs="Arial"/>
                <w:sz w:val="18"/>
                <w:szCs w:val="18"/>
              </w:rPr>
              <w:t xml:space="preserve">Buildings recorded on the immovable assets register (IAR)as State domestic facility(SDF) where ownership doesn’t exist. </w:t>
            </w:r>
          </w:p>
          <w:p w14:paraId="013794AF" w14:textId="77777777" w:rsidR="004211D1" w:rsidRPr="00065BBE" w:rsidRDefault="004211D1" w:rsidP="00F253E0">
            <w:pPr>
              <w:pStyle w:val="Default"/>
              <w:rPr>
                <w:rFonts w:ascii="Arial" w:hAnsi="Arial" w:cs="Arial"/>
                <w:sz w:val="18"/>
                <w:szCs w:val="18"/>
              </w:rPr>
            </w:pPr>
            <w:r w:rsidRPr="00065BBE">
              <w:rPr>
                <w:rFonts w:ascii="Arial" w:hAnsi="Arial" w:cs="Arial"/>
                <w:sz w:val="18"/>
                <w:szCs w:val="18"/>
              </w:rPr>
              <w:t xml:space="preserve"> Additional buildings identified via GIS shall be aligned between the additional buildings to be added and the SDF conclusion for that particular site/ facility. This is to ensure that facilities which were to be removed as per SDF feedback are not included in the IAR erroneously. </w:t>
            </w:r>
          </w:p>
          <w:p w14:paraId="4C4FB41F" w14:textId="77777777" w:rsidR="004211D1" w:rsidRPr="00065BBE" w:rsidRDefault="004211D1" w:rsidP="00F253E0">
            <w:pPr>
              <w:pStyle w:val="Default"/>
              <w:rPr>
                <w:rFonts w:ascii="Arial" w:hAnsi="Arial" w:cs="Arial"/>
                <w:sz w:val="18"/>
                <w:szCs w:val="18"/>
              </w:rPr>
            </w:pPr>
            <w:r w:rsidRPr="00065BBE">
              <w:rPr>
                <w:rFonts w:ascii="Arial" w:hAnsi="Arial" w:cs="Arial"/>
                <w:sz w:val="18"/>
                <w:szCs w:val="18"/>
              </w:rPr>
              <w:t xml:space="preserve"> Confirmation of ownership of DPWI newly identified properties (from different sources such as Deeds Web, Section 42 of transfer acquisition, donation etc.). shall be obtained in the form of appropriate documents such as Title Deeds, SG Diagrams, acquisition documents, donation documents. </w:t>
            </w:r>
          </w:p>
          <w:p w14:paraId="28BDEC18" w14:textId="77777777" w:rsidR="004211D1" w:rsidRPr="00065BBE" w:rsidRDefault="004211D1" w:rsidP="00F253E0">
            <w:pPr>
              <w:pStyle w:val="Default"/>
              <w:rPr>
                <w:rFonts w:ascii="Arial" w:hAnsi="Arial" w:cs="Arial"/>
                <w:sz w:val="18"/>
                <w:szCs w:val="18"/>
              </w:rPr>
            </w:pPr>
            <w:r w:rsidRPr="00065BBE">
              <w:rPr>
                <w:rFonts w:ascii="Arial" w:hAnsi="Arial" w:cs="Arial"/>
                <w:sz w:val="18"/>
                <w:szCs w:val="18"/>
              </w:rPr>
              <w:t xml:space="preserve"> In instances of disposals of land parcels, a verification is to be undertaken to determine whether the structures located on the land parcel belong to DPWI. </w:t>
            </w:r>
          </w:p>
          <w:p w14:paraId="19172A11" w14:textId="77777777" w:rsidR="004211D1" w:rsidRPr="00065BBE" w:rsidRDefault="004211D1" w:rsidP="00F253E0">
            <w:pPr>
              <w:pStyle w:val="Default"/>
              <w:rPr>
                <w:rFonts w:ascii="Arial" w:hAnsi="Arial" w:cs="Arial"/>
                <w:sz w:val="18"/>
                <w:szCs w:val="18"/>
              </w:rPr>
            </w:pPr>
            <w:r w:rsidRPr="00065BBE">
              <w:rPr>
                <w:rFonts w:ascii="Arial" w:hAnsi="Arial" w:cs="Arial"/>
                <w:sz w:val="18"/>
                <w:szCs w:val="18"/>
              </w:rPr>
              <w:t xml:space="preserve"> The parcels that have been erroneously vested must be first physically verified to </w:t>
            </w:r>
            <w:r w:rsidRPr="00065BBE">
              <w:rPr>
                <w:rFonts w:ascii="Arial" w:hAnsi="Arial" w:cs="Arial"/>
                <w:sz w:val="18"/>
                <w:szCs w:val="18"/>
              </w:rPr>
              <w:lastRenderedPageBreak/>
              <w:t xml:space="preserve">confirm the user department and that the parcel should be vested with DPWI. </w:t>
            </w:r>
          </w:p>
          <w:p w14:paraId="28B57D62" w14:textId="77777777" w:rsidR="004211D1" w:rsidRPr="00065BBE" w:rsidRDefault="004211D1" w:rsidP="00F253E0">
            <w:pPr>
              <w:pStyle w:val="Tabletext"/>
              <w:rPr>
                <w:rFonts w:cs="Arial"/>
                <w:szCs w:val="18"/>
                <w:lang w:val="en-ZA"/>
              </w:rPr>
            </w:pPr>
          </w:p>
        </w:tc>
        <w:tc>
          <w:tcPr>
            <w:tcW w:w="689" w:type="pct"/>
          </w:tcPr>
          <w:p w14:paraId="5597DCB6" w14:textId="77777777" w:rsidR="004211D1" w:rsidRPr="00065BBE" w:rsidRDefault="004211D1" w:rsidP="00F253E0">
            <w:pPr>
              <w:pStyle w:val="Tabletext"/>
              <w:rPr>
                <w:rFonts w:cs="Arial"/>
                <w:szCs w:val="18"/>
                <w:lang w:val="en-ZA"/>
              </w:rPr>
            </w:pPr>
            <w:r w:rsidRPr="00065BBE">
              <w:rPr>
                <w:rFonts w:cs="Arial"/>
                <w:szCs w:val="18"/>
                <w:lang w:val="en-ZA"/>
              </w:rPr>
              <w:lastRenderedPageBreak/>
              <w:t>DDG: REIRS</w:t>
            </w:r>
          </w:p>
        </w:tc>
        <w:tc>
          <w:tcPr>
            <w:tcW w:w="1320" w:type="pct"/>
          </w:tcPr>
          <w:p w14:paraId="0155AB22" w14:textId="0BA29B10" w:rsidR="009929EF" w:rsidRDefault="009929EF" w:rsidP="00F253E0">
            <w:pPr>
              <w:pStyle w:val="Tabletext"/>
              <w:rPr>
                <w:rFonts w:cs="Arial"/>
                <w:szCs w:val="18"/>
                <w:lang w:val="en-ZA"/>
              </w:rPr>
            </w:pPr>
            <w:r>
              <w:rPr>
                <w:rFonts w:cs="Arial"/>
                <w:szCs w:val="18"/>
                <w:lang w:val="en-ZA"/>
              </w:rPr>
              <w:t>We have noted that management were able to resolve the ownership issue raised in the prior year audit and contributed to the qualification of immovable assets. The action plans developed by the entity to address ownership were effective.</w:t>
            </w:r>
          </w:p>
          <w:p w14:paraId="38087E85" w14:textId="77777777" w:rsidR="009929EF" w:rsidRDefault="009929EF" w:rsidP="00F253E0">
            <w:pPr>
              <w:pStyle w:val="Tabletext"/>
              <w:rPr>
                <w:rFonts w:cs="Arial"/>
                <w:szCs w:val="18"/>
                <w:lang w:val="en-ZA"/>
              </w:rPr>
            </w:pPr>
          </w:p>
          <w:p w14:paraId="74AA4259" w14:textId="77777777" w:rsidR="009929EF" w:rsidRDefault="009929EF" w:rsidP="00F253E0">
            <w:pPr>
              <w:pStyle w:val="Tabletext"/>
              <w:rPr>
                <w:rFonts w:cs="Arial"/>
                <w:szCs w:val="18"/>
                <w:lang w:val="en-ZA"/>
              </w:rPr>
            </w:pPr>
          </w:p>
          <w:p w14:paraId="3DFB103A" w14:textId="2C73E1CD" w:rsidR="004211D1" w:rsidRPr="00065BBE" w:rsidRDefault="004211D1" w:rsidP="00F253E0">
            <w:pPr>
              <w:pStyle w:val="Tabletext"/>
              <w:rPr>
                <w:rFonts w:cs="Arial"/>
                <w:szCs w:val="18"/>
                <w:lang w:val="en-ZA"/>
              </w:rPr>
            </w:pPr>
            <w:r>
              <w:rPr>
                <w:rFonts w:cs="Arial"/>
                <w:szCs w:val="18"/>
                <w:lang w:val="en-ZA"/>
              </w:rPr>
              <w:t>Ownership issues were identified during the final audit.</w:t>
            </w:r>
          </w:p>
        </w:tc>
        <w:tc>
          <w:tcPr>
            <w:tcW w:w="727" w:type="pct"/>
          </w:tcPr>
          <w:p w14:paraId="63AA604D" w14:textId="78EC4D0B" w:rsidR="004211D1" w:rsidRPr="00065BBE" w:rsidRDefault="009929EF" w:rsidP="004211D1">
            <w:pPr>
              <w:pStyle w:val="Tabletext"/>
              <w:rPr>
                <w:rFonts w:cs="Arial"/>
                <w:szCs w:val="18"/>
                <w:lang w:val="en-ZA"/>
              </w:rPr>
            </w:pPr>
            <w:r>
              <w:rPr>
                <w:rFonts w:cs="Arial"/>
                <w:szCs w:val="18"/>
                <w:lang w:val="en-ZA"/>
              </w:rPr>
              <w:t>Resolved</w:t>
            </w:r>
          </w:p>
          <w:p w14:paraId="1A3D6502" w14:textId="77777777" w:rsidR="004211D1" w:rsidRPr="00065BBE" w:rsidRDefault="004211D1" w:rsidP="00F253E0">
            <w:pPr>
              <w:pStyle w:val="Tabletext"/>
              <w:rPr>
                <w:rFonts w:cs="Arial"/>
                <w:szCs w:val="18"/>
                <w:lang w:val="en-ZA"/>
              </w:rPr>
            </w:pPr>
          </w:p>
        </w:tc>
      </w:tr>
      <w:tr w:rsidR="004211D1" w:rsidRPr="00065BBE" w14:paraId="32EA3E1D" w14:textId="77777777" w:rsidTr="00D23D2D">
        <w:tc>
          <w:tcPr>
            <w:tcW w:w="398" w:type="pct"/>
          </w:tcPr>
          <w:p w14:paraId="270898C0" w14:textId="77777777" w:rsidR="004211D1" w:rsidRPr="00BB6EEC" w:rsidRDefault="004211D1" w:rsidP="00F253E0">
            <w:pPr>
              <w:pStyle w:val="Tabletext"/>
              <w:rPr>
                <w:lang w:val="en-ZA"/>
              </w:rPr>
            </w:pPr>
            <w:r>
              <w:rPr>
                <w:lang w:val="en-ZA"/>
              </w:rPr>
              <w:lastRenderedPageBreak/>
              <w:t>3</w:t>
            </w:r>
          </w:p>
        </w:tc>
        <w:tc>
          <w:tcPr>
            <w:tcW w:w="1865" w:type="pct"/>
          </w:tcPr>
          <w:p w14:paraId="0FD8D87E" w14:textId="77777777" w:rsidR="004211D1" w:rsidRPr="00065BBE" w:rsidRDefault="004211D1" w:rsidP="00F253E0">
            <w:pPr>
              <w:pStyle w:val="Tabletext"/>
              <w:rPr>
                <w:rFonts w:cs="Arial"/>
                <w:b/>
                <w:szCs w:val="18"/>
                <w:lang w:val="en-ZA"/>
              </w:rPr>
            </w:pPr>
            <w:r w:rsidRPr="00065BBE">
              <w:rPr>
                <w:rFonts w:cs="Arial"/>
                <w:b/>
                <w:szCs w:val="18"/>
                <w:lang w:val="en-ZA"/>
              </w:rPr>
              <w:t>Human Resource Management</w:t>
            </w:r>
          </w:p>
          <w:p w14:paraId="0CF60BFB" w14:textId="77777777" w:rsidR="004211D1" w:rsidRPr="00065BBE" w:rsidRDefault="004211D1" w:rsidP="00F253E0">
            <w:pPr>
              <w:pStyle w:val="Tabletext"/>
              <w:rPr>
                <w:rFonts w:cs="Arial"/>
                <w:szCs w:val="18"/>
                <w:lang w:val="en-ZA"/>
              </w:rPr>
            </w:pPr>
            <w:r w:rsidRPr="00065BBE">
              <w:rPr>
                <w:rFonts w:cs="Arial"/>
                <w:szCs w:val="18"/>
                <w:lang w:val="en-ZA"/>
              </w:rPr>
              <w:t>Management of vacancy rate:</w:t>
            </w:r>
          </w:p>
          <w:p w14:paraId="5636441F" w14:textId="77777777" w:rsidR="004211D1" w:rsidRPr="00065BBE" w:rsidRDefault="004211D1" w:rsidP="00F253E0">
            <w:pPr>
              <w:pStyle w:val="Tabletext"/>
              <w:rPr>
                <w:rFonts w:cs="Arial"/>
                <w:szCs w:val="18"/>
                <w:lang w:val="en-ZA"/>
              </w:rPr>
            </w:pPr>
            <w:r w:rsidRPr="00065BBE">
              <w:rPr>
                <w:rFonts w:cs="Arial"/>
                <w:szCs w:val="18"/>
                <w:lang w:val="en-ZA"/>
              </w:rPr>
              <w:t> Implement approved organisational for PMTE and</w:t>
            </w:r>
          </w:p>
          <w:p w14:paraId="7AE02BFB" w14:textId="77777777" w:rsidR="004211D1" w:rsidRPr="00065BBE" w:rsidRDefault="004211D1" w:rsidP="00F253E0">
            <w:pPr>
              <w:pStyle w:val="Tabletext"/>
              <w:rPr>
                <w:rFonts w:cs="Arial"/>
                <w:szCs w:val="18"/>
                <w:lang w:val="en-ZA"/>
              </w:rPr>
            </w:pPr>
            <w:r w:rsidRPr="00065BBE">
              <w:rPr>
                <w:rFonts w:cs="Arial"/>
                <w:szCs w:val="18"/>
                <w:lang w:val="en-ZA"/>
              </w:rPr>
              <w:t>DPW (matching and placing)</w:t>
            </w:r>
          </w:p>
          <w:p w14:paraId="05042A68" w14:textId="77777777" w:rsidR="004211D1" w:rsidRPr="00065BBE" w:rsidRDefault="004211D1" w:rsidP="00F253E0">
            <w:pPr>
              <w:pStyle w:val="Tabletext"/>
              <w:rPr>
                <w:rFonts w:cs="Arial"/>
                <w:szCs w:val="18"/>
                <w:lang w:val="en-ZA"/>
              </w:rPr>
            </w:pPr>
            <w:r w:rsidRPr="00065BBE">
              <w:rPr>
                <w:rFonts w:cs="Arial"/>
                <w:szCs w:val="18"/>
                <w:lang w:val="en-ZA"/>
              </w:rPr>
              <w:t> Allocate sufficient compensation of employees;</w:t>
            </w:r>
          </w:p>
          <w:p w14:paraId="0BDB92C1" w14:textId="77777777" w:rsidR="004211D1" w:rsidRPr="00065BBE" w:rsidRDefault="004211D1" w:rsidP="00F253E0">
            <w:pPr>
              <w:pStyle w:val="Tabletext"/>
              <w:rPr>
                <w:rFonts w:cs="Arial"/>
                <w:szCs w:val="18"/>
                <w:lang w:val="en-ZA"/>
              </w:rPr>
            </w:pPr>
            <w:r w:rsidRPr="00065BBE">
              <w:rPr>
                <w:rFonts w:cs="Arial"/>
                <w:szCs w:val="18"/>
                <w:lang w:val="en-ZA"/>
              </w:rPr>
              <w:t>budget to fill vacant positions</w:t>
            </w:r>
          </w:p>
          <w:p w14:paraId="0199A7B8" w14:textId="77777777" w:rsidR="004211D1" w:rsidRPr="00065BBE" w:rsidRDefault="004211D1" w:rsidP="00F253E0">
            <w:pPr>
              <w:pStyle w:val="Tabletext"/>
              <w:rPr>
                <w:rFonts w:cs="Arial"/>
                <w:szCs w:val="18"/>
                <w:lang w:val="en-ZA"/>
              </w:rPr>
            </w:pPr>
            <w:r w:rsidRPr="00065BBE">
              <w:rPr>
                <w:rFonts w:cs="Arial"/>
                <w:szCs w:val="18"/>
                <w:lang w:val="en-ZA"/>
              </w:rPr>
              <w:t> Activate on Persal establishment the funded</w:t>
            </w:r>
          </w:p>
          <w:p w14:paraId="7EC3FAC2" w14:textId="77777777" w:rsidR="004211D1" w:rsidRPr="00065BBE" w:rsidRDefault="004211D1" w:rsidP="00F253E0">
            <w:pPr>
              <w:pStyle w:val="Tabletext"/>
              <w:rPr>
                <w:rFonts w:cs="Arial"/>
                <w:szCs w:val="18"/>
                <w:lang w:val="en-ZA"/>
              </w:rPr>
            </w:pPr>
            <w:r w:rsidRPr="00065BBE">
              <w:rPr>
                <w:rFonts w:cs="Arial"/>
                <w:szCs w:val="18"/>
                <w:lang w:val="en-ZA"/>
              </w:rPr>
              <w:t>vacant positions for immediate advertising and</w:t>
            </w:r>
          </w:p>
          <w:p w14:paraId="3F77D82B" w14:textId="77777777" w:rsidR="004211D1" w:rsidRPr="00065BBE" w:rsidRDefault="004211D1" w:rsidP="00F253E0">
            <w:pPr>
              <w:pStyle w:val="Tabletext"/>
              <w:rPr>
                <w:rFonts w:cs="Arial"/>
                <w:szCs w:val="18"/>
                <w:lang w:val="en-ZA"/>
              </w:rPr>
            </w:pPr>
            <w:r w:rsidRPr="00065BBE">
              <w:rPr>
                <w:rFonts w:cs="Arial"/>
                <w:szCs w:val="18"/>
                <w:lang w:val="en-ZA"/>
              </w:rPr>
              <w:t>filing.</w:t>
            </w:r>
          </w:p>
        </w:tc>
        <w:tc>
          <w:tcPr>
            <w:tcW w:w="689" w:type="pct"/>
          </w:tcPr>
          <w:p w14:paraId="73ACBA04" w14:textId="77777777" w:rsidR="004211D1" w:rsidRPr="00065BBE" w:rsidRDefault="004211D1" w:rsidP="00F253E0">
            <w:pPr>
              <w:pStyle w:val="Tabletext"/>
              <w:rPr>
                <w:rFonts w:cs="Arial"/>
                <w:szCs w:val="18"/>
                <w:lang w:val="en-ZA"/>
              </w:rPr>
            </w:pPr>
            <w:r w:rsidRPr="00065BBE">
              <w:rPr>
                <w:rFonts w:cs="Arial"/>
                <w:szCs w:val="18"/>
                <w:lang w:val="en-ZA"/>
              </w:rPr>
              <w:t>DDG: CS, Ms T.</w:t>
            </w:r>
          </w:p>
          <w:p w14:paraId="446927D6" w14:textId="77777777" w:rsidR="004211D1" w:rsidRPr="00065BBE" w:rsidRDefault="004211D1" w:rsidP="00F253E0">
            <w:pPr>
              <w:pStyle w:val="Tabletext"/>
              <w:rPr>
                <w:rFonts w:cs="Arial"/>
                <w:szCs w:val="18"/>
                <w:lang w:val="en-ZA"/>
              </w:rPr>
            </w:pPr>
            <w:r w:rsidRPr="00065BBE">
              <w:rPr>
                <w:rFonts w:cs="Arial"/>
                <w:szCs w:val="18"/>
                <w:lang w:val="en-ZA"/>
              </w:rPr>
              <w:t>Hlatshwayo</w:t>
            </w:r>
          </w:p>
        </w:tc>
        <w:tc>
          <w:tcPr>
            <w:tcW w:w="1320" w:type="pct"/>
          </w:tcPr>
          <w:p w14:paraId="112A044D" w14:textId="77777777" w:rsidR="004211D1" w:rsidRPr="00065BBE" w:rsidRDefault="004211D1" w:rsidP="00F253E0">
            <w:pPr>
              <w:pStyle w:val="Tabletext"/>
              <w:rPr>
                <w:rFonts w:cs="Arial"/>
                <w:szCs w:val="18"/>
                <w:lang w:val="en-ZA"/>
              </w:rPr>
            </w:pPr>
            <w:r w:rsidRPr="00065BBE">
              <w:rPr>
                <w:rFonts w:cs="Arial"/>
                <w:szCs w:val="18"/>
                <w:lang w:val="en-ZA"/>
              </w:rPr>
              <w:t>The HR plan for 2019/2020</w:t>
            </w:r>
          </w:p>
          <w:p w14:paraId="13F3C35C" w14:textId="77777777" w:rsidR="004211D1" w:rsidRDefault="004211D1" w:rsidP="00F253E0">
            <w:pPr>
              <w:pStyle w:val="Tabletext"/>
              <w:rPr>
                <w:rFonts w:cs="Arial"/>
                <w:szCs w:val="18"/>
                <w:lang w:val="en-ZA"/>
              </w:rPr>
            </w:pPr>
            <w:r>
              <w:rPr>
                <w:rFonts w:cs="Arial"/>
                <w:szCs w:val="18"/>
                <w:lang w:val="en-ZA"/>
              </w:rPr>
              <w:t>was not approved in the current financial year</w:t>
            </w:r>
          </w:p>
          <w:p w14:paraId="099A5B8B" w14:textId="77777777" w:rsidR="004211D1" w:rsidRDefault="004211D1" w:rsidP="00F253E0">
            <w:pPr>
              <w:pStyle w:val="Tabletext"/>
              <w:rPr>
                <w:rFonts w:cs="Arial"/>
                <w:szCs w:val="18"/>
                <w:lang w:val="en-ZA"/>
              </w:rPr>
            </w:pPr>
          </w:p>
          <w:p w14:paraId="01B6A30A" w14:textId="77777777" w:rsidR="004211D1" w:rsidRPr="00065BBE" w:rsidRDefault="004211D1" w:rsidP="00F253E0">
            <w:pPr>
              <w:pStyle w:val="Tabletext"/>
              <w:rPr>
                <w:rFonts w:cs="Arial"/>
                <w:szCs w:val="18"/>
                <w:lang w:val="en-ZA"/>
              </w:rPr>
            </w:pPr>
            <w:r>
              <w:rPr>
                <w:rFonts w:cs="Arial"/>
                <w:szCs w:val="18"/>
                <w:lang w:val="en-ZA"/>
              </w:rPr>
              <w:t>The  entity is still experiencing challenges relating to vacant positions</w:t>
            </w:r>
          </w:p>
        </w:tc>
        <w:tc>
          <w:tcPr>
            <w:tcW w:w="727" w:type="pct"/>
          </w:tcPr>
          <w:p w14:paraId="56996B4E" w14:textId="77777777" w:rsidR="004211D1" w:rsidRPr="00065BBE" w:rsidRDefault="004211D1" w:rsidP="00F253E0">
            <w:pPr>
              <w:pStyle w:val="Tabletext"/>
              <w:rPr>
                <w:rFonts w:cs="Arial"/>
                <w:szCs w:val="18"/>
                <w:lang w:val="en-ZA"/>
              </w:rPr>
            </w:pPr>
            <w:r>
              <w:rPr>
                <w:rFonts w:cs="Arial"/>
                <w:szCs w:val="18"/>
                <w:lang w:val="en-ZA"/>
              </w:rPr>
              <w:t>Not resolved</w:t>
            </w:r>
          </w:p>
          <w:p w14:paraId="56B683C7" w14:textId="77777777" w:rsidR="004211D1" w:rsidRPr="00065BBE" w:rsidRDefault="004211D1" w:rsidP="00F253E0">
            <w:pPr>
              <w:pStyle w:val="Tabletext"/>
              <w:rPr>
                <w:rFonts w:cs="Arial"/>
                <w:szCs w:val="18"/>
                <w:lang w:val="en-ZA"/>
              </w:rPr>
            </w:pPr>
          </w:p>
        </w:tc>
      </w:tr>
      <w:tr w:rsidR="004211D1" w:rsidRPr="00065BBE" w14:paraId="3610115C" w14:textId="77777777" w:rsidTr="00D23D2D">
        <w:tc>
          <w:tcPr>
            <w:tcW w:w="398" w:type="pct"/>
          </w:tcPr>
          <w:p w14:paraId="5F5DA9B0" w14:textId="77777777" w:rsidR="004211D1" w:rsidRPr="00BB6EEC" w:rsidRDefault="004211D1" w:rsidP="00F253E0">
            <w:pPr>
              <w:pStyle w:val="Tabletext"/>
              <w:rPr>
                <w:lang w:val="en-ZA"/>
              </w:rPr>
            </w:pPr>
            <w:r>
              <w:rPr>
                <w:lang w:val="en-ZA"/>
              </w:rPr>
              <w:t>4</w:t>
            </w:r>
          </w:p>
        </w:tc>
        <w:tc>
          <w:tcPr>
            <w:tcW w:w="1865" w:type="pct"/>
          </w:tcPr>
          <w:p w14:paraId="2743A5E6" w14:textId="77777777" w:rsidR="004211D1" w:rsidRPr="00065BBE" w:rsidRDefault="004211D1" w:rsidP="00F253E0">
            <w:pPr>
              <w:pStyle w:val="Tabletext"/>
              <w:rPr>
                <w:rFonts w:cs="Arial"/>
                <w:b/>
                <w:szCs w:val="18"/>
                <w:lang w:val="en-ZA"/>
              </w:rPr>
            </w:pPr>
            <w:r w:rsidRPr="00065BBE">
              <w:rPr>
                <w:rFonts w:cs="Arial"/>
                <w:b/>
                <w:szCs w:val="18"/>
                <w:lang w:val="en-ZA"/>
              </w:rPr>
              <w:t>Non-compliance with SCM policies/prescripts</w:t>
            </w:r>
          </w:p>
          <w:p w14:paraId="69401DAD" w14:textId="77777777" w:rsidR="004211D1" w:rsidRPr="00065BBE" w:rsidRDefault="004211D1" w:rsidP="00F253E0">
            <w:pPr>
              <w:pStyle w:val="Tabletext"/>
              <w:rPr>
                <w:rFonts w:cs="Arial"/>
                <w:szCs w:val="18"/>
                <w:lang w:val="en-ZA"/>
              </w:rPr>
            </w:pPr>
            <w:r w:rsidRPr="00065BBE">
              <w:rPr>
                <w:rFonts w:cs="Arial"/>
                <w:szCs w:val="18"/>
                <w:lang w:val="en-ZA"/>
              </w:rPr>
              <w:t> Contract management – extensions/variations</w:t>
            </w:r>
          </w:p>
          <w:p w14:paraId="5BBF6DBB" w14:textId="77777777" w:rsidR="004211D1" w:rsidRPr="00065BBE" w:rsidRDefault="004211D1" w:rsidP="00F253E0">
            <w:pPr>
              <w:pStyle w:val="Tabletext"/>
              <w:rPr>
                <w:rFonts w:cs="Arial"/>
                <w:szCs w:val="18"/>
                <w:lang w:val="en-ZA"/>
              </w:rPr>
            </w:pPr>
            <w:r w:rsidRPr="00065BBE">
              <w:rPr>
                <w:rFonts w:cs="Arial"/>
                <w:szCs w:val="18"/>
                <w:lang w:val="en-ZA"/>
              </w:rPr>
              <w:t> Name of bidders not published</w:t>
            </w:r>
          </w:p>
          <w:p w14:paraId="59E190C0" w14:textId="77777777" w:rsidR="004211D1" w:rsidRPr="00065BBE" w:rsidRDefault="004211D1" w:rsidP="00F253E0">
            <w:pPr>
              <w:pStyle w:val="Tabletext"/>
              <w:rPr>
                <w:rFonts w:cs="Arial"/>
                <w:szCs w:val="18"/>
                <w:lang w:val="en-ZA"/>
              </w:rPr>
            </w:pPr>
            <w:r w:rsidRPr="00065BBE">
              <w:rPr>
                <w:rFonts w:cs="Arial"/>
                <w:szCs w:val="18"/>
                <w:lang w:val="en-ZA"/>
              </w:rPr>
              <w:t> Information not submitted and contract not signed</w:t>
            </w:r>
          </w:p>
          <w:p w14:paraId="3D7AEC38" w14:textId="77777777" w:rsidR="004211D1" w:rsidRPr="00065BBE" w:rsidRDefault="004211D1" w:rsidP="00F253E0">
            <w:pPr>
              <w:pStyle w:val="Tabletext"/>
              <w:rPr>
                <w:rFonts w:cs="Arial"/>
                <w:szCs w:val="18"/>
                <w:lang w:val="en-ZA"/>
              </w:rPr>
            </w:pPr>
            <w:r w:rsidRPr="00065BBE">
              <w:rPr>
                <w:rFonts w:cs="Arial"/>
                <w:szCs w:val="18"/>
                <w:lang w:val="en-ZA"/>
              </w:rPr>
              <w:t> Non-competitive bidding</w:t>
            </w:r>
          </w:p>
          <w:p w14:paraId="2FC4EB59" w14:textId="77777777" w:rsidR="004211D1" w:rsidRPr="00065BBE" w:rsidRDefault="004211D1" w:rsidP="00F253E0">
            <w:pPr>
              <w:pStyle w:val="Tabletext"/>
              <w:rPr>
                <w:rFonts w:cs="Arial"/>
                <w:szCs w:val="18"/>
                <w:lang w:val="en-ZA"/>
              </w:rPr>
            </w:pPr>
            <w:r w:rsidRPr="00065BBE">
              <w:rPr>
                <w:rFonts w:cs="Arial"/>
                <w:szCs w:val="18"/>
                <w:lang w:val="en-ZA"/>
              </w:rPr>
              <w:t> Contract awarded to service provider that should</w:t>
            </w:r>
          </w:p>
          <w:p w14:paraId="3085885B" w14:textId="77777777" w:rsidR="004211D1" w:rsidRPr="00065BBE" w:rsidRDefault="004211D1" w:rsidP="00F253E0">
            <w:pPr>
              <w:pStyle w:val="Tabletext"/>
              <w:rPr>
                <w:rFonts w:cs="Arial"/>
                <w:szCs w:val="18"/>
                <w:lang w:val="en-ZA"/>
              </w:rPr>
            </w:pPr>
            <w:r w:rsidRPr="00065BBE">
              <w:rPr>
                <w:rFonts w:cs="Arial"/>
                <w:szCs w:val="18"/>
                <w:lang w:val="en-ZA"/>
              </w:rPr>
              <w:t>have been disregarded</w:t>
            </w:r>
          </w:p>
          <w:p w14:paraId="0DCCC86E" w14:textId="77777777" w:rsidR="004211D1" w:rsidRPr="00065BBE" w:rsidRDefault="004211D1" w:rsidP="00F253E0">
            <w:pPr>
              <w:pStyle w:val="Tabletext"/>
              <w:rPr>
                <w:rFonts w:cs="Arial"/>
                <w:szCs w:val="18"/>
                <w:lang w:val="en-ZA"/>
              </w:rPr>
            </w:pPr>
            <w:r w:rsidRPr="00065BBE">
              <w:rPr>
                <w:rFonts w:cs="Arial"/>
                <w:szCs w:val="18"/>
                <w:lang w:val="en-ZA"/>
              </w:rPr>
              <w:t> Quotations R10 000 – R500 000</w:t>
            </w:r>
          </w:p>
          <w:p w14:paraId="0431CE60" w14:textId="77777777" w:rsidR="004211D1" w:rsidRPr="00065BBE" w:rsidRDefault="004211D1" w:rsidP="00F253E0">
            <w:pPr>
              <w:pStyle w:val="Tabletext"/>
              <w:rPr>
                <w:rFonts w:cs="Arial"/>
                <w:szCs w:val="18"/>
                <w:lang w:val="en-ZA"/>
              </w:rPr>
            </w:pPr>
            <w:r w:rsidRPr="00065BBE">
              <w:rPr>
                <w:rFonts w:cs="Arial"/>
                <w:szCs w:val="18"/>
                <w:lang w:val="en-ZA"/>
              </w:rPr>
              <w:t>Action:</w:t>
            </w:r>
          </w:p>
          <w:p w14:paraId="05C6E503" w14:textId="77777777" w:rsidR="004211D1" w:rsidRPr="00065BBE" w:rsidRDefault="004211D1" w:rsidP="00F253E0">
            <w:pPr>
              <w:pStyle w:val="Tabletext"/>
              <w:rPr>
                <w:rFonts w:cs="Arial"/>
                <w:szCs w:val="18"/>
                <w:lang w:val="en-ZA"/>
              </w:rPr>
            </w:pPr>
            <w:r w:rsidRPr="00065BBE">
              <w:rPr>
                <w:rFonts w:cs="Arial"/>
                <w:szCs w:val="18"/>
                <w:lang w:val="en-ZA"/>
              </w:rPr>
              <w:t> Implement all administrative requirements as</w:t>
            </w:r>
          </w:p>
          <w:p w14:paraId="3A4C570B" w14:textId="77777777" w:rsidR="004211D1" w:rsidRPr="00065BBE" w:rsidRDefault="004211D1" w:rsidP="00F253E0">
            <w:pPr>
              <w:pStyle w:val="Tabletext"/>
              <w:rPr>
                <w:rFonts w:cs="Arial"/>
                <w:szCs w:val="18"/>
                <w:lang w:val="en-ZA"/>
              </w:rPr>
            </w:pPr>
            <w:r w:rsidRPr="00065BBE">
              <w:rPr>
                <w:rFonts w:cs="Arial"/>
                <w:szCs w:val="18"/>
                <w:lang w:val="en-ZA"/>
              </w:rPr>
              <w:t>prescribed by National Treasury. Refer for</w:t>
            </w:r>
          </w:p>
          <w:p w14:paraId="1DB40841" w14:textId="77777777" w:rsidR="004211D1" w:rsidRPr="00065BBE" w:rsidRDefault="004211D1" w:rsidP="00F253E0">
            <w:pPr>
              <w:pStyle w:val="Tabletext"/>
              <w:rPr>
                <w:rFonts w:cs="Arial"/>
                <w:szCs w:val="18"/>
                <w:lang w:val="en-ZA"/>
              </w:rPr>
            </w:pPr>
            <w:r w:rsidRPr="00065BBE">
              <w:rPr>
                <w:rFonts w:cs="Arial"/>
                <w:szCs w:val="18"/>
                <w:lang w:val="en-ZA"/>
              </w:rPr>
              <w:t>investigation identified cases for appropriate</w:t>
            </w:r>
          </w:p>
          <w:p w14:paraId="1EAD757D" w14:textId="77777777" w:rsidR="004211D1" w:rsidRPr="00065BBE" w:rsidRDefault="004211D1" w:rsidP="00F253E0">
            <w:pPr>
              <w:pStyle w:val="Tabletext"/>
              <w:rPr>
                <w:rFonts w:cs="Arial"/>
                <w:szCs w:val="18"/>
                <w:lang w:val="en-ZA"/>
              </w:rPr>
            </w:pPr>
            <w:r w:rsidRPr="00065BBE">
              <w:rPr>
                <w:rFonts w:cs="Arial"/>
                <w:szCs w:val="18"/>
                <w:lang w:val="en-ZA"/>
              </w:rPr>
              <w:t>action taken</w:t>
            </w:r>
          </w:p>
          <w:p w14:paraId="7F810802" w14:textId="77777777" w:rsidR="004211D1" w:rsidRPr="00065BBE" w:rsidRDefault="004211D1" w:rsidP="00F253E0">
            <w:pPr>
              <w:pStyle w:val="Tabletext"/>
              <w:rPr>
                <w:rFonts w:cs="Arial"/>
                <w:szCs w:val="18"/>
                <w:lang w:val="en-ZA"/>
              </w:rPr>
            </w:pPr>
            <w:r w:rsidRPr="00065BBE">
              <w:rPr>
                <w:rFonts w:cs="Arial"/>
                <w:szCs w:val="18"/>
                <w:lang w:val="en-ZA"/>
              </w:rPr>
              <w:t> Training of SCM officials and Bid committee</w:t>
            </w:r>
          </w:p>
          <w:p w14:paraId="141D3F7F" w14:textId="77777777" w:rsidR="004211D1" w:rsidRPr="00065BBE" w:rsidRDefault="004211D1" w:rsidP="00F253E0">
            <w:pPr>
              <w:pStyle w:val="Tabletext"/>
              <w:rPr>
                <w:rFonts w:cs="Arial"/>
                <w:szCs w:val="18"/>
                <w:lang w:val="en-ZA"/>
              </w:rPr>
            </w:pPr>
            <w:r w:rsidRPr="00065BBE">
              <w:rPr>
                <w:rFonts w:cs="Arial"/>
                <w:szCs w:val="18"/>
                <w:lang w:val="en-ZA"/>
              </w:rPr>
              <w:t>members</w:t>
            </w:r>
          </w:p>
          <w:p w14:paraId="4119ADE6" w14:textId="77777777" w:rsidR="004211D1" w:rsidRPr="00065BBE" w:rsidRDefault="004211D1" w:rsidP="00F253E0">
            <w:pPr>
              <w:pStyle w:val="Tabletext"/>
              <w:rPr>
                <w:rFonts w:cs="Arial"/>
                <w:szCs w:val="18"/>
                <w:lang w:val="en-ZA"/>
              </w:rPr>
            </w:pPr>
            <w:r w:rsidRPr="00065BBE">
              <w:rPr>
                <w:rFonts w:cs="Arial"/>
                <w:szCs w:val="18"/>
                <w:lang w:val="en-ZA"/>
              </w:rPr>
              <w:t> Monitor and enhance existing internal controls,</w:t>
            </w:r>
          </w:p>
          <w:p w14:paraId="11312454" w14:textId="77777777" w:rsidR="004211D1" w:rsidRPr="00065BBE" w:rsidRDefault="004211D1" w:rsidP="00F253E0">
            <w:pPr>
              <w:pStyle w:val="Tabletext"/>
              <w:rPr>
                <w:rFonts w:cs="Arial"/>
                <w:szCs w:val="18"/>
                <w:lang w:val="en-ZA"/>
              </w:rPr>
            </w:pPr>
            <w:r w:rsidRPr="00065BBE">
              <w:rPr>
                <w:rFonts w:cs="Arial"/>
                <w:szCs w:val="18"/>
                <w:lang w:val="en-ZA"/>
              </w:rPr>
              <w:t>processes and procedures to enforce compliance</w:t>
            </w:r>
          </w:p>
        </w:tc>
        <w:tc>
          <w:tcPr>
            <w:tcW w:w="689" w:type="pct"/>
          </w:tcPr>
          <w:p w14:paraId="254B60D7" w14:textId="77777777" w:rsidR="004211D1" w:rsidRPr="00065BBE" w:rsidRDefault="004211D1" w:rsidP="00F253E0">
            <w:pPr>
              <w:pStyle w:val="Tabletext"/>
              <w:rPr>
                <w:rFonts w:cs="Arial"/>
                <w:szCs w:val="18"/>
                <w:lang w:val="en-ZA"/>
              </w:rPr>
            </w:pPr>
            <w:r w:rsidRPr="00065BBE">
              <w:rPr>
                <w:rFonts w:cs="Arial"/>
                <w:szCs w:val="18"/>
                <w:lang w:val="en-ZA"/>
              </w:rPr>
              <w:t>R. Naidoo</w:t>
            </w:r>
          </w:p>
          <w:p w14:paraId="57CEE608" w14:textId="77777777" w:rsidR="004211D1" w:rsidRPr="00065BBE" w:rsidRDefault="004211D1" w:rsidP="00F253E0">
            <w:pPr>
              <w:pStyle w:val="Tabletext"/>
              <w:rPr>
                <w:rFonts w:cs="Arial"/>
                <w:szCs w:val="18"/>
                <w:lang w:val="en-ZA"/>
              </w:rPr>
            </w:pPr>
            <w:r w:rsidRPr="00065BBE">
              <w:rPr>
                <w:rFonts w:cs="Arial"/>
                <w:szCs w:val="18"/>
                <w:lang w:val="en-ZA"/>
              </w:rPr>
              <w:t>(ADDG: Supply</w:t>
            </w:r>
          </w:p>
          <w:p w14:paraId="375B9726" w14:textId="77777777" w:rsidR="004211D1" w:rsidRPr="00065BBE" w:rsidRDefault="004211D1" w:rsidP="00F253E0">
            <w:pPr>
              <w:pStyle w:val="Tabletext"/>
              <w:rPr>
                <w:rFonts w:cs="Arial"/>
                <w:szCs w:val="18"/>
                <w:lang w:val="en-ZA"/>
              </w:rPr>
            </w:pPr>
            <w:r w:rsidRPr="00065BBE">
              <w:rPr>
                <w:rFonts w:cs="Arial"/>
                <w:szCs w:val="18"/>
                <w:lang w:val="en-ZA"/>
              </w:rPr>
              <w:t>Chain</w:t>
            </w:r>
          </w:p>
          <w:p w14:paraId="4FC26944" w14:textId="77777777" w:rsidR="004211D1" w:rsidRPr="00065BBE" w:rsidRDefault="004211D1" w:rsidP="00F253E0">
            <w:pPr>
              <w:pStyle w:val="Tabletext"/>
              <w:rPr>
                <w:rFonts w:cs="Arial"/>
                <w:szCs w:val="18"/>
                <w:lang w:val="en-ZA"/>
              </w:rPr>
            </w:pPr>
            <w:r w:rsidRPr="00065BBE">
              <w:rPr>
                <w:rFonts w:cs="Arial"/>
                <w:szCs w:val="18"/>
                <w:lang w:val="en-ZA"/>
              </w:rPr>
              <w:t>Management)</w:t>
            </w:r>
          </w:p>
        </w:tc>
        <w:tc>
          <w:tcPr>
            <w:tcW w:w="1320" w:type="pct"/>
          </w:tcPr>
          <w:p w14:paraId="704D3516" w14:textId="77777777" w:rsidR="004211D1" w:rsidRPr="00F253E0" w:rsidRDefault="004211D1" w:rsidP="00F253E0">
            <w:pPr>
              <w:pStyle w:val="Tabletext"/>
              <w:rPr>
                <w:rFonts w:cs="Arial"/>
                <w:szCs w:val="18"/>
                <w:lang w:val="en-ZA"/>
              </w:rPr>
            </w:pPr>
            <w:r w:rsidRPr="00F253E0">
              <w:rPr>
                <w:rFonts w:cs="Arial"/>
                <w:szCs w:val="18"/>
                <w:lang w:val="en-ZA"/>
              </w:rPr>
              <w:t>We have identified instances of</w:t>
            </w:r>
          </w:p>
          <w:p w14:paraId="5CFA6F99" w14:textId="77777777" w:rsidR="004211D1" w:rsidRPr="00F253E0" w:rsidRDefault="004211D1" w:rsidP="00F253E0">
            <w:pPr>
              <w:pStyle w:val="Tabletext"/>
              <w:rPr>
                <w:rFonts w:cs="Arial"/>
                <w:szCs w:val="18"/>
                <w:lang w:val="en-ZA"/>
              </w:rPr>
            </w:pPr>
            <w:r w:rsidRPr="00F253E0">
              <w:rPr>
                <w:rFonts w:cs="Arial"/>
                <w:szCs w:val="18"/>
                <w:lang w:val="en-ZA"/>
              </w:rPr>
              <w:t>non-compliance with SCM laws</w:t>
            </w:r>
          </w:p>
          <w:p w14:paraId="0E981BEC" w14:textId="77777777" w:rsidR="004211D1" w:rsidRPr="00F253E0" w:rsidRDefault="004211D1" w:rsidP="00F253E0">
            <w:pPr>
              <w:pStyle w:val="Tabletext"/>
              <w:rPr>
                <w:rFonts w:cs="Arial"/>
                <w:szCs w:val="18"/>
                <w:lang w:val="en-ZA"/>
              </w:rPr>
            </w:pPr>
            <w:r w:rsidRPr="00F253E0">
              <w:rPr>
                <w:rFonts w:cs="Arial"/>
                <w:szCs w:val="18"/>
                <w:lang w:val="en-ZA"/>
              </w:rPr>
              <w:t>and regulations during the</w:t>
            </w:r>
          </w:p>
          <w:p w14:paraId="7C73F051" w14:textId="77777777" w:rsidR="004211D1" w:rsidRPr="00F253E0" w:rsidRDefault="004211D1" w:rsidP="00F253E0">
            <w:pPr>
              <w:pStyle w:val="Tabletext"/>
              <w:rPr>
                <w:rFonts w:cs="Arial"/>
                <w:szCs w:val="18"/>
                <w:lang w:val="en-ZA"/>
              </w:rPr>
            </w:pPr>
            <w:r w:rsidRPr="00F253E0">
              <w:rPr>
                <w:rFonts w:cs="Arial"/>
                <w:szCs w:val="18"/>
                <w:lang w:val="en-ZA"/>
              </w:rPr>
              <w:t>current financial year.</w:t>
            </w:r>
          </w:p>
          <w:p w14:paraId="06D74D7D" w14:textId="77777777" w:rsidR="004211D1" w:rsidRPr="00F253E0" w:rsidRDefault="004211D1" w:rsidP="00F253E0">
            <w:pPr>
              <w:pStyle w:val="Tabletext"/>
              <w:rPr>
                <w:rFonts w:cs="Arial"/>
                <w:szCs w:val="18"/>
                <w:lang w:val="en-ZA"/>
              </w:rPr>
            </w:pPr>
            <w:r w:rsidRPr="00F253E0">
              <w:rPr>
                <w:rFonts w:cs="Arial"/>
                <w:szCs w:val="18"/>
                <w:lang w:val="en-ZA"/>
              </w:rPr>
              <w:t>The nature of findings included:</w:t>
            </w:r>
          </w:p>
          <w:p w14:paraId="0CC463D8" w14:textId="77777777" w:rsidR="004211D1" w:rsidRPr="00F253E0" w:rsidRDefault="004211D1" w:rsidP="00F253E0">
            <w:pPr>
              <w:pStyle w:val="Tabletext"/>
              <w:rPr>
                <w:rFonts w:cs="Arial"/>
                <w:szCs w:val="18"/>
                <w:lang w:val="en-ZA"/>
              </w:rPr>
            </w:pPr>
            <w:r w:rsidRPr="00F253E0">
              <w:rPr>
                <w:rFonts w:cs="Arial"/>
                <w:szCs w:val="18"/>
                <w:lang w:val="en-ZA"/>
              </w:rPr>
              <w:t>• Deviations that were</w:t>
            </w:r>
          </w:p>
          <w:p w14:paraId="6537081E" w14:textId="77777777" w:rsidR="004211D1" w:rsidRPr="00F253E0" w:rsidRDefault="004211D1" w:rsidP="00F253E0">
            <w:pPr>
              <w:pStyle w:val="Tabletext"/>
              <w:rPr>
                <w:rFonts w:cs="Arial"/>
                <w:szCs w:val="18"/>
                <w:lang w:val="en-ZA"/>
              </w:rPr>
            </w:pPr>
            <w:r w:rsidRPr="00F253E0">
              <w:rPr>
                <w:rFonts w:cs="Arial"/>
                <w:szCs w:val="18"/>
                <w:lang w:val="en-ZA"/>
              </w:rPr>
              <w:t>not justifiable.</w:t>
            </w:r>
          </w:p>
          <w:p w14:paraId="0B3F5F03" w14:textId="77777777" w:rsidR="004211D1" w:rsidRPr="00F253E0" w:rsidRDefault="004211D1" w:rsidP="00F253E0">
            <w:pPr>
              <w:pStyle w:val="Tabletext"/>
              <w:rPr>
                <w:rFonts w:cs="Arial"/>
                <w:szCs w:val="18"/>
                <w:lang w:val="en-ZA"/>
              </w:rPr>
            </w:pPr>
            <w:r w:rsidRPr="00F253E0">
              <w:rPr>
                <w:rFonts w:cs="Arial"/>
                <w:szCs w:val="18"/>
                <w:lang w:val="en-ZA"/>
              </w:rPr>
              <w:t>• Incorrect procurement</w:t>
            </w:r>
          </w:p>
          <w:p w14:paraId="192CB016" w14:textId="77777777" w:rsidR="004211D1" w:rsidRPr="00F253E0" w:rsidRDefault="004211D1" w:rsidP="00F253E0">
            <w:pPr>
              <w:pStyle w:val="Tabletext"/>
              <w:rPr>
                <w:rFonts w:cs="Arial"/>
                <w:szCs w:val="18"/>
                <w:lang w:val="en-ZA"/>
              </w:rPr>
            </w:pPr>
            <w:r w:rsidRPr="00F253E0">
              <w:rPr>
                <w:rFonts w:cs="Arial"/>
                <w:szCs w:val="18"/>
                <w:lang w:val="en-ZA"/>
              </w:rPr>
              <w:t>process followed</w:t>
            </w:r>
          </w:p>
          <w:p w14:paraId="626C0618" w14:textId="77777777" w:rsidR="004211D1" w:rsidRPr="00F253E0" w:rsidRDefault="004211D1" w:rsidP="00F253E0">
            <w:pPr>
              <w:pStyle w:val="Tabletext"/>
              <w:rPr>
                <w:rFonts w:cs="Arial"/>
                <w:szCs w:val="18"/>
                <w:lang w:val="en-ZA"/>
              </w:rPr>
            </w:pPr>
            <w:r w:rsidRPr="00F253E0">
              <w:rPr>
                <w:rFonts w:cs="Arial"/>
                <w:szCs w:val="18"/>
                <w:lang w:val="en-ZA"/>
              </w:rPr>
              <w:t>• Possible splitting of</w:t>
            </w:r>
          </w:p>
          <w:p w14:paraId="6532B935" w14:textId="77777777" w:rsidR="004211D1" w:rsidRPr="00F253E0" w:rsidRDefault="004211D1" w:rsidP="00F253E0">
            <w:pPr>
              <w:pStyle w:val="Tabletext"/>
              <w:rPr>
                <w:rFonts w:cs="Arial"/>
                <w:szCs w:val="18"/>
                <w:lang w:val="en-ZA"/>
              </w:rPr>
            </w:pPr>
            <w:r w:rsidRPr="00F253E0">
              <w:rPr>
                <w:rFonts w:cs="Arial"/>
                <w:szCs w:val="18"/>
                <w:lang w:val="en-ZA"/>
              </w:rPr>
              <w:t>quotations.</w:t>
            </w:r>
          </w:p>
          <w:p w14:paraId="65F81512" w14:textId="77777777" w:rsidR="004211D1" w:rsidRPr="00F253E0" w:rsidRDefault="004211D1" w:rsidP="00F253E0">
            <w:pPr>
              <w:pStyle w:val="Tabletext"/>
              <w:rPr>
                <w:rFonts w:cs="Arial"/>
                <w:szCs w:val="18"/>
                <w:lang w:val="en-ZA"/>
              </w:rPr>
            </w:pPr>
            <w:r w:rsidRPr="00F253E0">
              <w:rPr>
                <w:rFonts w:cs="Arial"/>
                <w:szCs w:val="18"/>
                <w:lang w:val="en-ZA"/>
              </w:rPr>
              <w:t>The commitments made by</w:t>
            </w:r>
          </w:p>
          <w:p w14:paraId="794D462D" w14:textId="77777777" w:rsidR="004211D1" w:rsidRPr="00F253E0" w:rsidRDefault="004211D1" w:rsidP="00F253E0">
            <w:pPr>
              <w:pStyle w:val="Tabletext"/>
              <w:rPr>
                <w:rFonts w:cs="Arial"/>
                <w:szCs w:val="18"/>
                <w:lang w:val="en-ZA"/>
              </w:rPr>
            </w:pPr>
            <w:r w:rsidRPr="00F253E0">
              <w:rPr>
                <w:rFonts w:cs="Arial"/>
                <w:szCs w:val="18"/>
                <w:lang w:val="en-ZA"/>
              </w:rPr>
              <w:t>management to address SCM</w:t>
            </w:r>
          </w:p>
          <w:p w14:paraId="248A291B" w14:textId="77777777" w:rsidR="004211D1" w:rsidRPr="00F253E0" w:rsidRDefault="004211D1" w:rsidP="00F253E0">
            <w:pPr>
              <w:pStyle w:val="Tabletext"/>
              <w:rPr>
                <w:rFonts w:cs="Arial"/>
                <w:szCs w:val="18"/>
                <w:lang w:val="en-ZA"/>
              </w:rPr>
            </w:pPr>
            <w:r w:rsidRPr="00F253E0">
              <w:rPr>
                <w:rFonts w:cs="Arial"/>
                <w:szCs w:val="18"/>
                <w:lang w:val="en-ZA"/>
              </w:rPr>
              <w:t xml:space="preserve">issues </w:t>
            </w:r>
            <w:r w:rsidR="00375C94">
              <w:rPr>
                <w:rFonts w:cs="Arial"/>
                <w:szCs w:val="18"/>
                <w:lang w:val="en-ZA"/>
              </w:rPr>
              <w:t>did not</w:t>
            </w:r>
            <w:r w:rsidRPr="00F253E0">
              <w:rPr>
                <w:rFonts w:cs="Arial"/>
                <w:szCs w:val="18"/>
                <w:lang w:val="en-ZA"/>
              </w:rPr>
              <w:t xml:space="preserve"> yield fruitful</w:t>
            </w:r>
          </w:p>
          <w:p w14:paraId="6357B4EB" w14:textId="77777777" w:rsidR="004211D1" w:rsidRPr="00F253E0" w:rsidRDefault="004211D1" w:rsidP="00F253E0">
            <w:pPr>
              <w:pStyle w:val="Tabletext"/>
              <w:rPr>
                <w:rFonts w:cs="Arial"/>
                <w:szCs w:val="18"/>
                <w:lang w:val="en-ZA"/>
              </w:rPr>
            </w:pPr>
            <w:r w:rsidRPr="00F253E0">
              <w:rPr>
                <w:rFonts w:cs="Arial"/>
                <w:szCs w:val="18"/>
                <w:lang w:val="en-ZA"/>
              </w:rPr>
              <w:t>results. Management should</w:t>
            </w:r>
          </w:p>
          <w:p w14:paraId="36C4797B" w14:textId="77777777" w:rsidR="004211D1" w:rsidRPr="00F253E0" w:rsidRDefault="004211D1" w:rsidP="00F253E0">
            <w:pPr>
              <w:pStyle w:val="Tabletext"/>
              <w:rPr>
                <w:rFonts w:cs="Arial"/>
                <w:szCs w:val="18"/>
                <w:lang w:val="en-ZA"/>
              </w:rPr>
            </w:pPr>
            <w:r w:rsidRPr="00F253E0">
              <w:rPr>
                <w:rFonts w:cs="Arial"/>
                <w:szCs w:val="18"/>
                <w:lang w:val="en-ZA"/>
              </w:rPr>
              <w:t>re-visit their internal controls to</w:t>
            </w:r>
          </w:p>
          <w:p w14:paraId="2A7542EB" w14:textId="77777777" w:rsidR="004211D1" w:rsidRPr="00F253E0" w:rsidRDefault="004211D1" w:rsidP="00F253E0">
            <w:pPr>
              <w:pStyle w:val="Tabletext"/>
              <w:rPr>
                <w:rFonts w:cs="Arial"/>
                <w:szCs w:val="18"/>
                <w:lang w:val="en-ZA"/>
              </w:rPr>
            </w:pPr>
            <w:r w:rsidRPr="00F253E0">
              <w:rPr>
                <w:rFonts w:cs="Arial"/>
                <w:szCs w:val="18"/>
                <w:lang w:val="en-ZA"/>
              </w:rPr>
              <w:t>identify root causes for such</w:t>
            </w:r>
          </w:p>
          <w:p w14:paraId="6F95060A" w14:textId="77777777" w:rsidR="004211D1" w:rsidRPr="00F253E0" w:rsidRDefault="004211D1" w:rsidP="00F253E0">
            <w:pPr>
              <w:pStyle w:val="Tabletext"/>
              <w:rPr>
                <w:rFonts w:cs="Arial"/>
                <w:szCs w:val="18"/>
                <w:lang w:val="en-ZA"/>
              </w:rPr>
            </w:pPr>
            <w:r w:rsidRPr="00F253E0">
              <w:rPr>
                <w:rFonts w:cs="Arial"/>
                <w:szCs w:val="18"/>
                <w:lang w:val="en-ZA"/>
              </w:rPr>
              <w:t>non-compliances. The</w:t>
            </w:r>
          </w:p>
          <w:p w14:paraId="43159136" w14:textId="77777777" w:rsidR="004211D1" w:rsidRPr="00F253E0" w:rsidRDefault="004211D1" w:rsidP="00F253E0">
            <w:pPr>
              <w:pStyle w:val="Tabletext"/>
              <w:rPr>
                <w:rFonts w:cs="Arial"/>
                <w:szCs w:val="18"/>
                <w:lang w:val="en-ZA"/>
              </w:rPr>
            </w:pPr>
            <w:r w:rsidRPr="00F253E0">
              <w:rPr>
                <w:rFonts w:cs="Arial"/>
                <w:szCs w:val="18"/>
                <w:lang w:val="en-ZA"/>
              </w:rPr>
              <w:t>monitoring process by senior</w:t>
            </w:r>
          </w:p>
          <w:p w14:paraId="2D70ADE5" w14:textId="77777777" w:rsidR="004211D1" w:rsidRPr="00F253E0" w:rsidRDefault="004211D1" w:rsidP="00F253E0">
            <w:pPr>
              <w:pStyle w:val="Tabletext"/>
              <w:rPr>
                <w:rFonts w:cs="Arial"/>
                <w:szCs w:val="18"/>
                <w:lang w:val="en-ZA"/>
              </w:rPr>
            </w:pPr>
            <w:r w:rsidRPr="00F253E0">
              <w:rPr>
                <w:rFonts w:cs="Arial"/>
                <w:szCs w:val="18"/>
                <w:lang w:val="en-ZA"/>
              </w:rPr>
              <w:t>management to ensure</w:t>
            </w:r>
          </w:p>
          <w:p w14:paraId="56CBE589" w14:textId="77777777" w:rsidR="004211D1" w:rsidRPr="00F253E0" w:rsidRDefault="004211D1" w:rsidP="00F253E0">
            <w:pPr>
              <w:pStyle w:val="Tabletext"/>
              <w:rPr>
                <w:rFonts w:cs="Arial"/>
                <w:szCs w:val="18"/>
                <w:lang w:val="en-ZA"/>
              </w:rPr>
            </w:pPr>
            <w:r w:rsidRPr="00F253E0">
              <w:rPr>
                <w:rFonts w:cs="Arial"/>
                <w:szCs w:val="18"/>
                <w:lang w:val="en-ZA"/>
              </w:rPr>
              <w:t>compliance with SCM</w:t>
            </w:r>
          </w:p>
          <w:p w14:paraId="67318D36" w14:textId="77777777" w:rsidR="004211D1" w:rsidRPr="00F253E0" w:rsidRDefault="004211D1" w:rsidP="00F253E0">
            <w:pPr>
              <w:pStyle w:val="Tabletext"/>
              <w:rPr>
                <w:rFonts w:cs="Arial"/>
                <w:szCs w:val="18"/>
                <w:lang w:val="en-ZA"/>
              </w:rPr>
            </w:pPr>
            <w:r w:rsidRPr="00F253E0">
              <w:rPr>
                <w:rFonts w:cs="Arial"/>
                <w:szCs w:val="18"/>
                <w:lang w:val="en-ZA"/>
              </w:rPr>
              <w:t>regulations should be</w:t>
            </w:r>
          </w:p>
          <w:p w14:paraId="730345A7" w14:textId="77777777" w:rsidR="004211D1" w:rsidRPr="00065BBE" w:rsidRDefault="004211D1" w:rsidP="004211D1">
            <w:pPr>
              <w:pStyle w:val="Tabletext"/>
              <w:rPr>
                <w:rFonts w:cs="Arial"/>
                <w:szCs w:val="18"/>
                <w:lang w:val="en-ZA"/>
              </w:rPr>
            </w:pPr>
            <w:r>
              <w:rPr>
                <w:rFonts w:cs="Arial"/>
                <w:szCs w:val="18"/>
                <w:lang w:val="en-ZA"/>
              </w:rPr>
              <w:t>strengthen.</w:t>
            </w:r>
          </w:p>
        </w:tc>
        <w:tc>
          <w:tcPr>
            <w:tcW w:w="727" w:type="pct"/>
          </w:tcPr>
          <w:p w14:paraId="5F940D3B" w14:textId="77777777" w:rsidR="004211D1" w:rsidRPr="00065BBE" w:rsidRDefault="004211D1" w:rsidP="00F253E0">
            <w:pPr>
              <w:pStyle w:val="Tabletext"/>
              <w:rPr>
                <w:rFonts w:cs="Arial"/>
                <w:szCs w:val="18"/>
                <w:lang w:val="en-ZA"/>
              </w:rPr>
            </w:pPr>
            <w:r>
              <w:rPr>
                <w:rFonts w:cs="Arial"/>
                <w:szCs w:val="18"/>
                <w:lang w:val="en-ZA"/>
              </w:rPr>
              <w:t>Not resolved</w:t>
            </w:r>
            <w:r w:rsidRPr="00065BBE">
              <w:rPr>
                <w:rFonts w:cs="Arial"/>
                <w:szCs w:val="18"/>
                <w:lang w:val="en-ZA"/>
              </w:rPr>
              <w:t>.</w:t>
            </w:r>
          </w:p>
          <w:p w14:paraId="4DCC6A1F" w14:textId="77777777" w:rsidR="004211D1" w:rsidRPr="00065BBE" w:rsidRDefault="004211D1" w:rsidP="00F253E0">
            <w:pPr>
              <w:pStyle w:val="Tabletext"/>
              <w:rPr>
                <w:rFonts w:cs="Arial"/>
                <w:szCs w:val="18"/>
                <w:lang w:val="en-ZA"/>
              </w:rPr>
            </w:pPr>
          </w:p>
        </w:tc>
      </w:tr>
      <w:tr w:rsidR="004211D1" w:rsidRPr="00065BBE" w14:paraId="09BF12F7" w14:textId="77777777" w:rsidTr="00D23D2D">
        <w:trPr>
          <w:trHeight w:val="3241"/>
        </w:trPr>
        <w:tc>
          <w:tcPr>
            <w:tcW w:w="398" w:type="pct"/>
          </w:tcPr>
          <w:p w14:paraId="2176D80E" w14:textId="77777777" w:rsidR="004211D1" w:rsidRPr="00BB6EEC" w:rsidRDefault="004211D1" w:rsidP="00F253E0">
            <w:pPr>
              <w:pStyle w:val="Tabletext"/>
              <w:rPr>
                <w:lang w:val="en-ZA"/>
              </w:rPr>
            </w:pPr>
            <w:r>
              <w:rPr>
                <w:lang w:val="en-ZA"/>
              </w:rPr>
              <w:lastRenderedPageBreak/>
              <w:t>5</w:t>
            </w:r>
          </w:p>
        </w:tc>
        <w:tc>
          <w:tcPr>
            <w:tcW w:w="1865" w:type="pct"/>
          </w:tcPr>
          <w:p w14:paraId="59F42EA9" w14:textId="639F26EA" w:rsidR="00D23D2D" w:rsidRPr="00D23D2D" w:rsidRDefault="004211D1" w:rsidP="00F253E0">
            <w:pPr>
              <w:pStyle w:val="Tabletext"/>
              <w:rPr>
                <w:rFonts w:cs="Arial"/>
                <w:b/>
                <w:szCs w:val="18"/>
                <w:lang w:val="en-ZA"/>
              </w:rPr>
            </w:pPr>
            <w:r w:rsidRPr="00065BBE">
              <w:rPr>
                <w:rFonts w:cs="Arial"/>
                <w:b/>
                <w:szCs w:val="18"/>
                <w:lang w:val="en-ZA"/>
              </w:rPr>
              <w:t>Pre-determine objectives</w:t>
            </w:r>
          </w:p>
          <w:p w14:paraId="51778D1C" w14:textId="1C519EED" w:rsidR="004211D1" w:rsidRPr="00065BBE" w:rsidRDefault="004211D1" w:rsidP="00F253E0">
            <w:pPr>
              <w:pStyle w:val="Tabletext"/>
              <w:rPr>
                <w:rFonts w:cs="Arial"/>
                <w:szCs w:val="18"/>
                <w:lang w:val="en-ZA"/>
              </w:rPr>
            </w:pPr>
            <w:r w:rsidRPr="00065BBE">
              <w:rPr>
                <w:rFonts w:cs="Arial"/>
                <w:szCs w:val="18"/>
                <w:lang w:val="en-ZA"/>
              </w:rPr>
              <w:t> Differences between the annual performance</w:t>
            </w:r>
          </w:p>
          <w:p w14:paraId="726D39FE" w14:textId="77777777" w:rsidR="004211D1" w:rsidRPr="00065BBE" w:rsidRDefault="004211D1" w:rsidP="00F253E0">
            <w:pPr>
              <w:pStyle w:val="Tabletext"/>
              <w:rPr>
                <w:rFonts w:cs="Arial"/>
                <w:szCs w:val="18"/>
                <w:lang w:val="en-ZA"/>
              </w:rPr>
            </w:pPr>
            <w:r w:rsidRPr="00065BBE">
              <w:rPr>
                <w:rFonts w:cs="Arial"/>
                <w:szCs w:val="18"/>
                <w:lang w:val="en-ZA"/>
              </w:rPr>
              <w:t>report and supporting listings:</w:t>
            </w:r>
          </w:p>
          <w:p w14:paraId="6356C8C5" w14:textId="77777777" w:rsidR="004211D1" w:rsidRPr="00065BBE" w:rsidRDefault="004211D1" w:rsidP="00F253E0">
            <w:pPr>
              <w:pStyle w:val="Tabletext"/>
              <w:rPr>
                <w:rFonts w:cs="Arial"/>
                <w:szCs w:val="18"/>
                <w:lang w:val="en-ZA"/>
              </w:rPr>
            </w:pPr>
            <w:r w:rsidRPr="00065BBE">
              <w:rPr>
                <w:rFonts w:cs="Arial"/>
                <w:szCs w:val="18"/>
                <w:lang w:val="en-ZA"/>
              </w:rPr>
              <w:t> Actual achievements not valid and accurate</w:t>
            </w:r>
          </w:p>
          <w:p w14:paraId="5CC9D886" w14:textId="5DC7A6A8" w:rsidR="00D23D2D" w:rsidRDefault="004211D1" w:rsidP="00F253E0">
            <w:pPr>
              <w:pStyle w:val="Tabletext"/>
              <w:rPr>
                <w:rFonts w:cs="Arial"/>
                <w:szCs w:val="18"/>
                <w:lang w:val="en-ZA"/>
              </w:rPr>
            </w:pPr>
            <w:r w:rsidRPr="00065BBE">
              <w:rPr>
                <w:rFonts w:cs="Arial"/>
                <w:szCs w:val="18"/>
                <w:lang w:val="en-ZA"/>
              </w:rPr>
              <w:t> No supporting documentation for reported</w:t>
            </w:r>
            <w:r w:rsidR="00D23D2D">
              <w:rPr>
                <w:rFonts w:cs="Arial"/>
                <w:szCs w:val="18"/>
                <w:lang w:val="en-ZA"/>
              </w:rPr>
              <w:t xml:space="preserve"> </w:t>
            </w:r>
            <w:r w:rsidRPr="00065BBE">
              <w:rPr>
                <w:rFonts w:cs="Arial"/>
                <w:szCs w:val="18"/>
                <w:lang w:val="en-ZA"/>
              </w:rPr>
              <w:t>information</w:t>
            </w:r>
          </w:p>
          <w:p w14:paraId="13FB0458" w14:textId="77777777" w:rsidR="00D23D2D" w:rsidRDefault="00D23D2D" w:rsidP="00F253E0">
            <w:pPr>
              <w:pStyle w:val="Tabletext"/>
              <w:rPr>
                <w:rFonts w:cs="Arial"/>
                <w:szCs w:val="18"/>
                <w:lang w:val="en-ZA"/>
              </w:rPr>
            </w:pPr>
          </w:p>
          <w:p w14:paraId="14BE78D0" w14:textId="77777777" w:rsidR="00D23D2D" w:rsidRPr="00065BBE" w:rsidRDefault="00D23D2D" w:rsidP="00D23D2D">
            <w:pPr>
              <w:pStyle w:val="Tabletext"/>
              <w:rPr>
                <w:rFonts w:cs="Arial"/>
                <w:szCs w:val="18"/>
                <w:lang w:val="en-ZA"/>
              </w:rPr>
            </w:pPr>
            <w:r w:rsidRPr="00065BBE">
              <w:rPr>
                <w:rFonts w:cs="Arial"/>
                <w:szCs w:val="18"/>
                <w:lang w:val="en-ZA"/>
              </w:rPr>
              <w:t> WORX4U system</w:t>
            </w:r>
          </w:p>
          <w:p w14:paraId="6A2D7A08" w14:textId="77777777" w:rsidR="00D23D2D" w:rsidRPr="00065BBE" w:rsidRDefault="00D23D2D" w:rsidP="00D23D2D">
            <w:pPr>
              <w:pStyle w:val="Tabletext"/>
              <w:rPr>
                <w:rFonts w:cs="Arial"/>
                <w:szCs w:val="18"/>
                <w:lang w:val="en-ZA"/>
              </w:rPr>
            </w:pPr>
            <w:r w:rsidRPr="00065BBE">
              <w:rPr>
                <w:rFonts w:cs="Arial"/>
                <w:szCs w:val="18"/>
                <w:lang w:val="en-ZA"/>
              </w:rPr>
              <w:t> Inadequate closure of calls</w:t>
            </w:r>
          </w:p>
          <w:p w14:paraId="6DAF8721" w14:textId="77777777" w:rsidR="00D23D2D" w:rsidRPr="00065BBE" w:rsidRDefault="00D23D2D" w:rsidP="00D23D2D">
            <w:pPr>
              <w:pStyle w:val="Tabletext"/>
              <w:rPr>
                <w:rFonts w:cs="Arial"/>
                <w:szCs w:val="18"/>
                <w:lang w:val="en-ZA"/>
              </w:rPr>
            </w:pPr>
            <w:r w:rsidRPr="00065BBE">
              <w:rPr>
                <w:rFonts w:cs="Arial"/>
                <w:szCs w:val="18"/>
                <w:lang w:val="en-ZA"/>
              </w:rPr>
              <w:t>Actions</w:t>
            </w:r>
          </w:p>
          <w:p w14:paraId="01DFF15B" w14:textId="77777777" w:rsidR="00D23D2D" w:rsidRPr="00065BBE" w:rsidRDefault="00D23D2D" w:rsidP="00D23D2D">
            <w:pPr>
              <w:pStyle w:val="Tabletext"/>
              <w:rPr>
                <w:rFonts w:cs="Arial"/>
                <w:szCs w:val="18"/>
                <w:lang w:val="en-ZA"/>
              </w:rPr>
            </w:pPr>
            <w:r w:rsidRPr="00065BBE">
              <w:rPr>
                <w:rFonts w:cs="Arial"/>
                <w:szCs w:val="18"/>
                <w:lang w:val="en-ZA"/>
              </w:rPr>
              <w:t> Identify and train Admin Officers who will assist in</w:t>
            </w:r>
          </w:p>
          <w:p w14:paraId="073AE6FC" w14:textId="77777777" w:rsidR="00D23D2D" w:rsidRPr="00065BBE" w:rsidRDefault="00D23D2D" w:rsidP="00D23D2D">
            <w:pPr>
              <w:pStyle w:val="Tabletext"/>
              <w:rPr>
                <w:rFonts w:cs="Arial"/>
                <w:szCs w:val="18"/>
                <w:lang w:val="en-ZA"/>
              </w:rPr>
            </w:pPr>
            <w:r w:rsidRPr="00065BBE">
              <w:rPr>
                <w:rFonts w:cs="Arial"/>
                <w:szCs w:val="18"/>
                <w:lang w:val="en-ZA"/>
              </w:rPr>
              <w:t>the preparation of quarterly performance reports</w:t>
            </w:r>
          </w:p>
          <w:p w14:paraId="79BC0A7E" w14:textId="77777777" w:rsidR="00D23D2D" w:rsidRPr="00065BBE" w:rsidRDefault="00D23D2D" w:rsidP="00D23D2D">
            <w:pPr>
              <w:pStyle w:val="Tabletext"/>
              <w:rPr>
                <w:rFonts w:cs="Arial"/>
                <w:szCs w:val="18"/>
                <w:lang w:val="en-ZA"/>
              </w:rPr>
            </w:pPr>
            <w:r w:rsidRPr="00065BBE">
              <w:rPr>
                <w:rFonts w:cs="Arial"/>
                <w:szCs w:val="18"/>
                <w:lang w:val="en-ZA"/>
              </w:rPr>
              <w:t>(APP).</w:t>
            </w:r>
          </w:p>
          <w:p w14:paraId="3DEB7668" w14:textId="77777777" w:rsidR="00D23D2D" w:rsidRPr="00065BBE" w:rsidRDefault="00D23D2D" w:rsidP="00D23D2D">
            <w:pPr>
              <w:pStyle w:val="Tabletext"/>
              <w:rPr>
                <w:rFonts w:cs="Arial"/>
                <w:szCs w:val="18"/>
                <w:lang w:val="en-ZA"/>
              </w:rPr>
            </w:pPr>
            <w:r w:rsidRPr="00065BBE">
              <w:rPr>
                <w:rFonts w:cs="Arial"/>
                <w:szCs w:val="18"/>
                <w:lang w:val="en-ZA"/>
              </w:rPr>
              <w:t> Line functions at head office to engage Regional</w:t>
            </w:r>
          </w:p>
          <w:p w14:paraId="0D2A3B0B" w14:textId="77777777" w:rsidR="00D23D2D" w:rsidRPr="00065BBE" w:rsidRDefault="00D23D2D" w:rsidP="00D23D2D">
            <w:pPr>
              <w:pStyle w:val="Tabletext"/>
              <w:rPr>
                <w:rFonts w:cs="Arial"/>
                <w:szCs w:val="18"/>
                <w:lang w:val="en-ZA"/>
              </w:rPr>
            </w:pPr>
            <w:r w:rsidRPr="00065BBE">
              <w:rPr>
                <w:rFonts w:cs="Arial"/>
                <w:szCs w:val="18"/>
                <w:lang w:val="en-ZA"/>
              </w:rPr>
              <w:t>Office to ensure that the information reported</w:t>
            </w:r>
          </w:p>
          <w:p w14:paraId="2827BE82" w14:textId="77777777" w:rsidR="00D23D2D" w:rsidRPr="00065BBE" w:rsidRDefault="00D23D2D" w:rsidP="00D23D2D">
            <w:pPr>
              <w:pStyle w:val="Tabletext"/>
              <w:rPr>
                <w:rFonts w:cs="Arial"/>
                <w:szCs w:val="18"/>
                <w:lang w:val="en-ZA"/>
              </w:rPr>
            </w:pPr>
            <w:r w:rsidRPr="00065BBE">
              <w:rPr>
                <w:rFonts w:cs="Arial"/>
                <w:szCs w:val="18"/>
                <w:lang w:val="en-ZA"/>
              </w:rPr>
              <w:t>information is accurate.</w:t>
            </w:r>
          </w:p>
          <w:p w14:paraId="17C44CD5" w14:textId="77777777" w:rsidR="00D23D2D" w:rsidRPr="00065BBE" w:rsidRDefault="00D23D2D" w:rsidP="00D23D2D">
            <w:pPr>
              <w:pStyle w:val="Tabletext"/>
              <w:rPr>
                <w:rFonts w:cs="Arial"/>
                <w:szCs w:val="18"/>
                <w:lang w:val="en-ZA"/>
              </w:rPr>
            </w:pPr>
            <w:r w:rsidRPr="00065BBE">
              <w:rPr>
                <w:rFonts w:cs="Arial"/>
                <w:szCs w:val="18"/>
                <w:lang w:val="en-ZA"/>
              </w:rPr>
              <w:t> Monthly meetings will continue to address the</w:t>
            </w:r>
          </w:p>
          <w:p w14:paraId="60C4456B" w14:textId="77777777" w:rsidR="00D23D2D" w:rsidRPr="00065BBE" w:rsidRDefault="00D23D2D" w:rsidP="00D23D2D">
            <w:pPr>
              <w:pStyle w:val="Tabletext"/>
              <w:rPr>
                <w:rFonts w:cs="Arial"/>
                <w:szCs w:val="18"/>
                <w:lang w:val="en-ZA"/>
              </w:rPr>
            </w:pPr>
            <w:r w:rsidRPr="00065BBE">
              <w:rPr>
                <w:rFonts w:cs="Arial"/>
                <w:szCs w:val="18"/>
                <w:lang w:val="en-ZA"/>
              </w:rPr>
              <w:t>issue of document management to ensure that the</w:t>
            </w:r>
          </w:p>
          <w:p w14:paraId="64A802FE" w14:textId="77777777" w:rsidR="00D23D2D" w:rsidRPr="00065BBE" w:rsidRDefault="00D23D2D" w:rsidP="00D23D2D">
            <w:pPr>
              <w:pStyle w:val="Tabletext"/>
              <w:rPr>
                <w:rFonts w:cs="Arial"/>
                <w:szCs w:val="18"/>
                <w:lang w:val="en-ZA"/>
              </w:rPr>
            </w:pPr>
            <w:r w:rsidRPr="00065BBE">
              <w:rPr>
                <w:rFonts w:cs="Arial"/>
                <w:szCs w:val="18"/>
                <w:lang w:val="en-ZA"/>
              </w:rPr>
              <w:t>issue of scope limitations is minimised</w:t>
            </w:r>
          </w:p>
          <w:p w14:paraId="1C87C469" w14:textId="77777777" w:rsidR="00D23D2D" w:rsidRPr="00065BBE" w:rsidRDefault="00D23D2D" w:rsidP="00D23D2D">
            <w:pPr>
              <w:pStyle w:val="Tabletext"/>
              <w:rPr>
                <w:rFonts w:cs="Arial"/>
                <w:szCs w:val="18"/>
                <w:lang w:val="en-ZA"/>
              </w:rPr>
            </w:pPr>
            <w:r w:rsidRPr="00065BBE">
              <w:rPr>
                <w:rFonts w:cs="Arial"/>
                <w:szCs w:val="18"/>
                <w:lang w:val="en-ZA"/>
              </w:rPr>
              <w:t> Review of performance information to ensure</w:t>
            </w:r>
          </w:p>
          <w:p w14:paraId="3F9B28E4" w14:textId="1F86A678" w:rsidR="00D23D2D" w:rsidRPr="00065BBE" w:rsidRDefault="00D23D2D" w:rsidP="00D23D2D">
            <w:pPr>
              <w:pStyle w:val="Tabletext"/>
              <w:rPr>
                <w:rFonts w:cs="Arial"/>
                <w:szCs w:val="18"/>
                <w:lang w:val="en-ZA"/>
              </w:rPr>
            </w:pPr>
            <w:r w:rsidRPr="00065BBE">
              <w:rPr>
                <w:rFonts w:cs="Arial"/>
                <w:szCs w:val="18"/>
                <w:lang w:val="en-ZA"/>
              </w:rPr>
              <w:t>correct alignment of supporting documentation</w:t>
            </w:r>
          </w:p>
        </w:tc>
        <w:tc>
          <w:tcPr>
            <w:tcW w:w="689" w:type="pct"/>
          </w:tcPr>
          <w:p w14:paraId="173AECC8" w14:textId="539F4CC4" w:rsidR="00D23D2D" w:rsidRDefault="00D23D2D" w:rsidP="00F253E0">
            <w:pPr>
              <w:pStyle w:val="Tabletext"/>
              <w:rPr>
                <w:rFonts w:cs="Arial"/>
                <w:szCs w:val="18"/>
                <w:lang w:val="en-ZA"/>
              </w:rPr>
            </w:pPr>
            <w:r>
              <w:rPr>
                <w:rFonts w:cs="Arial"/>
                <w:szCs w:val="18"/>
                <w:lang w:val="en-ZA"/>
              </w:rPr>
              <w:t>DDG: REMS</w:t>
            </w:r>
          </w:p>
          <w:p w14:paraId="22EBDD55" w14:textId="77777777" w:rsidR="00D23D2D" w:rsidRDefault="00D23D2D" w:rsidP="00F253E0">
            <w:pPr>
              <w:pStyle w:val="Tabletext"/>
              <w:rPr>
                <w:rFonts w:cs="Arial"/>
                <w:szCs w:val="18"/>
                <w:lang w:val="en-ZA"/>
              </w:rPr>
            </w:pPr>
          </w:p>
          <w:p w14:paraId="4461D5F5" w14:textId="77777777" w:rsidR="00D23D2D" w:rsidRDefault="00D23D2D" w:rsidP="00F253E0">
            <w:pPr>
              <w:pStyle w:val="Tabletext"/>
              <w:rPr>
                <w:rFonts w:cs="Arial"/>
                <w:szCs w:val="18"/>
                <w:lang w:val="en-ZA"/>
              </w:rPr>
            </w:pPr>
          </w:p>
          <w:p w14:paraId="4D451CE7" w14:textId="77777777" w:rsidR="00D23D2D" w:rsidRDefault="00D23D2D" w:rsidP="00F253E0">
            <w:pPr>
              <w:pStyle w:val="Tabletext"/>
              <w:rPr>
                <w:rFonts w:cs="Arial"/>
                <w:szCs w:val="18"/>
                <w:lang w:val="en-ZA"/>
              </w:rPr>
            </w:pPr>
          </w:p>
          <w:p w14:paraId="693E583D" w14:textId="77777777" w:rsidR="00D23D2D" w:rsidRDefault="00D23D2D" w:rsidP="00F253E0">
            <w:pPr>
              <w:pStyle w:val="Tabletext"/>
              <w:rPr>
                <w:rFonts w:cs="Arial"/>
                <w:szCs w:val="18"/>
                <w:lang w:val="en-ZA"/>
              </w:rPr>
            </w:pPr>
          </w:p>
          <w:p w14:paraId="2234636B" w14:textId="77777777" w:rsidR="00D23D2D" w:rsidRDefault="00D23D2D" w:rsidP="00F253E0">
            <w:pPr>
              <w:pStyle w:val="Tabletext"/>
              <w:rPr>
                <w:rFonts w:cs="Arial"/>
                <w:szCs w:val="18"/>
                <w:lang w:val="en-ZA"/>
              </w:rPr>
            </w:pPr>
          </w:p>
          <w:p w14:paraId="6C7DB260" w14:textId="77777777" w:rsidR="00D23D2D" w:rsidRDefault="00D23D2D" w:rsidP="00F253E0">
            <w:pPr>
              <w:pStyle w:val="Tabletext"/>
              <w:rPr>
                <w:rFonts w:cs="Arial"/>
                <w:szCs w:val="18"/>
                <w:lang w:val="en-ZA"/>
              </w:rPr>
            </w:pPr>
          </w:p>
          <w:p w14:paraId="3914ECC4" w14:textId="77777777" w:rsidR="00D23D2D" w:rsidRDefault="00D23D2D" w:rsidP="00F253E0">
            <w:pPr>
              <w:pStyle w:val="Tabletext"/>
              <w:rPr>
                <w:rFonts w:cs="Arial"/>
                <w:szCs w:val="18"/>
                <w:lang w:val="en-ZA"/>
              </w:rPr>
            </w:pPr>
          </w:p>
          <w:p w14:paraId="69F3A948" w14:textId="77777777" w:rsidR="00D23D2D" w:rsidRDefault="00D23D2D" w:rsidP="00F253E0">
            <w:pPr>
              <w:pStyle w:val="Tabletext"/>
              <w:rPr>
                <w:rFonts w:cs="Arial"/>
                <w:szCs w:val="18"/>
                <w:lang w:val="en-ZA"/>
              </w:rPr>
            </w:pPr>
          </w:p>
          <w:p w14:paraId="38191088" w14:textId="77777777" w:rsidR="004211D1" w:rsidRDefault="00D23D2D" w:rsidP="00F253E0">
            <w:pPr>
              <w:pStyle w:val="Tabletext"/>
              <w:rPr>
                <w:rFonts w:cs="Arial"/>
                <w:szCs w:val="18"/>
                <w:lang w:val="en-ZA"/>
              </w:rPr>
            </w:pPr>
            <w:r>
              <w:rPr>
                <w:rFonts w:cs="Arial"/>
                <w:szCs w:val="18"/>
                <w:lang w:val="en-ZA"/>
              </w:rPr>
              <w:t>DDG: CPM</w:t>
            </w:r>
          </w:p>
          <w:p w14:paraId="294010C3" w14:textId="77777777" w:rsidR="00D23D2D" w:rsidRDefault="00D23D2D" w:rsidP="00F253E0">
            <w:pPr>
              <w:pStyle w:val="Tabletext"/>
              <w:rPr>
                <w:rFonts w:cs="Arial"/>
                <w:szCs w:val="18"/>
                <w:lang w:val="en-ZA"/>
              </w:rPr>
            </w:pPr>
          </w:p>
          <w:p w14:paraId="663BDA47" w14:textId="77777777" w:rsidR="00D23D2D" w:rsidRDefault="00D23D2D" w:rsidP="00F253E0">
            <w:pPr>
              <w:pStyle w:val="Tabletext"/>
              <w:rPr>
                <w:rFonts w:cs="Arial"/>
                <w:szCs w:val="18"/>
                <w:lang w:val="en-ZA"/>
              </w:rPr>
            </w:pPr>
          </w:p>
          <w:p w14:paraId="77225D49" w14:textId="77777777" w:rsidR="00D23D2D" w:rsidRDefault="00D23D2D" w:rsidP="00F253E0">
            <w:pPr>
              <w:pStyle w:val="Tabletext"/>
              <w:rPr>
                <w:rFonts w:cs="Arial"/>
                <w:szCs w:val="18"/>
                <w:lang w:val="en-ZA"/>
              </w:rPr>
            </w:pPr>
          </w:p>
          <w:p w14:paraId="5E6F9540" w14:textId="77777777" w:rsidR="00D23D2D" w:rsidRDefault="00D23D2D" w:rsidP="00F253E0">
            <w:pPr>
              <w:pStyle w:val="Tabletext"/>
              <w:rPr>
                <w:rFonts w:cs="Arial"/>
                <w:szCs w:val="18"/>
                <w:lang w:val="en-ZA"/>
              </w:rPr>
            </w:pPr>
          </w:p>
          <w:p w14:paraId="42B169FD" w14:textId="77777777" w:rsidR="00D23D2D" w:rsidRDefault="00D23D2D" w:rsidP="00F253E0">
            <w:pPr>
              <w:pStyle w:val="Tabletext"/>
              <w:rPr>
                <w:rFonts w:cs="Arial"/>
                <w:szCs w:val="18"/>
                <w:lang w:val="en-ZA"/>
              </w:rPr>
            </w:pPr>
          </w:p>
          <w:p w14:paraId="66E3E4DF" w14:textId="77777777" w:rsidR="00D23D2D" w:rsidRDefault="00D23D2D" w:rsidP="00F253E0">
            <w:pPr>
              <w:pStyle w:val="Tabletext"/>
              <w:rPr>
                <w:rFonts w:cs="Arial"/>
                <w:szCs w:val="18"/>
                <w:lang w:val="en-ZA"/>
              </w:rPr>
            </w:pPr>
          </w:p>
          <w:p w14:paraId="11921915" w14:textId="77777777" w:rsidR="00D23D2D" w:rsidRDefault="00D23D2D" w:rsidP="00F253E0">
            <w:pPr>
              <w:pStyle w:val="Tabletext"/>
              <w:rPr>
                <w:rFonts w:cs="Arial"/>
                <w:szCs w:val="18"/>
                <w:lang w:val="en-ZA"/>
              </w:rPr>
            </w:pPr>
          </w:p>
          <w:p w14:paraId="4C8A3768" w14:textId="77777777" w:rsidR="00D23D2D" w:rsidRDefault="00D23D2D" w:rsidP="00F253E0">
            <w:pPr>
              <w:pStyle w:val="Tabletext"/>
              <w:rPr>
                <w:rFonts w:cs="Arial"/>
                <w:szCs w:val="18"/>
                <w:lang w:val="en-ZA"/>
              </w:rPr>
            </w:pPr>
            <w:r>
              <w:rPr>
                <w:rFonts w:cs="Arial"/>
                <w:szCs w:val="18"/>
                <w:lang w:val="en-ZA"/>
              </w:rPr>
              <w:t>D</w:t>
            </w:r>
          </w:p>
          <w:p w14:paraId="3E7C8F11" w14:textId="4943E3E2" w:rsidR="00D23D2D" w:rsidRPr="00065BBE" w:rsidRDefault="00D23D2D" w:rsidP="00F253E0">
            <w:pPr>
              <w:pStyle w:val="Tabletext"/>
              <w:rPr>
                <w:rFonts w:cs="Arial"/>
                <w:szCs w:val="18"/>
                <w:lang w:val="en-ZA"/>
              </w:rPr>
            </w:pPr>
            <w:r>
              <w:rPr>
                <w:rFonts w:cs="Arial"/>
                <w:szCs w:val="18"/>
                <w:lang w:val="en-ZA"/>
              </w:rPr>
              <w:t>DG:FM</w:t>
            </w:r>
          </w:p>
        </w:tc>
        <w:tc>
          <w:tcPr>
            <w:tcW w:w="1320" w:type="pct"/>
          </w:tcPr>
          <w:p w14:paraId="3896C748" w14:textId="314357D1" w:rsidR="00D23D2D" w:rsidRDefault="00D23D2D" w:rsidP="00F253E0">
            <w:pPr>
              <w:pStyle w:val="Tabletext"/>
              <w:rPr>
                <w:rFonts w:cs="Arial"/>
                <w:szCs w:val="18"/>
                <w:lang w:val="en-ZA"/>
              </w:rPr>
            </w:pPr>
            <w:r>
              <w:rPr>
                <w:rFonts w:cs="Arial"/>
                <w:szCs w:val="18"/>
                <w:lang w:val="en-ZA"/>
              </w:rPr>
              <w:t xml:space="preserve">No audit work was performed under Programme 04: Real Estate Management Services due to the reduction in scope of work. </w:t>
            </w:r>
          </w:p>
          <w:p w14:paraId="386B6E02" w14:textId="577C9847" w:rsidR="00D23D2D" w:rsidRDefault="00D23D2D" w:rsidP="00F253E0">
            <w:pPr>
              <w:pStyle w:val="Tabletext"/>
              <w:rPr>
                <w:rFonts w:cs="Arial"/>
                <w:szCs w:val="18"/>
                <w:lang w:val="en-ZA"/>
              </w:rPr>
            </w:pPr>
          </w:p>
          <w:p w14:paraId="725CADA4" w14:textId="589A7445" w:rsidR="00D23D2D" w:rsidRDefault="00D23D2D" w:rsidP="00F253E0">
            <w:pPr>
              <w:pStyle w:val="Tabletext"/>
              <w:rPr>
                <w:rFonts w:cs="Arial"/>
                <w:szCs w:val="18"/>
                <w:lang w:val="en-ZA"/>
              </w:rPr>
            </w:pPr>
            <w:r>
              <w:rPr>
                <w:rFonts w:cs="Arial"/>
                <w:szCs w:val="18"/>
                <w:lang w:val="en-ZA"/>
              </w:rPr>
              <w:t>Programme 03: Construction project management</w:t>
            </w:r>
          </w:p>
          <w:p w14:paraId="4B8949A7" w14:textId="1E02F423" w:rsidR="004211D1" w:rsidRDefault="004211D1" w:rsidP="00F253E0">
            <w:pPr>
              <w:pStyle w:val="Tabletext"/>
              <w:rPr>
                <w:rFonts w:cs="Arial"/>
                <w:szCs w:val="18"/>
                <w:lang w:val="en-ZA"/>
              </w:rPr>
            </w:pPr>
            <w:r>
              <w:rPr>
                <w:rFonts w:cs="Arial"/>
                <w:szCs w:val="18"/>
                <w:lang w:val="en-ZA"/>
              </w:rPr>
              <w:t>During the final audit accuracy and validity issues were identified, furthermore</w:t>
            </w:r>
          </w:p>
          <w:p w14:paraId="77926D12" w14:textId="77777777" w:rsidR="004211D1" w:rsidRDefault="004211D1" w:rsidP="00F253E0">
            <w:pPr>
              <w:pStyle w:val="Tabletext"/>
              <w:rPr>
                <w:rFonts w:cs="Arial"/>
                <w:szCs w:val="18"/>
                <w:lang w:val="en-ZA"/>
              </w:rPr>
            </w:pPr>
            <w:r>
              <w:rPr>
                <w:rFonts w:cs="Arial"/>
                <w:szCs w:val="18"/>
                <w:lang w:val="en-ZA"/>
              </w:rPr>
              <w:t xml:space="preserve"> differences between </w:t>
            </w:r>
            <w:r w:rsidRPr="00065BBE">
              <w:rPr>
                <w:rFonts w:cs="Arial"/>
                <w:szCs w:val="18"/>
                <w:lang w:val="en-ZA"/>
              </w:rPr>
              <w:t>the annual performance</w:t>
            </w:r>
            <w:r>
              <w:rPr>
                <w:rFonts w:cs="Arial"/>
                <w:szCs w:val="18"/>
                <w:lang w:val="en-ZA"/>
              </w:rPr>
              <w:t xml:space="preserve"> report and supporting listings were still identified for programme 3 indicators therefore management commitments were not fully implemented</w:t>
            </w:r>
          </w:p>
          <w:p w14:paraId="06C10ECD" w14:textId="77777777" w:rsidR="00D23D2D" w:rsidRDefault="00D23D2D" w:rsidP="00F253E0">
            <w:pPr>
              <w:pStyle w:val="Tabletext"/>
              <w:rPr>
                <w:rFonts w:cs="Arial"/>
                <w:szCs w:val="18"/>
                <w:lang w:val="en-ZA"/>
              </w:rPr>
            </w:pPr>
          </w:p>
          <w:p w14:paraId="6EB0A007" w14:textId="77777777" w:rsidR="00D23D2D" w:rsidRDefault="00D23D2D" w:rsidP="00D23D2D">
            <w:pPr>
              <w:pStyle w:val="Tabletext"/>
              <w:rPr>
                <w:rFonts w:cs="Arial"/>
                <w:szCs w:val="18"/>
                <w:lang w:val="en-ZA"/>
              </w:rPr>
            </w:pPr>
            <w:r>
              <w:rPr>
                <w:rFonts w:cs="Arial"/>
                <w:szCs w:val="18"/>
                <w:lang w:val="en-ZA"/>
              </w:rPr>
              <w:t xml:space="preserve">No audit work was performed under Programme 04: Real Estate Management Services due to the reduction in scope of work. </w:t>
            </w:r>
          </w:p>
          <w:p w14:paraId="41FA2052" w14:textId="76611DCC" w:rsidR="00D23D2D" w:rsidRPr="00065BBE" w:rsidRDefault="00D23D2D" w:rsidP="00F253E0">
            <w:pPr>
              <w:pStyle w:val="Tabletext"/>
              <w:rPr>
                <w:rFonts w:cs="Arial"/>
                <w:szCs w:val="18"/>
                <w:lang w:val="en-ZA"/>
              </w:rPr>
            </w:pPr>
          </w:p>
        </w:tc>
        <w:tc>
          <w:tcPr>
            <w:tcW w:w="727" w:type="pct"/>
          </w:tcPr>
          <w:p w14:paraId="33B6B9E3" w14:textId="77777777" w:rsidR="004211D1" w:rsidRPr="00065BBE" w:rsidRDefault="004211D1" w:rsidP="00F253E0">
            <w:pPr>
              <w:pStyle w:val="Tabletext"/>
              <w:rPr>
                <w:rFonts w:cs="Arial"/>
                <w:szCs w:val="18"/>
                <w:lang w:val="en-ZA"/>
              </w:rPr>
            </w:pPr>
            <w:r>
              <w:rPr>
                <w:rFonts w:cs="Arial"/>
                <w:szCs w:val="18"/>
                <w:lang w:val="en-ZA"/>
              </w:rPr>
              <w:t>Partially addressed</w:t>
            </w:r>
          </w:p>
          <w:p w14:paraId="040619FA" w14:textId="77777777" w:rsidR="004211D1" w:rsidRDefault="004211D1" w:rsidP="00F253E0">
            <w:pPr>
              <w:pStyle w:val="Tabletext"/>
              <w:rPr>
                <w:rFonts w:cs="Arial"/>
                <w:szCs w:val="18"/>
                <w:lang w:val="en-ZA"/>
              </w:rPr>
            </w:pPr>
          </w:p>
          <w:p w14:paraId="791F3D7F" w14:textId="77777777" w:rsidR="004211D1" w:rsidRDefault="004211D1" w:rsidP="00F253E0">
            <w:pPr>
              <w:pStyle w:val="Tabletext"/>
              <w:rPr>
                <w:rFonts w:cs="Arial"/>
                <w:szCs w:val="18"/>
                <w:lang w:val="en-ZA"/>
              </w:rPr>
            </w:pPr>
          </w:p>
          <w:p w14:paraId="3E871B63" w14:textId="77777777" w:rsidR="004211D1" w:rsidRPr="00065BBE" w:rsidRDefault="004211D1" w:rsidP="00F253E0">
            <w:pPr>
              <w:pStyle w:val="Tabletext"/>
              <w:rPr>
                <w:rFonts w:cs="Arial"/>
                <w:szCs w:val="18"/>
                <w:lang w:val="en-ZA"/>
              </w:rPr>
            </w:pPr>
          </w:p>
          <w:p w14:paraId="60326E51" w14:textId="77777777" w:rsidR="004211D1" w:rsidRPr="00065BBE" w:rsidRDefault="004211D1" w:rsidP="00F253E0">
            <w:pPr>
              <w:pStyle w:val="Tabletext"/>
              <w:rPr>
                <w:rFonts w:cs="Arial"/>
                <w:szCs w:val="18"/>
                <w:lang w:val="en-ZA"/>
              </w:rPr>
            </w:pPr>
          </w:p>
        </w:tc>
      </w:tr>
      <w:tr w:rsidR="004211D1" w:rsidRPr="0077659B" w14:paraId="724D7E02" w14:textId="77777777" w:rsidTr="00D23D2D">
        <w:tc>
          <w:tcPr>
            <w:tcW w:w="398" w:type="pct"/>
          </w:tcPr>
          <w:p w14:paraId="024732AD" w14:textId="77777777" w:rsidR="004211D1" w:rsidRPr="00BB6EEC" w:rsidRDefault="004211D1" w:rsidP="00F253E0">
            <w:pPr>
              <w:pStyle w:val="Tabletext"/>
              <w:rPr>
                <w:lang w:val="en-ZA"/>
              </w:rPr>
            </w:pPr>
            <w:r>
              <w:rPr>
                <w:lang w:val="en-ZA"/>
              </w:rPr>
              <w:t>6</w:t>
            </w:r>
          </w:p>
        </w:tc>
        <w:tc>
          <w:tcPr>
            <w:tcW w:w="1865" w:type="pct"/>
          </w:tcPr>
          <w:p w14:paraId="006FB905" w14:textId="77777777" w:rsidR="004211D1" w:rsidRPr="00065BBE" w:rsidRDefault="004211D1" w:rsidP="00F253E0">
            <w:pPr>
              <w:pStyle w:val="Tabletext"/>
              <w:rPr>
                <w:b/>
                <w:lang w:val="en-ZA"/>
              </w:rPr>
            </w:pPr>
            <w:r w:rsidRPr="00065BBE">
              <w:rPr>
                <w:b/>
                <w:lang w:val="en-ZA"/>
              </w:rPr>
              <w:t>Operating Leases</w:t>
            </w:r>
          </w:p>
          <w:p w14:paraId="5919A1B3" w14:textId="77777777" w:rsidR="004211D1" w:rsidRPr="000D51D5" w:rsidRDefault="004211D1" w:rsidP="00F253E0">
            <w:pPr>
              <w:pStyle w:val="Tabletext"/>
              <w:rPr>
                <w:lang w:val="en-ZA"/>
              </w:rPr>
            </w:pPr>
            <w:r w:rsidRPr="000D51D5">
              <w:rPr>
                <w:lang w:val="en-ZA"/>
              </w:rPr>
              <w:t>Overpayments and Underpayments of leases</w:t>
            </w:r>
          </w:p>
          <w:p w14:paraId="475D394C" w14:textId="77777777" w:rsidR="004211D1" w:rsidRPr="000D51D5" w:rsidRDefault="004211D1" w:rsidP="00F253E0">
            <w:pPr>
              <w:pStyle w:val="Tabletext"/>
              <w:rPr>
                <w:lang w:val="en-ZA"/>
              </w:rPr>
            </w:pPr>
            <w:r w:rsidRPr="000D51D5">
              <w:rPr>
                <w:lang w:val="en-ZA"/>
              </w:rPr>
              <w:t> Archibus will be implemented on 1 September</w:t>
            </w:r>
          </w:p>
          <w:p w14:paraId="5E6BE735" w14:textId="77777777" w:rsidR="004211D1" w:rsidRDefault="004211D1" w:rsidP="00F253E0">
            <w:pPr>
              <w:pStyle w:val="Tabletext"/>
              <w:rPr>
                <w:lang w:val="en-ZA"/>
              </w:rPr>
            </w:pPr>
            <w:r w:rsidRPr="000D51D5">
              <w:rPr>
                <w:lang w:val="en-ZA"/>
              </w:rPr>
              <w:t>2019. The calculations for straight-lining</w:t>
            </w:r>
          </w:p>
          <w:p w14:paraId="6C91CAD8" w14:textId="77777777" w:rsidR="004211D1" w:rsidRDefault="004211D1" w:rsidP="00F253E0">
            <w:pPr>
              <w:pStyle w:val="Default"/>
              <w:rPr>
                <w:color w:val="auto"/>
              </w:rPr>
            </w:pPr>
          </w:p>
          <w:p w14:paraId="301FC492" w14:textId="77777777" w:rsidR="004211D1" w:rsidRPr="005966E2" w:rsidRDefault="004211D1" w:rsidP="00F253E0">
            <w:pPr>
              <w:pStyle w:val="Default"/>
              <w:rPr>
                <w:rFonts w:ascii="Arial" w:hAnsi="Arial" w:cs="Arial"/>
                <w:sz w:val="18"/>
                <w:szCs w:val="18"/>
              </w:rPr>
            </w:pPr>
            <w:r w:rsidRPr="005966E2">
              <w:rPr>
                <w:rFonts w:ascii="Arial" w:hAnsi="Arial" w:cs="Arial"/>
                <w:sz w:val="18"/>
                <w:szCs w:val="18"/>
              </w:rPr>
              <w:t xml:space="preserve">commitments etc. will be performed by Archibus as the source to the AFS. </w:t>
            </w:r>
          </w:p>
          <w:p w14:paraId="4DC4D181" w14:textId="77777777" w:rsidR="004211D1" w:rsidRPr="005966E2" w:rsidRDefault="004211D1" w:rsidP="00F253E0">
            <w:pPr>
              <w:pStyle w:val="Default"/>
              <w:rPr>
                <w:rFonts w:ascii="Arial" w:hAnsi="Arial" w:cs="Arial"/>
                <w:sz w:val="18"/>
                <w:szCs w:val="18"/>
              </w:rPr>
            </w:pPr>
            <w:r w:rsidRPr="005966E2">
              <w:rPr>
                <w:rFonts w:ascii="Arial" w:hAnsi="Arial" w:cs="Arial"/>
                <w:sz w:val="18"/>
                <w:szCs w:val="18"/>
              </w:rPr>
              <w:t xml:space="preserve"> Prevent future overpayments by monitoring the successful implementation of Archibus. </w:t>
            </w:r>
          </w:p>
          <w:p w14:paraId="12A6321C" w14:textId="77777777" w:rsidR="004211D1" w:rsidRPr="00BB6EEC" w:rsidRDefault="004211D1" w:rsidP="00F253E0">
            <w:pPr>
              <w:pStyle w:val="Tabletext"/>
              <w:rPr>
                <w:lang w:val="en-ZA"/>
              </w:rPr>
            </w:pPr>
          </w:p>
        </w:tc>
        <w:tc>
          <w:tcPr>
            <w:tcW w:w="689" w:type="pct"/>
          </w:tcPr>
          <w:p w14:paraId="0CDD1366" w14:textId="77777777" w:rsidR="004211D1" w:rsidRPr="00B05BA2" w:rsidRDefault="004211D1" w:rsidP="00F253E0">
            <w:pPr>
              <w:pStyle w:val="Tabletext"/>
              <w:rPr>
                <w:lang w:val="en-ZA"/>
              </w:rPr>
            </w:pPr>
            <w:r w:rsidRPr="00B05BA2">
              <w:rPr>
                <w:lang w:val="en-ZA"/>
              </w:rPr>
              <w:t>M. Sithole (Chief</w:t>
            </w:r>
          </w:p>
          <w:p w14:paraId="183DDE83" w14:textId="77777777" w:rsidR="004211D1" w:rsidRPr="00B05BA2" w:rsidRDefault="004211D1" w:rsidP="00F253E0">
            <w:pPr>
              <w:pStyle w:val="Tabletext"/>
              <w:rPr>
                <w:lang w:val="en-ZA"/>
              </w:rPr>
            </w:pPr>
            <w:r w:rsidRPr="00B05BA2">
              <w:rPr>
                <w:lang w:val="en-ZA"/>
              </w:rPr>
              <w:t>Financial</w:t>
            </w:r>
          </w:p>
          <w:p w14:paraId="188E12BF" w14:textId="77777777" w:rsidR="004211D1" w:rsidRPr="00BB6EEC" w:rsidRDefault="004211D1" w:rsidP="00F253E0">
            <w:pPr>
              <w:pStyle w:val="Tabletext"/>
              <w:rPr>
                <w:lang w:val="en-ZA"/>
              </w:rPr>
            </w:pPr>
            <w:r w:rsidRPr="00B05BA2">
              <w:rPr>
                <w:lang w:val="en-ZA"/>
              </w:rPr>
              <w:t>Officer)</w:t>
            </w:r>
          </w:p>
        </w:tc>
        <w:tc>
          <w:tcPr>
            <w:tcW w:w="1320" w:type="pct"/>
          </w:tcPr>
          <w:p w14:paraId="1D71E3FC" w14:textId="77777777" w:rsidR="004211D1" w:rsidRPr="00D56BD3" w:rsidRDefault="004211D1" w:rsidP="00F253E0">
            <w:pPr>
              <w:pStyle w:val="Tabletext"/>
              <w:rPr>
                <w:lang w:val="en-ZA"/>
              </w:rPr>
            </w:pPr>
          </w:p>
          <w:p w14:paraId="3543EFAC" w14:textId="77777777" w:rsidR="004211D1" w:rsidRPr="00D56BD3" w:rsidRDefault="004211D1" w:rsidP="00F253E0">
            <w:pPr>
              <w:pStyle w:val="Tabletext"/>
              <w:rPr>
                <w:lang w:val="en-ZA"/>
              </w:rPr>
            </w:pPr>
            <w:r w:rsidRPr="00D56BD3">
              <w:rPr>
                <w:lang w:val="en-ZA"/>
              </w:rPr>
              <w:t>Management have indicated</w:t>
            </w:r>
          </w:p>
          <w:p w14:paraId="0A4E6B03" w14:textId="77777777" w:rsidR="004211D1" w:rsidRPr="00D56BD3" w:rsidRDefault="004211D1" w:rsidP="00F253E0">
            <w:pPr>
              <w:pStyle w:val="Tabletext"/>
              <w:rPr>
                <w:lang w:val="en-ZA"/>
              </w:rPr>
            </w:pPr>
            <w:r w:rsidRPr="00D56BD3">
              <w:rPr>
                <w:lang w:val="en-ZA"/>
              </w:rPr>
              <w:t>that private leases have been</w:t>
            </w:r>
          </w:p>
          <w:p w14:paraId="7D6BF72D" w14:textId="77777777" w:rsidR="004211D1" w:rsidRDefault="004211D1" w:rsidP="00F253E0">
            <w:pPr>
              <w:pStyle w:val="Tabletext"/>
              <w:rPr>
                <w:lang w:val="en-ZA"/>
              </w:rPr>
            </w:pPr>
            <w:r w:rsidRPr="00D56BD3">
              <w:rPr>
                <w:lang w:val="en-ZA"/>
              </w:rPr>
              <w:t>paid using Archibus.</w:t>
            </w:r>
          </w:p>
          <w:p w14:paraId="31F6762E" w14:textId="77777777" w:rsidR="004211D1" w:rsidRPr="00BB6EEC" w:rsidRDefault="004211D1" w:rsidP="00F253E0">
            <w:pPr>
              <w:pStyle w:val="Tabletext"/>
              <w:rPr>
                <w:lang w:val="en-ZA"/>
              </w:rPr>
            </w:pPr>
            <w:r w:rsidRPr="005966E2">
              <w:rPr>
                <w:rFonts w:cs="Arial"/>
                <w:szCs w:val="18"/>
              </w:rPr>
              <w:t>Overpayments have bee</w:t>
            </w:r>
            <w:r>
              <w:rPr>
                <w:rFonts w:cs="Arial"/>
                <w:szCs w:val="18"/>
              </w:rPr>
              <w:t>n identified during the current financial year.</w:t>
            </w:r>
            <w:r w:rsidRPr="005966E2">
              <w:rPr>
                <w:rFonts w:cs="Arial"/>
                <w:szCs w:val="18"/>
              </w:rPr>
              <w:t xml:space="preserve"> This indicate that the</w:t>
            </w:r>
            <w:r>
              <w:rPr>
                <w:szCs w:val="18"/>
              </w:rPr>
              <w:t xml:space="preserve"> implementation of Archibus has not resolved the overpayment issue raised in the prior years. </w:t>
            </w:r>
          </w:p>
        </w:tc>
        <w:tc>
          <w:tcPr>
            <w:tcW w:w="727" w:type="pct"/>
          </w:tcPr>
          <w:p w14:paraId="57208DDD" w14:textId="77777777" w:rsidR="004211D1" w:rsidRPr="00D56BD3" w:rsidRDefault="004211D1" w:rsidP="00F253E0">
            <w:pPr>
              <w:pStyle w:val="Tabletext"/>
              <w:rPr>
                <w:lang w:val="en-ZA"/>
              </w:rPr>
            </w:pPr>
            <w:r>
              <w:rPr>
                <w:lang w:val="en-ZA"/>
              </w:rPr>
              <w:t>Not resolved</w:t>
            </w:r>
          </w:p>
          <w:p w14:paraId="16EF383F" w14:textId="77777777" w:rsidR="004211D1" w:rsidRPr="00BB6EEC" w:rsidRDefault="004211D1" w:rsidP="00F253E0">
            <w:pPr>
              <w:pStyle w:val="Tabletext"/>
              <w:rPr>
                <w:lang w:val="en-ZA"/>
              </w:rPr>
            </w:pPr>
            <w:r>
              <w:rPr>
                <w:rFonts w:cs="Arial"/>
                <w:szCs w:val="18"/>
              </w:rPr>
              <w:t xml:space="preserve"> </w:t>
            </w:r>
          </w:p>
        </w:tc>
      </w:tr>
      <w:tr w:rsidR="004211D1" w:rsidRPr="0077659B" w14:paraId="080418D8" w14:textId="77777777" w:rsidTr="00D23D2D">
        <w:tc>
          <w:tcPr>
            <w:tcW w:w="398" w:type="pct"/>
          </w:tcPr>
          <w:p w14:paraId="21E80A9D" w14:textId="77777777" w:rsidR="004211D1" w:rsidRPr="00BB6EEC" w:rsidRDefault="004211D1" w:rsidP="00F253E0">
            <w:pPr>
              <w:pStyle w:val="Tabletext"/>
              <w:rPr>
                <w:lang w:val="en-ZA"/>
              </w:rPr>
            </w:pPr>
            <w:r>
              <w:rPr>
                <w:lang w:val="en-ZA"/>
              </w:rPr>
              <w:t>7</w:t>
            </w:r>
          </w:p>
        </w:tc>
        <w:tc>
          <w:tcPr>
            <w:tcW w:w="1865" w:type="pct"/>
          </w:tcPr>
          <w:p w14:paraId="5DEBF47D" w14:textId="77777777" w:rsidR="004211D1" w:rsidRPr="00065BBE" w:rsidRDefault="004211D1" w:rsidP="00F253E0">
            <w:pPr>
              <w:pStyle w:val="Tabletext"/>
              <w:rPr>
                <w:b/>
                <w:lang w:val="en-ZA"/>
              </w:rPr>
            </w:pPr>
            <w:r w:rsidRPr="00065BBE">
              <w:rPr>
                <w:b/>
                <w:lang w:val="en-ZA"/>
              </w:rPr>
              <w:t>Non-compliance with PFMA on submission of financial</w:t>
            </w:r>
          </w:p>
          <w:p w14:paraId="400F35E1" w14:textId="77777777" w:rsidR="004211D1" w:rsidRPr="005966E2" w:rsidRDefault="004211D1" w:rsidP="00F253E0">
            <w:pPr>
              <w:pStyle w:val="Tabletext"/>
              <w:rPr>
                <w:b/>
                <w:lang w:val="en-ZA"/>
              </w:rPr>
            </w:pPr>
            <w:r w:rsidRPr="005966E2">
              <w:rPr>
                <w:b/>
                <w:lang w:val="en-ZA"/>
              </w:rPr>
              <w:t>statements</w:t>
            </w:r>
          </w:p>
          <w:p w14:paraId="2292C3BE" w14:textId="77777777" w:rsidR="004211D1" w:rsidRPr="000D51D5" w:rsidRDefault="004211D1" w:rsidP="00F253E0">
            <w:pPr>
              <w:pStyle w:val="Tabletext"/>
              <w:rPr>
                <w:lang w:val="en-ZA"/>
              </w:rPr>
            </w:pPr>
            <w:r w:rsidRPr="000D51D5">
              <w:rPr>
                <w:lang w:val="en-ZA"/>
              </w:rPr>
              <w:lastRenderedPageBreak/>
              <w:t> Develop a project plan and communicate to</w:t>
            </w:r>
          </w:p>
          <w:p w14:paraId="736C230B" w14:textId="77777777" w:rsidR="004211D1" w:rsidRPr="000D51D5" w:rsidRDefault="004211D1" w:rsidP="00F253E0">
            <w:pPr>
              <w:pStyle w:val="Tabletext"/>
              <w:rPr>
                <w:lang w:val="en-ZA"/>
              </w:rPr>
            </w:pPr>
            <w:r w:rsidRPr="000D51D5">
              <w:rPr>
                <w:lang w:val="en-ZA"/>
              </w:rPr>
              <w:t>regions and line functions.</w:t>
            </w:r>
          </w:p>
          <w:p w14:paraId="168940BA" w14:textId="77777777" w:rsidR="004211D1" w:rsidRPr="000D51D5" w:rsidRDefault="004211D1" w:rsidP="00F253E0">
            <w:pPr>
              <w:pStyle w:val="Tabletext"/>
              <w:rPr>
                <w:lang w:val="en-ZA"/>
              </w:rPr>
            </w:pPr>
            <w:r w:rsidRPr="000D51D5">
              <w:rPr>
                <w:lang w:val="en-ZA"/>
              </w:rPr>
              <w:t> Weekly monitoring of progress of specified tasks</w:t>
            </w:r>
          </w:p>
          <w:p w14:paraId="2A84F06B" w14:textId="77777777" w:rsidR="004211D1" w:rsidRPr="000D51D5" w:rsidRDefault="004211D1" w:rsidP="00F253E0">
            <w:pPr>
              <w:pStyle w:val="Tabletext"/>
              <w:rPr>
                <w:lang w:val="en-ZA"/>
              </w:rPr>
            </w:pPr>
            <w:r w:rsidRPr="000D51D5">
              <w:rPr>
                <w:lang w:val="en-ZA"/>
              </w:rPr>
              <w:t>assigned to officials.</w:t>
            </w:r>
          </w:p>
          <w:p w14:paraId="49081256" w14:textId="77777777" w:rsidR="004211D1" w:rsidRPr="000D51D5" w:rsidRDefault="004211D1" w:rsidP="00F253E0">
            <w:pPr>
              <w:pStyle w:val="Tabletext"/>
              <w:rPr>
                <w:lang w:val="en-ZA"/>
              </w:rPr>
            </w:pPr>
            <w:r w:rsidRPr="000D51D5">
              <w:rPr>
                <w:lang w:val="en-ZA"/>
              </w:rPr>
              <w:t> Provide training to regions and Head Office on</w:t>
            </w:r>
          </w:p>
          <w:p w14:paraId="55B4426F" w14:textId="77777777" w:rsidR="004211D1" w:rsidRPr="000D51D5" w:rsidRDefault="004211D1" w:rsidP="00F253E0">
            <w:pPr>
              <w:pStyle w:val="Tabletext"/>
              <w:rPr>
                <w:lang w:val="en-ZA"/>
              </w:rPr>
            </w:pPr>
            <w:r w:rsidRPr="000D51D5">
              <w:rPr>
                <w:lang w:val="en-ZA"/>
              </w:rPr>
              <w:t>Financial Statement aspect</w:t>
            </w:r>
          </w:p>
          <w:p w14:paraId="7F658A51" w14:textId="77777777" w:rsidR="004211D1" w:rsidRPr="000D51D5" w:rsidRDefault="004211D1" w:rsidP="00F253E0">
            <w:pPr>
              <w:pStyle w:val="Tabletext"/>
              <w:rPr>
                <w:lang w:val="en-ZA"/>
              </w:rPr>
            </w:pPr>
            <w:r w:rsidRPr="000D51D5">
              <w:rPr>
                <w:lang w:val="en-ZA"/>
              </w:rPr>
              <w:t> Compile the 2019/2020 Financial Procedures</w:t>
            </w:r>
          </w:p>
          <w:p w14:paraId="75783823" w14:textId="77777777" w:rsidR="004211D1" w:rsidRPr="000D51D5" w:rsidRDefault="004211D1" w:rsidP="00F253E0">
            <w:pPr>
              <w:pStyle w:val="Tabletext"/>
              <w:rPr>
                <w:lang w:val="en-ZA"/>
              </w:rPr>
            </w:pPr>
            <w:r w:rsidRPr="000D51D5">
              <w:rPr>
                <w:lang w:val="en-ZA"/>
              </w:rPr>
              <w:t>document</w:t>
            </w:r>
          </w:p>
          <w:p w14:paraId="200E9A84" w14:textId="77777777" w:rsidR="004211D1" w:rsidRPr="000D51D5" w:rsidRDefault="004211D1" w:rsidP="00F253E0">
            <w:pPr>
              <w:pStyle w:val="Tabletext"/>
              <w:rPr>
                <w:lang w:val="en-ZA"/>
              </w:rPr>
            </w:pPr>
            <w:r w:rsidRPr="000D51D5">
              <w:rPr>
                <w:lang w:val="en-ZA"/>
              </w:rPr>
              <w:t> Submit letters to Branch Heads and Regional</w:t>
            </w:r>
          </w:p>
          <w:p w14:paraId="6B4A80E8" w14:textId="77777777" w:rsidR="004211D1" w:rsidRPr="00BB6EEC" w:rsidRDefault="004211D1" w:rsidP="00F253E0">
            <w:pPr>
              <w:pStyle w:val="Tabletext"/>
              <w:rPr>
                <w:lang w:val="en-ZA"/>
              </w:rPr>
            </w:pPr>
            <w:r w:rsidRPr="000D51D5">
              <w:rPr>
                <w:lang w:val="en-ZA"/>
              </w:rPr>
              <w:t>Managers in relation to deadlines</w:t>
            </w:r>
          </w:p>
        </w:tc>
        <w:tc>
          <w:tcPr>
            <w:tcW w:w="689" w:type="pct"/>
          </w:tcPr>
          <w:p w14:paraId="24404503" w14:textId="77777777" w:rsidR="004211D1" w:rsidRPr="00B05BA2" w:rsidRDefault="004211D1" w:rsidP="00F253E0">
            <w:pPr>
              <w:pStyle w:val="Tabletext"/>
              <w:rPr>
                <w:lang w:val="en-ZA"/>
              </w:rPr>
            </w:pPr>
            <w:r w:rsidRPr="00B05BA2">
              <w:rPr>
                <w:lang w:val="en-ZA"/>
              </w:rPr>
              <w:lastRenderedPageBreak/>
              <w:t>M. Sithole (Chief</w:t>
            </w:r>
          </w:p>
          <w:p w14:paraId="50A439F6" w14:textId="77777777" w:rsidR="004211D1" w:rsidRPr="00B05BA2" w:rsidRDefault="004211D1" w:rsidP="00F253E0">
            <w:pPr>
              <w:pStyle w:val="Tabletext"/>
              <w:rPr>
                <w:lang w:val="en-ZA"/>
              </w:rPr>
            </w:pPr>
            <w:r w:rsidRPr="00B05BA2">
              <w:rPr>
                <w:lang w:val="en-ZA"/>
              </w:rPr>
              <w:t>Financial</w:t>
            </w:r>
          </w:p>
          <w:p w14:paraId="47508336" w14:textId="77777777" w:rsidR="004211D1" w:rsidRPr="00BB6EEC" w:rsidRDefault="004211D1" w:rsidP="00F253E0">
            <w:pPr>
              <w:pStyle w:val="Tabletext"/>
              <w:rPr>
                <w:lang w:val="en-ZA"/>
              </w:rPr>
            </w:pPr>
            <w:r w:rsidRPr="00B05BA2">
              <w:rPr>
                <w:lang w:val="en-ZA"/>
              </w:rPr>
              <w:t>Officer)</w:t>
            </w:r>
          </w:p>
        </w:tc>
        <w:tc>
          <w:tcPr>
            <w:tcW w:w="1320" w:type="pct"/>
          </w:tcPr>
          <w:p w14:paraId="76C67738" w14:textId="77777777" w:rsidR="004211D1" w:rsidRPr="00D56BD3" w:rsidRDefault="004211D1" w:rsidP="00F253E0">
            <w:pPr>
              <w:pStyle w:val="Tabletext"/>
              <w:rPr>
                <w:lang w:val="en-ZA"/>
              </w:rPr>
            </w:pPr>
          </w:p>
          <w:p w14:paraId="36D89FEC" w14:textId="77777777" w:rsidR="004211D1" w:rsidRPr="00BB6EEC" w:rsidRDefault="004211D1" w:rsidP="00F253E0">
            <w:pPr>
              <w:pStyle w:val="Tabletext"/>
              <w:rPr>
                <w:lang w:val="en-ZA"/>
              </w:rPr>
            </w:pPr>
            <w:r>
              <w:rPr>
                <w:lang w:val="en-ZA"/>
              </w:rPr>
              <w:t xml:space="preserve">The financial statement and supporting information were </w:t>
            </w:r>
            <w:r>
              <w:rPr>
                <w:lang w:val="en-ZA"/>
              </w:rPr>
              <w:lastRenderedPageBreak/>
              <w:t>submitted on the agreed time</w:t>
            </w:r>
          </w:p>
          <w:p w14:paraId="2F7BEEE3" w14:textId="77777777" w:rsidR="004211D1" w:rsidRPr="00BB6EEC" w:rsidRDefault="004211D1" w:rsidP="00F253E0">
            <w:pPr>
              <w:pStyle w:val="Tabletext"/>
              <w:rPr>
                <w:lang w:val="en-ZA"/>
              </w:rPr>
            </w:pPr>
          </w:p>
        </w:tc>
        <w:tc>
          <w:tcPr>
            <w:tcW w:w="727" w:type="pct"/>
          </w:tcPr>
          <w:p w14:paraId="40883F40" w14:textId="77777777" w:rsidR="004211D1" w:rsidRPr="00D56BD3" w:rsidRDefault="004211D1" w:rsidP="00F253E0">
            <w:pPr>
              <w:pStyle w:val="Tabletext"/>
              <w:rPr>
                <w:lang w:val="en-ZA"/>
              </w:rPr>
            </w:pPr>
            <w:r>
              <w:rPr>
                <w:lang w:val="en-ZA"/>
              </w:rPr>
              <w:lastRenderedPageBreak/>
              <w:t>Resolved</w:t>
            </w:r>
          </w:p>
          <w:p w14:paraId="45EF4A59" w14:textId="77777777" w:rsidR="004211D1" w:rsidRPr="00BB6EEC" w:rsidRDefault="004211D1" w:rsidP="00F253E0">
            <w:pPr>
              <w:pStyle w:val="Tabletext"/>
              <w:rPr>
                <w:lang w:val="en-ZA"/>
              </w:rPr>
            </w:pPr>
          </w:p>
        </w:tc>
      </w:tr>
    </w:tbl>
    <w:p w14:paraId="2039C826" w14:textId="77777777" w:rsidR="00C22F2B" w:rsidRPr="00CD645F" w:rsidRDefault="00F44449" w:rsidP="005A304D">
      <w:pPr>
        <w:pStyle w:val="Bulletedlist"/>
        <w:ind w:left="851" w:hanging="284"/>
        <w:jc w:val="both"/>
      </w:pPr>
      <w:r w:rsidRPr="00CD645F">
        <w:lastRenderedPageBreak/>
        <w:t>One</w:t>
      </w:r>
      <w:r w:rsidR="00C22F2B" w:rsidRPr="00CD645F">
        <w:t xml:space="preserve"> audit recommendation accepted by management in the prior year on matters included in the auditor’s report and other important matters were implemented, or alternative actions were taken to resolve the finding.</w:t>
      </w:r>
    </w:p>
    <w:p w14:paraId="63C01DB0" w14:textId="77777777" w:rsidR="00C22F2B" w:rsidRPr="00CD645F" w:rsidRDefault="00F44449" w:rsidP="005A304D">
      <w:pPr>
        <w:pStyle w:val="Bulletedlist"/>
        <w:ind w:left="851" w:hanging="284"/>
        <w:jc w:val="both"/>
      </w:pPr>
      <w:r w:rsidRPr="00CD645F">
        <w:t>Six</w:t>
      </w:r>
      <w:r w:rsidR="00C22F2B" w:rsidRPr="00CD645F">
        <w:t xml:space="preserve"> recommendations are still being implemented and </w:t>
      </w:r>
      <w:r w:rsidRPr="00CD645F">
        <w:t>five</w:t>
      </w:r>
      <w:r w:rsidR="00C22F2B" w:rsidRPr="00CD645F">
        <w:t xml:space="preserve"> have not been addressed, or very limited progress has been made. </w:t>
      </w:r>
    </w:p>
    <w:p w14:paraId="5C3FD881" w14:textId="77777777" w:rsidR="00A908D3" w:rsidRPr="00CD645F" w:rsidRDefault="00C22F2B" w:rsidP="005A304D">
      <w:pPr>
        <w:pStyle w:val="Bulletedlist"/>
        <w:ind w:left="851" w:hanging="284"/>
        <w:jc w:val="both"/>
      </w:pPr>
      <w:r w:rsidRPr="00CD645F">
        <w:t>Details on the status of implementing the</w:t>
      </w:r>
      <w:r w:rsidR="00AA3B58" w:rsidRPr="00CD645F">
        <w:t xml:space="preserve"> recommendations made in the</w:t>
      </w:r>
      <w:r w:rsidRPr="00CD645F">
        <w:t xml:space="preserve"> previous year(s) </w:t>
      </w:r>
      <w:r w:rsidR="00972A1C" w:rsidRPr="00CD645F">
        <w:t>are provided in section</w:t>
      </w:r>
      <w:r w:rsidR="00C140A3" w:rsidRPr="00CD645F">
        <w:t xml:space="preserve"> 10</w:t>
      </w:r>
      <w:r w:rsidRPr="00CD645F">
        <w:t xml:space="preserve">, which summarises the detailed audit findings. </w:t>
      </w:r>
      <w:bookmarkStart w:id="144" w:name="NewPartG"/>
      <w:bookmarkStart w:id="145" w:name="S5E39"/>
      <w:bookmarkStart w:id="146" w:name="Para59"/>
      <w:bookmarkStart w:id="147" w:name="S5E40"/>
      <w:bookmarkStart w:id="148" w:name="Para62"/>
      <w:bookmarkStart w:id="149" w:name="SEC3"/>
      <w:bookmarkStart w:id="150" w:name="_Toc447106615"/>
      <w:bookmarkEnd w:id="144"/>
      <w:bookmarkEnd w:id="145"/>
      <w:bookmarkEnd w:id="146"/>
      <w:bookmarkEnd w:id="147"/>
      <w:bookmarkEnd w:id="148"/>
      <w:bookmarkEnd w:id="149"/>
    </w:p>
    <w:p w14:paraId="1861B877" w14:textId="77777777" w:rsidR="006B1D3E" w:rsidRPr="0077659B" w:rsidRDefault="006B1D3E" w:rsidP="006B1D3E">
      <w:pPr>
        <w:pStyle w:val="Heading2"/>
        <w:rPr>
          <w:rFonts w:eastAsia="Times New Roman"/>
        </w:rPr>
      </w:pPr>
      <w:bookmarkStart w:id="151" w:name="_Toc53608730"/>
      <w:r w:rsidRPr="0077659B">
        <w:t>SECTION 4: Specific focus areas</w:t>
      </w:r>
      <w:bookmarkEnd w:id="151"/>
    </w:p>
    <w:p w14:paraId="77EE5A69" w14:textId="77777777" w:rsidR="009F2DC4" w:rsidRPr="00BB6EEC" w:rsidRDefault="009F2DC4" w:rsidP="00A3735E">
      <w:pPr>
        <w:pStyle w:val="Heading3"/>
        <w:rPr>
          <w:lang w:val="en-ZA"/>
        </w:rPr>
      </w:pPr>
      <w:bookmarkStart w:id="152" w:name="FH"/>
      <w:bookmarkStart w:id="153" w:name="S4E17"/>
      <w:bookmarkStart w:id="154" w:name="_Toc53608731"/>
      <w:bookmarkEnd w:id="150"/>
      <w:bookmarkEnd w:id="152"/>
      <w:bookmarkEnd w:id="153"/>
      <w:r w:rsidRPr="00BB6EEC">
        <w:rPr>
          <w:lang w:val="en-ZA"/>
        </w:rPr>
        <w:t>FINANCIAL VIABILITY</w:t>
      </w:r>
      <w:bookmarkEnd w:id="154"/>
    </w:p>
    <w:p w14:paraId="0E0F5C4B" w14:textId="77777777" w:rsidR="00A011D5" w:rsidRPr="0077659B" w:rsidRDefault="00A011D5" w:rsidP="006306CE">
      <w:pPr>
        <w:pStyle w:val="Numbernormal"/>
        <w:numPr>
          <w:ilvl w:val="0"/>
          <w:numId w:val="15"/>
        </w:numPr>
        <w:jc w:val="both"/>
      </w:pPr>
      <w:bookmarkStart w:id="155" w:name="_Toc447106617"/>
      <w:r w:rsidRPr="0077659B">
        <w:t xml:space="preserve">Our audit included a high-level overview of the </w:t>
      </w:r>
      <w:r>
        <w:t>trading entity</w:t>
      </w:r>
      <w:r w:rsidRPr="0077659B">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23"/>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A011D5" w:rsidRPr="0077659B" w14:paraId="058CF5D9" w14:textId="77777777" w:rsidTr="00A011D5">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7E545D51" w14:textId="77777777" w:rsidR="00A011D5" w:rsidRPr="0077659B" w:rsidRDefault="00A011D5" w:rsidP="00A011D5">
            <w:pPr>
              <w:spacing w:before="60" w:after="60"/>
              <w:jc w:val="center"/>
              <w:rPr>
                <w:rFonts w:cs="Arial"/>
                <w:b/>
                <w:color w:val="000000"/>
              </w:rPr>
            </w:pPr>
            <w:r w:rsidRPr="0077659B">
              <w:rPr>
                <w:rFonts w:cs="Arial"/>
                <w:b/>
                <w:color w:val="000000"/>
              </w:rPr>
              <w:t>FINANCIAL VIABILITY ASSESSMENT</w:t>
            </w:r>
          </w:p>
        </w:tc>
      </w:tr>
      <w:tr w:rsidR="00A011D5" w:rsidRPr="0077659B" w14:paraId="0E165FEF" w14:textId="77777777" w:rsidTr="00A011D5">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0BC03E68" w14:textId="77777777" w:rsidR="00A011D5" w:rsidRPr="0077659B" w:rsidRDefault="00A011D5" w:rsidP="00A011D5">
            <w:pPr>
              <w:autoSpaceDE w:val="0"/>
              <w:autoSpaceDN w:val="0"/>
              <w:adjustRightInd w:val="0"/>
              <w:spacing w:before="60" w:after="60"/>
              <w:ind w:left="1452" w:hanging="1276"/>
              <w:rPr>
                <w:rFonts w:cs="Arial"/>
                <w:b/>
                <w:color w:val="000000"/>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6926D493" w14:textId="77777777" w:rsidR="00A011D5" w:rsidRPr="0077659B" w:rsidRDefault="00A011D5" w:rsidP="00A011D5">
            <w:pPr>
              <w:autoSpaceDE w:val="0"/>
              <w:autoSpaceDN w:val="0"/>
              <w:adjustRightInd w:val="0"/>
              <w:spacing w:before="60" w:after="60"/>
              <w:ind w:left="33"/>
              <w:jc w:val="center"/>
              <w:rPr>
                <w:rFonts w:cs="Arial"/>
                <w:b/>
                <w:color w:val="000000"/>
              </w:rPr>
            </w:pPr>
            <w:r>
              <w:rPr>
                <w:rFonts w:cs="Arial"/>
                <w:b/>
                <w:color w:val="000000"/>
              </w:rPr>
              <w:t>AS AT 31 MARCH 2020</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11B5FF78" w14:textId="77777777" w:rsidR="00A011D5" w:rsidRPr="0077659B" w:rsidRDefault="00A011D5" w:rsidP="00A011D5">
            <w:pPr>
              <w:autoSpaceDE w:val="0"/>
              <w:autoSpaceDN w:val="0"/>
              <w:adjustRightInd w:val="0"/>
              <w:spacing w:before="60" w:after="60"/>
              <w:ind w:left="33"/>
              <w:jc w:val="center"/>
              <w:rPr>
                <w:rFonts w:cs="Arial"/>
                <w:b/>
                <w:color w:val="000000"/>
              </w:rPr>
            </w:pPr>
            <w:r w:rsidRPr="0077659B">
              <w:rPr>
                <w:rFonts w:cs="Arial"/>
                <w:b/>
                <w:color w:val="000000"/>
              </w:rPr>
              <w:t>AS AT 31 MARCH 201</w:t>
            </w:r>
            <w:r>
              <w:rPr>
                <w:rFonts w:cs="Arial"/>
                <w:b/>
                <w:color w:val="000000"/>
              </w:rPr>
              <w:t>9</w:t>
            </w:r>
          </w:p>
        </w:tc>
      </w:tr>
      <w:tr w:rsidR="00A011D5" w:rsidRPr="0077659B" w14:paraId="2642CCC8"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0B6B164A" w14:textId="77777777" w:rsidR="00A011D5" w:rsidRPr="0077659B" w:rsidRDefault="00A011D5" w:rsidP="00A011D5">
            <w:pPr>
              <w:tabs>
                <w:tab w:val="left" w:pos="2405"/>
              </w:tabs>
              <w:spacing w:before="60" w:after="60"/>
              <w:jc w:val="center"/>
              <w:rPr>
                <w:rFonts w:cs="Arial"/>
                <w:b/>
                <w:color w:val="000000"/>
              </w:rPr>
            </w:pPr>
            <w:r w:rsidRPr="0077659B">
              <w:rPr>
                <w:rFonts w:cs="Arial"/>
                <w:b/>
                <w:color w:val="000000"/>
              </w:rPr>
              <w:t>EXPENDITURE MANAGEMENT</w:t>
            </w:r>
          </w:p>
        </w:tc>
      </w:tr>
      <w:tr w:rsidR="00A011D5" w:rsidRPr="0077659B" w14:paraId="0E6C6DCF" w14:textId="77777777" w:rsidTr="00A011D5">
        <w:trPr>
          <w:trHeight w:val="340"/>
        </w:trPr>
        <w:tc>
          <w:tcPr>
            <w:tcW w:w="567" w:type="dxa"/>
            <w:tcBorders>
              <w:top w:val="single" w:sz="12" w:space="0" w:color="000000"/>
              <w:left w:val="single" w:sz="12" w:space="0" w:color="000000"/>
              <w:bottom w:val="single" w:sz="12" w:space="0" w:color="000000"/>
            </w:tcBorders>
            <w:tcMar>
              <w:left w:w="57" w:type="dxa"/>
              <w:right w:w="28" w:type="dxa"/>
            </w:tcMar>
            <w:vAlign w:val="center"/>
          </w:tcPr>
          <w:p w14:paraId="6BB6DB76" w14:textId="77777777" w:rsidR="00A011D5" w:rsidRPr="0077659B" w:rsidRDefault="00A011D5" w:rsidP="00A011D5">
            <w:pPr>
              <w:spacing w:before="60" w:after="60"/>
              <w:rPr>
                <w:rFonts w:cs="Arial"/>
              </w:rPr>
            </w:pPr>
            <w:r w:rsidRPr="0077659B">
              <w:rPr>
                <w:rFonts w:cs="Arial"/>
              </w:rPr>
              <w:t>1.1</w:t>
            </w:r>
          </w:p>
        </w:tc>
        <w:tc>
          <w:tcPr>
            <w:tcW w:w="4820" w:type="dxa"/>
            <w:tcBorders>
              <w:top w:val="single" w:sz="12" w:space="0" w:color="000000"/>
              <w:bottom w:val="single" w:sz="12" w:space="0" w:color="000000"/>
              <w:right w:val="single" w:sz="4" w:space="0" w:color="000000"/>
            </w:tcBorders>
            <w:tcMar>
              <w:left w:w="108" w:type="dxa"/>
              <w:right w:w="108" w:type="dxa"/>
            </w:tcMar>
            <w:vAlign w:val="center"/>
          </w:tcPr>
          <w:p w14:paraId="610E30A8" w14:textId="77777777" w:rsidR="00A011D5" w:rsidRPr="0077659B" w:rsidRDefault="00A011D5" w:rsidP="00A011D5">
            <w:pPr>
              <w:spacing w:before="60" w:after="60"/>
              <w:rPr>
                <w:rFonts w:cs="Arial"/>
              </w:rPr>
            </w:pPr>
            <w:r w:rsidRPr="0077659B">
              <w:rPr>
                <w:rFonts w:cs="Arial"/>
              </w:rPr>
              <w:t>Creditor 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86D815B" w14:textId="77777777" w:rsidR="00A011D5" w:rsidRPr="0077659B" w:rsidRDefault="00A011D5" w:rsidP="00A011D5">
            <w:pPr>
              <w:spacing w:before="60" w:after="60"/>
              <w:jc w:val="center"/>
              <w:rPr>
                <w:rFonts w:cs="Arial"/>
                <w:b/>
              </w:rPr>
            </w:pPr>
            <w:r>
              <w:rPr>
                <w:rFonts w:cs="Arial"/>
                <w:b/>
              </w:rPr>
              <w:t xml:space="preserve">111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1C088895" w14:textId="77777777" w:rsidR="00A011D5" w:rsidRPr="0077659B" w:rsidRDefault="00A011D5" w:rsidP="00A011D5">
            <w:pPr>
              <w:spacing w:before="60" w:after="60"/>
              <w:jc w:val="center"/>
              <w:rPr>
                <w:rFonts w:cs="Arial"/>
                <w:b/>
              </w:rPr>
            </w:pPr>
            <w:r>
              <w:rPr>
                <w:rFonts w:cs="Arial"/>
                <w:b/>
              </w:rPr>
              <w:t xml:space="preserve">106 </w:t>
            </w:r>
            <w:r w:rsidRPr="0077659B">
              <w:rPr>
                <w:rFonts w:cs="Arial"/>
                <w:b/>
              </w:rPr>
              <w:t>Days</w:t>
            </w:r>
          </w:p>
        </w:tc>
      </w:tr>
      <w:tr w:rsidR="00A011D5" w:rsidRPr="0077659B" w14:paraId="2C68AF33"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70BD6215" w14:textId="77777777" w:rsidR="00A011D5" w:rsidRPr="0077659B" w:rsidRDefault="00A011D5" w:rsidP="00A011D5">
            <w:pPr>
              <w:spacing w:before="60" w:after="60"/>
              <w:jc w:val="center"/>
              <w:rPr>
                <w:rFonts w:cs="Arial"/>
                <w:b/>
                <w:color w:val="000000"/>
              </w:rPr>
            </w:pPr>
            <w:r w:rsidRPr="0077659B">
              <w:rPr>
                <w:rFonts w:cs="Arial"/>
                <w:b/>
                <w:color w:val="000000"/>
              </w:rPr>
              <w:t>REVENUE MANAGEMENT</w:t>
            </w:r>
          </w:p>
        </w:tc>
      </w:tr>
      <w:tr w:rsidR="00A011D5" w:rsidRPr="0077659B" w14:paraId="1CEECB56" w14:textId="77777777" w:rsidTr="00A011D5">
        <w:trPr>
          <w:trHeight w:val="340"/>
        </w:trPr>
        <w:tc>
          <w:tcPr>
            <w:tcW w:w="567" w:type="dxa"/>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715FCD6" w14:textId="77777777" w:rsidR="00A011D5" w:rsidRPr="0077659B" w:rsidRDefault="00A011D5" w:rsidP="00A011D5">
            <w:pPr>
              <w:spacing w:before="60" w:after="60"/>
              <w:rPr>
                <w:rFonts w:cs="Arial"/>
              </w:rPr>
            </w:pPr>
            <w:r w:rsidRPr="0077659B">
              <w:rPr>
                <w:rFonts w:cs="Arial"/>
              </w:rPr>
              <w:t>2.1</w:t>
            </w: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1917842" w14:textId="77777777" w:rsidR="00A011D5" w:rsidRPr="0077659B" w:rsidRDefault="00A011D5" w:rsidP="00A011D5">
            <w:pPr>
              <w:spacing w:before="60" w:after="60"/>
              <w:rPr>
                <w:rFonts w:cs="Arial"/>
              </w:rPr>
            </w:pPr>
            <w:r w:rsidRPr="0077659B">
              <w:rPr>
                <w:rFonts w:cs="Arial"/>
              </w:rPr>
              <w:t>Debtor-collection period (after impairment)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4BF3FA3" w14:textId="77777777" w:rsidR="00A011D5" w:rsidRPr="0077659B" w:rsidRDefault="00A011D5" w:rsidP="00A011D5">
            <w:pPr>
              <w:spacing w:before="60" w:after="60"/>
              <w:jc w:val="center"/>
              <w:rPr>
                <w:rFonts w:cs="Arial"/>
                <w:b/>
              </w:rPr>
            </w:pPr>
            <w:r>
              <w:rPr>
                <w:rFonts w:cs="Arial"/>
                <w:b/>
              </w:rPr>
              <w:t xml:space="preserve">94 </w:t>
            </w:r>
            <w:r w:rsidRPr="0077659B">
              <w:rPr>
                <w:rFonts w:cs="Arial"/>
                <w:b/>
              </w:rPr>
              <w:t>Days</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7F92AE1" w14:textId="77777777" w:rsidR="00A011D5" w:rsidRPr="0077659B" w:rsidRDefault="00A011D5" w:rsidP="00A011D5">
            <w:pPr>
              <w:spacing w:before="60" w:after="60"/>
              <w:jc w:val="center"/>
              <w:rPr>
                <w:rFonts w:cs="Arial"/>
                <w:b/>
              </w:rPr>
            </w:pPr>
            <w:r>
              <w:rPr>
                <w:rFonts w:cs="Arial"/>
                <w:b/>
              </w:rPr>
              <w:t xml:space="preserve">116 </w:t>
            </w:r>
            <w:r w:rsidRPr="0077659B">
              <w:rPr>
                <w:rFonts w:cs="Arial"/>
                <w:b/>
              </w:rPr>
              <w:t>Days</w:t>
            </w:r>
          </w:p>
        </w:tc>
      </w:tr>
      <w:tr w:rsidR="00A011D5" w:rsidRPr="0077659B" w14:paraId="507DC550" w14:textId="77777777" w:rsidTr="00A011D5">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0FFB74AB" w14:textId="77777777" w:rsidR="00A011D5" w:rsidRPr="0077659B" w:rsidRDefault="00A011D5" w:rsidP="00A011D5">
            <w:pPr>
              <w:spacing w:before="60" w:after="60"/>
              <w:rPr>
                <w:rFonts w:cs="Arial"/>
              </w:rPr>
            </w:pPr>
            <w:r w:rsidRPr="0077659B">
              <w:rPr>
                <w:rFonts w:cs="Arial"/>
              </w:rPr>
              <w:lastRenderedPageBreak/>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CB7701B" w14:textId="77777777" w:rsidR="00A011D5" w:rsidRPr="0077659B" w:rsidRDefault="00A011D5" w:rsidP="00A011D5">
            <w:pPr>
              <w:spacing w:before="60" w:after="60"/>
              <w:rPr>
                <w:rFonts w:cs="Arial"/>
              </w:rPr>
            </w:pPr>
            <w:r w:rsidRPr="0077659B">
              <w:rPr>
                <w:rFonts w:cs="Arial"/>
              </w:rPr>
              <w:t>Debtors’ impairment provision as a percentage of accounts receivable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454872F" w14:textId="77777777" w:rsidR="00A011D5" w:rsidRPr="0077659B" w:rsidRDefault="00A011D5" w:rsidP="00A011D5">
            <w:pPr>
              <w:spacing w:before="60" w:after="60"/>
              <w:jc w:val="center"/>
              <w:rPr>
                <w:rFonts w:cs="Arial"/>
                <w:b/>
              </w:rPr>
            </w:pPr>
            <w:r>
              <w:rPr>
                <w:rFonts w:cs="Arial"/>
                <w:b/>
              </w:rPr>
              <w:t xml:space="preserve">28 </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19D30BF0" w14:textId="77777777" w:rsidR="00A011D5" w:rsidRPr="0077659B" w:rsidRDefault="00A011D5" w:rsidP="00A011D5">
            <w:pPr>
              <w:spacing w:before="60" w:after="60"/>
              <w:jc w:val="center"/>
              <w:rPr>
                <w:rFonts w:cs="Arial"/>
                <w:b/>
              </w:rPr>
            </w:pPr>
            <w:r>
              <w:rPr>
                <w:rFonts w:cs="Arial"/>
                <w:b/>
              </w:rPr>
              <w:t xml:space="preserve">16 </w:t>
            </w:r>
            <w:r w:rsidRPr="0077659B">
              <w:rPr>
                <w:rFonts w:cs="Arial"/>
                <w:b/>
              </w:rPr>
              <w:t>%</w:t>
            </w:r>
          </w:p>
        </w:tc>
      </w:tr>
      <w:tr w:rsidR="00A011D5" w:rsidRPr="0077659B" w14:paraId="32819921" w14:textId="77777777" w:rsidTr="00A011D5">
        <w:trPr>
          <w:trHeight w:val="7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040760B6"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A15E702"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debtors’ impairment provision</w:t>
            </w:r>
          </w:p>
          <w:p w14:paraId="254BF6BE" w14:textId="77777777" w:rsidR="00A011D5" w:rsidRPr="0077659B" w:rsidRDefault="00A011D5" w:rsidP="006306CE">
            <w:pPr>
              <w:numPr>
                <w:ilvl w:val="0"/>
                <w:numId w:val="7"/>
              </w:numPr>
              <w:spacing w:before="60" w:after="60"/>
              <w:ind w:left="284" w:hanging="284"/>
              <w:rPr>
                <w:rFonts w:cs="Arial"/>
              </w:rPr>
            </w:pPr>
            <w:r w:rsidRPr="0077659B">
              <w:rPr>
                <w:rFonts w:cs="Arial"/>
              </w:rPr>
              <w:t>Amount of accounts receivable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6E45A7A5" w14:textId="77777777" w:rsidR="00A011D5" w:rsidRPr="0077659B" w:rsidRDefault="00A011D5" w:rsidP="00A011D5">
            <w:pPr>
              <w:spacing w:before="60" w:after="60"/>
              <w:jc w:val="center"/>
              <w:rPr>
                <w:rFonts w:cs="Arial"/>
                <w:b/>
              </w:rPr>
            </w:pPr>
            <w:r w:rsidRPr="0077659B">
              <w:rPr>
                <w:rFonts w:cs="Arial"/>
                <w:b/>
              </w:rPr>
              <w:t>R</w:t>
            </w:r>
            <w:r>
              <w:rPr>
                <w:rFonts w:cs="Arial"/>
                <w:b/>
              </w:rPr>
              <w:t>1 535 509 000</w:t>
            </w:r>
          </w:p>
          <w:p w14:paraId="013D4FDE" w14:textId="77777777" w:rsidR="00A011D5" w:rsidRPr="0077659B" w:rsidRDefault="00A011D5" w:rsidP="00A011D5">
            <w:pPr>
              <w:spacing w:before="60" w:after="60"/>
              <w:jc w:val="center"/>
              <w:rPr>
                <w:rFonts w:cs="Arial"/>
                <w:b/>
              </w:rPr>
            </w:pPr>
            <w:r w:rsidRPr="0077659B">
              <w:rPr>
                <w:rFonts w:cs="Arial"/>
                <w:b/>
              </w:rPr>
              <w:t>R</w:t>
            </w:r>
            <w:r>
              <w:rPr>
                <w:rFonts w:cs="Arial"/>
                <w:b/>
              </w:rPr>
              <w:t>5 419 917 000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82DB2EB" w14:textId="77777777" w:rsidR="00A011D5" w:rsidRPr="0077659B" w:rsidRDefault="00A011D5" w:rsidP="00A011D5">
            <w:pPr>
              <w:spacing w:before="60" w:after="60"/>
              <w:jc w:val="center"/>
              <w:rPr>
                <w:rFonts w:cs="Arial"/>
                <w:b/>
              </w:rPr>
            </w:pPr>
            <w:r w:rsidRPr="0077659B">
              <w:rPr>
                <w:rFonts w:cs="Arial"/>
                <w:b/>
              </w:rPr>
              <w:t>R</w:t>
            </w:r>
            <w:r>
              <w:rPr>
                <w:rFonts w:cs="Arial"/>
                <w:b/>
              </w:rPr>
              <w:t>740 734 000</w:t>
            </w:r>
          </w:p>
          <w:p w14:paraId="7C35AED8" w14:textId="77777777" w:rsidR="00A011D5" w:rsidRPr="0077659B" w:rsidRDefault="00A011D5" w:rsidP="00A011D5">
            <w:pPr>
              <w:spacing w:before="60" w:after="60"/>
              <w:jc w:val="center"/>
              <w:rPr>
                <w:rFonts w:cs="Arial"/>
                <w:b/>
              </w:rPr>
            </w:pPr>
            <w:r w:rsidRPr="0077659B">
              <w:rPr>
                <w:rFonts w:cs="Arial"/>
                <w:b/>
              </w:rPr>
              <w:t>R</w:t>
            </w:r>
            <w:r>
              <w:rPr>
                <w:rFonts w:cs="Arial"/>
                <w:b/>
              </w:rPr>
              <w:t>4 685 874 000</w:t>
            </w:r>
          </w:p>
        </w:tc>
      </w:tr>
      <w:tr w:rsidR="00A011D5" w:rsidRPr="0077659B" w14:paraId="120B3039"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30DC6493" w14:textId="77777777" w:rsidR="00A011D5" w:rsidRPr="0077659B" w:rsidRDefault="00A011D5" w:rsidP="00A011D5">
            <w:pPr>
              <w:spacing w:before="60" w:after="60"/>
              <w:jc w:val="center"/>
              <w:rPr>
                <w:rFonts w:cs="Arial"/>
                <w:b/>
                <w:color w:val="000000"/>
              </w:rPr>
            </w:pPr>
            <w:r w:rsidRPr="0077659B">
              <w:rPr>
                <w:rFonts w:cs="Arial"/>
                <w:b/>
                <w:color w:val="000000"/>
              </w:rPr>
              <w:t>ASSET AND LIABILITY MANAGEMENT</w:t>
            </w:r>
          </w:p>
        </w:tc>
      </w:tr>
      <w:tr w:rsidR="00A011D5" w:rsidRPr="0077659B" w14:paraId="483644AC" w14:textId="77777777" w:rsidTr="00A011D5">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5245C5DC" w14:textId="77777777" w:rsidR="00A011D5" w:rsidRPr="0077659B" w:rsidRDefault="00A011D5" w:rsidP="00A011D5">
            <w:pPr>
              <w:spacing w:before="60" w:after="60"/>
              <w:rPr>
                <w:rFonts w:cs="Arial"/>
              </w:rPr>
            </w:pPr>
            <w:r w:rsidRPr="0077659B">
              <w:rPr>
                <w:rFonts w:cs="Arial"/>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59C469E1" w14:textId="77777777" w:rsidR="00A011D5" w:rsidRPr="0077659B" w:rsidRDefault="00A011D5" w:rsidP="00A011D5">
            <w:pPr>
              <w:spacing w:before="60" w:after="60"/>
              <w:rPr>
                <w:rFonts w:cs="Arial"/>
              </w:rPr>
            </w:pPr>
            <w:r w:rsidRPr="0077659B">
              <w:rPr>
                <w:rFonts w:cs="Arial"/>
              </w:rPr>
              <w:t>A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5F1EB839" w14:textId="77777777" w:rsidR="00A011D5" w:rsidRPr="0077659B" w:rsidRDefault="00A011D5" w:rsidP="00A011D5">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88E5A98" w14:textId="77777777" w:rsidR="00A011D5" w:rsidRPr="0077659B" w:rsidRDefault="00A011D5" w:rsidP="00A011D5">
            <w:pPr>
              <w:spacing w:before="60" w:after="60"/>
              <w:jc w:val="center"/>
              <w:rPr>
                <w:rFonts w:cs="Arial"/>
                <w:b/>
              </w:rPr>
            </w:pPr>
            <w:r>
              <w:rPr>
                <w:rFonts w:cs="Arial"/>
                <w:b/>
              </w:rPr>
              <w:t>No</w:t>
            </w:r>
          </w:p>
        </w:tc>
      </w:tr>
      <w:tr w:rsidR="00A011D5" w:rsidRPr="0077659B" w14:paraId="1325AFDC" w14:textId="77777777" w:rsidTr="00A011D5">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4F550F3"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22F6BA5"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surplus/(deficit)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60416BF6" w14:textId="77777777" w:rsidR="00A011D5" w:rsidRPr="0077659B" w:rsidRDefault="00A011D5" w:rsidP="00A011D5">
            <w:pPr>
              <w:spacing w:before="60" w:after="60"/>
              <w:jc w:val="center"/>
              <w:rPr>
                <w:rFonts w:cs="Arial"/>
                <w:b/>
              </w:rPr>
            </w:pPr>
            <w:r w:rsidRPr="0077659B">
              <w:rPr>
                <w:rFonts w:cs="Arial"/>
                <w:b/>
              </w:rPr>
              <w:t>R</w:t>
            </w:r>
            <w:r>
              <w:rPr>
                <w:rFonts w:cs="Arial"/>
                <w:b/>
              </w:rPr>
              <w:t>2 372 075 000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8D7A019" w14:textId="77777777" w:rsidR="00A011D5" w:rsidRPr="0077659B" w:rsidRDefault="00A011D5" w:rsidP="00A011D5">
            <w:pPr>
              <w:spacing w:before="60" w:after="60"/>
              <w:jc w:val="center"/>
              <w:rPr>
                <w:rFonts w:cs="Arial"/>
                <w:b/>
              </w:rPr>
            </w:pPr>
            <w:r>
              <w:rPr>
                <w:rFonts w:cs="Arial"/>
                <w:b/>
              </w:rPr>
              <w:t>R1 390 456 000</w:t>
            </w:r>
          </w:p>
        </w:tc>
      </w:tr>
      <w:tr w:rsidR="00A011D5" w:rsidRPr="0077659B" w14:paraId="2F27D7D0" w14:textId="77777777" w:rsidTr="00A011D5">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7D8370E" w14:textId="77777777" w:rsidR="00A011D5" w:rsidRPr="0077659B" w:rsidRDefault="00A011D5" w:rsidP="00A011D5">
            <w:pPr>
              <w:spacing w:before="60" w:after="60"/>
              <w:rPr>
                <w:rFonts w:cs="Arial"/>
              </w:rPr>
            </w:pPr>
            <w:r w:rsidRPr="0077659B">
              <w:rPr>
                <w:rFonts w:cs="Arial"/>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CC4ED67" w14:textId="77777777" w:rsidR="00A011D5" w:rsidRPr="0077659B" w:rsidRDefault="00A011D5" w:rsidP="00A011D5">
            <w:pPr>
              <w:spacing w:before="60" w:after="60"/>
              <w:rPr>
                <w:rFonts w:cs="Arial"/>
              </w:rPr>
            </w:pPr>
            <w:r w:rsidRPr="0077659B">
              <w:rPr>
                <w:rFonts w:cs="Arial"/>
              </w:rPr>
              <w:t>A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19D44FAD" w14:textId="77777777" w:rsidR="00A011D5" w:rsidRPr="0077659B" w:rsidRDefault="00A011D5" w:rsidP="00A011D5">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1016FBA" w14:textId="77777777" w:rsidR="00A011D5" w:rsidRPr="0077659B" w:rsidRDefault="00A011D5" w:rsidP="00A011D5">
            <w:pPr>
              <w:spacing w:before="60" w:after="60"/>
              <w:jc w:val="center"/>
              <w:rPr>
                <w:rFonts w:cs="Arial"/>
                <w:b/>
              </w:rPr>
            </w:pPr>
            <w:r w:rsidRPr="0077659B">
              <w:rPr>
                <w:rFonts w:cs="Arial"/>
                <w:b/>
              </w:rPr>
              <w:t>Yes</w:t>
            </w:r>
          </w:p>
        </w:tc>
      </w:tr>
      <w:tr w:rsidR="00A011D5" w:rsidRPr="0077659B" w14:paraId="38BFBD15" w14:textId="77777777" w:rsidTr="00A011D5">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268F049B"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7B07C92"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net current assets/(liability)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8A7CF76" w14:textId="77777777" w:rsidR="00A011D5" w:rsidRPr="0077659B" w:rsidRDefault="00A011D5" w:rsidP="00A011D5">
            <w:pPr>
              <w:spacing w:before="60" w:after="60"/>
              <w:jc w:val="center"/>
              <w:rPr>
                <w:rFonts w:cs="Arial"/>
                <w:b/>
              </w:rPr>
            </w:pPr>
            <w:r>
              <w:rPr>
                <w:rFonts w:cs="Arial"/>
                <w:b/>
              </w:rPr>
              <w:t>(R9 130 140 000)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8CE9891" w14:textId="77777777" w:rsidR="00A011D5" w:rsidRPr="0077659B" w:rsidRDefault="00A011D5" w:rsidP="00A011D5">
            <w:pPr>
              <w:spacing w:before="60" w:after="60"/>
              <w:jc w:val="center"/>
              <w:rPr>
                <w:rFonts w:cs="Arial"/>
                <w:b/>
              </w:rPr>
            </w:pPr>
            <w:r>
              <w:rPr>
                <w:rFonts w:cs="Arial"/>
                <w:b/>
              </w:rPr>
              <w:t>(</w:t>
            </w:r>
            <w:r w:rsidRPr="0077659B">
              <w:rPr>
                <w:rFonts w:cs="Arial"/>
                <w:b/>
              </w:rPr>
              <w:t>R</w:t>
            </w:r>
            <w:r>
              <w:rPr>
                <w:rFonts w:cs="Arial"/>
                <w:b/>
              </w:rPr>
              <w:t>11 239 944 000)</w:t>
            </w:r>
          </w:p>
        </w:tc>
      </w:tr>
      <w:tr w:rsidR="00A011D5" w:rsidRPr="0077659B" w14:paraId="0491243A" w14:textId="77777777" w:rsidTr="00A011D5">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EC59044" w14:textId="77777777" w:rsidR="00A011D5" w:rsidRPr="0077659B" w:rsidRDefault="00A011D5" w:rsidP="00A011D5">
            <w:pPr>
              <w:spacing w:before="60" w:after="60"/>
              <w:rPr>
                <w:rFonts w:cs="Arial"/>
              </w:rPr>
            </w:pPr>
            <w:r w:rsidRPr="0077659B">
              <w:rPr>
                <w:rFonts w:cs="Arial"/>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6C3C5F09" w14:textId="77777777" w:rsidR="00A011D5" w:rsidRPr="0077659B" w:rsidRDefault="00A011D5" w:rsidP="00A011D5">
            <w:pPr>
              <w:spacing w:before="60" w:after="60"/>
              <w:rPr>
                <w:rFonts w:cs="Arial"/>
              </w:rPr>
            </w:pPr>
            <w:r w:rsidRPr="0077659B">
              <w:rPr>
                <w:rFonts w:cs="Arial"/>
              </w:rPr>
              <w:t>A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316D068" w14:textId="77777777" w:rsidR="00A011D5" w:rsidRPr="0077659B" w:rsidRDefault="00A011D5" w:rsidP="00A011D5">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7D461499" w14:textId="77777777" w:rsidR="00A011D5" w:rsidRPr="0077659B" w:rsidRDefault="00A011D5" w:rsidP="00A011D5">
            <w:pPr>
              <w:spacing w:before="60" w:after="60"/>
              <w:jc w:val="center"/>
              <w:rPr>
                <w:rFonts w:cs="Arial"/>
                <w:b/>
              </w:rPr>
            </w:pPr>
            <w:r>
              <w:rPr>
                <w:rFonts w:cs="Arial"/>
                <w:b/>
              </w:rPr>
              <w:t>No</w:t>
            </w:r>
          </w:p>
        </w:tc>
      </w:tr>
      <w:tr w:rsidR="00A011D5" w:rsidRPr="0077659B" w14:paraId="74E908C2" w14:textId="77777777" w:rsidTr="00A011D5">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4F277540"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7C9EA39"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the net asset/(liability)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82B5B9B" w14:textId="77777777" w:rsidR="00A011D5" w:rsidRPr="0077659B" w:rsidRDefault="00A011D5" w:rsidP="00A011D5">
            <w:pPr>
              <w:spacing w:before="60" w:after="60"/>
              <w:jc w:val="center"/>
              <w:rPr>
                <w:rFonts w:cs="Arial"/>
                <w:b/>
              </w:rPr>
            </w:pPr>
            <w:r>
              <w:rPr>
                <w:rFonts w:cs="Arial"/>
                <w:b/>
              </w:rPr>
              <w:t>R145 730 654 000*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12662D6A" w14:textId="77777777" w:rsidR="00A011D5" w:rsidRPr="0077659B" w:rsidRDefault="00A011D5" w:rsidP="00A011D5">
            <w:pPr>
              <w:spacing w:before="60" w:after="60"/>
              <w:jc w:val="center"/>
              <w:rPr>
                <w:rFonts w:cs="Arial"/>
                <w:b/>
              </w:rPr>
            </w:pPr>
            <w:r>
              <w:rPr>
                <w:rFonts w:cs="Arial"/>
                <w:b/>
              </w:rPr>
              <w:t>R146 475 279 000*</w:t>
            </w:r>
          </w:p>
        </w:tc>
      </w:tr>
      <w:tr w:rsidR="00A011D5" w:rsidRPr="0077659B" w14:paraId="01CA8746"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2B01DEBB" w14:textId="77777777" w:rsidR="00A011D5" w:rsidRPr="0077659B" w:rsidRDefault="00A011D5" w:rsidP="00A011D5">
            <w:pPr>
              <w:spacing w:before="60" w:after="60"/>
              <w:jc w:val="center"/>
              <w:rPr>
                <w:rFonts w:cs="Arial"/>
                <w:b/>
                <w:color w:val="000000"/>
              </w:rPr>
            </w:pPr>
            <w:r w:rsidRPr="0077659B">
              <w:rPr>
                <w:rFonts w:cs="Arial"/>
                <w:b/>
                <w:color w:val="000000"/>
              </w:rPr>
              <w:t>CASH MANAGEMENT</w:t>
            </w:r>
          </w:p>
        </w:tc>
      </w:tr>
      <w:tr w:rsidR="00A011D5" w:rsidRPr="0077659B" w14:paraId="59196BDF" w14:textId="77777777" w:rsidTr="00A011D5">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51B44C04" w14:textId="77777777" w:rsidR="00A011D5" w:rsidRPr="0077659B" w:rsidRDefault="00A011D5" w:rsidP="00A011D5">
            <w:pPr>
              <w:spacing w:before="60" w:after="60"/>
              <w:rPr>
                <w:rFonts w:cs="Arial"/>
              </w:rPr>
            </w:pPr>
            <w:r w:rsidRPr="0077659B">
              <w:rPr>
                <w:rFonts w:cs="Arial"/>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CD50927" w14:textId="77777777" w:rsidR="00A011D5" w:rsidRPr="0077659B" w:rsidRDefault="00A011D5" w:rsidP="00A011D5">
            <w:pPr>
              <w:spacing w:before="60" w:after="60"/>
              <w:rPr>
                <w:rFonts w:cs="Arial"/>
              </w:rPr>
            </w:pPr>
            <w:r w:rsidRPr="0077659B">
              <w:rPr>
                <w:rFonts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3CCE386" w14:textId="77777777" w:rsidR="00A011D5" w:rsidRPr="0077659B" w:rsidRDefault="00A011D5" w:rsidP="00A011D5">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46417B06" w14:textId="77777777" w:rsidR="00A011D5" w:rsidRPr="0077659B" w:rsidRDefault="00A011D5" w:rsidP="00A011D5">
            <w:pPr>
              <w:spacing w:before="60" w:after="60"/>
              <w:jc w:val="center"/>
              <w:rPr>
                <w:rFonts w:cs="Arial"/>
                <w:b/>
              </w:rPr>
            </w:pPr>
            <w:r w:rsidRPr="0077659B">
              <w:rPr>
                <w:rFonts w:cs="Arial"/>
                <w:b/>
              </w:rPr>
              <w:t>Yes</w:t>
            </w:r>
          </w:p>
        </w:tc>
      </w:tr>
      <w:tr w:rsidR="00A011D5" w:rsidRPr="0077659B" w14:paraId="610E6E90" w14:textId="77777777" w:rsidTr="00A011D5">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3F4C29EC"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7F10964"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year-end bank balance (cash and cash equivalents)/(bank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502262F" w14:textId="77777777" w:rsidR="00A011D5" w:rsidRPr="0077659B" w:rsidRDefault="00A011D5" w:rsidP="00A011D5">
            <w:pPr>
              <w:spacing w:before="60" w:after="60"/>
              <w:jc w:val="center"/>
              <w:rPr>
                <w:rFonts w:cs="Arial"/>
                <w:b/>
              </w:rPr>
            </w:pPr>
            <w:r>
              <w:rPr>
                <w:rFonts w:cs="Arial"/>
                <w:b/>
              </w:rPr>
              <w:t>(R2 572 780 000)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E7F9F48" w14:textId="77777777" w:rsidR="00A011D5" w:rsidRPr="0077659B" w:rsidRDefault="00A011D5" w:rsidP="00A011D5">
            <w:pPr>
              <w:spacing w:before="60" w:after="60"/>
              <w:jc w:val="center"/>
              <w:rPr>
                <w:rFonts w:cs="Arial"/>
                <w:b/>
              </w:rPr>
            </w:pPr>
            <w:r>
              <w:rPr>
                <w:rFonts w:cs="Arial"/>
                <w:b/>
              </w:rPr>
              <w:t>(R2 677 329 000)</w:t>
            </w:r>
          </w:p>
        </w:tc>
      </w:tr>
      <w:tr w:rsidR="00A011D5" w:rsidRPr="0077659B" w14:paraId="1F71376C" w14:textId="77777777" w:rsidTr="00A011D5">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01B46940" w14:textId="77777777" w:rsidR="00A011D5" w:rsidRPr="0077659B" w:rsidRDefault="00A011D5" w:rsidP="00A011D5">
            <w:pPr>
              <w:spacing w:before="60" w:after="60"/>
              <w:rPr>
                <w:rFonts w:cs="Arial"/>
              </w:rPr>
            </w:pPr>
            <w:r w:rsidRPr="0077659B">
              <w:rPr>
                <w:rFonts w:cs="Arial"/>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136750D" w14:textId="77777777" w:rsidR="00A011D5" w:rsidRPr="0077659B" w:rsidRDefault="00A011D5" w:rsidP="00A011D5">
            <w:pPr>
              <w:spacing w:before="60" w:after="60"/>
              <w:rPr>
                <w:rFonts w:cs="Arial"/>
              </w:rPr>
            </w:pPr>
            <w:r w:rsidRPr="0077659B">
              <w:rPr>
                <w:rFonts w:cs="Arial"/>
              </w:rPr>
              <w:t>Net cash flows for the year from operating activities were negative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1351B11" w14:textId="77777777" w:rsidR="00A011D5" w:rsidRPr="0077659B" w:rsidRDefault="00A011D5" w:rsidP="00A011D5">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D5C0D27" w14:textId="77777777" w:rsidR="00A011D5" w:rsidRPr="0077659B" w:rsidRDefault="00A011D5" w:rsidP="00A011D5">
            <w:pPr>
              <w:spacing w:before="60" w:after="60"/>
              <w:jc w:val="center"/>
              <w:rPr>
                <w:rFonts w:cs="Arial"/>
                <w:b/>
              </w:rPr>
            </w:pPr>
            <w:r>
              <w:rPr>
                <w:rFonts w:cs="Arial"/>
                <w:b/>
              </w:rPr>
              <w:t>No</w:t>
            </w:r>
          </w:p>
        </w:tc>
      </w:tr>
      <w:tr w:rsidR="00A011D5" w:rsidRPr="0077659B" w14:paraId="0169C1B9" w14:textId="77777777" w:rsidTr="00A011D5">
        <w:trPr>
          <w:trHeight w:val="7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5567E670"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E0041BA"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net cash in/(out)flows for the year from operating activities</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AE62F13" w14:textId="77777777" w:rsidR="00A011D5" w:rsidRPr="0077659B" w:rsidRDefault="00A011D5" w:rsidP="00A011D5">
            <w:pPr>
              <w:spacing w:before="60" w:after="60"/>
              <w:jc w:val="center"/>
              <w:rPr>
                <w:rFonts w:cs="Arial"/>
                <w:b/>
              </w:rPr>
            </w:pPr>
            <w:r>
              <w:rPr>
                <w:rFonts w:cs="Arial"/>
                <w:b/>
              </w:rPr>
              <w:t>R3 075 337 000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BA8AFB7" w14:textId="77777777" w:rsidR="00A011D5" w:rsidRPr="0077659B" w:rsidRDefault="00A011D5" w:rsidP="00A011D5">
            <w:pPr>
              <w:spacing w:before="60" w:after="60"/>
              <w:jc w:val="center"/>
              <w:rPr>
                <w:rFonts w:cs="Arial"/>
                <w:b/>
              </w:rPr>
            </w:pPr>
            <w:r>
              <w:rPr>
                <w:rFonts w:cs="Arial"/>
                <w:b/>
              </w:rPr>
              <w:t>R2 886 103 000</w:t>
            </w:r>
          </w:p>
        </w:tc>
      </w:tr>
      <w:tr w:rsidR="00A011D5" w:rsidRPr="0077659B" w14:paraId="41EF53BD" w14:textId="77777777" w:rsidTr="00A011D5">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51397933" w14:textId="77777777" w:rsidR="00A011D5" w:rsidRPr="0077659B" w:rsidRDefault="00A011D5" w:rsidP="00A011D5">
            <w:pPr>
              <w:spacing w:before="60" w:after="60"/>
              <w:rPr>
                <w:rFonts w:cs="Arial"/>
              </w:rPr>
            </w:pPr>
            <w:r w:rsidRPr="0077659B">
              <w:rPr>
                <w:rFonts w:cs="Arial"/>
              </w:rPr>
              <w:t>4.3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4EB6CB3" w14:textId="77777777" w:rsidR="00A011D5" w:rsidRPr="0077659B" w:rsidRDefault="00A011D5" w:rsidP="00A011D5">
            <w:pPr>
              <w:spacing w:before="60" w:after="60"/>
              <w:rPr>
                <w:rFonts w:cs="Arial"/>
              </w:rPr>
            </w:pPr>
            <w:r w:rsidRPr="0077659B">
              <w:rPr>
                <w:rFonts w:cs="Arial"/>
              </w:rPr>
              <w:t>Creditors as a percentage of cash and cash equivalents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76B5E5CB" w14:textId="77777777" w:rsidR="00A011D5" w:rsidRPr="0077659B" w:rsidRDefault="00A011D5" w:rsidP="00A011D5">
            <w:pPr>
              <w:spacing w:before="60" w:after="60"/>
              <w:jc w:val="center"/>
              <w:rPr>
                <w:rFonts w:cs="Arial"/>
                <w:b/>
              </w:rPr>
            </w:pPr>
            <w:r>
              <w:rPr>
                <w:rFonts w:cs="Arial"/>
                <w:b/>
              </w:rPr>
              <w:t>Bank in overdraft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B3D83A0" w14:textId="77777777" w:rsidR="00A011D5" w:rsidRPr="0077659B" w:rsidRDefault="00A011D5" w:rsidP="00A011D5">
            <w:pPr>
              <w:spacing w:before="60" w:after="60"/>
              <w:jc w:val="center"/>
              <w:rPr>
                <w:rFonts w:cs="Arial"/>
                <w:b/>
              </w:rPr>
            </w:pPr>
            <w:r w:rsidRPr="0077659B">
              <w:rPr>
                <w:rFonts w:cs="Arial"/>
                <w:b/>
              </w:rPr>
              <w:t>Bank in overdraft</w:t>
            </w:r>
          </w:p>
        </w:tc>
      </w:tr>
      <w:tr w:rsidR="00A011D5" w:rsidRPr="0077659B" w14:paraId="0D82BB0D" w14:textId="77777777" w:rsidTr="00A011D5">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156C3F7F" w14:textId="77777777" w:rsidR="00A011D5" w:rsidRPr="0077659B" w:rsidRDefault="00A011D5" w:rsidP="00A011D5">
            <w:pPr>
              <w:spacing w:before="60" w:after="60"/>
              <w:rPr>
                <w:rFonts w:cs="Arial"/>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4CCA9B3"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creditors (accounts payable)</w:t>
            </w:r>
          </w:p>
          <w:p w14:paraId="6A972B91" w14:textId="77777777" w:rsidR="00A011D5" w:rsidRPr="0077659B" w:rsidRDefault="00A011D5" w:rsidP="006306CE">
            <w:pPr>
              <w:numPr>
                <w:ilvl w:val="0"/>
                <w:numId w:val="7"/>
              </w:numPr>
              <w:spacing w:before="60" w:after="60"/>
              <w:ind w:left="284" w:hanging="284"/>
              <w:rPr>
                <w:rFonts w:cs="Arial"/>
              </w:rPr>
            </w:pPr>
            <w:r w:rsidRPr="0077659B">
              <w:rPr>
                <w:rFonts w:cs="Arial"/>
                <w:color w:val="000000"/>
              </w:rPr>
              <w:t>Amount</w:t>
            </w:r>
            <w:r w:rsidRPr="0077659B">
              <w:rPr>
                <w:rFonts w:cs="Arial"/>
              </w:rPr>
              <w:t xml:space="preserve"> of cash and cash equivalents / (bank overdraft) at year-end</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tcPr>
          <w:p w14:paraId="446F371D" w14:textId="77777777" w:rsidR="00A011D5" w:rsidRPr="0077659B" w:rsidRDefault="00A011D5" w:rsidP="00A011D5">
            <w:pPr>
              <w:spacing w:before="60" w:after="60"/>
              <w:jc w:val="center"/>
              <w:rPr>
                <w:rFonts w:cs="Arial"/>
                <w:b/>
              </w:rPr>
            </w:pPr>
            <w:r>
              <w:rPr>
                <w:rFonts w:cs="Arial"/>
                <w:b/>
              </w:rPr>
              <w:t>R3 340 152 000</w:t>
            </w:r>
          </w:p>
          <w:p w14:paraId="79A21A6A" w14:textId="77777777" w:rsidR="00A011D5" w:rsidRPr="0077659B" w:rsidRDefault="00A011D5" w:rsidP="00A011D5">
            <w:pPr>
              <w:spacing w:before="60" w:after="60"/>
              <w:jc w:val="center"/>
              <w:rPr>
                <w:rFonts w:cs="Arial"/>
                <w:b/>
              </w:rPr>
            </w:pPr>
            <w:r>
              <w:rPr>
                <w:rFonts w:cs="Arial"/>
                <w:b/>
              </w:rPr>
              <w:t>R2 572 780 000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tcPr>
          <w:p w14:paraId="5ADC4E44" w14:textId="77777777" w:rsidR="00A011D5" w:rsidRPr="0077659B" w:rsidRDefault="00A011D5" w:rsidP="00A011D5">
            <w:pPr>
              <w:spacing w:before="60" w:after="60"/>
              <w:jc w:val="center"/>
              <w:rPr>
                <w:rFonts w:cs="Arial"/>
                <w:b/>
              </w:rPr>
            </w:pPr>
            <w:r w:rsidRPr="0077659B">
              <w:rPr>
                <w:rFonts w:cs="Arial"/>
                <w:b/>
              </w:rPr>
              <w:t>R</w:t>
            </w:r>
            <w:r>
              <w:rPr>
                <w:rFonts w:cs="Arial"/>
                <w:b/>
              </w:rPr>
              <w:t>2 912 667 000</w:t>
            </w:r>
          </w:p>
          <w:p w14:paraId="50B366FC" w14:textId="77777777" w:rsidR="00A011D5" w:rsidRPr="0077659B" w:rsidRDefault="00A011D5" w:rsidP="00A011D5">
            <w:pPr>
              <w:spacing w:before="60" w:after="60"/>
              <w:jc w:val="center"/>
              <w:rPr>
                <w:rFonts w:cs="Arial"/>
                <w:b/>
              </w:rPr>
            </w:pPr>
            <w:r>
              <w:rPr>
                <w:rFonts w:cs="Arial"/>
                <w:b/>
              </w:rPr>
              <w:t>R2 677 329 000</w:t>
            </w:r>
          </w:p>
        </w:tc>
      </w:tr>
      <w:tr w:rsidR="00A011D5" w:rsidRPr="0077659B" w14:paraId="3F4EA7C1"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6B4E8B9B" w14:textId="77777777" w:rsidR="00A011D5" w:rsidRPr="0077659B" w:rsidRDefault="00A011D5" w:rsidP="00A011D5">
            <w:pPr>
              <w:spacing w:before="60" w:after="60"/>
              <w:jc w:val="center"/>
              <w:rPr>
                <w:rFonts w:cs="Arial"/>
                <w:b/>
                <w:color w:val="000000"/>
              </w:rPr>
            </w:pPr>
            <w:r w:rsidRPr="0077659B">
              <w:rPr>
                <w:rFonts w:cs="Arial"/>
                <w:b/>
                <w:color w:val="000000"/>
              </w:rPr>
              <w:t xml:space="preserve">OVERALL ASSESSMENT </w:t>
            </w:r>
          </w:p>
        </w:tc>
      </w:tr>
      <w:tr w:rsidR="00A011D5" w:rsidRPr="0077659B" w14:paraId="19CEB59A" w14:textId="77777777" w:rsidTr="00A011D5">
        <w:trPr>
          <w:trHeight w:val="340"/>
        </w:trPr>
        <w:tc>
          <w:tcPr>
            <w:tcW w:w="5387" w:type="dxa"/>
            <w:gridSpan w:val="2"/>
            <w:tcBorders>
              <w:top w:val="single" w:sz="12" w:space="0" w:color="000000"/>
              <w:left w:val="single" w:sz="12" w:space="0" w:color="000000"/>
              <w:bottom w:val="single" w:sz="4" w:space="0" w:color="000000"/>
              <w:right w:val="single" w:sz="4" w:space="0" w:color="000000"/>
            </w:tcBorders>
            <w:tcMar>
              <w:left w:w="108" w:type="dxa"/>
              <w:right w:w="28" w:type="dxa"/>
            </w:tcMar>
            <w:vAlign w:val="center"/>
          </w:tcPr>
          <w:p w14:paraId="47866710" w14:textId="77777777" w:rsidR="00A011D5" w:rsidRPr="0077659B" w:rsidRDefault="00A011D5" w:rsidP="00A011D5">
            <w:pPr>
              <w:spacing w:before="60" w:after="60"/>
              <w:rPr>
                <w:rFonts w:cs="Arial"/>
              </w:rPr>
            </w:pPr>
            <w:r w:rsidRPr="0077659B">
              <w:rPr>
                <w:rFonts w:cs="Arial"/>
              </w:rPr>
              <w:t>Overall the financial viability is assessed as:</w:t>
            </w:r>
          </w:p>
        </w:tc>
        <w:tc>
          <w:tcPr>
            <w:tcW w:w="2126" w:type="dxa"/>
            <w:tcBorders>
              <w:top w:val="single" w:sz="12" w:space="0" w:color="000000"/>
              <w:left w:val="single" w:sz="4" w:space="0" w:color="000000"/>
              <w:bottom w:val="single" w:sz="4" w:space="0" w:color="000000"/>
              <w:right w:val="single" w:sz="4" w:space="0" w:color="000000"/>
            </w:tcBorders>
            <w:shd w:val="clear" w:color="auto" w:fill="FF0000"/>
            <w:vAlign w:val="center"/>
          </w:tcPr>
          <w:p w14:paraId="0A2CA363" w14:textId="77777777" w:rsidR="00A011D5" w:rsidRPr="0077659B" w:rsidRDefault="00A011D5" w:rsidP="00A011D5">
            <w:pPr>
              <w:spacing w:before="60" w:after="60"/>
              <w:jc w:val="center"/>
              <w:rPr>
                <w:rFonts w:cs="Arial"/>
                <w:b/>
                <w:bCs/>
                <w:color w:val="000000"/>
              </w:rPr>
            </w:pPr>
            <w:r w:rsidRPr="0077659B">
              <w:rPr>
                <w:rFonts w:cs="Arial"/>
                <w:b/>
                <w:bCs/>
                <w:color w:val="000000"/>
              </w:rPr>
              <w:t>Red (Unfavourable – Intervention required)</w:t>
            </w:r>
          </w:p>
        </w:tc>
        <w:tc>
          <w:tcPr>
            <w:tcW w:w="2126" w:type="dxa"/>
            <w:tcBorders>
              <w:top w:val="single" w:sz="12" w:space="0" w:color="000000"/>
              <w:left w:val="single" w:sz="4" w:space="0" w:color="000000"/>
              <w:bottom w:val="single" w:sz="4" w:space="0" w:color="000000"/>
              <w:right w:val="single" w:sz="12" w:space="0" w:color="000000"/>
            </w:tcBorders>
            <w:shd w:val="clear" w:color="auto" w:fill="FF0000"/>
            <w:vAlign w:val="center"/>
          </w:tcPr>
          <w:p w14:paraId="6D84C6E2" w14:textId="77777777" w:rsidR="00A011D5" w:rsidRPr="0077659B" w:rsidRDefault="00A011D5" w:rsidP="00A011D5">
            <w:pPr>
              <w:spacing w:before="60" w:after="60"/>
              <w:jc w:val="center"/>
              <w:rPr>
                <w:rFonts w:cs="Arial"/>
                <w:b/>
                <w:bCs/>
                <w:color w:val="000000"/>
              </w:rPr>
            </w:pPr>
            <w:r w:rsidRPr="0077659B">
              <w:rPr>
                <w:rFonts w:cs="Arial"/>
                <w:b/>
                <w:bCs/>
                <w:color w:val="000000"/>
              </w:rPr>
              <w:t>Red (Unfavourable – Intervention required)</w:t>
            </w:r>
          </w:p>
        </w:tc>
      </w:tr>
      <w:tr w:rsidR="00A011D5" w:rsidRPr="0077659B" w14:paraId="34E3373F" w14:textId="77777777" w:rsidTr="00A011D5">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2A19A532" w14:textId="77777777" w:rsidR="00A011D5" w:rsidRPr="0077659B" w:rsidRDefault="00A011D5" w:rsidP="00A011D5">
            <w:pPr>
              <w:spacing w:before="60" w:after="60"/>
              <w:ind w:left="284" w:hanging="284"/>
              <w:rPr>
                <w:rFonts w:cs="Arial"/>
                <w:i/>
              </w:rPr>
            </w:pPr>
            <w:r>
              <w:rPr>
                <w:rFonts w:cs="Arial"/>
                <w:i/>
              </w:rPr>
              <w:t>*</w:t>
            </w:r>
            <w:r>
              <w:rPr>
                <w:rFonts w:cs="Arial"/>
                <w:i/>
              </w:rPr>
              <w:tab/>
              <w:t>These amount</w:t>
            </w:r>
            <w:r w:rsidRPr="0077659B">
              <w:rPr>
                <w:rFonts w:cs="Arial"/>
                <w:i/>
              </w:rPr>
              <w:t>s</w:t>
            </w:r>
            <w:r>
              <w:rPr>
                <w:rFonts w:cs="Arial"/>
                <w:i/>
              </w:rPr>
              <w:t xml:space="preserve"> have</w:t>
            </w:r>
            <w:r w:rsidRPr="0077659B">
              <w:rPr>
                <w:rFonts w:cs="Arial"/>
                <w:i/>
              </w:rPr>
              <w:t xml:space="preserve"> been adjusted for uncorrected misstatements that resulted in the modification of the audit opinion and will therefore not agree with the finan</w:t>
            </w:r>
            <w:r>
              <w:rPr>
                <w:rFonts w:cs="Arial"/>
                <w:i/>
              </w:rPr>
              <w:t>cial statement amounts.</w:t>
            </w:r>
          </w:p>
        </w:tc>
      </w:tr>
    </w:tbl>
    <w:p w14:paraId="0BCB3BB0" w14:textId="77777777" w:rsidR="00A011D5" w:rsidRPr="0077659B" w:rsidRDefault="00A011D5" w:rsidP="00A011D5">
      <w:pPr>
        <w:pStyle w:val="Heading4"/>
      </w:pPr>
      <w:r w:rsidRPr="0077659B">
        <w:t>High-level comments</w:t>
      </w:r>
    </w:p>
    <w:p w14:paraId="0EBD9393" w14:textId="77777777" w:rsidR="00A011D5" w:rsidRDefault="00A011D5" w:rsidP="006306CE">
      <w:pPr>
        <w:pStyle w:val="Numbernormal"/>
        <w:numPr>
          <w:ilvl w:val="0"/>
          <w:numId w:val="15"/>
        </w:numPr>
      </w:pPr>
      <w:r>
        <w:t>The overall financial position of the trading entity has remained largely unchanged since prior period. The following matters were noted:</w:t>
      </w:r>
    </w:p>
    <w:p w14:paraId="19D33091" w14:textId="77777777" w:rsidR="00A011D5" w:rsidRDefault="00A011D5" w:rsidP="006306CE">
      <w:pPr>
        <w:pStyle w:val="Numbernormal"/>
        <w:numPr>
          <w:ilvl w:val="0"/>
          <w:numId w:val="21"/>
        </w:numPr>
        <w:jc w:val="both"/>
      </w:pPr>
      <w:r>
        <w:t>Although the entity recorded a surplus for the year, key financial indicators are negative.</w:t>
      </w:r>
    </w:p>
    <w:p w14:paraId="55FAED10" w14:textId="77777777" w:rsidR="00A011D5" w:rsidRDefault="00A011D5" w:rsidP="006306CE">
      <w:pPr>
        <w:pStyle w:val="Numbernormal"/>
        <w:numPr>
          <w:ilvl w:val="0"/>
          <w:numId w:val="21"/>
        </w:numPr>
        <w:jc w:val="both"/>
      </w:pPr>
      <w:r>
        <w:lastRenderedPageBreak/>
        <w:t>Debtors’ impairment provision doubled from the prior year, this is an indication that management are not able to collect debtors as they become due.</w:t>
      </w:r>
    </w:p>
    <w:p w14:paraId="1665561B" w14:textId="77777777" w:rsidR="00A011D5" w:rsidRDefault="00A011D5" w:rsidP="006306CE">
      <w:pPr>
        <w:pStyle w:val="Numbernormal"/>
        <w:numPr>
          <w:ilvl w:val="0"/>
          <w:numId w:val="21"/>
        </w:numPr>
        <w:jc w:val="both"/>
      </w:pPr>
      <w:r>
        <w:t>The net current liability position has decreased compared to the prior year, this is mainly contributed by a decrease in deferred revenue. Days taken by the trading entity to pay its creditors has slightly increased compared to the prior year but still high.</w:t>
      </w:r>
    </w:p>
    <w:p w14:paraId="48A514BD" w14:textId="77777777" w:rsidR="00A011D5" w:rsidRPr="00A011D5" w:rsidRDefault="00A011D5" w:rsidP="006306CE">
      <w:pPr>
        <w:pStyle w:val="Numbernormal"/>
        <w:numPr>
          <w:ilvl w:val="0"/>
          <w:numId w:val="21"/>
        </w:numPr>
        <w:jc w:val="both"/>
      </w:pPr>
      <w:r>
        <w:t>Although the overdraft facility has slightly decreased in the current year, management has entered into agreements with implementing agents which require significant upfront payments. As at 31 March 2020, prepayments in excess of R865 million were recognised. The above factors have negatively impacted the overdraft facility as at year end.</w:t>
      </w:r>
    </w:p>
    <w:p w14:paraId="001962B7" w14:textId="77777777" w:rsidR="00F576DC" w:rsidRDefault="00C22F2B" w:rsidP="00A3735E">
      <w:pPr>
        <w:pStyle w:val="Heading3"/>
        <w:rPr>
          <w:lang w:val="en-ZA"/>
        </w:rPr>
      </w:pPr>
      <w:bookmarkStart w:id="156" w:name="_Toc53608732"/>
      <w:r w:rsidRPr="00BB6EEC">
        <w:rPr>
          <w:lang w:val="en-ZA"/>
        </w:rPr>
        <w:t>PROCUREMENT AND CONTRACT MANAGEMENT</w:t>
      </w:r>
      <w:bookmarkEnd w:id="155"/>
      <w:bookmarkEnd w:id="156"/>
    </w:p>
    <w:p w14:paraId="68ECC7F7"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A summary of the findings from the audit are as follows:</w:t>
      </w:r>
    </w:p>
    <w:p w14:paraId="5EC0457E" w14:textId="77777777" w:rsidR="00A62B46" w:rsidRPr="00A62B46" w:rsidRDefault="00A62B46" w:rsidP="00A62B46">
      <w:pPr>
        <w:keepNext/>
        <w:spacing w:before="120"/>
        <w:jc w:val="both"/>
        <w:outlineLvl w:val="4"/>
        <w:rPr>
          <w:rFonts w:eastAsia="Calibri" w:cs="Arial"/>
          <w:bCs/>
          <w:color w:val="4F81BD"/>
          <w:sz w:val="24"/>
        </w:rPr>
      </w:pPr>
      <w:bookmarkStart w:id="157" w:name="_Toc447106618"/>
      <w:r w:rsidRPr="00A62B46">
        <w:rPr>
          <w:rFonts w:eastAsia="Calibri" w:cs="Arial"/>
          <w:bCs/>
          <w:color w:val="4F81BD"/>
          <w:sz w:val="24"/>
        </w:rPr>
        <w:t>Irregular expenditure</w:t>
      </w:r>
      <w:bookmarkEnd w:id="157"/>
    </w:p>
    <w:p w14:paraId="1136D66E"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R48 300 303 (75%) of irregular expenditure incurred in the current financial year was as a result of the contravention of SCM legislation. Further irregular expenditure incurred in previous years amounting to R2 269 215 250 was also identified in the current year. 100% (100% in the prior year) of this irregular expenditure was identified during the audit process and not detected by the trading entity’s monitoring processes. The root cause(s) of the lack of effective prevention and detection are inadequate review and monitoring of compliance with SCM processes and requirements.</w:t>
      </w:r>
    </w:p>
    <w:p w14:paraId="7FCD03C3" w14:textId="77777777" w:rsidR="00A62B46" w:rsidRPr="00A62B46" w:rsidRDefault="00A62B46" w:rsidP="00A62B46">
      <w:pPr>
        <w:keepNext/>
        <w:spacing w:before="120"/>
        <w:jc w:val="both"/>
        <w:outlineLvl w:val="4"/>
        <w:rPr>
          <w:rFonts w:eastAsia="Calibri" w:cs="Arial"/>
          <w:bCs/>
          <w:color w:val="4F81BD"/>
          <w:sz w:val="24"/>
        </w:rPr>
      </w:pPr>
      <w:bookmarkStart w:id="158" w:name="_Toc447106619"/>
      <w:r w:rsidRPr="00A62B46">
        <w:rPr>
          <w:rFonts w:eastAsia="Calibri" w:cs="Arial"/>
          <w:bCs/>
          <w:color w:val="4F81BD"/>
          <w:sz w:val="24"/>
        </w:rPr>
        <w:t>Awards to persons in the service of the state and their close family members</w:t>
      </w:r>
      <w:bookmarkEnd w:id="158"/>
    </w:p>
    <w:p w14:paraId="77164CD1"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The audit included an assessment of the interests of officials and their close family members in suppliers to the trading entity. Legislation specific to procurement does not prohibit the Property Management Trading Entity from making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14:paraId="2D8DED3B"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The findings were as follows (Include details on awards and interests identified as per the table below. Include all interests identified per CAATs reports, excluding false exceptions, even if no finding was raised):</w:t>
      </w:r>
      <w:r w:rsidRPr="00A62B46">
        <w:rPr>
          <w:rFonts w:eastAsia="Calibri" w:cs="Arial"/>
          <w:vertAlign w:val="superscript"/>
        </w:rPr>
        <w:endnoteReference w:id="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110"/>
        <w:gridCol w:w="1267"/>
        <w:gridCol w:w="1017"/>
        <w:gridCol w:w="1277"/>
        <w:gridCol w:w="1237"/>
        <w:gridCol w:w="960"/>
        <w:gridCol w:w="1118"/>
      </w:tblGrid>
      <w:tr w:rsidR="00A62B46" w:rsidRPr="00A62B46" w14:paraId="76BC5A85" w14:textId="77777777" w:rsidTr="001F43F8">
        <w:tc>
          <w:tcPr>
            <w:tcW w:w="893" w:type="pct"/>
            <w:vMerge w:val="restart"/>
            <w:shd w:val="clear" w:color="auto" w:fill="A6A6A6" w:themeFill="background1" w:themeFillShade="A6"/>
            <w:vAlign w:val="center"/>
          </w:tcPr>
          <w:p w14:paraId="38D2BB4A" w14:textId="77777777" w:rsidR="00A62B46" w:rsidRPr="00A62B46" w:rsidRDefault="00A62B46" w:rsidP="00A62B46">
            <w:pPr>
              <w:spacing w:after="0" w:line="240" w:lineRule="auto"/>
              <w:jc w:val="both"/>
              <w:rPr>
                <w:rFonts w:eastAsia="Times New Roman" w:cs="Arial"/>
                <w:b/>
                <w:sz w:val="18"/>
                <w:szCs w:val="18"/>
                <w:lang w:eastAsia="en-ZA"/>
              </w:rPr>
            </w:pPr>
            <w:r w:rsidRPr="00A62B46">
              <w:rPr>
                <w:rFonts w:eastAsia="Times New Roman" w:cs="Arial"/>
                <w:b/>
                <w:sz w:val="18"/>
                <w:szCs w:val="18"/>
                <w:lang w:eastAsia="en-ZA"/>
              </w:rPr>
              <w:t>Finding</w:t>
            </w:r>
          </w:p>
        </w:tc>
        <w:tc>
          <w:tcPr>
            <w:tcW w:w="617" w:type="pct"/>
            <w:vMerge w:val="restart"/>
            <w:shd w:val="clear" w:color="auto" w:fill="A6A6A6" w:themeFill="background1" w:themeFillShade="A6"/>
            <w:vAlign w:val="center"/>
          </w:tcPr>
          <w:p w14:paraId="0767CAF8" w14:textId="77777777" w:rsidR="00A62B46" w:rsidRPr="00A62B46" w:rsidRDefault="00A62B46" w:rsidP="00A62B46">
            <w:pPr>
              <w:spacing w:after="0" w:line="240" w:lineRule="auto"/>
              <w:jc w:val="both"/>
              <w:rPr>
                <w:rFonts w:eastAsia="Times New Roman" w:cs="Arial"/>
                <w:b/>
                <w:sz w:val="18"/>
                <w:szCs w:val="18"/>
                <w:lang w:eastAsia="en-ZA"/>
              </w:rPr>
            </w:pPr>
            <w:r w:rsidRPr="00A62B46">
              <w:rPr>
                <w:rFonts w:eastAsia="Times New Roman" w:cs="Arial"/>
                <w:b/>
                <w:sz w:val="18"/>
                <w:szCs w:val="18"/>
                <w:lang w:eastAsia="en-ZA"/>
              </w:rPr>
              <w:t>Number and value of awards made</w:t>
            </w:r>
          </w:p>
        </w:tc>
        <w:tc>
          <w:tcPr>
            <w:tcW w:w="563" w:type="pct"/>
            <w:vMerge w:val="restart"/>
            <w:shd w:val="clear" w:color="auto" w:fill="A6A6A6" w:themeFill="background1" w:themeFillShade="A6"/>
            <w:vAlign w:val="center"/>
          </w:tcPr>
          <w:p w14:paraId="33E251B4" w14:textId="77777777" w:rsidR="00A62B46" w:rsidRPr="00A62B46" w:rsidRDefault="00A62B46" w:rsidP="00A62B46">
            <w:pPr>
              <w:spacing w:after="0" w:line="240" w:lineRule="auto"/>
              <w:ind w:right="-42"/>
              <w:jc w:val="both"/>
              <w:rPr>
                <w:rFonts w:eastAsia="Times New Roman" w:cs="Arial"/>
                <w:b/>
                <w:sz w:val="18"/>
                <w:szCs w:val="18"/>
                <w:lang w:eastAsia="en-ZA"/>
              </w:rPr>
            </w:pPr>
            <w:r w:rsidRPr="00A62B46">
              <w:rPr>
                <w:rFonts w:eastAsia="Times New Roman" w:cs="Arial"/>
                <w:b/>
                <w:sz w:val="18"/>
                <w:szCs w:val="18"/>
                <w:lang w:eastAsia="en-ZA"/>
              </w:rPr>
              <w:t>Number and positions of official identified</w:t>
            </w:r>
          </w:p>
        </w:tc>
        <w:tc>
          <w:tcPr>
            <w:tcW w:w="492" w:type="pct"/>
            <w:vMerge w:val="restart"/>
            <w:shd w:val="clear" w:color="auto" w:fill="A6A6A6" w:themeFill="background1" w:themeFillShade="A6"/>
            <w:vAlign w:val="center"/>
          </w:tcPr>
          <w:p w14:paraId="0C65366B" w14:textId="77777777" w:rsidR="00A62B46" w:rsidRPr="00A62B46" w:rsidRDefault="00A62B46" w:rsidP="00A62B46">
            <w:pPr>
              <w:spacing w:after="0" w:line="240" w:lineRule="auto"/>
              <w:ind w:right="-108"/>
              <w:jc w:val="both"/>
              <w:rPr>
                <w:rFonts w:eastAsia="Times New Roman" w:cs="Arial"/>
                <w:b/>
                <w:sz w:val="18"/>
                <w:szCs w:val="18"/>
                <w:lang w:eastAsia="en-ZA"/>
              </w:rPr>
            </w:pPr>
            <w:r w:rsidRPr="00A62B46">
              <w:rPr>
                <w:rFonts w:eastAsia="Times New Roman" w:cs="Arial"/>
                <w:b/>
                <w:sz w:val="18"/>
                <w:szCs w:val="18"/>
                <w:lang w:eastAsia="en-ZA"/>
              </w:rPr>
              <w:t>Number of suppliers identified</w:t>
            </w:r>
          </w:p>
        </w:tc>
        <w:tc>
          <w:tcPr>
            <w:tcW w:w="2436" w:type="pct"/>
            <w:gridSpan w:val="4"/>
            <w:shd w:val="clear" w:color="auto" w:fill="A6A6A6" w:themeFill="background1" w:themeFillShade="A6"/>
            <w:vAlign w:val="center"/>
          </w:tcPr>
          <w:p w14:paraId="21E55A0D" w14:textId="77777777" w:rsidR="00A62B46" w:rsidRPr="00A62B46" w:rsidRDefault="00A62B46" w:rsidP="00A62B46">
            <w:pPr>
              <w:spacing w:after="0" w:line="240" w:lineRule="auto"/>
              <w:jc w:val="both"/>
              <w:rPr>
                <w:rFonts w:eastAsia="Times New Roman" w:cs="Arial"/>
                <w:b/>
                <w:sz w:val="18"/>
                <w:szCs w:val="18"/>
                <w:lang w:eastAsia="en-ZA"/>
              </w:rPr>
            </w:pPr>
            <w:r w:rsidRPr="00A62B46">
              <w:rPr>
                <w:rFonts w:eastAsia="Times New Roman" w:cs="Arial"/>
                <w:b/>
                <w:sz w:val="18"/>
                <w:szCs w:val="18"/>
                <w:lang w:eastAsia="en-ZA"/>
              </w:rPr>
              <w:t>Further non-compliance or irregularities regarding the awards</w:t>
            </w:r>
          </w:p>
        </w:tc>
      </w:tr>
      <w:tr w:rsidR="00A62B46" w:rsidRPr="00A62B46" w14:paraId="712ABDA4" w14:textId="77777777" w:rsidTr="001F43F8">
        <w:tc>
          <w:tcPr>
            <w:tcW w:w="893" w:type="pct"/>
            <w:vMerge/>
            <w:shd w:val="clear" w:color="auto" w:fill="A6A6A6" w:themeFill="background1" w:themeFillShade="A6"/>
          </w:tcPr>
          <w:p w14:paraId="32E98A31" w14:textId="77777777" w:rsidR="00A62B46" w:rsidRPr="00A62B46" w:rsidRDefault="00A62B46" w:rsidP="00A62B46">
            <w:pPr>
              <w:spacing w:after="0" w:line="240" w:lineRule="auto"/>
              <w:jc w:val="both"/>
              <w:rPr>
                <w:rFonts w:eastAsia="Times New Roman" w:cs="Arial"/>
                <w:b/>
                <w:sz w:val="18"/>
                <w:szCs w:val="18"/>
                <w:lang w:eastAsia="en-ZA"/>
              </w:rPr>
            </w:pPr>
          </w:p>
        </w:tc>
        <w:tc>
          <w:tcPr>
            <w:tcW w:w="617" w:type="pct"/>
            <w:vMerge/>
            <w:shd w:val="clear" w:color="auto" w:fill="A6A6A6" w:themeFill="background1" w:themeFillShade="A6"/>
          </w:tcPr>
          <w:p w14:paraId="4467469A" w14:textId="77777777" w:rsidR="00A62B46" w:rsidRPr="00A62B46" w:rsidRDefault="00A62B46" w:rsidP="00A62B46">
            <w:pPr>
              <w:spacing w:after="0" w:line="240" w:lineRule="auto"/>
              <w:jc w:val="both"/>
              <w:rPr>
                <w:rFonts w:eastAsia="Times New Roman" w:cs="Arial"/>
                <w:b/>
                <w:sz w:val="18"/>
                <w:szCs w:val="18"/>
                <w:lang w:eastAsia="en-ZA"/>
              </w:rPr>
            </w:pPr>
          </w:p>
        </w:tc>
        <w:tc>
          <w:tcPr>
            <w:tcW w:w="563" w:type="pct"/>
            <w:vMerge/>
            <w:shd w:val="clear" w:color="auto" w:fill="A6A6A6" w:themeFill="background1" w:themeFillShade="A6"/>
          </w:tcPr>
          <w:p w14:paraId="490C62C1" w14:textId="77777777" w:rsidR="00A62B46" w:rsidRPr="00A62B46" w:rsidRDefault="00A62B46" w:rsidP="00A62B46">
            <w:pPr>
              <w:spacing w:after="0" w:line="240" w:lineRule="auto"/>
              <w:jc w:val="both"/>
              <w:rPr>
                <w:rFonts w:eastAsia="Times New Roman" w:cs="Arial"/>
                <w:b/>
                <w:sz w:val="18"/>
                <w:szCs w:val="18"/>
                <w:lang w:eastAsia="en-ZA"/>
              </w:rPr>
            </w:pPr>
          </w:p>
        </w:tc>
        <w:tc>
          <w:tcPr>
            <w:tcW w:w="492" w:type="pct"/>
            <w:vMerge/>
            <w:shd w:val="clear" w:color="auto" w:fill="A6A6A6" w:themeFill="background1" w:themeFillShade="A6"/>
          </w:tcPr>
          <w:p w14:paraId="7B3553A9" w14:textId="77777777" w:rsidR="00A62B46" w:rsidRPr="00A62B46" w:rsidRDefault="00A62B46" w:rsidP="00A62B46">
            <w:pPr>
              <w:spacing w:after="0" w:line="240" w:lineRule="auto"/>
              <w:jc w:val="both"/>
              <w:rPr>
                <w:rFonts w:eastAsia="Times New Roman" w:cs="Arial"/>
                <w:b/>
                <w:sz w:val="18"/>
                <w:szCs w:val="18"/>
                <w:lang w:eastAsia="en-ZA"/>
              </w:rPr>
            </w:pPr>
          </w:p>
        </w:tc>
        <w:tc>
          <w:tcPr>
            <w:tcW w:w="650" w:type="pct"/>
            <w:shd w:val="clear" w:color="auto" w:fill="D9D9D9" w:themeFill="background1" w:themeFillShade="D9"/>
            <w:vAlign w:val="center"/>
          </w:tcPr>
          <w:p w14:paraId="47D77A86" w14:textId="77777777" w:rsidR="00A62B46" w:rsidRPr="00A62B46" w:rsidRDefault="00A62B46" w:rsidP="00A62B46">
            <w:pPr>
              <w:spacing w:after="0" w:line="240" w:lineRule="auto"/>
              <w:ind w:right="-108"/>
              <w:jc w:val="both"/>
              <w:rPr>
                <w:rFonts w:eastAsia="Times New Roman" w:cs="Arial"/>
                <w:b/>
                <w:sz w:val="18"/>
                <w:szCs w:val="18"/>
                <w:lang w:eastAsia="en-ZA"/>
              </w:rPr>
            </w:pPr>
            <w:r w:rsidRPr="00A62B46">
              <w:rPr>
                <w:rFonts w:eastAsia="Times New Roman" w:cs="Arial"/>
                <w:b/>
                <w:sz w:val="18"/>
                <w:szCs w:val="18"/>
                <w:lang w:eastAsia="en-ZA"/>
              </w:rPr>
              <w:t>Supplier did not submit declarations of interest</w:t>
            </w:r>
          </w:p>
        </w:tc>
        <w:tc>
          <w:tcPr>
            <w:tcW w:w="625" w:type="pct"/>
            <w:shd w:val="clear" w:color="auto" w:fill="D9D9D9" w:themeFill="background1" w:themeFillShade="D9"/>
            <w:vAlign w:val="center"/>
          </w:tcPr>
          <w:p w14:paraId="30843189" w14:textId="77777777" w:rsidR="00A62B46" w:rsidRPr="00A62B46" w:rsidRDefault="00A62B46" w:rsidP="00A62B46">
            <w:pPr>
              <w:spacing w:after="0" w:line="240" w:lineRule="auto"/>
              <w:ind w:right="-108"/>
              <w:jc w:val="both"/>
              <w:rPr>
                <w:rFonts w:eastAsia="Times New Roman" w:cs="Arial"/>
                <w:b/>
                <w:sz w:val="18"/>
                <w:szCs w:val="18"/>
                <w:lang w:eastAsia="en-ZA"/>
              </w:rPr>
            </w:pPr>
            <w:r w:rsidRPr="00A62B46">
              <w:rPr>
                <w:rFonts w:eastAsia="Times New Roman" w:cs="Arial"/>
                <w:b/>
                <w:sz w:val="18"/>
                <w:szCs w:val="18"/>
                <w:lang w:eastAsia="en-ZA"/>
              </w:rPr>
              <w:t>Supplier did not declare interest (false declaration)</w:t>
            </w:r>
          </w:p>
        </w:tc>
        <w:tc>
          <w:tcPr>
            <w:tcW w:w="539" w:type="pct"/>
            <w:shd w:val="clear" w:color="auto" w:fill="D9D9D9" w:themeFill="background1" w:themeFillShade="D9"/>
            <w:vAlign w:val="center"/>
          </w:tcPr>
          <w:p w14:paraId="5A6D19DA" w14:textId="77777777" w:rsidR="00A62B46" w:rsidRPr="00A62B46" w:rsidRDefault="00A62B46" w:rsidP="00A62B46">
            <w:pPr>
              <w:spacing w:after="0" w:line="240" w:lineRule="auto"/>
              <w:jc w:val="both"/>
              <w:rPr>
                <w:rFonts w:eastAsia="Times New Roman" w:cs="Arial"/>
                <w:b/>
                <w:sz w:val="18"/>
                <w:szCs w:val="18"/>
                <w:lang w:eastAsia="en-ZA"/>
              </w:rPr>
            </w:pPr>
            <w:r w:rsidRPr="00A62B46">
              <w:rPr>
                <w:rFonts w:eastAsia="Times New Roman" w:cs="Arial"/>
                <w:b/>
                <w:sz w:val="18"/>
                <w:szCs w:val="18"/>
                <w:lang w:eastAsia="en-ZA"/>
              </w:rPr>
              <w:t>Official did not declare interest</w:t>
            </w:r>
          </w:p>
        </w:tc>
        <w:tc>
          <w:tcPr>
            <w:tcW w:w="622" w:type="pct"/>
            <w:shd w:val="clear" w:color="auto" w:fill="D9D9D9" w:themeFill="background1" w:themeFillShade="D9"/>
            <w:vAlign w:val="center"/>
          </w:tcPr>
          <w:p w14:paraId="2685AC2B" w14:textId="77777777" w:rsidR="00A62B46" w:rsidRPr="00A62B46" w:rsidRDefault="00A62B46" w:rsidP="00A62B46">
            <w:pPr>
              <w:spacing w:after="0" w:line="240" w:lineRule="auto"/>
              <w:jc w:val="both"/>
              <w:rPr>
                <w:rFonts w:eastAsia="Times New Roman" w:cs="Arial"/>
                <w:b/>
                <w:sz w:val="18"/>
                <w:szCs w:val="18"/>
                <w:lang w:eastAsia="en-ZA"/>
              </w:rPr>
            </w:pPr>
            <w:r w:rsidRPr="00A62B46">
              <w:rPr>
                <w:rFonts w:eastAsia="Times New Roman" w:cs="Arial"/>
                <w:b/>
                <w:sz w:val="18"/>
                <w:szCs w:val="18"/>
                <w:lang w:eastAsia="en-ZA"/>
              </w:rPr>
              <w:t>Official was involved in awarding the contract/ quotation</w:t>
            </w:r>
          </w:p>
        </w:tc>
      </w:tr>
      <w:tr w:rsidR="00A62B46" w:rsidRPr="00A62B46" w14:paraId="41CC53E6" w14:textId="77777777" w:rsidTr="001F43F8">
        <w:tc>
          <w:tcPr>
            <w:tcW w:w="893" w:type="pct"/>
          </w:tcPr>
          <w:p w14:paraId="0FBA3C7C"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lastRenderedPageBreak/>
              <w:t>Awards made to business partners and associates of officials of the trading entity</w:t>
            </w:r>
          </w:p>
        </w:tc>
        <w:tc>
          <w:tcPr>
            <w:tcW w:w="617" w:type="pct"/>
          </w:tcPr>
          <w:p w14:paraId="76AF16EB"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6</w:t>
            </w:r>
          </w:p>
          <w:p w14:paraId="360F2637"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R352 723 599</w:t>
            </w:r>
          </w:p>
          <w:p w14:paraId="7E39D4BB"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 xml:space="preserve"> </w:t>
            </w:r>
          </w:p>
        </w:tc>
        <w:tc>
          <w:tcPr>
            <w:tcW w:w="563" w:type="pct"/>
          </w:tcPr>
          <w:p w14:paraId="0BA31873"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1</w:t>
            </w:r>
          </w:p>
          <w:p w14:paraId="0AEDB9D7"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Director: Facilities Management</w:t>
            </w:r>
          </w:p>
        </w:tc>
        <w:tc>
          <w:tcPr>
            <w:tcW w:w="492" w:type="pct"/>
          </w:tcPr>
          <w:p w14:paraId="5CFF1A36"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6</w:t>
            </w:r>
          </w:p>
        </w:tc>
        <w:tc>
          <w:tcPr>
            <w:tcW w:w="650" w:type="pct"/>
          </w:tcPr>
          <w:p w14:paraId="419D70CB"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0</w:t>
            </w:r>
          </w:p>
        </w:tc>
        <w:tc>
          <w:tcPr>
            <w:tcW w:w="625" w:type="pct"/>
          </w:tcPr>
          <w:p w14:paraId="4FFCFA28"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0</w:t>
            </w:r>
          </w:p>
        </w:tc>
        <w:tc>
          <w:tcPr>
            <w:tcW w:w="539" w:type="pct"/>
          </w:tcPr>
          <w:p w14:paraId="3715A547"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0</w:t>
            </w:r>
          </w:p>
        </w:tc>
        <w:tc>
          <w:tcPr>
            <w:tcW w:w="622" w:type="pct"/>
          </w:tcPr>
          <w:p w14:paraId="547258FA" w14:textId="77777777" w:rsidR="00A62B46" w:rsidRPr="00A62B46" w:rsidRDefault="00A62B46" w:rsidP="00A62B46">
            <w:pPr>
              <w:spacing w:line="240" w:lineRule="auto"/>
              <w:jc w:val="both"/>
              <w:rPr>
                <w:rFonts w:eastAsia="Times New Roman" w:cs="Arial"/>
                <w:color w:val="000000"/>
                <w:sz w:val="18"/>
                <w:szCs w:val="18"/>
                <w:lang w:eastAsia="en-ZA"/>
              </w:rPr>
            </w:pPr>
            <w:r w:rsidRPr="00A62B46">
              <w:rPr>
                <w:rFonts w:eastAsia="Times New Roman" w:cs="Arial"/>
                <w:color w:val="000000"/>
                <w:sz w:val="18"/>
                <w:szCs w:val="18"/>
                <w:lang w:eastAsia="en-ZA"/>
              </w:rPr>
              <w:t>0</w:t>
            </w:r>
          </w:p>
        </w:tc>
      </w:tr>
    </w:tbl>
    <w:p w14:paraId="56BB79AB" w14:textId="77777777" w:rsidR="00A62B46" w:rsidRDefault="00A62B46" w:rsidP="00A62B46">
      <w:pPr>
        <w:keepNext/>
        <w:spacing w:before="120"/>
        <w:jc w:val="both"/>
        <w:outlineLvl w:val="4"/>
        <w:rPr>
          <w:rFonts w:eastAsia="Calibri" w:cs="Arial"/>
        </w:rPr>
      </w:pPr>
      <w:bookmarkStart w:id="159" w:name="_Toc447106620"/>
    </w:p>
    <w:p w14:paraId="71376A29" w14:textId="77777777" w:rsidR="00A62B46" w:rsidRPr="00A62B46" w:rsidRDefault="00A62B46" w:rsidP="00A62B46">
      <w:pPr>
        <w:keepNext/>
        <w:spacing w:before="120"/>
        <w:jc w:val="both"/>
        <w:outlineLvl w:val="4"/>
        <w:rPr>
          <w:rFonts w:eastAsia="Calibri" w:cs="Arial"/>
          <w:bCs/>
          <w:color w:val="4F81BD"/>
          <w:sz w:val="24"/>
        </w:rPr>
      </w:pPr>
      <w:r w:rsidRPr="00A62B46">
        <w:rPr>
          <w:rFonts w:eastAsia="Calibri" w:cs="Arial"/>
          <w:bCs/>
          <w:color w:val="4F81BD"/>
          <w:sz w:val="24"/>
        </w:rPr>
        <w:t>Procurement processes</w:t>
      </w:r>
      <w:bookmarkEnd w:id="159"/>
    </w:p>
    <w:p w14:paraId="75F0AD50"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The table below is a summary of findings identified on procurement processes:</w:t>
      </w:r>
    </w:p>
    <w:tbl>
      <w:tblPr>
        <w:tblStyle w:val="TableGrid142"/>
        <w:tblW w:w="5000" w:type="pct"/>
        <w:tblLook w:val="04A0" w:firstRow="1" w:lastRow="0" w:firstColumn="1" w:lastColumn="0" w:noHBand="0" w:noVBand="1"/>
      </w:tblPr>
      <w:tblGrid>
        <w:gridCol w:w="2472"/>
        <w:gridCol w:w="1042"/>
        <w:gridCol w:w="1431"/>
        <w:gridCol w:w="907"/>
        <w:gridCol w:w="1157"/>
        <w:gridCol w:w="992"/>
        <w:gridCol w:w="1627"/>
      </w:tblGrid>
      <w:tr w:rsidR="00A62B46" w:rsidRPr="00A62B46" w14:paraId="3D90B366" w14:textId="77777777" w:rsidTr="001F43F8">
        <w:tc>
          <w:tcPr>
            <w:tcW w:w="1284" w:type="pct"/>
            <w:vMerge w:val="restart"/>
            <w:shd w:val="clear" w:color="auto" w:fill="A6A6A6" w:themeFill="background1" w:themeFillShade="A6"/>
          </w:tcPr>
          <w:p w14:paraId="2D35D12C" w14:textId="77777777" w:rsidR="00A62B46" w:rsidRPr="00A62B46" w:rsidRDefault="00A62B46" w:rsidP="00A62B46">
            <w:pPr>
              <w:jc w:val="both"/>
              <w:rPr>
                <w:rFonts w:cs="Arial"/>
                <w:sz w:val="18"/>
                <w:szCs w:val="18"/>
              </w:rPr>
            </w:pPr>
          </w:p>
        </w:tc>
        <w:tc>
          <w:tcPr>
            <w:tcW w:w="1284" w:type="pct"/>
            <w:gridSpan w:val="2"/>
            <w:shd w:val="clear" w:color="auto" w:fill="A6A6A6" w:themeFill="background1" w:themeFillShade="A6"/>
          </w:tcPr>
          <w:p w14:paraId="04A6493F" w14:textId="77777777" w:rsidR="00A62B46" w:rsidRPr="00A62B46" w:rsidRDefault="00A62B46" w:rsidP="00A62B46">
            <w:pPr>
              <w:jc w:val="both"/>
              <w:rPr>
                <w:rFonts w:cs="Arial"/>
                <w:sz w:val="18"/>
                <w:szCs w:val="18"/>
              </w:rPr>
            </w:pPr>
            <w:r w:rsidRPr="00A62B46">
              <w:rPr>
                <w:rFonts w:cs="Arial"/>
                <w:sz w:val="18"/>
                <w:szCs w:val="18"/>
              </w:rPr>
              <w:t>Total</w:t>
            </w:r>
          </w:p>
        </w:tc>
        <w:tc>
          <w:tcPr>
            <w:tcW w:w="1071" w:type="pct"/>
            <w:gridSpan w:val="2"/>
            <w:shd w:val="clear" w:color="auto" w:fill="A6A6A6" w:themeFill="background1" w:themeFillShade="A6"/>
          </w:tcPr>
          <w:p w14:paraId="7A54BB91" w14:textId="77777777" w:rsidR="00A62B46" w:rsidRPr="00A62B46" w:rsidRDefault="00A62B46" w:rsidP="00A62B46">
            <w:pPr>
              <w:jc w:val="both"/>
              <w:rPr>
                <w:rFonts w:cs="Arial"/>
                <w:sz w:val="18"/>
                <w:szCs w:val="18"/>
              </w:rPr>
            </w:pPr>
            <w:r w:rsidRPr="00A62B46">
              <w:rPr>
                <w:rFonts w:cs="Arial"/>
                <w:sz w:val="18"/>
                <w:szCs w:val="18"/>
              </w:rPr>
              <w:t>Quotations (below R500 000)</w:t>
            </w:r>
          </w:p>
        </w:tc>
        <w:tc>
          <w:tcPr>
            <w:tcW w:w="1361" w:type="pct"/>
            <w:gridSpan w:val="2"/>
            <w:shd w:val="clear" w:color="auto" w:fill="A6A6A6" w:themeFill="background1" w:themeFillShade="A6"/>
          </w:tcPr>
          <w:p w14:paraId="1FACA708" w14:textId="77777777" w:rsidR="00A62B46" w:rsidRPr="00A62B46" w:rsidRDefault="00A62B46" w:rsidP="00A62B46">
            <w:pPr>
              <w:jc w:val="both"/>
              <w:rPr>
                <w:rFonts w:cs="Arial"/>
                <w:sz w:val="18"/>
                <w:szCs w:val="18"/>
              </w:rPr>
            </w:pPr>
            <w:r w:rsidRPr="00A62B46">
              <w:rPr>
                <w:rFonts w:cs="Arial"/>
                <w:sz w:val="18"/>
                <w:szCs w:val="18"/>
              </w:rPr>
              <w:t>Competitive bids (over R500 000)</w:t>
            </w:r>
          </w:p>
        </w:tc>
      </w:tr>
      <w:tr w:rsidR="00A62B46" w:rsidRPr="00A62B46" w14:paraId="0284985B" w14:textId="77777777" w:rsidTr="001F43F8">
        <w:tc>
          <w:tcPr>
            <w:tcW w:w="1284" w:type="pct"/>
            <w:vMerge/>
            <w:shd w:val="clear" w:color="auto" w:fill="A6A6A6" w:themeFill="background1" w:themeFillShade="A6"/>
          </w:tcPr>
          <w:p w14:paraId="733F338F" w14:textId="77777777" w:rsidR="00A62B46" w:rsidRPr="00A62B46" w:rsidRDefault="00A62B46" w:rsidP="00A62B46">
            <w:pPr>
              <w:jc w:val="both"/>
              <w:rPr>
                <w:rFonts w:cs="Arial"/>
                <w:sz w:val="18"/>
                <w:szCs w:val="18"/>
              </w:rPr>
            </w:pPr>
          </w:p>
        </w:tc>
        <w:tc>
          <w:tcPr>
            <w:tcW w:w="541" w:type="pct"/>
            <w:shd w:val="clear" w:color="auto" w:fill="D9D9D9" w:themeFill="background1" w:themeFillShade="D9"/>
          </w:tcPr>
          <w:p w14:paraId="5AA9D72E" w14:textId="77777777" w:rsidR="00A62B46" w:rsidRPr="00A62B46" w:rsidRDefault="00A62B46" w:rsidP="00A62B46">
            <w:pPr>
              <w:jc w:val="both"/>
              <w:rPr>
                <w:rFonts w:cs="Arial"/>
                <w:sz w:val="18"/>
                <w:szCs w:val="18"/>
              </w:rPr>
            </w:pPr>
            <w:r w:rsidRPr="00A62B46">
              <w:rPr>
                <w:rFonts w:cs="Arial"/>
                <w:sz w:val="18"/>
                <w:szCs w:val="18"/>
              </w:rPr>
              <w:t>Number</w:t>
            </w:r>
          </w:p>
        </w:tc>
        <w:tc>
          <w:tcPr>
            <w:tcW w:w="743" w:type="pct"/>
            <w:shd w:val="clear" w:color="auto" w:fill="D9D9D9" w:themeFill="background1" w:themeFillShade="D9"/>
          </w:tcPr>
          <w:p w14:paraId="40B0DEA5" w14:textId="77777777" w:rsidR="00A62B46" w:rsidRPr="00A62B46" w:rsidRDefault="00A62B46" w:rsidP="00A62B46">
            <w:pPr>
              <w:jc w:val="both"/>
              <w:rPr>
                <w:rFonts w:cs="Arial"/>
                <w:sz w:val="18"/>
                <w:szCs w:val="18"/>
              </w:rPr>
            </w:pPr>
            <w:r w:rsidRPr="00A62B46">
              <w:rPr>
                <w:rFonts w:cs="Arial"/>
                <w:sz w:val="18"/>
                <w:szCs w:val="18"/>
              </w:rPr>
              <w:t>Value</w:t>
            </w:r>
          </w:p>
          <w:p w14:paraId="5C5A3F19" w14:textId="77777777" w:rsidR="00A62B46" w:rsidRPr="00A62B46" w:rsidRDefault="00A62B46" w:rsidP="00A62B46">
            <w:pPr>
              <w:jc w:val="both"/>
              <w:rPr>
                <w:rFonts w:cs="Arial"/>
                <w:sz w:val="18"/>
                <w:szCs w:val="18"/>
              </w:rPr>
            </w:pPr>
            <w:r w:rsidRPr="00A62B46">
              <w:rPr>
                <w:rFonts w:cs="Arial"/>
                <w:i/>
                <w:sz w:val="18"/>
                <w:szCs w:val="18"/>
              </w:rPr>
              <w:t>R</w:t>
            </w:r>
          </w:p>
        </w:tc>
        <w:tc>
          <w:tcPr>
            <w:tcW w:w="471" w:type="pct"/>
            <w:shd w:val="clear" w:color="auto" w:fill="D9D9D9" w:themeFill="background1" w:themeFillShade="D9"/>
          </w:tcPr>
          <w:p w14:paraId="0D339626" w14:textId="77777777" w:rsidR="00A62B46" w:rsidRPr="00A62B46" w:rsidRDefault="00A62B46" w:rsidP="00A62B46">
            <w:pPr>
              <w:jc w:val="both"/>
              <w:rPr>
                <w:rFonts w:cs="Arial"/>
                <w:sz w:val="18"/>
                <w:szCs w:val="18"/>
              </w:rPr>
            </w:pPr>
            <w:r w:rsidRPr="00A62B46">
              <w:rPr>
                <w:rFonts w:cs="Arial"/>
                <w:sz w:val="18"/>
                <w:szCs w:val="18"/>
              </w:rPr>
              <w:t>Number</w:t>
            </w:r>
          </w:p>
        </w:tc>
        <w:tc>
          <w:tcPr>
            <w:tcW w:w="601" w:type="pct"/>
            <w:shd w:val="clear" w:color="auto" w:fill="D9D9D9" w:themeFill="background1" w:themeFillShade="D9"/>
          </w:tcPr>
          <w:p w14:paraId="0F13F125" w14:textId="77777777" w:rsidR="00A62B46" w:rsidRPr="00A62B46" w:rsidRDefault="00A62B46" w:rsidP="00A62B46">
            <w:pPr>
              <w:jc w:val="both"/>
              <w:rPr>
                <w:rFonts w:cs="Arial"/>
                <w:i/>
                <w:sz w:val="18"/>
                <w:szCs w:val="18"/>
              </w:rPr>
            </w:pPr>
            <w:r w:rsidRPr="00A62B46">
              <w:rPr>
                <w:rFonts w:cs="Arial"/>
                <w:sz w:val="18"/>
                <w:szCs w:val="18"/>
              </w:rPr>
              <w:t>Value</w:t>
            </w:r>
          </w:p>
          <w:p w14:paraId="0B16DAE8" w14:textId="77777777" w:rsidR="00A62B46" w:rsidRPr="00A62B46" w:rsidRDefault="00A62B46" w:rsidP="00A62B46">
            <w:pPr>
              <w:jc w:val="both"/>
              <w:rPr>
                <w:rFonts w:cs="Arial"/>
                <w:i/>
                <w:sz w:val="18"/>
                <w:szCs w:val="18"/>
              </w:rPr>
            </w:pPr>
            <w:r w:rsidRPr="00A62B46">
              <w:rPr>
                <w:rFonts w:cs="Arial"/>
                <w:i/>
                <w:sz w:val="18"/>
                <w:szCs w:val="18"/>
              </w:rPr>
              <w:t>R</w:t>
            </w:r>
          </w:p>
        </w:tc>
        <w:tc>
          <w:tcPr>
            <w:tcW w:w="515" w:type="pct"/>
            <w:shd w:val="clear" w:color="auto" w:fill="D9D9D9" w:themeFill="background1" w:themeFillShade="D9"/>
          </w:tcPr>
          <w:p w14:paraId="06D8AE2E" w14:textId="77777777" w:rsidR="00A62B46" w:rsidRPr="00A62B46" w:rsidRDefault="00A62B46" w:rsidP="00A62B46">
            <w:pPr>
              <w:jc w:val="both"/>
              <w:rPr>
                <w:rFonts w:cs="Arial"/>
                <w:sz w:val="18"/>
                <w:szCs w:val="18"/>
              </w:rPr>
            </w:pPr>
            <w:r w:rsidRPr="00A62B46">
              <w:rPr>
                <w:rFonts w:cs="Arial"/>
                <w:sz w:val="18"/>
                <w:szCs w:val="18"/>
              </w:rPr>
              <w:t>Number</w:t>
            </w:r>
          </w:p>
        </w:tc>
        <w:tc>
          <w:tcPr>
            <w:tcW w:w="846" w:type="pct"/>
            <w:shd w:val="clear" w:color="auto" w:fill="D9D9D9" w:themeFill="background1" w:themeFillShade="D9"/>
          </w:tcPr>
          <w:p w14:paraId="419EE185" w14:textId="77777777" w:rsidR="00A62B46" w:rsidRPr="00A62B46" w:rsidRDefault="00A62B46" w:rsidP="00A62B46">
            <w:pPr>
              <w:jc w:val="both"/>
              <w:rPr>
                <w:rFonts w:cs="Arial"/>
                <w:i/>
                <w:sz w:val="18"/>
                <w:szCs w:val="18"/>
              </w:rPr>
            </w:pPr>
            <w:r w:rsidRPr="00A62B46">
              <w:rPr>
                <w:rFonts w:cs="Arial"/>
                <w:sz w:val="18"/>
                <w:szCs w:val="18"/>
              </w:rPr>
              <w:t>Value</w:t>
            </w:r>
          </w:p>
          <w:p w14:paraId="073E77BF" w14:textId="77777777" w:rsidR="00A62B46" w:rsidRPr="00A62B46" w:rsidRDefault="00A62B46" w:rsidP="00A62B46">
            <w:pPr>
              <w:jc w:val="both"/>
              <w:rPr>
                <w:rFonts w:cs="Arial"/>
                <w:sz w:val="18"/>
                <w:szCs w:val="18"/>
              </w:rPr>
            </w:pPr>
            <w:r w:rsidRPr="00A62B46">
              <w:rPr>
                <w:rFonts w:cs="Arial"/>
                <w:i/>
                <w:sz w:val="18"/>
                <w:szCs w:val="18"/>
              </w:rPr>
              <w:t>R</w:t>
            </w:r>
          </w:p>
        </w:tc>
      </w:tr>
      <w:tr w:rsidR="00A62B46" w:rsidRPr="00A62B46" w14:paraId="155F5C64" w14:textId="77777777" w:rsidTr="001F43F8">
        <w:tc>
          <w:tcPr>
            <w:tcW w:w="1284" w:type="pct"/>
          </w:tcPr>
          <w:p w14:paraId="33D596DA" w14:textId="77777777" w:rsidR="00A62B46" w:rsidRPr="00A62B46" w:rsidRDefault="00A62B46" w:rsidP="00A62B46">
            <w:pPr>
              <w:jc w:val="both"/>
              <w:rPr>
                <w:rFonts w:cs="Arial"/>
                <w:b/>
                <w:sz w:val="18"/>
                <w:szCs w:val="18"/>
              </w:rPr>
            </w:pPr>
            <w:r w:rsidRPr="00A62B46">
              <w:rPr>
                <w:rFonts w:cs="Arial"/>
                <w:b/>
                <w:sz w:val="18"/>
                <w:szCs w:val="18"/>
              </w:rPr>
              <w:t>Awards selected for testing</w:t>
            </w:r>
          </w:p>
        </w:tc>
        <w:tc>
          <w:tcPr>
            <w:tcW w:w="541" w:type="pct"/>
            <w:vAlign w:val="center"/>
          </w:tcPr>
          <w:p w14:paraId="24090117" w14:textId="77777777" w:rsidR="00A62B46" w:rsidRPr="00A62B46" w:rsidRDefault="00A62B46" w:rsidP="00A62B46">
            <w:pPr>
              <w:jc w:val="both"/>
              <w:rPr>
                <w:rFonts w:cs="Arial"/>
                <w:i/>
                <w:sz w:val="18"/>
                <w:szCs w:val="18"/>
              </w:rPr>
            </w:pPr>
            <w:r w:rsidRPr="00A62B46">
              <w:rPr>
                <w:rFonts w:cs="Arial"/>
                <w:i/>
                <w:sz w:val="18"/>
                <w:szCs w:val="18"/>
              </w:rPr>
              <w:t>106</w:t>
            </w:r>
          </w:p>
        </w:tc>
        <w:tc>
          <w:tcPr>
            <w:tcW w:w="743" w:type="pct"/>
            <w:vAlign w:val="center"/>
          </w:tcPr>
          <w:p w14:paraId="087B9C4F" w14:textId="77777777" w:rsidR="00A62B46" w:rsidRPr="00A62B46" w:rsidRDefault="00A62B46" w:rsidP="00A62B46">
            <w:pPr>
              <w:jc w:val="both"/>
              <w:rPr>
                <w:rFonts w:cs="Arial"/>
                <w:i/>
                <w:sz w:val="18"/>
                <w:szCs w:val="18"/>
              </w:rPr>
            </w:pPr>
            <w:r w:rsidRPr="00A62B46">
              <w:rPr>
                <w:rFonts w:cs="Arial"/>
                <w:i/>
                <w:sz w:val="18"/>
                <w:szCs w:val="18"/>
              </w:rPr>
              <w:t>2 422 286 141</w:t>
            </w:r>
          </w:p>
        </w:tc>
        <w:tc>
          <w:tcPr>
            <w:tcW w:w="471" w:type="pct"/>
            <w:vAlign w:val="center"/>
          </w:tcPr>
          <w:p w14:paraId="09284B15" w14:textId="77777777" w:rsidR="00A62B46" w:rsidRPr="00A62B46" w:rsidRDefault="00A62B46" w:rsidP="00A62B46">
            <w:pPr>
              <w:jc w:val="both"/>
              <w:rPr>
                <w:rFonts w:cs="Arial"/>
                <w:i/>
                <w:sz w:val="18"/>
                <w:szCs w:val="18"/>
              </w:rPr>
            </w:pPr>
            <w:r w:rsidRPr="00A62B46">
              <w:rPr>
                <w:rFonts w:cs="Arial"/>
                <w:i/>
                <w:sz w:val="18"/>
                <w:szCs w:val="18"/>
              </w:rPr>
              <w:t>62</w:t>
            </w:r>
          </w:p>
        </w:tc>
        <w:tc>
          <w:tcPr>
            <w:tcW w:w="601" w:type="pct"/>
            <w:vAlign w:val="center"/>
          </w:tcPr>
          <w:p w14:paraId="69D529EF" w14:textId="77777777" w:rsidR="00A62B46" w:rsidRPr="00A62B46" w:rsidRDefault="00A62B46" w:rsidP="00A62B46">
            <w:pPr>
              <w:jc w:val="both"/>
              <w:rPr>
                <w:rFonts w:cs="Arial"/>
                <w:i/>
                <w:sz w:val="18"/>
                <w:szCs w:val="18"/>
              </w:rPr>
            </w:pPr>
            <w:r w:rsidRPr="00A62B46">
              <w:rPr>
                <w:rFonts w:cs="Arial"/>
                <w:i/>
                <w:sz w:val="18"/>
                <w:szCs w:val="18"/>
              </w:rPr>
              <w:t>19 860 822</w:t>
            </w:r>
          </w:p>
        </w:tc>
        <w:tc>
          <w:tcPr>
            <w:tcW w:w="515" w:type="pct"/>
            <w:vAlign w:val="center"/>
          </w:tcPr>
          <w:p w14:paraId="31B6B6B4" w14:textId="77777777" w:rsidR="00A62B46" w:rsidRPr="00A62B46" w:rsidRDefault="00A62B46" w:rsidP="00A62B46">
            <w:pPr>
              <w:jc w:val="both"/>
              <w:rPr>
                <w:rFonts w:cs="Arial"/>
                <w:i/>
                <w:sz w:val="18"/>
                <w:szCs w:val="18"/>
              </w:rPr>
            </w:pPr>
            <w:r w:rsidRPr="00A62B46">
              <w:rPr>
                <w:rFonts w:cs="Arial"/>
                <w:i/>
                <w:sz w:val="18"/>
                <w:szCs w:val="18"/>
              </w:rPr>
              <w:t>43</w:t>
            </w:r>
          </w:p>
        </w:tc>
        <w:tc>
          <w:tcPr>
            <w:tcW w:w="846" w:type="pct"/>
            <w:vAlign w:val="center"/>
          </w:tcPr>
          <w:p w14:paraId="498BDB0D" w14:textId="77777777" w:rsidR="00A62B46" w:rsidRPr="00A62B46" w:rsidRDefault="00A62B46" w:rsidP="00A62B46">
            <w:pPr>
              <w:jc w:val="both"/>
              <w:rPr>
                <w:rFonts w:cs="Arial"/>
                <w:i/>
                <w:sz w:val="18"/>
                <w:szCs w:val="18"/>
              </w:rPr>
            </w:pPr>
            <w:r w:rsidRPr="00A62B46">
              <w:rPr>
                <w:rFonts w:cs="Arial"/>
                <w:i/>
                <w:sz w:val="18"/>
                <w:szCs w:val="18"/>
              </w:rPr>
              <w:t>2 402 425 319</w:t>
            </w:r>
          </w:p>
        </w:tc>
      </w:tr>
      <w:tr w:rsidR="00A62B46" w:rsidRPr="00A62B46" w14:paraId="139923A8" w14:textId="77777777" w:rsidTr="001F43F8">
        <w:tc>
          <w:tcPr>
            <w:tcW w:w="1284" w:type="pct"/>
          </w:tcPr>
          <w:p w14:paraId="06681391" w14:textId="77777777" w:rsidR="00A62B46" w:rsidRPr="00A62B46" w:rsidRDefault="00A62B46" w:rsidP="00A62B46">
            <w:pPr>
              <w:jc w:val="both"/>
              <w:rPr>
                <w:rFonts w:cs="Arial"/>
                <w:b/>
                <w:sz w:val="18"/>
                <w:szCs w:val="18"/>
              </w:rPr>
            </w:pPr>
            <w:r w:rsidRPr="00A62B46">
              <w:rPr>
                <w:rFonts w:cs="Arial"/>
                <w:b/>
                <w:sz w:val="18"/>
                <w:szCs w:val="18"/>
              </w:rPr>
              <w:t>Expenditure incurred on selected awards – current year</w:t>
            </w:r>
          </w:p>
        </w:tc>
        <w:tc>
          <w:tcPr>
            <w:tcW w:w="541" w:type="pct"/>
            <w:shd w:val="clear" w:color="auto" w:fill="000000" w:themeFill="text1"/>
            <w:vAlign w:val="center"/>
          </w:tcPr>
          <w:p w14:paraId="61C34DBB" w14:textId="77777777" w:rsidR="00A62B46" w:rsidRPr="00A62B46" w:rsidRDefault="00A62B46" w:rsidP="00A62B46">
            <w:pPr>
              <w:jc w:val="both"/>
              <w:rPr>
                <w:rFonts w:cs="Arial"/>
                <w:i/>
                <w:sz w:val="18"/>
                <w:szCs w:val="18"/>
              </w:rPr>
            </w:pPr>
          </w:p>
        </w:tc>
        <w:tc>
          <w:tcPr>
            <w:tcW w:w="743" w:type="pct"/>
            <w:vAlign w:val="center"/>
          </w:tcPr>
          <w:p w14:paraId="1C89F7A5" w14:textId="77777777" w:rsidR="00A62B46" w:rsidRPr="00A62B46" w:rsidRDefault="00A62B46" w:rsidP="00A62B46">
            <w:pPr>
              <w:ind w:right="-108"/>
              <w:jc w:val="both"/>
              <w:rPr>
                <w:rFonts w:cs="Arial"/>
                <w:i/>
                <w:sz w:val="18"/>
                <w:szCs w:val="18"/>
              </w:rPr>
            </w:pPr>
            <w:r w:rsidRPr="00A62B46">
              <w:rPr>
                <w:rFonts w:cs="Arial"/>
                <w:i/>
                <w:sz w:val="18"/>
                <w:szCs w:val="18"/>
              </w:rPr>
              <w:t>1 165 774 611</w:t>
            </w:r>
          </w:p>
        </w:tc>
        <w:tc>
          <w:tcPr>
            <w:tcW w:w="471" w:type="pct"/>
            <w:shd w:val="clear" w:color="auto" w:fill="000000" w:themeFill="text1"/>
            <w:vAlign w:val="center"/>
          </w:tcPr>
          <w:p w14:paraId="73EE4051" w14:textId="77777777" w:rsidR="00A62B46" w:rsidRPr="00A62B46" w:rsidRDefault="00A62B46" w:rsidP="00A62B46">
            <w:pPr>
              <w:jc w:val="both"/>
              <w:rPr>
                <w:rFonts w:cs="Arial"/>
                <w:i/>
                <w:sz w:val="18"/>
                <w:szCs w:val="18"/>
              </w:rPr>
            </w:pPr>
          </w:p>
        </w:tc>
        <w:tc>
          <w:tcPr>
            <w:tcW w:w="601" w:type="pct"/>
            <w:vAlign w:val="center"/>
          </w:tcPr>
          <w:p w14:paraId="1626594A" w14:textId="77777777" w:rsidR="00A62B46" w:rsidRPr="00A62B46" w:rsidRDefault="00A62B46" w:rsidP="00A62B46">
            <w:pPr>
              <w:ind w:right="-108"/>
              <w:jc w:val="both"/>
              <w:rPr>
                <w:rFonts w:cs="Arial"/>
                <w:i/>
                <w:sz w:val="18"/>
                <w:szCs w:val="18"/>
              </w:rPr>
            </w:pPr>
            <w:r w:rsidRPr="00A62B46">
              <w:rPr>
                <w:rFonts w:cs="Arial"/>
                <w:i/>
                <w:sz w:val="18"/>
                <w:szCs w:val="18"/>
              </w:rPr>
              <w:t>15 599 729</w:t>
            </w:r>
          </w:p>
        </w:tc>
        <w:tc>
          <w:tcPr>
            <w:tcW w:w="515" w:type="pct"/>
            <w:shd w:val="clear" w:color="auto" w:fill="000000" w:themeFill="text1"/>
            <w:vAlign w:val="center"/>
          </w:tcPr>
          <w:p w14:paraId="583C3B15" w14:textId="77777777" w:rsidR="00A62B46" w:rsidRPr="00A62B46" w:rsidRDefault="00A62B46" w:rsidP="00A62B46">
            <w:pPr>
              <w:jc w:val="both"/>
              <w:rPr>
                <w:rFonts w:cs="Arial"/>
                <w:i/>
                <w:sz w:val="18"/>
                <w:szCs w:val="18"/>
              </w:rPr>
            </w:pPr>
          </w:p>
        </w:tc>
        <w:tc>
          <w:tcPr>
            <w:tcW w:w="846" w:type="pct"/>
            <w:vAlign w:val="center"/>
          </w:tcPr>
          <w:p w14:paraId="19B36E3F" w14:textId="77777777" w:rsidR="00A62B46" w:rsidRPr="00A62B46" w:rsidRDefault="00A62B46" w:rsidP="00A62B46">
            <w:pPr>
              <w:ind w:right="-82"/>
              <w:jc w:val="both"/>
              <w:rPr>
                <w:rFonts w:cs="Arial"/>
                <w:i/>
                <w:sz w:val="18"/>
                <w:szCs w:val="18"/>
              </w:rPr>
            </w:pPr>
            <w:r w:rsidRPr="00A62B46">
              <w:rPr>
                <w:rFonts w:cs="Arial"/>
                <w:i/>
                <w:sz w:val="18"/>
                <w:szCs w:val="18"/>
              </w:rPr>
              <w:t>1 150 174 881</w:t>
            </w:r>
          </w:p>
        </w:tc>
      </w:tr>
      <w:tr w:rsidR="00A62B46" w:rsidRPr="00A62B46" w14:paraId="72532290" w14:textId="77777777" w:rsidTr="001F43F8">
        <w:tc>
          <w:tcPr>
            <w:tcW w:w="1284" w:type="pct"/>
          </w:tcPr>
          <w:p w14:paraId="74F9A36B" w14:textId="77777777" w:rsidR="00A62B46" w:rsidRPr="00A62B46" w:rsidRDefault="00A62B46" w:rsidP="00A62B46">
            <w:pPr>
              <w:jc w:val="both"/>
              <w:rPr>
                <w:rFonts w:cs="Arial"/>
                <w:b/>
                <w:sz w:val="18"/>
                <w:szCs w:val="18"/>
              </w:rPr>
            </w:pPr>
            <w:r w:rsidRPr="00A62B46">
              <w:rPr>
                <w:rFonts w:cs="Arial"/>
                <w:b/>
                <w:sz w:val="18"/>
                <w:szCs w:val="18"/>
              </w:rPr>
              <w:t>Limitations – awards selected but could not be tested</w:t>
            </w:r>
          </w:p>
        </w:tc>
        <w:tc>
          <w:tcPr>
            <w:tcW w:w="541" w:type="pct"/>
            <w:vAlign w:val="center"/>
          </w:tcPr>
          <w:p w14:paraId="27FF3356" w14:textId="77777777" w:rsidR="00A62B46" w:rsidRPr="00A62B46" w:rsidRDefault="00A62B46" w:rsidP="00A62B46">
            <w:pPr>
              <w:jc w:val="both"/>
              <w:rPr>
                <w:rFonts w:cs="Arial"/>
                <w:i/>
                <w:sz w:val="18"/>
                <w:szCs w:val="18"/>
              </w:rPr>
            </w:pPr>
            <w:r w:rsidRPr="00A62B46">
              <w:rPr>
                <w:rFonts w:cs="Arial"/>
                <w:i/>
                <w:sz w:val="18"/>
                <w:szCs w:val="18"/>
              </w:rPr>
              <w:t>0</w:t>
            </w:r>
          </w:p>
        </w:tc>
        <w:tc>
          <w:tcPr>
            <w:tcW w:w="743" w:type="pct"/>
            <w:vAlign w:val="center"/>
          </w:tcPr>
          <w:p w14:paraId="046140A3" w14:textId="77777777" w:rsidR="00A62B46" w:rsidRPr="00A62B46" w:rsidRDefault="00A62B46" w:rsidP="00A62B46">
            <w:pPr>
              <w:jc w:val="both"/>
              <w:rPr>
                <w:rFonts w:cs="Arial"/>
                <w:i/>
                <w:sz w:val="18"/>
                <w:szCs w:val="18"/>
              </w:rPr>
            </w:pPr>
            <w:r w:rsidRPr="00A62B46">
              <w:rPr>
                <w:rFonts w:cs="Arial"/>
                <w:i/>
                <w:sz w:val="18"/>
                <w:szCs w:val="18"/>
              </w:rPr>
              <w:t>0</w:t>
            </w:r>
          </w:p>
        </w:tc>
        <w:tc>
          <w:tcPr>
            <w:tcW w:w="471" w:type="pct"/>
            <w:vAlign w:val="center"/>
          </w:tcPr>
          <w:p w14:paraId="21F97140" w14:textId="77777777" w:rsidR="00A62B46" w:rsidRPr="00A62B46" w:rsidRDefault="00A62B46" w:rsidP="00A62B46">
            <w:pPr>
              <w:jc w:val="both"/>
              <w:rPr>
                <w:rFonts w:cs="Arial"/>
                <w:i/>
                <w:sz w:val="18"/>
                <w:szCs w:val="18"/>
              </w:rPr>
            </w:pPr>
            <w:r w:rsidRPr="00A62B46">
              <w:rPr>
                <w:rFonts w:cs="Arial"/>
                <w:i/>
                <w:sz w:val="18"/>
                <w:szCs w:val="18"/>
              </w:rPr>
              <w:t>0</w:t>
            </w:r>
          </w:p>
        </w:tc>
        <w:tc>
          <w:tcPr>
            <w:tcW w:w="601" w:type="pct"/>
            <w:vAlign w:val="center"/>
          </w:tcPr>
          <w:p w14:paraId="797A7B63" w14:textId="77777777" w:rsidR="00A62B46" w:rsidRPr="00A62B46" w:rsidRDefault="00A62B46" w:rsidP="00A62B46">
            <w:pPr>
              <w:jc w:val="both"/>
              <w:rPr>
                <w:rFonts w:cs="Arial"/>
                <w:i/>
                <w:sz w:val="18"/>
                <w:szCs w:val="18"/>
              </w:rPr>
            </w:pPr>
            <w:r w:rsidRPr="00A62B46">
              <w:rPr>
                <w:rFonts w:cs="Arial"/>
                <w:i/>
                <w:sz w:val="18"/>
                <w:szCs w:val="18"/>
              </w:rPr>
              <w:t>0</w:t>
            </w:r>
          </w:p>
        </w:tc>
        <w:tc>
          <w:tcPr>
            <w:tcW w:w="515" w:type="pct"/>
            <w:vAlign w:val="center"/>
          </w:tcPr>
          <w:p w14:paraId="6ADC8EAE" w14:textId="77777777" w:rsidR="00A62B46" w:rsidRPr="00A62B46" w:rsidRDefault="00A62B46" w:rsidP="00A62B46">
            <w:pPr>
              <w:jc w:val="both"/>
              <w:rPr>
                <w:rFonts w:cs="Arial"/>
                <w:i/>
                <w:sz w:val="18"/>
                <w:szCs w:val="18"/>
              </w:rPr>
            </w:pPr>
            <w:r w:rsidRPr="00A62B46">
              <w:rPr>
                <w:rFonts w:cs="Arial"/>
                <w:i/>
                <w:sz w:val="18"/>
                <w:szCs w:val="18"/>
              </w:rPr>
              <w:t>0</w:t>
            </w:r>
          </w:p>
        </w:tc>
        <w:tc>
          <w:tcPr>
            <w:tcW w:w="846" w:type="pct"/>
            <w:vAlign w:val="center"/>
          </w:tcPr>
          <w:p w14:paraId="2A5AA405" w14:textId="77777777" w:rsidR="00A62B46" w:rsidRPr="00A62B46" w:rsidRDefault="00A62B46" w:rsidP="00A62B46">
            <w:pPr>
              <w:jc w:val="both"/>
              <w:rPr>
                <w:rFonts w:cs="Arial"/>
                <w:i/>
                <w:sz w:val="18"/>
                <w:szCs w:val="18"/>
              </w:rPr>
            </w:pPr>
            <w:r w:rsidRPr="00A62B46">
              <w:rPr>
                <w:rFonts w:cs="Arial"/>
                <w:i/>
                <w:sz w:val="18"/>
                <w:szCs w:val="18"/>
              </w:rPr>
              <w:t>0</w:t>
            </w:r>
          </w:p>
        </w:tc>
      </w:tr>
      <w:tr w:rsidR="00A62B46" w:rsidRPr="00A62B46" w14:paraId="6323244A" w14:textId="77777777" w:rsidTr="001F43F8">
        <w:tc>
          <w:tcPr>
            <w:tcW w:w="1284" w:type="pct"/>
          </w:tcPr>
          <w:p w14:paraId="7A61EAD7" w14:textId="77777777" w:rsidR="00A62B46" w:rsidRPr="00A62B46" w:rsidRDefault="00A62B46" w:rsidP="00A62B46">
            <w:pPr>
              <w:jc w:val="both"/>
              <w:rPr>
                <w:rFonts w:cs="Arial"/>
                <w:b/>
                <w:sz w:val="18"/>
                <w:szCs w:val="18"/>
              </w:rPr>
            </w:pPr>
            <w:r w:rsidRPr="00A62B46">
              <w:rPr>
                <w:rFonts w:cs="Arial"/>
                <w:b/>
                <w:sz w:val="18"/>
                <w:szCs w:val="18"/>
              </w:rPr>
              <w:t>Awards on which non-compliance was identified</w:t>
            </w:r>
          </w:p>
        </w:tc>
        <w:tc>
          <w:tcPr>
            <w:tcW w:w="541" w:type="pct"/>
            <w:vAlign w:val="center"/>
          </w:tcPr>
          <w:p w14:paraId="197B361D" w14:textId="77777777" w:rsidR="00A62B46" w:rsidRPr="00A62B46" w:rsidRDefault="00A62B46" w:rsidP="00A62B46">
            <w:pPr>
              <w:jc w:val="both"/>
              <w:rPr>
                <w:rFonts w:cs="Arial"/>
                <w:i/>
                <w:sz w:val="18"/>
                <w:szCs w:val="18"/>
              </w:rPr>
            </w:pPr>
            <w:r w:rsidRPr="00A62B46">
              <w:rPr>
                <w:rFonts w:cs="Arial"/>
                <w:i/>
                <w:sz w:val="18"/>
                <w:szCs w:val="18"/>
              </w:rPr>
              <w:t>15</w:t>
            </w:r>
          </w:p>
        </w:tc>
        <w:tc>
          <w:tcPr>
            <w:tcW w:w="743" w:type="pct"/>
            <w:vAlign w:val="center"/>
          </w:tcPr>
          <w:p w14:paraId="26D7C1B1" w14:textId="77777777" w:rsidR="00A62B46" w:rsidRPr="00A62B46" w:rsidRDefault="00A62B46" w:rsidP="00A62B46">
            <w:pPr>
              <w:jc w:val="both"/>
              <w:rPr>
                <w:rFonts w:cs="Arial"/>
                <w:i/>
                <w:sz w:val="18"/>
                <w:szCs w:val="18"/>
              </w:rPr>
            </w:pPr>
            <w:r w:rsidRPr="00A62B46">
              <w:rPr>
                <w:rFonts w:cs="Arial"/>
                <w:i/>
                <w:sz w:val="18"/>
                <w:szCs w:val="18"/>
              </w:rPr>
              <w:t>362 626 014</w:t>
            </w:r>
          </w:p>
        </w:tc>
        <w:tc>
          <w:tcPr>
            <w:tcW w:w="471" w:type="pct"/>
            <w:vAlign w:val="center"/>
          </w:tcPr>
          <w:p w14:paraId="3E2E5DE5" w14:textId="77777777" w:rsidR="00A62B46" w:rsidRPr="00A62B46" w:rsidRDefault="00A62B46" w:rsidP="00A62B46">
            <w:pPr>
              <w:jc w:val="both"/>
              <w:rPr>
                <w:rFonts w:cs="Arial"/>
                <w:i/>
                <w:sz w:val="18"/>
                <w:szCs w:val="18"/>
              </w:rPr>
            </w:pPr>
            <w:r w:rsidRPr="00A62B46">
              <w:rPr>
                <w:rFonts w:cs="Arial"/>
                <w:i/>
                <w:sz w:val="18"/>
                <w:szCs w:val="18"/>
              </w:rPr>
              <w:t>7</w:t>
            </w:r>
          </w:p>
        </w:tc>
        <w:tc>
          <w:tcPr>
            <w:tcW w:w="601" w:type="pct"/>
            <w:vAlign w:val="center"/>
          </w:tcPr>
          <w:p w14:paraId="13D4F5AF" w14:textId="77777777" w:rsidR="00A62B46" w:rsidRPr="00A62B46" w:rsidRDefault="00A62B46" w:rsidP="00A62B46">
            <w:pPr>
              <w:jc w:val="both"/>
              <w:rPr>
                <w:rFonts w:cs="Arial"/>
                <w:i/>
                <w:sz w:val="18"/>
                <w:szCs w:val="18"/>
              </w:rPr>
            </w:pPr>
            <w:r w:rsidRPr="00A62B46">
              <w:rPr>
                <w:rFonts w:cs="Arial"/>
                <w:i/>
                <w:sz w:val="18"/>
                <w:szCs w:val="18"/>
              </w:rPr>
              <w:t>2 545 582</w:t>
            </w:r>
          </w:p>
        </w:tc>
        <w:tc>
          <w:tcPr>
            <w:tcW w:w="515" w:type="pct"/>
            <w:vAlign w:val="center"/>
          </w:tcPr>
          <w:p w14:paraId="6BE1E5BB" w14:textId="77777777" w:rsidR="00A62B46" w:rsidRPr="00A62B46" w:rsidRDefault="00A62B46" w:rsidP="00A62B46">
            <w:pPr>
              <w:jc w:val="both"/>
              <w:rPr>
                <w:rFonts w:cs="Arial"/>
                <w:i/>
                <w:sz w:val="18"/>
                <w:szCs w:val="18"/>
              </w:rPr>
            </w:pPr>
            <w:r w:rsidRPr="00A62B46">
              <w:rPr>
                <w:rFonts w:cs="Arial"/>
                <w:i/>
                <w:sz w:val="18"/>
                <w:szCs w:val="18"/>
              </w:rPr>
              <w:t>8</w:t>
            </w:r>
          </w:p>
        </w:tc>
        <w:tc>
          <w:tcPr>
            <w:tcW w:w="846" w:type="pct"/>
            <w:vAlign w:val="center"/>
          </w:tcPr>
          <w:p w14:paraId="543728C0" w14:textId="77777777" w:rsidR="00A62B46" w:rsidRPr="00A62B46" w:rsidRDefault="00A62B46" w:rsidP="00A62B46">
            <w:pPr>
              <w:jc w:val="both"/>
              <w:rPr>
                <w:rFonts w:cs="Arial"/>
                <w:i/>
                <w:sz w:val="18"/>
                <w:szCs w:val="18"/>
              </w:rPr>
            </w:pPr>
            <w:r w:rsidRPr="00A62B46">
              <w:rPr>
                <w:rFonts w:cs="Arial"/>
                <w:i/>
                <w:sz w:val="18"/>
                <w:szCs w:val="18"/>
              </w:rPr>
              <w:t>360 080 432</w:t>
            </w:r>
          </w:p>
        </w:tc>
      </w:tr>
      <w:tr w:rsidR="00A62B46" w:rsidRPr="00A62B46" w14:paraId="29A26711" w14:textId="77777777" w:rsidTr="001F43F8">
        <w:tc>
          <w:tcPr>
            <w:tcW w:w="1284" w:type="pct"/>
          </w:tcPr>
          <w:p w14:paraId="56342337" w14:textId="77777777" w:rsidR="00A62B46" w:rsidRPr="00A62B46" w:rsidRDefault="00A62B46" w:rsidP="00A62B46">
            <w:pPr>
              <w:jc w:val="both"/>
              <w:rPr>
                <w:rFonts w:cs="Arial"/>
                <w:b/>
                <w:sz w:val="18"/>
                <w:szCs w:val="18"/>
              </w:rPr>
            </w:pPr>
            <w:r w:rsidRPr="00A62B46">
              <w:rPr>
                <w:rFonts w:cs="Arial"/>
                <w:b/>
                <w:sz w:val="18"/>
                <w:szCs w:val="18"/>
              </w:rPr>
              <w:t>Irregular expenditure identified</w:t>
            </w:r>
          </w:p>
        </w:tc>
        <w:tc>
          <w:tcPr>
            <w:tcW w:w="541" w:type="pct"/>
            <w:vAlign w:val="center"/>
          </w:tcPr>
          <w:p w14:paraId="2937EA3F" w14:textId="77777777" w:rsidR="00A62B46" w:rsidRPr="00A62B46" w:rsidRDefault="00A62B46" w:rsidP="00A62B46">
            <w:pPr>
              <w:jc w:val="both"/>
              <w:rPr>
                <w:rFonts w:cs="Arial"/>
                <w:i/>
                <w:sz w:val="18"/>
                <w:szCs w:val="18"/>
              </w:rPr>
            </w:pPr>
            <w:r w:rsidRPr="00A62B46">
              <w:rPr>
                <w:rFonts w:cs="Arial"/>
                <w:i/>
                <w:sz w:val="18"/>
                <w:szCs w:val="18"/>
              </w:rPr>
              <w:t>13</w:t>
            </w:r>
          </w:p>
        </w:tc>
        <w:tc>
          <w:tcPr>
            <w:tcW w:w="743" w:type="pct"/>
            <w:vAlign w:val="center"/>
          </w:tcPr>
          <w:p w14:paraId="612230A0" w14:textId="77777777" w:rsidR="00A62B46" w:rsidRPr="00A62B46" w:rsidRDefault="00A62B46" w:rsidP="00A62B46">
            <w:pPr>
              <w:ind w:right="-108"/>
              <w:jc w:val="both"/>
              <w:rPr>
                <w:rFonts w:cs="Arial"/>
                <w:i/>
                <w:sz w:val="18"/>
                <w:szCs w:val="18"/>
              </w:rPr>
            </w:pPr>
            <w:r w:rsidRPr="00A62B46">
              <w:rPr>
                <w:rFonts w:cs="Arial"/>
                <w:i/>
                <w:sz w:val="18"/>
                <w:szCs w:val="18"/>
              </w:rPr>
              <w:t>64 012 915</w:t>
            </w:r>
          </w:p>
        </w:tc>
        <w:tc>
          <w:tcPr>
            <w:tcW w:w="471" w:type="pct"/>
            <w:vAlign w:val="center"/>
          </w:tcPr>
          <w:p w14:paraId="77B05DBC" w14:textId="77777777" w:rsidR="00A62B46" w:rsidRPr="00A62B46" w:rsidRDefault="00A62B46" w:rsidP="00A62B46">
            <w:pPr>
              <w:jc w:val="both"/>
              <w:rPr>
                <w:rFonts w:cs="Arial"/>
                <w:i/>
                <w:sz w:val="18"/>
                <w:szCs w:val="18"/>
              </w:rPr>
            </w:pPr>
            <w:r w:rsidRPr="00A62B46">
              <w:rPr>
                <w:rFonts w:cs="Arial"/>
                <w:i/>
                <w:sz w:val="18"/>
                <w:szCs w:val="18"/>
              </w:rPr>
              <w:t>7</w:t>
            </w:r>
          </w:p>
        </w:tc>
        <w:tc>
          <w:tcPr>
            <w:tcW w:w="601" w:type="pct"/>
            <w:vAlign w:val="center"/>
          </w:tcPr>
          <w:p w14:paraId="4408FFEA" w14:textId="77777777" w:rsidR="00A62B46" w:rsidRPr="00A62B46" w:rsidRDefault="00A62B46" w:rsidP="00A62B46">
            <w:pPr>
              <w:ind w:right="-108"/>
              <w:jc w:val="both"/>
              <w:rPr>
                <w:rFonts w:cs="Arial"/>
                <w:i/>
                <w:sz w:val="18"/>
                <w:szCs w:val="18"/>
              </w:rPr>
            </w:pPr>
            <w:r w:rsidRPr="00A62B46">
              <w:rPr>
                <w:rFonts w:cs="Arial"/>
                <w:i/>
                <w:sz w:val="18"/>
                <w:szCs w:val="18"/>
              </w:rPr>
              <w:t xml:space="preserve">2 545 582 </w:t>
            </w:r>
          </w:p>
        </w:tc>
        <w:tc>
          <w:tcPr>
            <w:tcW w:w="515" w:type="pct"/>
            <w:vAlign w:val="center"/>
          </w:tcPr>
          <w:p w14:paraId="284E8F59" w14:textId="77777777" w:rsidR="00A62B46" w:rsidRPr="00A62B46" w:rsidRDefault="00A62B46" w:rsidP="00A62B46">
            <w:pPr>
              <w:jc w:val="both"/>
              <w:rPr>
                <w:rFonts w:cs="Arial"/>
                <w:i/>
                <w:sz w:val="18"/>
                <w:szCs w:val="18"/>
              </w:rPr>
            </w:pPr>
            <w:r w:rsidRPr="00A62B46">
              <w:rPr>
                <w:rFonts w:cs="Arial"/>
                <w:i/>
                <w:sz w:val="18"/>
                <w:szCs w:val="18"/>
              </w:rPr>
              <w:t>6</w:t>
            </w:r>
          </w:p>
        </w:tc>
        <w:tc>
          <w:tcPr>
            <w:tcW w:w="846" w:type="pct"/>
            <w:vAlign w:val="center"/>
          </w:tcPr>
          <w:p w14:paraId="68DE0CEA" w14:textId="77777777" w:rsidR="00A62B46" w:rsidRPr="00A62B46" w:rsidRDefault="00A62B46" w:rsidP="00A62B46">
            <w:pPr>
              <w:jc w:val="both"/>
              <w:rPr>
                <w:rFonts w:cs="Arial"/>
                <w:i/>
                <w:sz w:val="18"/>
                <w:szCs w:val="18"/>
              </w:rPr>
            </w:pPr>
            <w:r w:rsidRPr="00A62B46">
              <w:rPr>
                <w:rFonts w:cs="Arial"/>
                <w:i/>
                <w:sz w:val="18"/>
                <w:szCs w:val="18"/>
              </w:rPr>
              <w:t>61 467 333</w:t>
            </w:r>
          </w:p>
        </w:tc>
      </w:tr>
      <w:tr w:rsidR="00A62B46" w:rsidRPr="00A62B46" w14:paraId="5D5E47D5" w14:textId="77777777" w:rsidTr="001F43F8">
        <w:tc>
          <w:tcPr>
            <w:tcW w:w="1284" w:type="pct"/>
          </w:tcPr>
          <w:p w14:paraId="5658CCE5" w14:textId="77777777" w:rsidR="00A62B46" w:rsidRPr="00A62B46" w:rsidRDefault="00A62B46" w:rsidP="00A62B46">
            <w:pPr>
              <w:jc w:val="both"/>
              <w:rPr>
                <w:rFonts w:cs="Arial"/>
                <w:b/>
                <w:sz w:val="18"/>
                <w:szCs w:val="18"/>
              </w:rPr>
            </w:pPr>
            <w:r w:rsidRPr="00A62B46">
              <w:rPr>
                <w:rFonts w:cs="Arial"/>
                <w:b/>
                <w:sz w:val="18"/>
                <w:szCs w:val="18"/>
              </w:rPr>
              <w:t>Instances of irregular expenditure where goods/ services were not received</w:t>
            </w:r>
          </w:p>
        </w:tc>
        <w:tc>
          <w:tcPr>
            <w:tcW w:w="541" w:type="pct"/>
            <w:vAlign w:val="center"/>
          </w:tcPr>
          <w:p w14:paraId="27B93F3D" w14:textId="77777777" w:rsidR="00A62B46" w:rsidRPr="00A62B46" w:rsidRDefault="00A62B46" w:rsidP="00A62B46">
            <w:pPr>
              <w:jc w:val="both"/>
              <w:rPr>
                <w:rFonts w:cs="Arial"/>
                <w:i/>
                <w:sz w:val="18"/>
                <w:szCs w:val="18"/>
              </w:rPr>
            </w:pPr>
            <w:r w:rsidRPr="00A62B46">
              <w:rPr>
                <w:rFonts w:cs="Arial"/>
                <w:i/>
                <w:sz w:val="18"/>
                <w:szCs w:val="18"/>
              </w:rPr>
              <w:t>0</w:t>
            </w:r>
          </w:p>
        </w:tc>
        <w:tc>
          <w:tcPr>
            <w:tcW w:w="743" w:type="pct"/>
            <w:vAlign w:val="center"/>
          </w:tcPr>
          <w:p w14:paraId="08BBDD08" w14:textId="77777777" w:rsidR="00A62B46" w:rsidRPr="00A62B46" w:rsidRDefault="00A62B46" w:rsidP="00A62B46">
            <w:pPr>
              <w:ind w:right="-108"/>
              <w:jc w:val="both"/>
              <w:rPr>
                <w:rFonts w:cs="Arial"/>
                <w:i/>
                <w:sz w:val="18"/>
                <w:szCs w:val="18"/>
              </w:rPr>
            </w:pPr>
            <w:r w:rsidRPr="00A62B46">
              <w:rPr>
                <w:rFonts w:cs="Arial"/>
                <w:i/>
                <w:sz w:val="18"/>
                <w:szCs w:val="18"/>
              </w:rPr>
              <w:t>0</w:t>
            </w:r>
          </w:p>
        </w:tc>
        <w:tc>
          <w:tcPr>
            <w:tcW w:w="471" w:type="pct"/>
            <w:vAlign w:val="center"/>
          </w:tcPr>
          <w:p w14:paraId="2A1B3587" w14:textId="77777777" w:rsidR="00A62B46" w:rsidRPr="00A62B46" w:rsidRDefault="00A62B46" w:rsidP="00A62B46">
            <w:pPr>
              <w:jc w:val="both"/>
              <w:rPr>
                <w:rFonts w:cs="Arial"/>
                <w:i/>
                <w:sz w:val="18"/>
                <w:szCs w:val="18"/>
              </w:rPr>
            </w:pPr>
            <w:r w:rsidRPr="00A62B46">
              <w:rPr>
                <w:rFonts w:cs="Arial"/>
                <w:i/>
                <w:sz w:val="18"/>
                <w:szCs w:val="18"/>
              </w:rPr>
              <w:t>0</w:t>
            </w:r>
          </w:p>
        </w:tc>
        <w:tc>
          <w:tcPr>
            <w:tcW w:w="601" w:type="pct"/>
            <w:vAlign w:val="center"/>
          </w:tcPr>
          <w:p w14:paraId="70E149AB" w14:textId="77777777" w:rsidR="00A62B46" w:rsidRPr="00A62B46" w:rsidRDefault="00A62B46" w:rsidP="00A62B46">
            <w:pPr>
              <w:ind w:right="-108"/>
              <w:jc w:val="both"/>
              <w:rPr>
                <w:rFonts w:cs="Arial"/>
                <w:i/>
                <w:sz w:val="18"/>
                <w:szCs w:val="18"/>
              </w:rPr>
            </w:pPr>
            <w:r w:rsidRPr="00A62B46">
              <w:rPr>
                <w:rFonts w:cs="Arial"/>
                <w:i/>
                <w:sz w:val="18"/>
                <w:szCs w:val="18"/>
              </w:rPr>
              <w:t>0</w:t>
            </w:r>
          </w:p>
        </w:tc>
        <w:tc>
          <w:tcPr>
            <w:tcW w:w="515" w:type="pct"/>
            <w:vAlign w:val="center"/>
          </w:tcPr>
          <w:p w14:paraId="0DD405DB" w14:textId="77777777" w:rsidR="00A62B46" w:rsidRPr="00A62B46" w:rsidRDefault="00A62B46" w:rsidP="00A62B46">
            <w:pPr>
              <w:jc w:val="both"/>
              <w:rPr>
                <w:rFonts w:cs="Arial"/>
                <w:i/>
                <w:sz w:val="18"/>
                <w:szCs w:val="18"/>
              </w:rPr>
            </w:pPr>
            <w:r w:rsidRPr="00A62B46">
              <w:rPr>
                <w:rFonts w:cs="Arial"/>
                <w:i/>
                <w:sz w:val="18"/>
                <w:szCs w:val="18"/>
              </w:rPr>
              <w:t>0</w:t>
            </w:r>
          </w:p>
        </w:tc>
        <w:tc>
          <w:tcPr>
            <w:tcW w:w="846" w:type="pct"/>
            <w:vAlign w:val="center"/>
          </w:tcPr>
          <w:p w14:paraId="19F16938" w14:textId="77777777" w:rsidR="00A62B46" w:rsidRPr="00A62B46" w:rsidRDefault="00A62B46" w:rsidP="00A62B46">
            <w:pPr>
              <w:jc w:val="both"/>
              <w:rPr>
                <w:rFonts w:cs="Arial"/>
                <w:i/>
                <w:sz w:val="18"/>
                <w:szCs w:val="18"/>
              </w:rPr>
            </w:pPr>
            <w:r w:rsidRPr="00A62B46">
              <w:rPr>
                <w:rFonts w:cs="Arial"/>
                <w:i/>
                <w:sz w:val="18"/>
                <w:szCs w:val="18"/>
              </w:rPr>
              <w:t>0</w:t>
            </w:r>
          </w:p>
        </w:tc>
      </w:tr>
    </w:tbl>
    <w:p w14:paraId="04F6A2F4" w14:textId="77777777" w:rsidR="00A62B46" w:rsidRPr="00A62B46" w:rsidRDefault="00A62B46" w:rsidP="00A62B46">
      <w:pPr>
        <w:spacing w:line="240" w:lineRule="auto"/>
        <w:ind w:left="357"/>
        <w:jc w:val="both"/>
        <w:rPr>
          <w:rFonts w:eastAsia="Times New Roman" w:cs="Arial"/>
        </w:rPr>
      </w:pPr>
    </w:p>
    <w:p w14:paraId="04D625B0" w14:textId="77777777" w:rsidR="00A62B46" w:rsidRPr="00A62B46" w:rsidRDefault="00A62B46" w:rsidP="00A62B46">
      <w:pPr>
        <w:keepNext/>
        <w:spacing w:before="120"/>
        <w:jc w:val="both"/>
        <w:outlineLvl w:val="4"/>
        <w:rPr>
          <w:rFonts w:eastAsia="Calibri" w:cs="Arial"/>
          <w:bCs/>
          <w:color w:val="4F81BD"/>
          <w:sz w:val="24"/>
        </w:rPr>
      </w:pPr>
      <w:r w:rsidRPr="00A62B46">
        <w:rPr>
          <w:rFonts w:eastAsia="Calibri" w:cs="Arial"/>
          <w:bCs/>
          <w:color w:val="4F81BD"/>
          <w:sz w:val="24"/>
        </w:rPr>
        <w:t>Procurement processes – general</w:t>
      </w:r>
    </w:p>
    <w:p w14:paraId="26708983" w14:textId="77777777" w:rsidR="00A62B46" w:rsidRPr="00A62B46" w:rsidRDefault="00A62B46" w:rsidP="006306CE">
      <w:pPr>
        <w:numPr>
          <w:ilvl w:val="0"/>
          <w:numId w:val="6"/>
        </w:numPr>
        <w:spacing w:before="120"/>
        <w:jc w:val="both"/>
        <w:rPr>
          <w:rFonts w:eastAsia="Calibri" w:cs="Arial"/>
        </w:rPr>
      </w:pPr>
      <w:r w:rsidRPr="00A62B46">
        <w:rPr>
          <w:rFonts w:eastAsia="Calibri" w:cs="Arial"/>
        </w:rPr>
        <w:t>Five awards with a value of R2 353 696 were procured without inviting at least the minimum prescribed number of written price quotations from prospective suppliers, and the deviation was approved even though it was possible to obtain the quotations.</w:t>
      </w:r>
    </w:p>
    <w:p w14:paraId="46581F63" w14:textId="77777777" w:rsidR="00A62B46" w:rsidRPr="00A62B46" w:rsidRDefault="00A62B46" w:rsidP="006306CE">
      <w:pPr>
        <w:numPr>
          <w:ilvl w:val="0"/>
          <w:numId w:val="6"/>
        </w:numPr>
        <w:spacing w:before="120"/>
        <w:jc w:val="both"/>
        <w:rPr>
          <w:rFonts w:eastAsia="Calibri" w:cs="Arial"/>
        </w:rPr>
      </w:pPr>
      <w:r w:rsidRPr="00A62B46">
        <w:rPr>
          <w:rFonts w:eastAsia="Calibri" w:cs="Arial"/>
        </w:rPr>
        <w:t>One contract to the value of R</w:t>
      </w:r>
      <w:r w:rsidRPr="00A62B46">
        <w:rPr>
          <w:rFonts w:eastAsia="Calibri" w:cs="Arial"/>
          <w:color w:val="000000"/>
          <w:lang w:eastAsia="en-ZA"/>
        </w:rPr>
        <w:t>16 115 607</w:t>
      </w:r>
      <w:r w:rsidRPr="00A62B46">
        <w:rPr>
          <w:rFonts w:eastAsia="Calibri" w:cs="Arial"/>
        </w:rPr>
        <w:t xml:space="preserve"> was procured from a supplier whose tax matters had not been declared by the South African Revenue Service to be in order.</w:t>
      </w:r>
    </w:p>
    <w:p w14:paraId="3DB8E6AA" w14:textId="77777777" w:rsidR="00A62B46" w:rsidRPr="00A62B46" w:rsidRDefault="00A62B46" w:rsidP="006306CE">
      <w:pPr>
        <w:numPr>
          <w:ilvl w:val="0"/>
          <w:numId w:val="6"/>
        </w:numPr>
        <w:spacing w:before="120"/>
        <w:jc w:val="both"/>
        <w:rPr>
          <w:rFonts w:eastAsia="Calibri" w:cs="Arial"/>
        </w:rPr>
      </w:pPr>
      <w:r w:rsidRPr="00A62B46">
        <w:rPr>
          <w:rFonts w:eastAsia="Calibri" w:cs="Arial"/>
        </w:rPr>
        <w:t>One contract with a value of R1 497 470 was procured without inviting competitive bids, and the deviations were approved even though it was practical to invite competitive bids.</w:t>
      </w:r>
    </w:p>
    <w:p w14:paraId="7975EF75" w14:textId="77777777" w:rsidR="00A62B46" w:rsidRPr="00A62B46" w:rsidRDefault="00A62B46" w:rsidP="006306CE">
      <w:pPr>
        <w:numPr>
          <w:ilvl w:val="0"/>
          <w:numId w:val="6"/>
        </w:numPr>
        <w:spacing w:before="120"/>
        <w:jc w:val="both"/>
        <w:rPr>
          <w:rFonts w:eastAsia="Calibri" w:cs="Arial"/>
        </w:rPr>
      </w:pPr>
      <w:r w:rsidRPr="00A62B46">
        <w:rPr>
          <w:rFonts w:eastAsia="Calibri" w:cs="Arial"/>
        </w:rPr>
        <w:t>One quotation with a value of R191 886 was awarded to a bidder who did not comply with specified pre-qualification criteria requirement.</w:t>
      </w:r>
    </w:p>
    <w:p w14:paraId="3C704454" w14:textId="77777777" w:rsidR="00A62B46" w:rsidRPr="00A62B46" w:rsidRDefault="00A62B46" w:rsidP="006306CE">
      <w:pPr>
        <w:numPr>
          <w:ilvl w:val="0"/>
          <w:numId w:val="6"/>
        </w:numPr>
        <w:spacing w:before="120"/>
        <w:jc w:val="both"/>
        <w:rPr>
          <w:rFonts w:eastAsia="Calibri" w:cs="Arial"/>
        </w:rPr>
      </w:pPr>
      <w:r w:rsidRPr="00A62B46">
        <w:rPr>
          <w:rFonts w:eastAsia="Calibri" w:cs="Arial"/>
        </w:rPr>
        <w:t>Two contracts which failed to achieve the minimum qualifying score for functionality criteria were not disqualified as unacceptable.</w:t>
      </w:r>
    </w:p>
    <w:p w14:paraId="39FA28DA" w14:textId="77777777" w:rsidR="00A62B46" w:rsidRPr="00A62B46" w:rsidRDefault="00A62B46" w:rsidP="00A62B46">
      <w:pPr>
        <w:keepNext/>
        <w:spacing w:before="120"/>
        <w:jc w:val="both"/>
        <w:outlineLvl w:val="4"/>
        <w:rPr>
          <w:rFonts w:eastAsia="Calibri" w:cs="Arial"/>
          <w:bCs/>
          <w:color w:val="4F81BD"/>
          <w:sz w:val="24"/>
        </w:rPr>
      </w:pPr>
      <w:r w:rsidRPr="00A62B46">
        <w:rPr>
          <w:rFonts w:eastAsia="Calibri" w:cs="Arial"/>
          <w:bCs/>
          <w:color w:val="4F81BD"/>
          <w:sz w:val="24"/>
        </w:rPr>
        <w:t>Construction contracts</w:t>
      </w:r>
    </w:p>
    <w:p w14:paraId="4CFE00F8" w14:textId="77777777" w:rsidR="00A62B46" w:rsidRPr="00A62B46" w:rsidRDefault="00A62B46" w:rsidP="006306CE">
      <w:pPr>
        <w:numPr>
          <w:ilvl w:val="0"/>
          <w:numId w:val="6"/>
        </w:numPr>
        <w:spacing w:before="120"/>
        <w:ind w:left="851" w:hanging="283"/>
        <w:jc w:val="both"/>
        <w:rPr>
          <w:rFonts w:eastAsia="Calibri" w:cs="Arial"/>
        </w:rPr>
      </w:pPr>
      <w:r w:rsidRPr="00A62B46">
        <w:rPr>
          <w:rFonts w:eastAsia="Calibri" w:cs="Arial"/>
        </w:rPr>
        <w:t>One construction contract with a total value of R49 930 723 was awarded to a contractor whose CIDB grading was below the required grading for the value of the particular contract.</w:t>
      </w:r>
    </w:p>
    <w:p w14:paraId="477818C3" w14:textId="77777777" w:rsidR="00A62B46" w:rsidRPr="00A62B46" w:rsidRDefault="00A62B46" w:rsidP="00A62B46">
      <w:pPr>
        <w:keepNext/>
        <w:spacing w:before="120"/>
        <w:jc w:val="both"/>
        <w:outlineLvl w:val="4"/>
        <w:rPr>
          <w:rFonts w:eastAsia="Calibri" w:cs="Arial"/>
          <w:bCs/>
          <w:color w:val="4F81BD"/>
          <w:sz w:val="24"/>
        </w:rPr>
      </w:pPr>
      <w:r w:rsidRPr="00A62B46">
        <w:rPr>
          <w:rFonts w:eastAsia="Calibri" w:cs="Arial"/>
          <w:bCs/>
          <w:color w:val="4F81BD"/>
          <w:sz w:val="24"/>
        </w:rPr>
        <w:lastRenderedPageBreak/>
        <w:t>Contract management</w:t>
      </w:r>
    </w:p>
    <w:p w14:paraId="655AD58B" w14:textId="77777777" w:rsidR="00A62B46" w:rsidRPr="00A62B46" w:rsidRDefault="00A62B46" w:rsidP="006306CE">
      <w:pPr>
        <w:numPr>
          <w:ilvl w:val="0"/>
          <w:numId w:val="6"/>
        </w:numPr>
        <w:spacing w:before="120"/>
        <w:ind w:left="851" w:hanging="283"/>
        <w:jc w:val="both"/>
        <w:rPr>
          <w:rFonts w:eastAsia="Calibri" w:cs="Arial"/>
        </w:rPr>
      </w:pPr>
      <w:r w:rsidRPr="00A62B46">
        <w:rPr>
          <w:rFonts w:eastAsia="Calibri" w:cs="Arial"/>
        </w:rPr>
        <w:t>The contract performance and monitoring measures and methods applied in monitoring three contract with a total value of R210 537 756 was insufficient to ensure effective contract management.</w:t>
      </w:r>
    </w:p>
    <w:p w14:paraId="68BF1421" w14:textId="77777777" w:rsidR="00A62B46" w:rsidRPr="00A62B46" w:rsidRDefault="00A62B46" w:rsidP="00A62B46">
      <w:pPr>
        <w:keepNext/>
        <w:spacing w:before="120"/>
        <w:jc w:val="both"/>
        <w:outlineLvl w:val="4"/>
        <w:rPr>
          <w:rFonts w:eastAsia="Calibri" w:cs="Arial"/>
          <w:bCs/>
          <w:color w:val="4F81BD"/>
          <w:sz w:val="24"/>
        </w:rPr>
      </w:pPr>
      <w:bookmarkStart w:id="160" w:name="_Toc447106621"/>
      <w:r w:rsidRPr="00A62B46">
        <w:rPr>
          <w:rFonts w:eastAsia="Calibri" w:cs="Arial"/>
          <w:bCs/>
          <w:color w:val="4F81BD"/>
          <w:sz w:val="24"/>
        </w:rPr>
        <w:t>Internal control deficiencies</w:t>
      </w:r>
      <w:bookmarkEnd w:id="160"/>
      <w:r w:rsidRPr="00A62B46">
        <w:rPr>
          <w:rFonts w:eastAsia="Calibri" w:cs="Arial"/>
          <w:bCs/>
          <w:color w:val="4F81BD"/>
          <w:sz w:val="24"/>
        </w:rPr>
        <w:t xml:space="preserve"> </w:t>
      </w:r>
    </w:p>
    <w:p w14:paraId="05741FA4"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bookmarkStart w:id="161" w:name="_PART_B:_EXPLANATORY"/>
      <w:bookmarkStart w:id="162" w:name="_E1._Addressee"/>
      <w:bookmarkStart w:id="163" w:name="E0_2"/>
      <w:bookmarkStart w:id="164" w:name="E0_3"/>
      <w:bookmarkStart w:id="165" w:name="S1E1"/>
      <w:bookmarkStart w:id="166" w:name="_E2._Material_misstatements"/>
      <w:bookmarkStart w:id="167" w:name="EME1"/>
      <w:bookmarkStart w:id="168" w:name="_E3._Material_misstatements"/>
      <w:bookmarkStart w:id="169" w:name="EME2"/>
      <w:bookmarkStart w:id="170" w:name="E4"/>
      <w:bookmarkStart w:id="171" w:name="E4_1"/>
      <w:bookmarkStart w:id="172" w:name="_E4._Basis_of"/>
      <w:bookmarkStart w:id="173" w:name="EME3"/>
      <w:bookmarkStart w:id="174" w:name="_E5._Significant_uncertainties"/>
      <w:bookmarkStart w:id="175" w:name="EME4"/>
      <w:bookmarkStart w:id="176" w:name="_E6._Restatement_of"/>
      <w:bookmarkStart w:id="177" w:name="EME5"/>
      <w:bookmarkStart w:id="178" w:name="_E7._Unauthorised_/"/>
      <w:bookmarkStart w:id="179" w:name="_E7._Funding_of"/>
      <w:bookmarkStart w:id="180" w:name="EME6"/>
      <w:bookmarkStart w:id="181" w:name="_E7._Unauthorised_/_1"/>
      <w:bookmarkStart w:id="182" w:name="EME7"/>
      <w:bookmarkStart w:id="183" w:name="_E8._Material_losses"/>
      <w:bookmarkStart w:id="184" w:name="EME8"/>
      <w:bookmarkStart w:id="185" w:name="_E9._Material_under"/>
      <w:bookmarkStart w:id="186" w:name="_E10._Material_underspending"/>
      <w:bookmarkStart w:id="187" w:name="EME9"/>
      <w:bookmarkStart w:id="188" w:name="_E10._Funding_of"/>
      <w:bookmarkStart w:id="189" w:name="EME10"/>
      <w:bookmarkStart w:id="190" w:name="E5"/>
      <w:bookmarkStart w:id="191" w:name="_E11._Prior_year"/>
      <w:bookmarkStart w:id="192" w:name="EME11"/>
      <w:bookmarkStart w:id="193" w:name="_E12._Material_inconsistencies"/>
      <w:bookmarkStart w:id="194" w:name="EME12"/>
      <w:bookmarkStart w:id="195" w:name="_E13._Unaudited_supplementary"/>
      <w:bookmarkStart w:id="196" w:name="EME13"/>
      <w:bookmarkStart w:id="197" w:name="_E15._Opinion_on"/>
      <w:bookmarkStart w:id="198" w:name="EME14"/>
      <w:bookmarkStart w:id="199" w:name="_E16._Other_(please"/>
      <w:bookmarkStart w:id="200" w:name="EME15"/>
      <w:bookmarkStart w:id="201" w:name="Scope_limitation"/>
      <w:bookmarkStart w:id="202" w:name="Other"/>
      <w:bookmarkStart w:id="203" w:name="Other_reports"/>
      <w:bookmarkStart w:id="204" w:name="E17"/>
      <w:bookmarkStart w:id="205" w:name="New4E6"/>
      <w:bookmarkStart w:id="206" w:name="E8"/>
      <w:bookmarkStart w:id="207" w:name="E9"/>
      <w:bookmarkStart w:id="208" w:name="E10"/>
      <w:bookmarkStart w:id="209" w:name="AoPOa"/>
      <w:bookmarkStart w:id="210" w:name="AoPOb"/>
      <w:bookmarkStart w:id="211" w:name="E11"/>
      <w:bookmarkStart w:id="212" w:name="E12"/>
      <w:bookmarkStart w:id="213" w:name="E13"/>
      <w:bookmarkStart w:id="214" w:name="AoPOc"/>
      <w:bookmarkStart w:id="215" w:name="E14"/>
      <w:bookmarkStart w:id="216" w:name="AoPOd"/>
      <w:bookmarkStart w:id="217" w:name="E25"/>
      <w:bookmarkStart w:id="218" w:name="E25B"/>
      <w:bookmarkStart w:id="219" w:name="AoPOe"/>
      <w:bookmarkStart w:id="220" w:name="AoPOf"/>
      <w:bookmarkStart w:id="221" w:name="E26"/>
      <w:bookmarkStart w:id="222" w:name="AoPOg"/>
      <w:bookmarkStart w:id="223" w:name="E18b"/>
      <w:bookmarkStart w:id="224" w:name="E28A"/>
      <w:bookmarkStart w:id="225" w:name="E28B"/>
      <w:bookmarkStart w:id="226" w:name="AoPOh"/>
      <w:bookmarkStart w:id="227" w:name="E20b"/>
      <w:bookmarkStart w:id="228" w:name="New4E7"/>
      <w:bookmarkStart w:id="229" w:name="_E14._Internal_control"/>
      <w:bookmarkStart w:id="230" w:name="_E15._Achievement_of"/>
      <w:bookmarkStart w:id="231" w:name="_E17._Achievement_of"/>
      <w:bookmarkStart w:id="232" w:name="EME16"/>
      <w:bookmarkStart w:id="233" w:name="_E16._Remedial_action"/>
      <w:bookmarkStart w:id="234" w:name="_E18._Action_taken"/>
      <w:bookmarkStart w:id="235" w:name="_E17._Oversight_responsibility"/>
      <w:bookmarkStart w:id="236" w:name="E17_1"/>
      <w:bookmarkStart w:id="237" w:name="S5E18"/>
      <w:bookmarkStart w:id="238" w:name="S5E19"/>
      <w:bookmarkStart w:id="239" w:name="S5E20"/>
      <w:bookmarkStart w:id="240" w:name="S5E21"/>
      <w:bookmarkStart w:id="241" w:name="Develop"/>
      <w:bookmarkStart w:id="242" w:name="S5E22"/>
      <w:bookmarkStart w:id="243" w:name="S5E23"/>
      <w:bookmarkStart w:id="244" w:name="S5E24"/>
      <w:bookmarkStart w:id="245" w:name="S5E25"/>
      <w:bookmarkStart w:id="246" w:name="S5E26"/>
      <w:bookmarkStart w:id="247" w:name="Regular"/>
      <w:bookmarkStart w:id="248" w:name="Review"/>
      <w:bookmarkStart w:id="249" w:name="S5E27"/>
      <w:bookmarkStart w:id="250" w:name="S5E28"/>
      <w:bookmarkStart w:id="251" w:name="S5E29"/>
      <w:bookmarkStart w:id="252" w:name="S5E30"/>
      <w:bookmarkStart w:id="253" w:name="S5E31"/>
      <w:bookmarkStart w:id="254" w:name="S5E32"/>
      <w:bookmarkStart w:id="255" w:name="S5E33"/>
      <w:bookmarkStart w:id="256" w:name="S5E34"/>
      <w:bookmarkStart w:id="257" w:name="Risk"/>
      <w:bookmarkStart w:id="258" w:name="S5E35"/>
      <w:bookmarkStart w:id="259" w:name="Internal"/>
      <w:bookmarkStart w:id="260" w:name="S5E37"/>
      <w:bookmarkStart w:id="261" w:name="EME18"/>
      <w:bookmarkStart w:id="262" w:name="_E21._Oversight_responsibility"/>
      <w:bookmarkStart w:id="263" w:name="EME19"/>
      <w:bookmarkStart w:id="264" w:name="_E18._Availability_of"/>
      <w:bookmarkStart w:id="265" w:name="_E22._Adequacy_and"/>
      <w:bookmarkStart w:id="266" w:name="EME20"/>
      <w:bookmarkStart w:id="267" w:name="_E23._Availability_of"/>
      <w:bookmarkStart w:id="268" w:name="_E19._Adequacy_and"/>
      <w:bookmarkStart w:id="269" w:name="_E20._Integrity_and"/>
      <w:bookmarkStart w:id="270" w:name="_E21._Implementation_of"/>
      <w:bookmarkStart w:id="271" w:name="EME21"/>
      <w:bookmarkStart w:id="272" w:name="Para22"/>
      <w:bookmarkStart w:id="273" w:name="_E25._Actions_taken"/>
      <w:bookmarkStart w:id="274" w:name="_E26._Status_of"/>
      <w:bookmarkStart w:id="275" w:name="EME22"/>
      <w:bookmarkStart w:id="276" w:name="EME23"/>
      <w:bookmarkStart w:id="277" w:name="_E22._Adequacy_of"/>
      <w:bookmarkStart w:id="278" w:name="_E27._Availability_of"/>
      <w:bookmarkStart w:id="279" w:name="EME24"/>
      <w:bookmarkStart w:id="280" w:name="_E28._Late_submission"/>
      <w:bookmarkStart w:id="281" w:name="_E29._Controls_over"/>
      <w:bookmarkStart w:id="282" w:name="EME25"/>
      <w:bookmarkStart w:id="283" w:name="Para26"/>
      <w:bookmarkStart w:id="284" w:name="_E30_Adequacy_of"/>
      <w:bookmarkStart w:id="285" w:name="EME26"/>
      <w:bookmarkStart w:id="286" w:name="EME27"/>
      <w:bookmarkStart w:id="287" w:name="_E23._Accounting_discipline"/>
      <w:bookmarkStart w:id="288" w:name="_E24._Accounting_policies,"/>
      <w:bookmarkStart w:id="289" w:name="_E31._Accounting_policies,"/>
      <w:bookmarkStart w:id="290" w:name="EME28"/>
      <w:bookmarkStart w:id="291" w:name="_E32._Use_of"/>
      <w:bookmarkStart w:id="292" w:name="EME29"/>
      <w:bookmarkStart w:id="293" w:name="_E25._Budget_process"/>
      <w:bookmarkStart w:id="294" w:name="_E33._Budget_process"/>
      <w:bookmarkStart w:id="295" w:name="EME30"/>
      <w:bookmarkStart w:id="296" w:name="_E26._Availability_of"/>
      <w:bookmarkStart w:id="297" w:name="_E28._Related_party"/>
      <w:bookmarkStart w:id="298" w:name="_E34._Related_party"/>
      <w:bookmarkStart w:id="299" w:name="EME31"/>
      <w:bookmarkStart w:id="300" w:name="_E29._Use_of"/>
      <w:bookmarkStart w:id="301" w:name="_E35._Monitoring_compliance"/>
      <w:bookmarkStart w:id="302" w:name="EME32"/>
      <w:bookmarkStart w:id="303" w:name="EME33"/>
      <w:bookmarkStart w:id="304" w:name="_E29._Risk_identification"/>
      <w:bookmarkStart w:id="305" w:name="_E30._Risk_identification"/>
      <w:bookmarkStart w:id="306" w:name="_E36._Risk_identification"/>
      <w:bookmarkStart w:id="307" w:name="EME34"/>
      <w:bookmarkStart w:id="308" w:name="_E30._Fraud_prevention,"/>
      <w:bookmarkStart w:id="309" w:name="_E31._Fraud_prevention,"/>
      <w:bookmarkStart w:id="310" w:name="_E37._Fraud_prevention,"/>
      <w:bookmarkStart w:id="311" w:name="EME35"/>
      <w:bookmarkStart w:id="312" w:name="_E31._Internal_audit"/>
      <w:bookmarkStart w:id="313" w:name="_E32._Internal_audit"/>
      <w:bookmarkStart w:id="314" w:name="_E38._Internal_audit"/>
      <w:bookmarkStart w:id="315" w:name="EME36"/>
      <w:bookmarkStart w:id="316" w:name="_E32._Audit_committee"/>
      <w:bookmarkStart w:id="317" w:name="_E33._Audit_committee"/>
      <w:bookmarkStart w:id="318" w:name="_E39._Audit_committee"/>
      <w:bookmarkStart w:id="319" w:name="EME37"/>
      <w:bookmarkStart w:id="320" w:name="E32"/>
      <w:bookmarkStart w:id="321" w:name="E33"/>
      <w:bookmarkStart w:id="322" w:name="E22"/>
      <w:bookmarkStart w:id="323" w:name="New4E25"/>
      <w:bookmarkStart w:id="324" w:name="New4E26"/>
      <w:bookmarkStart w:id="325" w:name="New4E27"/>
      <w:bookmarkStart w:id="326" w:name="Accounting"/>
      <w:bookmarkStart w:id="327" w:name="subsequent"/>
      <w:bookmarkStart w:id="328" w:name="EME42"/>
      <w:bookmarkStart w:id="329" w:name="EME43"/>
      <w:bookmarkStart w:id="330" w:name="E35"/>
      <w:bookmarkStart w:id="331" w:name="_E33._Actions_taken"/>
      <w:bookmarkStart w:id="332" w:name="_E34._Actions_taken"/>
      <w:bookmarkStart w:id="333" w:name="EME38"/>
      <w:bookmarkStart w:id="334" w:name="Assesstable"/>
      <w:bookmarkStart w:id="335" w:name="Consultants"/>
      <w:bookmarkStart w:id="336" w:name="Fraud"/>
      <w:bookmarkStart w:id="337" w:name="Para35"/>
      <w:bookmarkStart w:id="338" w:name="E40"/>
      <w:bookmarkStart w:id="339" w:name="Para36"/>
      <w:bookmarkStart w:id="340" w:name="_E36._Accounting_and"/>
      <w:bookmarkStart w:id="341" w:name="_E37._Accounting_and"/>
      <w:bookmarkStart w:id="342" w:name="_E40._Accounting_and"/>
      <w:bookmarkStart w:id="343" w:name="EME39"/>
      <w:bookmarkStart w:id="344" w:name="_E37._Susceptibility_of"/>
      <w:bookmarkStart w:id="345" w:name="_E38._Susceptibility_of"/>
      <w:bookmarkStart w:id="346" w:name="_E38._Subsequent_events"/>
      <w:bookmarkStart w:id="347" w:name="_E39._Subsequent_events"/>
      <w:bookmarkStart w:id="348" w:name="_E41._Subsequent_events[Back]"/>
      <w:bookmarkStart w:id="349" w:name="EME40"/>
      <w:bookmarkStart w:id="350" w:name="EME44"/>
      <w:bookmarkStart w:id="351" w:name="Oversight"/>
      <w:bookmarkStart w:id="352" w:name="_E19._Internal_control"/>
      <w:bookmarkStart w:id="353" w:name="EME17"/>
      <w:bookmarkStart w:id="354" w:name="E45"/>
      <w:bookmarkStart w:id="355" w:name="New_E41"/>
      <w:bookmarkStart w:id="356" w:name="E_section7"/>
      <w:bookmarkStart w:id="357" w:name="EME41"/>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62B46">
        <w:rPr>
          <w:rFonts w:eastAsia="Calibri" w:cs="Arial"/>
        </w:rPr>
        <w:t>The accounting officer did not in some instances exercise oversight responsibility of the reporting and compliance with laws and regulations.</w:t>
      </w:r>
    </w:p>
    <w:p w14:paraId="52EE8E66" w14:textId="77777777" w:rsidR="00A62B46" w:rsidRPr="00A62B46" w:rsidRDefault="00A62B46" w:rsidP="006306CE">
      <w:pPr>
        <w:numPr>
          <w:ilvl w:val="0"/>
          <w:numId w:val="15"/>
        </w:numPr>
        <w:shd w:val="clear" w:color="auto" w:fill="FFFFFF"/>
        <w:spacing w:before="120"/>
        <w:ind w:left="567" w:hanging="567"/>
        <w:jc w:val="both"/>
        <w:rPr>
          <w:rFonts w:eastAsia="Calibri" w:cs="Arial"/>
        </w:rPr>
      </w:pPr>
      <w:r w:rsidRPr="00A62B46">
        <w:rPr>
          <w:rFonts w:eastAsia="Calibri" w:cs="Arial"/>
        </w:rPr>
        <w:t>Reviewing and monitoring of compliance with relevant laws and regulations was insufficient and not properly monitored in some instances.</w:t>
      </w:r>
    </w:p>
    <w:p w14:paraId="24D9C542" w14:textId="77777777" w:rsidR="00A011D5" w:rsidRPr="00A011D5" w:rsidRDefault="00A011D5" w:rsidP="00A011D5">
      <w:pPr>
        <w:keepNext/>
        <w:spacing w:before="120" w:line="240" w:lineRule="auto"/>
        <w:jc w:val="both"/>
        <w:outlineLvl w:val="2"/>
        <w:rPr>
          <w:rFonts w:ascii="Century Gothic" w:eastAsia="Times New Roman" w:hAnsi="Century Gothic" w:cs="Times New Roman"/>
          <w:b/>
          <w:color w:val="4F81BD"/>
          <w:sz w:val="26"/>
          <w:szCs w:val="20"/>
        </w:rPr>
      </w:pPr>
      <w:bookmarkStart w:id="358" w:name="_Toc447106622"/>
      <w:r w:rsidRPr="00A011D5">
        <w:rPr>
          <w:rFonts w:ascii="Century Gothic" w:eastAsia="Times New Roman" w:hAnsi="Century Gothic" w:cs="Times New Roman"/>
          <w:b/>
          <w:color w:val="4F81BD"/>
          <w:sz w:val="26"/>
          <w:szCs w:val="20"/>
        </w:rPr>
        <w:t>FRAUD AND CONSEQUENCE MANAGEMENT</w:t>
      </w:r>
      <w:bookmarkStart w:id="359" w:name="Fraud1"/>
      <w:bookmarkEnd w:id="358"/>
      <w:bookmarkEnd w:id="359"/>
    </w:p>
    <w:p w14:paraId="51714586" w14:textId="77777777" w:rsidR="00A011D5" w:rsidRPr="00A62B46"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r w:rsidRPr="00A62B46">
        <w:rPr>
          <w:rFonts w:eastAsia="Calibri" w:cs="Arial"/>
        </w:rPr>
        <w:t xml:space="preserve"> </w:t>
      </w:r>
    </w:p>
    <w:p w14:paraId="018509A3"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Below is a summary of fraud risk factors that should be addressed to ensure that sufficient measures/controls are in place to prevent material misstatement due to fraud.</w:t>
      </w:r>
    </w:p>
    <w:p w14:paraId="67CF7187" w14:textId="77777777" w:rsidR="00A011D5" w:rsidRPr="00A011D5" w:rsidRDefault="00A011D5" w:rsidP="006306CE">
      <w:pPr>
        <w:numPr>
          <w:ilvl w:val="0"/>
          <w:numId w:val="6"/>
        </w:numPr>
        <w:spacing w:before="120"/>
        <w:ind w:left="851" w:hanging="284"/>
        <w:jc w:val="both"/>
        <w:rPr>
          <w:rFonts w:eastAsia="Calibri" w:cs="Arial"/>
        </w:rPr>
      </w:pPr>
      <w:r w:rsidRPr="00A011D5">
        <w:rPr>
          <w:rFonts w:eastAsia="Calibri" w:cs="Arial"/>
        </w:rPr>
        <w:t>Officials in high ranking positions who may take the opportunity to misuse their authority</w:t>
      </w:r>
    </w:p>
    <w:p w14:paraId="1C43348B"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The PFMA and its regulations clearly stipulate that matters such as incurring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trading entity’s management of consequences. The signific</w:t>
      </w:r>
      <w:r w:rsidR="00A62B46">
        <w:rPr>
          <w:rFonts w:eastAsia="Calibri" w:cs="Arial"/>
        </w:rPr>
        <w:t>ant findings are provided below</w:t>
      </w:r>
      <w:r w:rsidRPr="00A011D5">
        <w:rPr>
          <w:rFonts w:eastAsia="Calibri" w:cs="Arial"/>
        </w:rPr>
        <w:t>:</w:t>
      </w:r>
    </w:p>
    <w:p w14:paraId="59437809" w14:textId="77777777" w:rsidR="00A011D5" w:rsidRPr="00A011D5" w:rsidRDefault="00A011D5" w:rsidP="00A62B46">
      <w:pPr>
        <w:keepNext/>
        <w:spacing w:before="120"/>
        <w:jc w:val="both"/>
        <w:outlineLvl w:val="4"/>
        <w:rPr>
          <w:rFonts w:eastAsia="Calibri" w:cs="Arial"/>
          <w:bCs/>
          <w:color w:val="4F81BD"/>
          <w:sz w:val="24"/>
        </w:rPr>
      </w:pPr>
      <w:bookmarkStart w:id="360" w:name="_Toc447106623"/>
      <w:r w:rsidRPr="00A011D5">
        <w:rPr>
          <w:rFonts w:eastAsia="Calibri" w:cs="Arial"/>
          <w:bCs/>
          <w:color w:val="4F81BD"/>
          <w:sz w:val="24"/>
        </w:rPr>
        <w:t>Measures to manage consequences</w:t>
      </w:r>
      <w:bookmarkEnd w:id="360"/>
    </w:p>
    <w:p w14:paraId="0C60CC50"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The following measures were not implemented to ensure that the environment is conducive to effective consequence management:</w:t>
      </w:r>
    </w:p>
    <w:p w14:paraId="788AC0C5" w14:textId="77777777" w:rsidR="00A011D5" w:rsidRPr="00A011D5" w:rsidRDefault="00A011D5" w:rsidP="006306CE">
      <w:pPr>
        <w:numPr>
          <w:ilvl w:val="0"/>
          <w:numId w:val="6"/>
        </w:numPr>
        <w:spacing w:before="120"/>
        <w:ind w:left="851" w:hanging="283"/>
        <w:jc w:val="both"/>
        <w:rPr>
          <w:rFonts w:eastAsia="Calibri" w:cs="Arial"/>
        </w:rPr>
      </w:pPr>
      <w:r w:rsidRPr="00A011D5">
        <w:rPr>
          <w:rFonts w:eastAsia="Calibri" w:cs="Arial"/>
        </w:rPr>
        <w:t>There was a lack of proper record keeping to ensure that complete, relevant and accurate information is accessible and available to support the processes followed for financial misconduct/transgressions committed by officials and suppliers of the auditee.</w:t>
      </w:r>
    </w:p>
    <w:p w14:paraId="7E12501B" w14:textId="77777777" w:rsidR="00A011D5" w:rsidRPr="00A011D5" w:rsidRDefault="00A011D5" w:rsidP="00A62B46">
      <w:pPr>
        <w:keepNext/>
        <w:spacing w:before="120"/>
        <w:jc w:val="both"/>
        <w:outlineLvl w:val="4"/>
        <w:rPr>
          <w:rFonts w:eastAsia="Calibri" w:cs="Arial"/>
          <w:bCs/>
          <w:color w:val="4F81BD"/>
          <w:sz w:val="24"/>
        </w:rPr>
      </w:pPr>
      <w:r w:rsidRPr="00A011D5">
        <w:rPr>
          <w:rFonts w:eastAsia="Calibri" w:cs="Arial"/>
          <w:bCs/>
          <w:color w:val="4F81BD"/>
          <w:sz w:val="24"/>
        </w:rPr>
        <w:t>Ongoing investigations</w:t>
      </w:r>
    </w:p>
    <w:p w14:paraId="1F981678"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A total of 20 investigations were ongoing at year-end into allegations relating to financial misconduct, fraud and/or improper conduct in SCM. Some of these investigations have been ongoing for a period exceeding 12 months. The table below provides a summary of investigations which had not been completed as at year-end:</w:t>
      </w:r>
    </w:p>
    <w:tbl>
      <w:tblPr>
        <w:tblStyle w:val="TableGrid24"/>
        <w:tblW w:w="5000" w:type="pct"/>
        <w:tblLook w:val="04A0" w:firstRow="1" w:lastRow="0" w:firstColumn="1" w:lastColumn="0" w:noHBand="0" w:noVBand="1"/>
      </w:tblPr>
      <w:tblGrid>
        <w:gridCol w:w="5802"/>
        <w:gridCol w:w="3826"/>
      </w:tblGrid>
      <w:tr w:rsidR="00A011D5" w:rsidRPr="00A62B46" w14:paraId="7EB85A8B" w14:textId="77777777" w:rsidTr="001F43F8">
        <w:tc>
          <w:tcPr>
            <w:tcW w:w="3013" w:type="pct"/>
            <w:vAlign w:val="center"/>
          </w:tcPr>
          <w:p w14:paraId="28A2BA69" w14:textId="77777777" w:rsidR="00A011D5" w:rsidRPr="00A62B46" w:rsidRDefault="00A011D5" w:rsidP="00A011D5">
            <w:pPr>
              <w:spacing w:before="60" w:after="60"/>
              <w:jc w:val="both"/>
              <w:rPr>
                <w:rFonts w:eastAsia="Calibri" w:cs="Arial"/>
                <w:sz w:val="18"/>
                <w:szCs w:val="18"/>
              </w:rPr>
            </w:pPr>
            <w:r w:rsidRPr="00A62B46">
              <w:rPr>
                <w:rFonts w:eastAsia="Calibri" w:cs="Arial"/>
                <w:sz w:val="18"/>
                <w:szCs w:val="18"/>
              </w:rPr>
              <w:t>Total number of ongoing investigations as at year-end</w:t>
            </w:r>
          </w:p>
        </w:tc>
        <w:tc>
          <w:tcPr>
            <w:tcW w:w="1987" w:type="pct"/>
            <w:vAlign w:val="center"/>
          </w:tcPr>
          <w:p w14:paraId="05D60632" w14:textId="77777777" w:rsidR="00A011D5" w:rsidRPr="00A62B46" w:rsidRDefault="00A011D5" w:rsidP="00A62B46">
            <w:pPr>
              <w:spacing w:after="240"/>
              <w:jc w:val="center"/>
              <w:rPr>
                <w:rFonts w:eastAsia="Calibri" w:cs="Arial"/>
                <w:sz w:val="18"/>
                <w:szCs w:val="18"/>
              </w:rPr>
            </w:pPr>
            <w:r w:rsidRPr="00A62B46">
              <w:rPr>
                <w:rFonts w:eastAsia="Calibri" w:cs="Arial"/>
                <w:sz w:val="18"/>
                <w:szCs w:val="18"/>
              </w:rPr>
              <w:t>20</w:t>
            </w:r>
          </w:p>
        </w:tc>
      </w:tr>
      <w:tr w:rsidR="00A011D5" w:rsidRPr="00A62B46" w14:paraId="7E6BABC1" w14:textId="77777777" w:rsidTr="001F43F8">
        <w:tc>
          <w:tcPr>
            <w:tcW w:w="3013" w:type="pct"/>
            <w:vAlign w:val="center"/>
          </w:tcPr>
          <w:p w14:paraId="0176710C" w14:textId="77777777" w:rsidR="00A011D5" w:rsidRPr="00A62B46" w:rsidRDefault="00A011D5" w:rsidP="006306CE">
            <w:pPr>
              <w:numPr>
                <w:ilvl w:val="0"/>
                <w:numId w:val="12"/>
              </w:numPr>
              <w:spacing w:before="60" w:after="60"/>
              <w:jc w:val="both"/>
              <w:rPr>
                <w:rFonts w:eastAsia="Calibri" w:cs="Arial"/>
                <w:sz w:val="18"/>
                <w:szCs w:val="18"/>
              </w:rPr>
            </w:pPr>
            <w:r w:rsidRPr="00A62B46">
              <w:rPr>
                <w:rFonts w:eastAsia="Calibri" w:cs="Arial"/>
                <w:sz w:val="18"/>
                <w:szCs w:val="18"/>
              </w:rPr>
              <w:t>Number of SCM-related investigations</w:t>
            </w:r>
          </w:p>
        </w:tc>
        <w:tc>
          <w:tcPr>
            <w:tcW w:w="1987" w:type="pct"/>
            <w:vAlign w:val="center"/>
          </w:tcPr>
          <w:p w14:paraId="37DB983A" w14:textId="77777777" w:rsidR="00A011D5" w:rsidRPr="00A62B46" w:rsidRDefault="00A011D5" w:rsidP="00A62B46">
            <w:pPr>
              <w:spacing w:after="240"/>
              <w:jc w:val="center"/>
              <w:rPr>
                <w:rFonts w:eastAsia="Calibri" w:cs="Arial"/>
                <w:sz w:val="18"/>
                <w:szCs w:val="18"/>
              </w:rPr>
            </w:pPr>
            <w:r w:rsidRPr="00A62B46">
              <w:rPr>
                <w:rFonts w:eastAsia="Calibri" w:cs="Arial"/>
                <w:sz w:val="18"/>
                <w:szCs w:val="18"/>
              </w:rPr>
              <w:t>9</w:t>
            </w:r>
          </w:p>
        </w:tc>
      </w:tr>
      <w:tr w:rsidR="00A011D5" w:rsidRPr="00A62B46" w14:paraId="7D974C81" w14:textId="77777777" w:rsidTr="001F43F8">
        <w:tc>
          <w:tcPr>
            <w:tcW w:w="3013" w:type="pct"/>
            <w:vAlign w:val="center"/>
          </w:tcPr>
          <w:p w14:paraId="03A909BF" w14:textId="77777777" w:rsidR="00A011D5" w:rsidRPr="00A62B46" w:rsidRDefault="00A011D5" w:rsidP="006306CE">
            <w:pPr>
              <w:numPr>
                <w:ilvl w:val="0"/>
                <w:numId w:val="12"/>
              </w:numPr>
              <w:spacing w:before="60" w:after="60"/>
              <w:jc w:val="both"/>
              <w:rPr>
                <w:rFonts w:eastAsia="Calibri" w:cs="Arial"/>
                <w:sz w:val="18"/>
                <w:szCs w:val="18"/>
              </w:rPr>
            </w:pPr>
            <w:r w:rsidRPr="00A62B46">
              <w:rPr>
                <w:rFonts w:eastAsia="Calibri" w:cs="Arial"/>
                <w:sz w:val="18"/>
                <w:szCs w:val="18"/>
              </w:rPr>
              <w:lastRenderedPageBreak/>
              <w:t>Number of fraud-related investigations</w:t>
            </w:r>
          </w:p>
        </w:tc>
        <w:tc>
          <w:tcPr>
            <w:tcW w:w="1987" w:type="pct"/>
            <w:vAlign w:val="center"/>
          </w:tcPr>
          <w:p w14:paraId="06E796F8" w14:textId="77777777" w:rsidR="00A011D5" w:rsidRPr="00A62B46" w:rsidRDefault="00A011D5" w:rsidP="00A62B46">
            <w:pPr>
              <w:spacing w:after="240"/>
              <w:jc w:val="center"/>
              <w:rPr>
                <w:rFonts w:eastAsia="Calibri" w:cs="Arial"/>
                <w:sz w:val="18"/>
                <w:szCs w:val="18"/>
              </w:rPr>
            </w:pPr>
            <w:r w:rsidRPr="00A62B46">
              <w:rPr>
                <w:rFonts w:eastAsia="Calibri" w:cs="Arial"/>
                <w:sz w:val="18"/>
                <w:szCs w:val="18"/>
              </w:rPr>
              <w:t>1</w:t>
            </w:r>
          </w:p>
        </w:tc>
      </w:tr>
      <w:tr w:rsidR="00A011D5" w:rsidRPr="00A62B46" w14:paraId="4419FC91" w14:textId="77777777" w:rsidTr="001F43F8">
        <w:tc>
          <w:tcPr>
            <w:tcW w:w="3013" w:type="pct"/>
            <w:vAlign w:val="center"/>
          </w:tcPr>
          <w:p w14:paraId="305EFBB5" w14:textId="77777777" w:rsidR="00A011D5" w:rsidRPr="00A62B46" w:rsidRDefault="00A011D5" w:rsidP="00A011D5">
            <w:pPr>
              <w:spacing w:before="60" w:after="60"/>
              <w:jc w:val="both"/>
              <w:rPr>
                <w:rFonts w:eastAsia="Calibri" w:cs="Arial"/>
                <w:sz w:val="18"/>
                <w:szCs w:val="18"/>
              </w:rPr>
            </w:pPr>
            <w:r w:rsidRPr="00A62B46">
              <w:rPr>
                <w:rFonts w:eastAsia="Calibri" w:cs="Arial"/>
                <w:sz w:val="18"/>
                <w:szCs w:val="18"/>
              </w:rPr>
              <w:t>Number of investigations exceeding a period of six months</w:t>
            </w:r>
          </w:p>
        </w:tc>
        <w:tc>
          <w:tcPr>
            <w:tcW w:w="1987" w:type="pct"/>
            <w:vAlign w:val="center"/>
          </w:tcPr>
          <w:p w14:paraId="46EB188F" w14:textId="77777777" w:rsidR="00A011D5" w:rsidRPr="00A62B46" w:rsidRDefault="00A011D5" w:rsidP="00A62B46">
            <w:pPr>
              <w:spacing w:after="240"/>
              <w:jc w:val="center"/>
              <w:rPr>
                <w:rFonts w:eastAsia="Calibri" w:cs="Arial"/>
                <w:sz w:val="18"/>
                <w:szCs w:val="18"/>
              </w:rPr>
            </w:pPr>
            <w:r w:rsidRPr="00A62B46">
              <w:rPr>
                <w:rFonts w:eastAsia="Calibri" w:cs="Arial"/>
                <w:sz w:val="18"/>
                <w:szCs w:val="18"/>
              </w:rPr>
              <w:t>15</w:t>
            </w:r>
          </w:p>
        </w:tc>
      </w:tr>
    </w:tbl>
    <w:p w14:paraId="33FB1F9E" w14:textId="77777777" w:rsidR="00A011D5" w:rsidRPr="00A011D5" w:rsidRDefault="00A011D5" w:rsidP="00A011D5">
      <w:pPr>
        <w:keepNext/>
        <w:spacing w:before="120"/>
        <w:jc w:val="both"/>
        <w:outlineLvl w:val="4"/>
        <w:rPr>
          <w:rFonts w:eastAsia="Times New Roman" w:cs="Arial"/>
          <w:bCs/>
          <w:color w:val="4F81BD"/>
          <w:sz w:val="24"/>
        </w:rPr>
      </w:pPr>
      <w:r w:rsidRPr="00A011D5">
        <w:rPr>
          <w:rFonts w:eastAsia="Times New Roman" w:cs="Arial"/>
          <w:bCs/>
          <w:color w:val="4F81BD"/>
          <w:sz w:val="24"/>
        </w:rPr>
        <w:t>Transgressions reported to management for investigation</w:t>
      </w:r>
    </w:p>
    <w:p w14:paraId="43F8BB2D"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During the prior year audit, we reported findings relating to transgressions by officials or other role players for management to investigate. During the current year audit, we performed follow-up tests to determine whether the matters reported were dealt with by management.</w:t>
      </w:r>
    </w:p>
    <w:p w14:paraId="383191D4"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The table below provides a summary of the transgressions reported in the prior year and an indication of how many were dealt with. It also provides a summary of transgressions identified in the current year that must be investigated and disciplinary steps taken based on the results of the investigations.</w:t>
      </w:r>
    </w:p>
    <w:tbl>
      <w:tblPr>
        <w:tblStyle w:val="TableGrid8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9"/>
        <w:gridCol w:w="1182"/>
        <w:gridCol w:w="1327"/>
        <w:gridCol w:w="1327"/>
        <w:gridCol w:w="1125"/>
        <w:gridCol w:w="1448"/>
      </w:tblGrid>
      <w:tr w:rsidR="00A011D5" w:rsidRPr="00A62B46" w14:paraId="195F736F" w14:textId="77777777" w:rsidTr="001F43F8">
        <w:trPr>
          <w:cnfStyle w:val="100000000000" w:firstRow="1" w:lastRow="0" w:firstColumn="0" w:lastColumn="0" w:oddVBand="0" w:evenVBand="0" w:oddHBand="0" w:evenHBand="0" w:firstRowFirstColumn="0" w:firstRowLastColumn="0" w:lastRowFirstColumn="0" w:lastRowLastColumn="0"/>
          <w:tblHeader/>
        </w:trPr>
        <w:tc>
          <w:tcPr>
            <w:tcW w:w="1672" w:type="pct"/>
            <w:shd w:val="clear" w:color="auto" w:fill="A6A6A6" w:themeFill="background1" w:themeFillShade="A6"/>
          </w:tcPr>
          <w:p w14:paraId="60B43BBE" w14:textId="77777777" w:rsidR="00A011D5" w:rsidRPr="00A62B46" w:rsidRDefault="00A011D5" w:rsidP="00A011D5">
            <w:pPr>
              <w:jc w:val="both"/>
              <w:rPr>
                <w:rFonts w:cs="Arial"/>
                <w:sz w:val="18"/>
                <w:szCs w:val="18"/>
              </w:rPr>
            </w:pPr>
          </w:p>
        </w:tc>
        <w:tc>
          <w:tcPr>
            <w:tcW w:w="1991" w:type="pct"/>
            <w:gridSpan w:val="3"/>
            <w:shd w:val="clear" w:color="auto" w:fill="A6A6A6" w:themeFill="background1" w:themeFillShade="A6"/>
          </w:tcPr>
          <w:p w14:paraId="7D64DE08" w14:textId="77777777" w:rsidR="00A011D5" w:rsidRPr="00A62B46" w:rsidRDefault="00A011D5" w:rsidP="00A011D5">
            <w:pPr>
              <w:jc w:val="both"/>
              <w:rPr>
                <w:rFonts w:cs="Arial"/>
                <w:sz w:val="18"/>
                <w:szCs w:val="18"/>
              </w:rPr>
            </w:pPr>
            <w:r w:rsidRPr="00A62B46">
              <w:rPr>
                <w:rFonts w:cs="Arial"/>
                <w:sz w:val="18"/>
                <w:szCs w:val="18"/>
              </w:rPr>
              <w:t>Findings reported in prior year</w:t>
            </w:r>
          </w:p>
        </w:tc>
        <w:tc>
          <w:tcPr>
            <w:tcW w:w="1336" w:type="pct"/>
            <w:gridSpan w:val="2"/>
            <w:shd w:val="clear" w:color="auto" w:fill="A6A6A6" w:themeFill="background1" w:themeFillShade="A6"/>
          </w:tcPr>
          <w:p w14:paraId="21A6DC55" w14:textId="77777777" w:rsidR="00A011D5" w:rsidRPr="00A62B46" w:rsidRDefault="00A011D5" w:rsidP="00A011D5">
            <w:pPr>
              <w:jc w:val="both"/>
              <w:rPr>
                <w:rFonts w:cs="Arial"/>
                <w:sz w:val="18"/>
                <w:szCs w:val="18"/>
              </w:rPr>
            </w:pPr>
            <w:r w:rsidRPr="00A62B46">
              <w:rPr>
                <w:rFonts w:cs="Arial"/>
                <w:color w:val="FFFFFF" w:themeColor="background1"/>
                <w:sz w:val="18"/>
                <w:szCs w:val="18"/>
              </w:rPr>
              <w:t>Findings reported in current year</w:t>
            </w:r>
          </w:p>
        </w:tc>
      </w:tr>
      <w:tr w:rsidR="00A011D5" w:rsidRPr="00A62B46" w14:paraId="0004C830" w14:textId="77777777" w:rsidTr="001F43F8">
        <w:trPr>
          <w:cnfStyle w:val="100000000000" w:firstRow="1" w:lastRow="0" w:firstColumn="0" w:lastColumn="0" w:oddVBand="0" w:evenVBand="0" w:oddHBand="0" w:evenHBand="0" w:firstRowFirstColumn="0" w:firstRowLastColumn="0" w:lastRowFirstColumn="0" w:lastRowLastColumn="0"/>
          <w:tblHeader/>
        </w:trPr>
        <w:tc>
          <w:tcPr>
            <w:tcW w:w="1672" w:type="pct"/>
            <w:shd w:val="clear" w:color="auto" w:fill="A6A6A6" w:themeFill="background1" w:themeFillShade="A6"/>
          </w:tcPr>
          <w:p w14:paraId="7DDC38E5" w14:textId="77777777" w:rsidR="00A011D5" w:rsidRPr="00A62B46" w:rsidRDefault="00A011D5" w:rsidP="00A011D5">
            <w:pPr>
              <w:jc w:val="both"/>
              <w:rPr>
                <w:rFonts w:cs="Arial"/>
                <w:sz w:val="18"/>
                <w:szCs w:val="18"/>
              </w:rPr>
            </w:pPr>
            <w:r w:rsidRPr="00A62B46">
              <w:rPr>
                <w:rFonts w:cs="Arial"/>
                <w:sz w:val="18"/>
                <w:szCs w:val="18"/>
              </w:rPr>
              <w:t>Finding</w:t>
            </w:r>
          </w:p>
        </w:tc>
        <w:tc>
          <w:tcPr>
            <w:tcW w:w="614" w:type="pct"/>
            <w:shd w:val="clear" w:color="auto" w:fill="A6A6A6" w:themeFill="background1" w:themeFillShade="A6"/>
          </w:tcPr>
          <w:p w14:paraId="047FA5A7" w14:textId="77777777" w:rsidR="00A011D5" w:rsidRPr="00A62B46" w:rsidRDefault="00A011D5" w:rsidP="00A011D5">
            <w:pPr>
              <w:jc w:val="both"/>
              <w:rPr>
                <w:rFonts w:cs="Arial"/>
                <w:b w:val="0"/>
                <w:bCs w:val="0"/>
                <w:sz w:val="18"/>
                <w:szCs w:val="18"/>
              </w:rPr>
            </w:pPr>
            <w:r w:rsidRPr="00A62B46">
              <w:rPr>
                <w:rFonts w:cs="Arial"/>
                <w:sz w:val="18"/>
                <w:szCs w:val="18"/>
              </w:rPr>
              <w:t>Number of instances</w:t>
            </w:r>
          </w:p>
        </w:tc>
        <w:tc>
          <w:tcPr>
            <w:tcW w:w="689" w:type="pct"/>
            <w:shd w:val="clear" w:color="auto" w:fill="A6A6A6" w:themeFill="background1" w:themeFillShade="A6"/>
          </w:tcPr>
          <w:p w14:paraId="30029FE8" w14:textId="77777777" w:rsidR="00A011D5" w:rsidRPr="00A62B46" w:rsidRDefault="00A011D5" w:rsidP="00A011D5">
            <w:pPr>
              <w:jc w:val="both"/>
              <w:rPr>
                <w:rFonts w:cs="Arial"/>
                <w:sz w:val="18"/>
                <w:szCs w:val="18"/>
              </w:rPr>
            </w:pPr>
            <w:r w:rsidRPr="00A62B46">
              <w:rPr>
                <w:rFonts w:cs="Arial"/>
                <w:sz w:val="18"/>
                <w:szCs w:val="18"/>
              </w:rPr>
              <w:t>Number of instances investigated</w:t>
            </w:r>
          </w:p>
        </w:tc>
        <w:tc>
          <w:tcPr>
            <w:tcW w:w="689" w:type="pct"/>
            <w:shd w:val="clear" w:color="auto" w:fill="A6A6A6" w:themeFill="background1" w:themeFillShade="A6"/>
          </w:tcPr>
          <w:p w14:paraId="6FBD4F82" w14:textId="77777777" w:rsidR="00A011D5" w:rsidRPr="00A62B46" w:rsidRDefault="00A011D5" w:rsidP="00A011D5">
            <w:pPr>
              <w:jc w:val="both"/>
              <w:rPr>
                <w:rFonts w:cs="Arial"/>
                <w:sz w:val="18"/>
                <w:szCs w:val="18"/>
              </w:rPr>
            </w:pPr>
            <w:r w:rsidRPr="00A62B46">
              <w:rPr>
                <w:rFonts w:cs="Arial"/>
                <w:sz w:val="18"/>
                <w:szCs w:val="18"/>
              </w:rPr>
              <w:t>Number of instances resolved from those investigated</w:t>
            </w:r>
          </w:p>
        </w:tc>
        <w:tc>
          <w:tcPr>
            <w:tcW w:w="584" w:type="pct"/>
            <w:shd w:val="clear" w:color="auto" w:fill="0F243E" w:themeFill="text2" w:themeFillShade="80"/>
          </w:tcPr>
          <w:p w14:paraId="4CA03253" w14:textId="77777777" w:rsidR="00A011D5" w:rsidRPr="00A62B46" w:rsidRDefault="00A011D5" w:rsidP="00A011D5">
            <w:pPr>
              <w:jc w:val="both"/>
              <w:rPr>
                <w:rFonts w:cs="Arial"/>
                <w:color w:val="FFFFFF" w:themeColor="background1"/>
                <w:sz w:val="18"/>
                <w:szCs w:val="18"/>
              </w:rPr>
            </w:pPr>
            <w:r w:rsidRPr="00A62B46">
              <w:rPr>
                <w:rFonts w:cs="Arial"/>
                <w:color w:val="FFFFFF" w:themeColor="background1"/>
                <w:sz w:val="18"/>
                <w:szCs w:val="18"/>
              </w:rPr>
              <w:t>Number of instances</w:t>
            </w:r>
          </w:p>
        </w:tc>
        <w:tc>
          <w:tcPr>
            <w:tcW w:w="752" w:type="pct"/>
            <w:shd w:val="clear" w:color="auto" w:fill="0F243E" w:themeFill="text2" w:themeFillShade="80"/>
          </w:tcPr>
          <w:p w14:paraId="38B77CFC" w14:textId="77777777" w:rsidR="00A011D5" w:rsidRPr="00A62B46" w:rsidRDefault="00A011D5" w:rsidP="00A011D5">
            <w:pPr>
              <w:jc w:val="both"/>
              <w:rPr>
                <w:rFonts w:cs="Arial"/>
                <w:color w:val="FFFFFF" w:themeColor="background1"/>
                <w:sz w:val="18"/>
                <w:szCs w:val="18"/>
              </w:rPr>
            </w:pPr>
            <w:r w:rsidRPr="00A62B46">
              <w:rPr>
                <w:rFonts w:cs="Arial"/>
                <w:color w:val="FFFFFF" w:themeColor="background1"/>
                <w:sz w:val="18"/>
                <w:szCs w:val="18"/>
              </w:rPr>
              <w:t>Value</w:t>
            </w:r>
          </w:p>
          <w:p w14:paraId="7242996C" w14:textId="77777777" w:rsidR="00A011D5" w:rsidRPr="00A62B46" w:rsidRDefault="00A011D5" w:rsidP="00A011D5">
            <w:pPr>
              <w:jc w:val="both"/>
              <w:rPr>
                <w:rFonts w:cs="Arial"/>
                <w:color w:val="FFFFFF" w:themeColor="background1"/>
                <w:sz w:val="18"/>
                <w:szCs w:val="18"/>
              </w:rPr>
            </w:pPr>
            <w:r w:rsidRPr="00A62B46">
              <w:rPr>
                <w:rFonts w:cs="Arial"/>
                <w:color w:val="FFFFFF" w:themeColor="background1"/>
                <w:sz w:val="18"/>
                <w:szCs w:val="18"/>
              </w:rPr>
              <w:t>(R)</w:t>
            </w:r>
          </w:p>
        </w:tc>
      </w:tr>
      <w:tr w:rsidR="00A011D5" w:rsidRPr="00A62B46" w14:paraId="6953042A" w14:textId="77777777" w:rsidTr="001F43F8">
        <w:tc>
          <w:tcPr>
            <w:tcW w:w="1672" w:type="pct"/>
            <w:shd w:val="clear" w:color="auto" w:fill="D9D9D9" w:themeFill="background1" w:themeFillShade="D9"/>
          </w:tcPr>
          <w:p w14:paraId="528087F8" w14:textId="77777777" w:rsidR="00A011D5" w:rsidRPr="00A62B46" w:rsidRDefault="00A011D5" w:rsidP="00A011D5">
            <w:pPr>
              <w:ind w:left="66"/>
              <w:jc w:val="both"/>
              <w:rPr>
                <w:rFonts w:cs="Arial"/>
                <w:b/>
                <w:sz w:val="18"/>
                <w:szCs w:val="18"/>
              </w:rPr>
            </w:pPr>
            <w:r w:rsidRPr="00A62B46">
              <w:rPr>
                <w:rFonts w:cs="Arial"/>
                <w:b/>
                <w:sz w:val="18"/>
                <w:szCs w:val="18"/>
              </w:rPr>
              <w:t>A: Improper conduct in SCM by suppliers</w:t>
            </w:r>
          </w:p>
        </w:tc>
        <w:tc>
          <w:tcPr>
            <w:tcW w:w="614" w:type="pct"/>
            <w:shd w:val="clear" w:color="auto" w:fill="D9D9D9" w:themeFill="background1" w:themeFillShade="D9"/>
          </w:tcPr>
          <w:p w14:paraId="27ED0738" w14:textId="77777777" w:rsidR="00A011D5" w:rsidRPr="00A62B46" w:rsidRDefault="00A011D5" w:rsidP="00A011D5">
            <w:pPr>
              <w:ind w:left="66"/>
              <w:jc w:val="both"/>
              <w:rPr>
                <w:rFonts w:cs="Arial"/>
                <w:b/>
                <w:sz w:val="18"/>
                <w:szCs w:val="18"/>
              </w:rPr>
            </w:pPr>
          </w:p>
        </w:tc>
        <w:tc>
          <w:tcPr>
            <w:tcW w:w="689" w:type="pct"/>
            <w:shd w:val="clear" w:color="auto" w:fill="D9D9D9" w:themeFill="background1" w:themeFillShade="D9"/>
          </w:tcPr>
          <w:p w14:paraId="4B3AB3AE"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260BE6DD" w14:textId="77777777" w:rsidR="00A011D5" w:rsidRPr="00A62B46" w:rsidRDefault="00A011D5" w:rsidP="00A011D5">
            <w:pPr>
              <w:jc w:val="both"/>
              <w:rPr>
                <w:rFonts w:cs="Arial"/>
                <w:b/>
                <w:sz w:val="18"/>
                <w:szCs w:val="18"/>
              </w:rPr>
            </w:pPr>
          </w:p>
        </w:tc>
        <w:tc>
          <w:tcPr>
            <w:tcW w:w="584" w:type="pct"/>
            <w:shd w:val="clear" w:color="auto" w:fill="D9D9D9" w:themeFill="background1" w:themeFillShade="D9"/>
          </w:tcPr>
          <w:p w14:paraId="31A47F28" w14:textId="77777777" w:rsidR="00A011D5" w:rsidRPr="00A62B46" w:rsidRDefault="00A011D5" w:rsidP="00A011D5">
            <w:pPr>
              <w:jc w:val="both"/>
              <w:rPr>
                <w:rFonts w:cs="Arial"/>
                <w:b/>
                <w:sz w:val="18"/>
                <w:szCs w:val="18"/>
              </w:rPr>
            </w:pPr>
          </w:p>
        </w:tc>
        <w:tc>
          <w:tcPr>
            <w:tcW w:w="752" w:type="pct"/>
            <w:shd w:val="clear" w:color="auto" w:fill="D9D9D9" w:themeFill="background1" w:themeFillShade="D9"/>
          </w:tcPr>
          <w:p w14:paraId="0EAEF754" w14:textId="77777777" w:rsidR="00A011D5" w:rsidRPr="00A62B46" w:rsidRDefault="00A011D5" w:rsidP="00A011D5">
            <w:pPr>
              <w:jc w:val="both"/>
              <w:rPr>
                <w:rFonts w:cs="Arial"/>
                <w:b/>
                <w:sz w:val="18"/>
                <w:szCs w:val="18"/>
              </w:rPr>
            </w:pPr>
          </w:p>
        </w:tc>
      </w:tr>
      <w:tr w:rsidR="00A011D5" w:rsidRPr="00A62B46" w14:paraId="0F9D8A17" w14:textId="77777777" w:rsidTr="001F43F8">
        <w:tc>
          <w:tcPr>
            <w:tcW w:w="1672" w:type="pct"/>
          </w:tcPr>
          <w:p w14:paraId="30D3B75E" w14:textId="77777777" w:rsidR="00A011D5" w:rsidRPr="00A62B46" w:rsidRDefault="00A011D5" w:rsidP="00A011D5">
            <w:pPr>
              <w:ind w:left="66"/>
              <w:jc w:val="both"/>
              <w:rPr>
                <w:rFonts w:cs="Arial"/>
                <w:sz w:val="18"/>
                <w:szCs w:val="18"/>
              </w:rPr>
            </w:pPr>
            <w:r w:rsidRPr="00A62B46">
              <w:rPr>
                <w:rFonts w:cs="Arial"/>
                <w:sz w:val="18"/>
                <w:szCs w:val="18"/>
              </w:rPr>
              <w:t>Supplier submitted false declaration of interest</w:t>
            </w:r>
          </w:p>
        </w:tc>
        <w:tc>
          <w:tcPr>
            <w:tcW w:w="614" w:type="pct"/>
          </w:tcPr>
          <w:p w14:paraId="452E7182"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21C55255"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29F45302" w14:textId="77777777" w:rsidR="00A011D5" w:rsidRPr="00A62B46" w:rsidRDefault="00A011D5" w:rsidP="00A011D5">
            <w:pPr>
              <w:jc w:val="both"/>
              <w:rPr>
                <w:rFonts w:cs="Arial"/>
                <w:sz w:val="18"/>
                <w:szCs w:val="18"/>
              </w:rPr>
            </w:pPr>
            <w:r w:rsidRPr="00A62B46">
              <w:rPr>
                <w:rFonts w:cs="Arial"/>
                <w:sz w:val="18"/>
                <w:szCs w:val="18"/>
              </w:rPr>
              <w:t>0</w:t>
            </w:r>
          </w:p>
        </w:tc>
        <w:tc>
          <w:tcPr>
            <w:tcW w:w="584" w:type="pct"/>
            <w:shd w:val="clear" w:color="auto" w:fill="F2F2F2" w:themeFill="background1" w:themeFillShade="F2"/>
          </w:tcPr>
          <w:p w14:paraId="1D213C2F" w14:textId="77777777" w:rsidR="00A011D5" w:rsidRPr="00A62B46" w:rsidRDefault="00A011D5" w:rsidP="00A011D5">
            <w:pPr>
              <w:jc w:val="both"/>
              <w:rPr>
                <w:rFonts w:cs="Arial"/>
                <w:sz w:val="18"/>
                <w:szCs w:val="18"/>
              </w:rPr>
            </w:pPr>
            <w:r w:rsidRPr="00A62B46">
              <w:rPr>
                <w:rFonts w:cs="Arial"/>
                <w:sz w:val="18"/>
                <w:szCs w:val="18"/>
              </w:rPr>
              <w:t>1</w:t>
            </w:r>
          </w:p>
        </w:tc>
        <w:tc>
          <w:tcPr>
            <w:tcW w:w="752" w:type="pct"/>
            <w:shd w:val="clear" w:color="auto" w:fill="F2F2F2" w:themeFill="background1" w:themeFillShade="F2"/>
          </w:tcPr>
          <w:p w14:paraId="1F0EA35B" w14:textId="77777777" w:rsidR="00A011D5" w:rsidRPr="00A62B46" w:rsidRDefault="00A011D5" w:rsidP="00A011D5">
            <w:pPr>
              <w:jc w:val="both"/>
              <w:rPr>
                <w:rFonts w:cs="Arial"/>
                <w:sz w:val="18"/>
                <w:szCs w:val="18"/>
              </w:rPr>
            </w:pPr>
            <w:r w:rsidRPr="00A62B46">
              <w:rPr>
                <w:rFonts w:cs="Arial"/>
                <w:sz w:val="18"/>
                <w:szCs w:val="18"/>
              </w:rPr>
              <w:t>122 351 640</w:t>
            </w:r>
          </w:p>
        </w:tc>
      </w:tr>
      <w:tr w:rsidR="00A011D5" w:rsidRPr="00A62B46" w14:paraId="7938FE41" w14:textId="77777777" w:rsidTr="001F43F8">
        <w:tc>
          <w:tcPr>
            <w:tcW w:w="1672" w:type="pct"/>
          </w:tcPr>
          <w:p w14:paraId="29C75864" w14:textId="77777777" w:rsidR="00A011D5" w:rsidRPr="00A62B46" w:rsidRDefault="00A011D5" w:rsidP="00A011D5">
            <w:pPr>
              <w:ind w:left="66"/>
              <w:jc w:val="both"/>
              <w:rPr>
                <w:rFonts w:cs="Arial"/>
                <w:sz w:val="18"/>
                <w:szCs w:val="18"/>
              </w:rPr>
            </w:pPr>
            <w:r w:rsidRPr="00A62B46">
              <w:rPr>
                <w:rFonts w:cs="Arial"/>
                <w:sz w:val="18"/>
                <w:szCs w:val="18"/>
              </w:rPr>
              <w:t>Other improper conduct in SCM by suppliers</w:t>
            </w:r>
          </w:p>
        </w:tc>
        <w:tc>
          <w:tcPr>
            <w:tcW w:w="614" w:type="pct"/>
          </w:tcPr>
          <w:p w14:paraId="5F96CB78" w14:textId="77777777" w:rsidR="00A011D5" w:rsidRPr="00A62B46" w:rsidRDefault="00A011D5" w:rsidP="00A011D5">
            <w:pPr>
              <w:jc w:val="both"/>
              <w:rPr>
                <w:rFonts w:cs="Arial"/>
                <w:sz w:val="18"/>
                <w:szCs w:val="18"/>
              </w:rPr>
            </w:pPr>
            <w:r w:rsidRPr="00A62B46">
              <w:rPr>
                <w:rFonts w:cs="Arial"/>
                <w:sz w:val="18"/>
                <w:szCs w:val="18"/>
              </w:rPr>
              <w:t>2</w:t>
            </w:r>
          </w:p>
        </w:tc>
        <w:tc>
          <w:tcPr>
            <w:tcW w:w="689" w:type="pct"/>
          </w:tcPr>
          <w:p w14:paraId="37089DF3" w14:textId="77777777" w:rsidR="00A011D5" w:rsidRPr="00A62B46" w:rsidRDefault="00A011D5" w:rsidP="00A011D5">
            <w:pPr>
              <w:jc w:val="both"/>
              <w:rPr>
                <w:rFonts w:cs="Arial"/>
                <w:sz w:val="18"/>
                <w:szCs w:val="18"/>
              </w:rPr>
            </w:pPr>
            <w:r w:rsidRPr="00A62B46">
              <w:rPr>
                <w:rFonts w:cs="Arial"/>
                <w:sz w:val="18"/>
                <w:szCs w:val="18"/>
              </w:rPr>
              <w:t>2</w:t>
            </w:r>
          </w:p>
        </w:tc>
        <w:tc>
          <w:tcPr>
            <w:tcW w:w="689" w:type="pct"/>
          </w:tcPr>
          <w:p w14:paraId="60A04792" w14:textId="77777777" w:rsidR="00A011D5" w:rsidRPr="00A62B46" w:rsidRDefault="00A011D5" w:rsidP="00A011D5">
            <w:pPr>
              <w:jc w:val="both"/>
              <w:rPr>
                <w:rFonts w:cs="Arial"/>
                <w:sz w:val="18"/>
                <w:szCs w:val="18"/>
              </w:rPr>
            </w:pPr>
            <w:r w:rsidRPr="00A62B46">
              <w:rPr>
                <w:rFonts w:cs="Arial"/>
                <w:sz w:val="18"/>
                <w:szCs w:val="18"/>
              </w:rPr>
              <w:t>2</w:t>
            </w:r>
          </w:p>
        </w:tc>
        <w:tc>
          <w:tcPr>
            <w:tcW w:w="584" w:type="pct"/>
            <w:shd w:val="clear" w:color="auto" w:fill="F2F2F2" w:themeFill="background1" w:themeFillShade="F2"/>
          </w:tcPr>
          <w:p w14:paraId="7FE69323" w14:textId="77777777" w:rsidR="00A011D5" w:rsidRPr="00A62B46" w:rsidRDefault="00A011D5" w:rsidP="00A011D5">
            <w:pPr>
              <w:jc w:val="both"/>
              <w:rPr>
                <w:rFonts w:cs="Arial"/>
                <w:sz w:val="18"/>
                <w:szCs w:val="18"/>
              </w:rPr>
            </w:pPr>
            <w:r w:rsidRPr="00A62B46">
              <w:rPr>
                <w:rFonts w:cs="Arial"/>
                <w:sz w:val="18"/>
                <w:szCs w:val="18"/>
              </w:rPr>
              <w:t>3</w:t>
            </w:r>
          </w:p>
        </w:tc>
        <w:tc>
          <w:tcPr>
            <w:tcW w:w="752" w:type="pct"/>
            <w:shd w:val="clear" w:color="auto" w:fill="F2F2F2" w:themeFill="background1" w:themeFillShade="F2"/>
          </w:tcPr>
          <w:p w14:paraId="4BA7A385" w14:textId="77777777" w:rsidR="00A011D5" w:rsidRPr="00A62B46" w:rsidRDefault="00A011D5" w:rsidP="00A011D5">
            <w:pPr>
              <w:jc w:val="both"/>
              <w:rPr>
                <w:rFonts w:cs="Arial"/>
                <w:sz w:val="18"/>
                <w:szCs w:val="18"/>
              </w:rPr>
            </w:pPr>
            <w:r w:rsidRPr="00A62B46">
              <w:rPr>
                <w:rFonts w:cs="Arial"/>
                <w:sz w:val="18"/>
                <w:szCs w:val="18"/>
              </w:rPr>
              <w:t>880 927</w:t>
            </w:r>
          </w:p>
        </w:tc>
      </w:tr>
      <w:tr w:rsidR="00A011D5" w:rsidRPr="00A62B46" w14:paraId="6A6ADE6C" w14:textId="77777777" w:rsidTr="001F43F8">
        <w:tc>
          <w:tcPr>
            <w:tcW w:w="1672" w:type="pct"/>
            <w:shd w:val="clear" w:color="auto" w:fill="D9D9D9" w:themeFill="background1" w:themeFillShade="D9"/>
          </w:tcPr>
          <w:p w14:paraId="1A7EF4C2" w14:textId="77777777" w:rsidR="00A011D5" w:rsidRPr="00A62B46" w:rsidRDefault="00A011D5" w:rsidP="00A011D5">
            <w:pPr>
              <w:ind w:left="66"/>
              <w:jc w:val="both"/>
              <w:rPr>
                <w:rFonts w:cs="Arial"/>
                <w:b/>
                <w:sz w:val="18"/>
                <w:szCs w:val="18"/>
              </w:rPr>
            </w:pPr>
            <w:r w:rsidRPr="00A62B46">
              <w:rPr>
                <w:rFonts w:cs="Arial"/>
                <w:b/>
                <w:sz w:val="18"/>
                <w:szCs w:val="18"/>
              </w:rPr>
              <w:t>B: Improper conduct in SCM by officials/role players</w:t>
            </w:r>
          </w:p>
        </w:tc>
        <w:tc>
          <w:tcPr>
            <w:tcW w:w="614" w:type="pct"/>
            <w:shd w:val="clear" w:color="auto" w:fill="D9D9D9" w:themeFill="background1" w:themeFillShade="D9"/>
          </w:tcPr>
          <w:p w14:paraId="138074BF"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420B74B1"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4C8871B5" w14:textId="77777777" w:rsidR="00A011D5" w:rsidRPr="00A62B46" w:rsidRDefault="00A011D5" w:rsidP="00A011D5">
            <w:pPr>
              <w:jc w:val="both"/>
              <w:rPr>
                <w:rFonts w:cs="Arial"/>
                <w:b/>
                <w:sz w:val="18"/>
                <w:szCs w:val="18"/>
              </w:rPr>
            </w:pPr>
          </w:p>
        </w:tc>
        <w:tc>
          <w:tcPr>
            <w:tcW w:w="584" w:type="pct"/>
            <w:shd w:val="clear" w:color="auto" w:fill="D9D9D9" w:themeFill="background1" w:themeFillShade="D9"/>
          </w:tcPr>
          <w:p w14:paraId="297F0A91" w14:textId="77777777" w:rsidR="00A011D5" w:rsidRPr="00A62B46" w:rsidRDefault="00A011D5" w:rsidP="00A011D5">
            <w:pPr>
              <w:jc w:val="both"/>
              <w:rPr>
                <w:rFonts w:cs="Arial"/>
                <w:b/>
                <w:sz w:val="18"/>
                <w:szCs w:val="18"/>
              </w:rPr>
            </w:pPr>
          </w:p>
        </w:tc>
        <w:tc>
          <w:tcPr>
            <w:tcW w:w="752" w:type="pct"/>
            <w:shd w:val="clear" w:color="auto" w:fill="D9D9D9" w:themeFill="background1" w:themeFillShade="D9"/>
          </w:tcPr>
          <w:p w14:paraId="09C5200A" w14:textId="77777777" w:rsidR="00A011D5" w:rsidRPr="00A62B46" w:rsidRDefault="00A011D5" w:rsidP="00A011D5">
            <w:pPr>
              <w:jc w:val="both"/>
              <w:rPr>
                <w:rFonts w:cs="Arial"/>
                <w:b/>
                <w:sz w:val="18"/>
                <w:szCs w:val="18"/>
              </w:rPr>
            </w:pPr>
          </w:p>
        </w:tc>
      </w:tr>
      <w:tr w:rsidR="00A011D5" w:rsidRPr="00A62B46" w14:paraId="5C1B01F6" w14:textId="77777777" w:rsidTr="001F43F8">
        <w:tc>
          <w:tcPr>
            <w:tcW w:w="1672" w:type="pct"/>
          </w:tcPr>
          <w:p w14:paraId="20E3B751" w14:textId="77777777" w:rsidR="00A011D5" w:rsidRPr="00A62B46" w:rsidRDefault="00A011D5" w:rsidP="00A011D5">
            <w:pPr>
              <w:ind w:left="66"/>
              <w:jc w:val="both"/>
              <w:rPr>
                <w:rFonts w:cs="Arial"/>
                <w:sz w:val="18"/>
                <w:szCs w:val="18"/>
              </w:rPr>
            </w:pPr>
            <w:r w:rsidRPr="00A62B46">
              <w:rPr>
                <w:rFonts w:cs="Arial"/>
                <w:sz w:val="18"/>
                <w:szCs w:val="18"/>
              </w:rPr>
              <w:t>Payments made to fictitious suppliers</w:t>
            </w:r>
          </w:p>
        </w:tc>
        <w:tc>
          <w:tcPr>
            <w:tcW w:w="614" w:type="pct"/>
          </w:tcPr>
          <w:p w14:paraId="5AFC6F59"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214889C4"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76D9F546" w14:textId="77777777" w:rsidR="00A011D5" w:rsidRPr="00A62B46" w:rsidRDefault="00A011D5" w:rsidP="00A011D5">
            <w:pPr>
              <w:jc w:val="both"/>
              <w:rPr>
                <w:rFonts w:cs="Arial"/>
                <w:sz w:val="18"/>
                <w:szCs w:val="18"/>
              </w:rPr>
            </w:pPr>
            <w:r w:rsidRPr="00A62B46">
              <w:rPr>
                <w:rFonts w:cs="Arial"/>
                <w:sz w:val="18"/>
                <w:szCs w:val="18"/>
              </w:rPr>
              <w:t>0</w:t>
            </w:r>
          </w:p>
        </w:tc>
        <w:tc>
          <w:tcPr>
            <w:tcW w:w="584" w:type="pct"/>
            <w:shd w:val="clear" w:color="auto" w:fill="F2F2F2" w:themeFill="background1" w:themeFillShade="F2"/>
          </w:tcPr>
          <w:p w14:paraId="22A36CCD" w14:textId="77777777" w:rsidR="00A011D5" w:rsidRPr="00A62B46" w:rsidRDefault="00A011D5" w:rsidP="00A011D5">
            <w:pPr>
              <w:jc w:val="both"/>
              <w:rPr>
                <w:rFonts w:cs="Arial"/>
                <w:sz w:val="18"/>
                <w:szCs w:val="18"/>
              </w:rPr>
            </w:pPr>
            <w:r w:rsidRPr="00A62B46">
              <w:rPr>
                <w:rFonts w:cs="Arial"/>
                <w:sz w:val="18"/>
                <w:szCs w:val="18"/>
              </w:rPr>
              <w:t>1</w:t>
            </w:r>
          </w:p>
        </w:tc>
        <w:tc>
          <w:tcPr>
            <w:tcW w:w="752" w:type="pct"/>
            <w:shd w:val="clear" w:color="auto" w:fill="F2F2F2" w:themeFill="background1" w:themeFillShade="F2"/>
          </w:tcPr>
          <w:p w14:paraId="7291BD60" w14:textId="77777777" w:rsidR="00A011D5" w:rsidRPr="00A62B46" w:rsidRDefault="00A011D5" w:rsidP="00A011D5">
            <w:pPr>
              <w:jc w:val="both"/>
              <w:rPr>
                <w:rFonts w:cs="Arial"/>
                <w:sz w:val="18"/>
                <w:szCs w:val="18"/>
              </w:rPr>
            </w:pPr>
            <w:r w:rsidRPr="00A62B46">
              <w:rPr>
                <w:rFonts w:cs="Arial"/>
                <w:sz w:val="18"/>
                <w:szCs w:val="18"/>
              </w:rPr>
              <w:t>unquantifiable</w:t>
            </w:r>
          </w:p>
        </w:tc>
      </w:tr>
      <w:tr w:rsidR="00A011D5" w:rsidRPr="00A62B46" w14:paraId="699E266D" w14:textId="77777777" w:rsidTr="001F43F8">
        <w:tc>
          <w:tcPr>
            <w:tcW w:w="1672" w:type="pct"/>
          </w:tcPr>
          <w:p w14:paraId="13271E66" w14:textId="77777777" w:rsidR="00A011D5" w:rsidRPr="00A62B46" w:rsidRDefault="00A011D5" w:rsidP="00A011D5">
            <w:pPr>
              <w:ind w:left="66"/>
              <w:jc w:val="both"/>
              <w:rPr>
                <w:rFonts w:cs="Arial"/>
                <w:sz w:val="18"/>
                <w:szCs w:val="18"/>
              </w:rPr>
            </w:pPr>
            <w:r w:rsidRPr="00A62B46">
              <w:rPr>
                <w:rFonts w:cs="Arial"/>
                <w:sz w:val="18"/>
                <w:szCs w:val="18"/>
              </w:rPr>
              <w:t>Other improper conduct in SCM by officials or SCM role players</w:t>
            </w:r>
          </w:p>
        </w:tc>
        <w:tc>
          <w:tcPr>
            <w:tcW w:w="614" w:type="pct"/>
          </w:tcPr>
          <w:p w14:paraId="5EC5F556" w14:textId="77777777" w:rsidR="00A011D5" w:rsidRPr="00A62B46" w:rsidRDefault="00A011D5" w:rsidP="00A011D5">
            <w:pPr>
              <w:ind w:left="66"/>
              <w:jc w:val="both"/>
              <w:rPr>
                <w:rFonts w:cs="Arial"/>
                <w:sz w:val="18"/>
                <w:szCs w:val="18"/>
              </w:rPr>
            </w:pPr>
            <w:r w:rsidRPr="00A62B46">
              <w:rPr>
                <w:rFonts w:cs="Arial"/>
                <w:sz w:val="18"/>
                <w:szCs w:val="18"/>
              </w:rPr>
              <w:t>5</w:t>
            </w:r>
          </w:p>
        </w:tc>
        <w:tc>
          <w:tcPr>
            <w:tcW w:w="689" w:type="pct"/>
          </w:tcPr>
          <w:p w14:paraId="6B61CC9D" w14:textId="77777777" w:rsidR="00A011D5" w:rsidRPr="00A62B46" w:rsidRDefault="00A011D5" w:rsidP="00A011D5">
            <w:pPr>
              <w:jc w:val="both"/>
              <w:rPr>
                <w:rFonts w:cs="Arial"/>
                <w:sz w:val="18"/>
                <w:szCs w:val="18"/>
              </w:rPr>
            </w:pPr>
            <w:r w:rsidRPr="00A62B46">
              <w:rPr>
                <w:rFonts w:cs="Arial"/>
                <w:sz w:val="18"/>
                <w:szCs w:val="18"/>
              </w:rPr>
              <w:t>5</w:t>
            </w:r>
          </w:p>
        </w:tc>
        <w:tc>
          <w:tcPr>
            <w:tcW w:w="689" w:type="pct"/>
          </w:tcPr>
          <w:p w14:paraId="21F3A437" w14:textId="77777777" w:rsidR="00A011D5" w:rsidRPr="00A62B46" w:rsidRDefault="00A011D5" w:rsidP="00A011D5">
            <w:pPr>
              <w:jc w:val="both"/>
              <w:rPr>
                <w:rFonts w:cs="Arial"/>
                <w:sz w:val="18"/>
                <w:szCs w:val="18"/>
              </w:rPr>
            </w:pPr>
            <w:r w:rsidRPr="00A62B46">
              <w:rPr>
                <w:rFonts w:cs="Arial"/>
                <w:sz w:val="18"/>
                <w:szCs w:val="18"/>
              </w:rPr>
              <w:t>5</w:t>
            </w:r>
          </w:p>
        </w:tc>
        <w:tc>
          <w:tcPr>
            <w:tcW w:w="584" w:type="pct"/>
            <w:shd w:val="clear" w:color="auto" w:fill="F2F2F2" w:themeFill="background1" w:themeFillShade="F2"/>
          </w:tcPr>
          <w:p w14:paraId="1AEF8B27" w14:textId="77777777" w:rsidR="00A011D5" w:rsidRPr="00A62B46" w:rsidRDefault="00A011D5" w:rsidP="00A011D5">
            <w:pPr>
              <w:jc w:val="both"/>
              <w:rPr>
                <w:rFonts w:cs="Arial"/>
                <w:sz w:val="18"/>
                <w:szCs w:val="18"/>
              </w:rPr>
            </w:pPr>
            <w:r w:rsidRPr="00A62B46">
              <w:rPr>
                <w:rFonts w:cs="Arial"/>
                <w:sz w:val="18"/>
                <w:szCs w:val="18"/>
              </w:rPr>
              <w:t>3</w:t>
            </w:r>
          </w:p>
        </w:tc>
        <w:tc>
          <w:tcPr>
            <w:tcW w:w="752" w:type="pct"/>
            <w:shd w:val="clear" w:color="auto" w:fill="F2F2F2" w:themeFill="background1" w:themeFillShade="F2"/>
          </w:tcPr>
          <w:p w14:paraId="72BA2158" w14:textId="77777777" w:rsidR="00A011D5" w:rsidRPr="00A62B46" w:rsidRDefault="00A011D5" w:rsidP="00A011D5">
            <w:pPr>
              <w:jc w:val="both"/>
              <w:rPr>
                <w:rFonts w:cs="Arial"/>
                <w:sz w:val="18"/>
                <w:szCs w:val="18"/>
              </w:rPr>
            </w:pPr>
            <w:r w:rsidRPr="00A62B46">
              <w:rPr>
                <w:rFonts w:cs="Arial"/>
                <w:sz w:val="18"/>
                <w:szCs w:val="18"/>
              </w:rPr>
              <w:t>231 245 720</w:t>
            </w:r>
          </w:p>
        </w:tc>
      </w:tr>
      <w:tr w:rsidR="00A011D5" w:rsidRPr="00A62B46" w14:paraId="0D6C6B18" w14:textId="77777777" w:rsidTr="001F43F8">
        <w:tc>
          <w:tcPr>
            <w:tcW w:w="1672" w:type="pct"/>
            <w:shd w:val="clear" w:color="auto" w:fill="D9D9D9" w:themeFill="background1" w:themeFillShade="D9"/>
          </w:tcPr>
          <w:p w14:paraId="73350E5E" w14:textId="77777777" w:rsidR="00A011D5" w:rsidRPr="00A62B46" w:rsidRDefault="00A011D5" w:rsidP="00A011D5">
            <w:pPr>
              <w:ind w:left="66"/>
              <w:jc w:val="both"/>
              <w:rPr>
                <w:rFonts w:cs="Arial"/>
                <w:b/>
                <w:sz w:val="18"/>
                <w:szCs w:val="18"/>
              </w:rPr>
            </w:pPr>
            <w:r w:rsidRPr="00A62B46">
              <w:rPr>
                <w:rFonts w:cs="Arial"/>
                <w:b/>
                <w:sz w:val="18"/>
                <w:szCs w:val="18"/>
              </w:rPr>
              <w:t>C: Financial misconduct</w:t>
            </w:r>
          </w:p>
        </w:tc>
        <w:tc>
          <w:tcPr>
            <w:tcW w:w="614" w:type="pct"/>
            <w:shd w:val="clear" w:color="auto" w:fill="D9D9D9" w:themeFill="background1" w:themeFillShade="D9"/>
          </w:tcPr>
          <w:p w14:paraId="55752621" w14:textId="77777777" w:rsidR="00A011D5" w:rsidRPr="00A62B46" w:rsidRDefault="00A011D5" w:rsidP="00A011D5">
            <w:pPr>
              <w:ind w:left="66"/>
              <w:jc w:val="both"/>
              <w:rPr>
                <w:rFonts w:cs="Arial"/>
                <w:b/>
                <w:sz w:val="18"/>
                <w:szCs w:val="18"/>
              </w:rPr>
            </w:pPr>
          </w:p>
        </w:tc>
        <w:tc>
          <w:tcPr>
            <w:tcW w:w="689" w:type="pct"/>
            <w:shd w:val="clear" w:color="auto" w:fill="D9D9D9" w:themeFill="background1" w:themeFillShade="D9"/>
          </w:tcPr>
          <w:p w14:paraId="0A44B51B"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08E47C9E" w14:textId="77777777" w:rsidR="00A011D5" w:rsidRPr="00A62B46" w:rsidRDefault="00A011D5" w:rsidP="00A011D5">
            <w:pPr>
              <w:jc w:val="both"/>
              <w:rPr>
                <w:rFonts w:cs="Arial"/>
                <w:b/>
                <w:sz w:val="18"/>
                <w:szCs w:val="18"/>
              </w:rPr>
            </w:pPr>
          </w:p>
        </w:tc>
        <w:tc>
          <w:tcPr>
            <w:tcW w:w="584" w:type="pct"/>
            <w:shd w:val="clear" w:color="auto" w:fill="D9D9D9" w:themeFill="background1" w:themeFillShade="D9"/>
          </w:tcPr>
          <w:p w14:paraId="408D6887" w14:textId="77777777" w:rsidR="00A011D5" w:rsidRPr="00A62B46" w:rsidRDefault="00A011D5" w:rsidP="00A011D5">
            <w:pPr>
              <w:jc w:val="both"/>
              <w:rPr>
                <w:rFonts w:cs="Arial"/>
                <w:b/>
                <w:sz w:val="18"/>
                <w:szCs w:val="18"/>
              </w:rPr>
            </w:pPr>
          </w:p>
        </w:tc>
        <w:tc>
          <w:tcPr>
            <w:tcW w:w="752" w:type="pct"/>
            <w:shd w:val="clear" w:color="auto" w:fill="D9D9D9" w:themeFill="background1" w:themeFillShade="D9"/>
          </w:tcPr>
          <w:p w14:paraId="0BEFE68D" w14:textId="77777777" w:rsidR="00A011D5" w:rsidRPr="00A62B46" w:rsidRDefault="00A011D5" w:rsidP="00A011D5">
            <w:pPr>
              <w:jc w:val="both"/>
              <w:rPr>
                <w:rFonts w:cs="Arial"/>
                <w:b/>
                <w:sz w:val="18"/>
                <w:szCs w:val="18"/>
              </w:rPr>
            </w:pPr>
          </w:p>
        </w:tc>
      </w:tr>
      <w:tr w:rsidR="00A011D5" w:rsidRPr="00A62B46" w14:paraId="2FEB945E" w14:textId="77777777" w:rsidTr="001F43F8">
        <w:tc>
          <w:tcPr>
            <w:tcW w:w="1672" w:type="pct"/>
          </w:tcPr>
          <w:p w14:paraId="13553038" w14:textId="77777777" w:rsidR="00A011D5" w:rsidRPr="00A62B46" w:rsidRDefault="00A011D5" w:rsidP="00A011D5">
            <w:pPr>
              <w:ind w:left="66"/>
              <w:jc w:val="both"/>
              <w:rPr>
                <w:rFonts w:cs="Arial"/>
                <w:sz w:val="18"/>
                <w:szCs w:val="18"/>
              </w:rPr>
            </w:pPr>
            <w:r w:rsidRPr="00A62B46">
              <w:rPr>
                <w:rFonts w:cs="Arial"/>
                <w:sz w:val="18"/>
                <w:szCs w:val="18"/>
              </w:rPr>
              <w:t>Other financial misconduct-related allegation</w:t>
            </w:r>
          </w:p>
        </w:tc>
        <w:tc>
          <w:tcPr>
            <w:tcW w:w="614" w:type="pct"/>
          </w:tcPr>
          <w:p w14:paraId="4627862C"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755317CE" w14:textId="77777777" w:rsidR="00A011D5" w:rsidRPr="00A62B46" w:rsidRDefault="00A011D5" w:rsidP="00A011D5">
            <w:pPr>
              <w:jc w:val="both"/>
              <w:rPr>
                <w:rFonts w:cs="Arial"/>
                <w:sz w:val="18"/>
                <w:szCs w:val="18"/>
              </w:rPr>
            </w:pPr>
            <w:r w:rsidRPr="00A62B46">
              <w:rPr>
                <w:rFonts w:cs="Arial"/>
                <w:sz w:val="18"/>
                <w:szCs w:val="18"/>
              </w:rPr>
              <w:t>0</w:t>
            </w:r>
          </w:p>
        </w:tc>
        <w:tc>
          <w:tcPr>
            <w:tcW w:w="689" w:type="pct"/>
          </w:tcPr>
          <w:p w14:paraId="0FC5212A" w14:textId="77777777" w:rsidR="00A011D5" w:rsidRPr="00A62B46" w:rsidRDefault="00A011D5" w:rsidP="00A011D5">
            <w:pPr>
              <w:jc w:val="both"/>
              <w:rPr>
                <w:rFonts w:cs="Arial"/>
                <w:sz w:val="18"/>
                <w:szCs w:val="18"/>
              </w:rPr>
            </w:pPr>
            <w:r w:rsidRPr="00A62B46">
              <w:rPr>
                <w:rFonts w:cs="Arial"/>
                <w:sz w:val="18"/>
                <w:szCs w:val="18"/>
              </w:rPr>
              <w:t>0</w:t>
            </w:r>
          </w:p>
        </w:tc>
        <w:tc>
          <w:tcPr>
            <w:tcW w:w="584" w:type="pct"/>
            <w:shd w:val="clear" w:color="auto" w:fill="F2F2F2" w:themeFill="background1" w:themeFillShade="F2"/>
          </w:tcPr>
          <w:p w14:paraId="18960E52" w14:textId="77777777" w:rsidR="00A011D5" w:rsidRPr="00A62B46" w:rsidRDefault="00A011D5" w:rsidP="00A011D5">
            <w:pPr>
              <w:jc w:val="both"/>
              <w:rPr>
                <w:rFonts w:cs="Arial"/>
                <w:sz w:val="18"/>
                <w:szCs w:val="18"/>
              </w:rPr>
            </w:pPr>
            <w:r w:rsidRPr="00A62B46">
              <w:rPr>
                <w:rFonts w:cs="Arial"/>
                <w:sz w:val="18"/>
                <w:szCs w:val="18"/>
              </w:rPr>
              <w:t>8</w:t>
            </w:r>
          </w:p>
        </w:tc>
        <w:tc>
          <w:tcPr>
            <w:tcW w:w="752" w:type="pct"/>
            <w:shd w:val="clear" w:color="auto" w:fill="F2F2F2" w:themeFill="background1" w:themeFillShade="F2"/>
          </w:tcPr>
          <w:p w14:paraId="4FB00CE5" w14:textId="77777777" w:rsidR="00A011D5" w:rsidRPr="00A62B46" w:rsidRDefault="00A011D5" w:rsidP="00A011D5">
            <w:pPr>
              <w:jc w:val="both"/>
              <w:rPr>
                <w:rFonts w:cs="Arial"/>
                <w:sz w:val="18"/>
                <w:szCs w:val="18"/>
              </w:rPr>
            </w:pPr>
            <w:r w:rsidRPr="00A62B46">
              <w:rPr>
                <w:rFonts w:cs="Arial"/>
                <w:sz w:val="18"/>
                <w:szCs w:val="18"/>
              </w:rPr>
              <w:t>255 919 941</w:t>
            </w:r>
          </w:p>
        </w:tc>
      </w:tr>
      <w:tr w:rsidR="00A011D5" w:rsidRPr="00A62B46" w14:paraId="7DC11CF1" w14:textId="77777777" w:rsidTr="001F43F8">
        <w:tc>
          <w:tcPr>
            <w:tcW w:w="1672" w:type="pct"/>
            <w:shd w:val="clear" w:color="auto" w:fill="D9D9D9" w:themeFill="background1" w:themeFillShade="D9"/>
          </w:tcPr>
          <w:p w14:paraId="7BA7B88E" w14:textId="77777777" w:rsidR="00A011D5" w:rsidRPr="00A62B46" w:rsidRDefault="00A011D5" w:rsidP="00A011D5">
            <w:pPr>
              <w:keepNext/>
              <w:keepLines/>
              <w:spacing w:before="120" w:after="240"/>
              <w:jc w:val="both"/>
              <w:outlineLvl w:val="2"/>
              <w:rPr>
                <w:rFonts w:cs="Arial"/>
                <w:b/>
                <w:sz w:val="18"/>
                <w:szCs w:val="18"/>
              </w:rPr>
            </w:pPr>
            <w:r w:rsidRPr="00A62B46">
              <w:rPr>
                <w:rFonts w:cs="Arial"/>
                <w:b/>
                <w:sz w:val="18"/>
                <w:szCs w:val="18"/>
              </w:rPr>
              <w:t>D: Other fraud / corruption allegations (not included above)</w:t>
            </w:r>
          </w:p>
        </w:tc>
        <w:tc>
          <w:tcPr>
            <w:tcW w:w="614" w:type="pct"/>
            <w:shd w:val="clear" w:color="auto" w:fill="D9D9D9" w:themeFill="background1" w:themeFillShade="D9"/>
          </w:tcPr>
          <w:p w14:paraId="6C601AB1"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3DECE2ED" w14:textId="77777777" w:rsidR="00A011D5" w:rsidRPr="00A62B46" w:rsidRDefault="00A011D5" w:rsidP="00A011D5">
            <w:pPr>
              <w:jc w:val="both"/>
              <w:rPr>
                <w:rFonts w:cs="Arial"/>
                <w:b/>
                <w:sz w:val="18"/>
                <w:szCs w:val="18"/>
              </w:rPr>
            </w:pPr>
          </w:p>
        </w:tc>
        <w:tc>
          <w:tcPr>
            <w:tcW w:w="689" w:type="pct"/>
            <w:shd w:val="clear" w:color="auto" w:fill="D9D9D9" w:themeFill="background1" w:themeFillShade="D9"/>
          </w:tcPr>
          <w:p w14:paraId="43CA63DB" w14:textId="77777777" w:rsidR="00A011D5" w:rsidRPr="00A62B46" w:rsidRDefault="00A011D5" w:rsidP="00A011D5">
            <w:pPr>
              <w:jc w:val="both"/>
              <w:rPr>
                <w:rFonts w:cs="Arial"/>
                <w:b/>
                <w:sz w:val="18"/>
                <w:szCs w:val="18"/>
              </w:rPr>
            </w:pPr>
          </w:p>
        </w:tc>
        <w:tc>
          <w:tcPr>
            <w:tcW w:w="584" w:type="pct"/>
            <w:shd w:val="clear" w:color="auto" w:fill="D9D9D9" w:themeFill="background1" w:themeFillShade="D9"/>
          </w:tcPr>
          <w:p w14:paraId="4665A685" w14:textId="77777777" w:rsidR="00A011D5" w:rsidRPr="00A62B46" w:rsidRDefault="00A011D5" w:rsidP="00A011D5">
            <w:pPr>
              <w:jc w:val="both"/>
              <w:rPr>
                <w:rFonts w:cs="Arial"/>
                <w:b/>
                <w:sz w:val="18"/>
                <w:szCs w:val="18"/>
              </w:rPr>
            </w:pPr>
          </w:p>
        </w:tc>
        <w:tc>
          <w:tcPr>
            <w:tcW w:w="752" w:type="pct"/>
            <w:shd w:val="clear" w:color="auto" w:fill="D9D9D9" w:themeFill="background1" w:themeFillShade="D9"/>
          </w:tcPr>
          <w:p w14:paraId="44B20D9D" w14:textId="77777777" w:rsidR="00A011D5" w:rsidRPr="00A62B46" w:rsidRDefault="00A011D5" w:rsidP="00A011D5">
            <w:pPr>
              <w:jc w:val="both"/>
              <w:rPr>
                <w:rFonts w:cs="Arial"/>
                <w:b/>
                <w:sz w:val="18"/>
                <w:szCs w:val="18"/>
              </w:rPr>
            </w:pPr>
          </w:p>
        </w:tc>
      </w:tr>
      <w:tr w:rsidR="00A011D5" w:rsidRPr="00A62B46" w14:paraId="6D0C0167" w14:textId="77777777" w:rsidTr="001F43F8">
        <w:tc>
          <w:tcPr>
            <w:tcW w:w="1672" w:type="pct"/>
          </w:tcPr>
          <w:p w14:paraId="748052BE" w14:textId="77777777" w:rsidR="00A011D5" w:rsidRPr="00A62B46" w:rsidRDefault="00A011D5" w:rsidP="00A011D5">
            <w:pPr>
              <w:ind w:left="66"/>
              <w:jc w:val="both"/>
              <w:rPr>
                <w:rFonts w:cs="Arial"/>
                <w:sz w:val="18"/>
                <w:szCs w:val="18"/>
              </w:rPr>
            </w:pPr>
            <w:r w:rsidRPr="00A62B46">
              <w:rPr>
                <w:rFonts w:cs="Arial"/>
                <w:sz w:val="18"/>
                <w:szCs w:val="18"/>
              </w:rPr>
              <w:t>(Add other possible fraud)</w:t>
            </w:r>
          </w:p>
        </w:tc>
        <w:tc>
          <w:tcPr>
            <w:tcW w:w="614" w:type="pct"/>
          </w:tcPr>
          <w:p w14:paraId="79F33356" w14:textId="77777777" w:rsidR="00A011D5" w:rsidRPr="00A62B46" w:rsidRDefault="00A011D5" w:rsidP="00A011D5">
            <w:pPr>
              <w:jc w:val="both"/>
              <w:rPr>
                <w:rFonts w:cs="Arial"/>
                <w:sz w:val="18"/>
                <w:szCs w:val="18"/>
              </w:rPr>
            </w:pPr>
            <w:r w:rsidRPr="00A62B46">
              <w:rPr>
                <w:rFonts w:cs="Arial"/>
                <w:sz w:val="18"/>
                <w:szCs w:val="18"/>
              </w:rPr>
              <w:t>9</w:t>
            </w:r>
          </w:p>
        </w:tc>
        <w:tc>
          <w:tcPr>
            <w:tcW w:w="689" w:type="pct"/>
          </w:tcPr>
          <w:p w14:paraId="0205753D" w14:textId="77777777" w:rsidR="00A011D5" w:rsidRPr="00A62B46" w:rsidRDefault="00A011D5" w:rsidP="00A011D5">
            <w:pPr>
              <w:jc w:val="both"/>
              <w:rPr>
                <w:rFonts w:cs="Arial"/>
                <w:sz w:val="18"/>
                <w:szCs w:val="18"/>
              </w:rPr>
            </w:pPr>
            <w:r w:rsidRPr="00A62B46">
              <w:rPr>
                <w:rFonts w:cs="Arial"/>
                <w:sz w:val="18"/>
                <w:szCs w:val="18"/>
              </w:rPr>
              <w:t>9</w:t>
            </w:r>
          </w:p>
        </w:tc>
        <w:tc>
          <w:tcPr>
            <w:tcW w:w="689" w:type="pct"/>
          </w:tcPr>
          <w:p w14:paraId="266F568A" w14:textId="77777777" w:rsidR="00A011D5" w:rsidRPr="00A62B46" w:rsidRDefault="00A011D5" w:rsidP="00A011D5">
            <w:pPr>
              <w:jc w:val="both"/>
              <w:rPr>
                <w:rFonts w:cs="Arial"/>
                <w:sz w:val="18"/>
                <w:szCs w:val="18"/>
              </w:rPr>
            </w:pPr>
            <w:r w:rsidRPr="00A62B46">
              <w:rPr>
                <w:rFonts w:cs="Arial"/>
                <w:sz w:val="18"/>
                <w:szCs w:val="18"/>
              </w:rPr>
              <w:t>9</w:t>
            </w:r>
          </w:p>
        </w:tc>
        <w:tc>
          <w:tcPr>
            <w:tcW w:w="584" w:type="pct"/>
            <w:shd w:val="clear" w:color="auto" w:fill="F2F2F2" w:themeFill="background1" w:themeFillShade="F2"/>
          </w:tcPr>
          <w:p w14:paraId="1857BA83" w14:textId="77777777" w:rsidR="00A011D5" w:rsidRPr="00A62B46" w:rsidRDefault="00A011D5" w:rsidP="00A011D5">
            <w:pPr>
              <w:jc w:val="both"/>
              <w:rPr>
                <w:rFonts w:cs="Arial"/>
                <w:sz w:val="18"/>
                <w:szCs w:val="18"/>
              </w:rPr>
            </w:pPr>
            <w:r w:rsidRPr="00A62B46">
              <w:rPr>
                <w:rFonts w:cs="Arial"/>
                <w:sz w:val="18"/>
                <w:szCs w:val="18"/>
              </w:rPr>
              <w:t>3</w:t>
            </w:r>
          </w:p>
        </w:tc>
        <w:tc>
          <w:tcPr>
            <w:tcW w:w="752" w:type="pct"/>
            <w:shd w:val="clear" w:color="auto" w:fill="F2F2F2" w:themeFill="background1" w:themeFillShade="F2"/>
          </w:tcPr>
          <w:p w14:paraId="789AFDEA" w14:textId="77777777" w:rsidR="00A011D5" w:rsidRPr="00A62B46" w:rsidRDefault="00A011D5" w:rsidP="00A011D5">
            <w:pPr>
              <w:jc w:val="both"/>
              <w:rPr>
                <w:rFonts w:cs="Arial"/>
                <w:sz w:val="18"/>
                <w:szCs w:val="18"/>
              </w:rPr>
            </w:pPr>
            <w:r w:rsidRPr="00A62B46">
              <w:rPr>
                <w:rFonts w:cs="Arial"/>
                <w:sz w:val="18"/>
                <w:szCs w:val="18"/>
              </w:rPr>
              <w:t>unquantifiable</w:t>
            </w:r>
          </w:p>
        </w:tc>
      </w:tr>
    </w:tbl>
    <w:p w14:paraId="009EAEF4" w14:textId="77777777" w:rsidR="00A011D5" w:rsidRPr="00A011D5"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Fruitless and wasteful expenditure disclosed in note 31 to the financial statements must be investigated to determine whether any official is liable for losses incurred as a result of the fruitless and wasteful expenditure. Disciplinary steps must be taken against officials who caused or permitted the fruitless and wasteful expenditure, and losses incurred as a result must be recovered from the person liable.</w:t>
      </w:r>
      <w:r w:rsidRPr="001F43F8">
        <w:rPr>
          <w:rFonts w:eastAsia="Calibri" w:cs="Arial"/>
        </w:rPr>
        <w:endnoteReference w:id="6"/>
      </w:r>
    </w:p>
    <w:p w14:paraId="62AA74B8" w14:textId="77777777" w:rsidR="00A011D5" w:rsidRPr="00A62603" w:rsidRDefault="00A011D5" w:rsidP="006306CE">
      <w:pPr>
        <w:numPr>
          <w:ilvl w:val="0"/>
          <w:numId w:val="15"/>
        </w:numPr>
        <w:shd w:val="clear" w:color="auto" w:fill="FFFFFF"/>
        <w:spacing w:before="120"/>
        <w:ind w:left="567" w:hanging="567"/>
        <w:jc w:val="both"/>
        <w:rPr>
          <w:rFonts w:eastAsia="Calibri" w:cs="Arial"/>
        </w:rPr>
      </w:pPr>
      <w:r w:rsidRPr="00A011D5">
        <w:rPr>
          <w:rFonts w:eastAsia="Calibri" w:cs="Arial"/>
        </w:rPr>
        <w:t>Irregular expenditure disclosed in note 32 to the financial statements must be investigated to determine whether any official is liable for losses incurred as a result of the irregular expenditure. Disciplinary steps must be taken against officials who caused or permitted the irregular expenditure, and losses incurred as a result must be recovered from the person liable</w:t>
      </w:r>
      <w:bookmarkStart w:id="361" w:name="PartE"/>
      <w:bookmarkEnd w:id="361"/>
      <w:r w:rsidR="001F43F8">
        <w:rPr>
          <w:rFonts w:eastAsia="Calibri" w:cs="Arial"/>
        </w:rPr>
        <w:t>.</w:t>
      </w:r>
    </w:p>
    <w:p w14:paraId="404CABE2" w14:textId="77777777" w:rsidR="00287920" w:rsidRPr="0077659B" w:rsidRDefault="00287920" w:rsidP="00311428">
      <w:pPr>
        <w:pStyle w:val="Heading2"/>
        <w:jc w:val="both"/>
      </w:pPr>
      <w:bookmarkStart w:id="362" w:name="_Toc53608733"/>
      <w:r w:rsidRPr="0077659B">
        <w:lastRenderedPageBreak/>
        <w:t xml:space="preserve">SECTION 5. </w:t>
      </w:r>
      <w:bookmarkStart w:id="363" w:name="ICG"/>
      <w:bookmarkEnd w:id="363"/>
      <w:r w:rsidRPr="0077659B">
        <w:t>Using the work of internal audit</w:t>
      </w:r>
      <w:bookmarkEnd w:id="362"/>
    </w:p>
    <w:p w14:paraId="586AD7C3" w14:textId="77777777" w:rsidR="00072064" w:rsidRPr="001F43F8" w:rsidRDefault="00B4347A" w:rsidP="006306CE">
      <w:pPr>
        <w:numPr>
          <w:ilvl w:val="0"/>
          <w:numId w:val="15"/>
        </w:numPr>
        <w:shd w:val="clear" w:color="auto" w:fill="FFFFFF"/>
        <w:spacing w:before="120"/>
        <w:ind w:left="567" w:hanging="567"/>
        <w:jc w:val="both"/>
        <w:rPr>
          <w:rFonts w:eastAsia="Calibri" w:cs="Arial"/>
        </w:rPr>
      </w:pPr>
      <w:r w:rsidRPr="001F43F8">
        <w:rPr>
          <w:rFonts w:eastAsia="Calibri" w:cs="Arial"/>
        </w:rPr>
        <w:t>The auditing standards allow external auditors the optional use of the work of internal audit</w:t>
      </w:r>
      <w:r w:rsidR="002A588C" w:rsidRPr="001F43F8">
        <w:rPr>
          <w:rFonts w:eastAsia="Calibri" w:cs="Arial"/>
        </w:rPr>
        <w:t>ors</w:t>
      </w:r>
      <w:r w:rsidRPr="001F43F8">
        <w:rPr>
          <w:rFonts w:eastAsia="Calibri" w:cs="Arial"/>
        </w:rPr>
        <w:t xml:space="preserve"> for external audit purposes and for direct assistance. We have used internal audit as follows:</w:t>
      </w:r>
    </w:p>
    <w:p w14:paraId="15E44BCE" w14:textId="77777777" w:rsidR="006424D0" w:rsidRPr="006424D0" w:rsidRDefault="006424D0" w:rsidP="00311428">
      <w:pPr>
        <w:pStyle w:val="Bulletedlist"/>
        <w:ind w:left="851" w:hanging="283"/>
        <w:jc w:val="both"/>
      </w:pPr>
      <w:r>
        <w:t>For risk identification the following internal audit reports were considered:</w:t>
      </w:r>
    </w:p>
    <w:p w14:paraId="723CC9E4" w14:textId="77777777" w:rsidR="00D64668" w:rsidRPr="0077659B" w:rsidRDefault="006424D0" w:rsidP="006306CE">
      <w:pPr>
        <w:pStyle w:val="Bulletedlist"/>
        <w:numPr>
          <w:ilvl w:val="0"/>
          <w:numId w:val="17"/>
        </w:numPr>
        <w:jc w:val="both"/>
      </w:pPr>
      <w:r>
        <w:t>Follow up audits where internal audit assessed management’s progress in addressing internal and external audit findings from prior periods</w:t>
      </w:r>
    </w:p>
    <w:p w14:paraId="211A288A" w14:textId="77777777" w:rsidR="00AC1DE3" w:rsidRDefault="006424D0" w:rsidP="00311428">
      <w:pPr>
        <w:pStyle w:val="Bulletedlist"/>
        <w:ind w:left="851" w:hanging="283"/>
        <w:jc w:val="both"/>
      </w:pPr>
      <w:r>
        <w:t>We placed reliance on the work of internal audit in the performance of our interim audit for the following areas</w:t>
      </w:r>
    </w:p>
    <w:p w14:paraId="03920197" w14:textId="77777777" w:rsidR="006424D0" w:rsidRPr="006424D0" w:rsidRDefault="006424D0" w:rsidP="006306CE">
      <w:pPr>
        <w:pStyle w:val="Bulletedlist"/>
        <w:numPr>
          <w:ilvl w:val="0"/>
          <w:numId w:val="17"/>
        </w:numPr>
        <w:jc w:val="both"/>
      </w:pPr>
      <w:r>
        <w:t xml:space="preserve"> </w:t>
      </w:r>
      <w:r w:rsidRPr="006424D0">
        <w:t>Audit of the quarterly report(Q1) for all programmes scoped in</w:t>
      </w:r>
      <w:r w:rsidR="00311428">
        <w:t>.</w:t>
      </w:r>
    </w:p>
    <w:p w14:paraId="1353ADF6" w14:textId="77777777" w:rsidR="00287920" w:rsidRPr="0077659B" w:rsidRDefault="00287920" w:rsidP="00287920">
      <w:pPr>
        <w:pStyle w:val="Heading2"/>
      </w:pPr>
      <w:bookmarkStart w:id="364" w:name="_Toc447106661"/>
      <w:bookmarkStart w:id="365" w:name="_Toc53608734"/>
      <w:r w:rsidRPr="0077659B">
        <w:t>SECTION 6: Emerging risks</w:t>
      </w:r>
      <w:bookmarkEnd w:id="364"/>
      <w:bookmarkEnd w:id="365"/>
    </w:p>
    <w:p w14:paraId="0C458160" w14:textId="77777777" w:rsidR="00C22F2B" w:rsidRPr="0077659B" w:rsidRDefault="00C22F2B" w:rsidP="00287920">
      <w:pPr>
        <w:pStyle w:val="Heading4"/>
      </w:pPr>
      <w:bookmarkStart w:id="366" w:name="S5E38"/>
      <w:bookmarkStart w:id="367" w:name="PartC"/>
      <w:bookmarkStart w:id="368" w:name="PartD"/>
      <w:bookmarkStart w:id="369" w:name="Account"/>
      <w:bookmarkStart w:id="370" w:name="_Toc447106662"/>
      <w:bookmarkStart w:id="371" w:name="OLE_LINK8"/>
      <w:bookmarkStart w:id="372" w:name="OLE_LINK9"/>
      <w:bookmarkEnd w:id="366"/>
      <w:bookmarkEnd w:id="367"/>
      <w:bookmarkEnd w:id="368"/>
      <w:bookmarkEnd w:id="369"/>
      <w:r w:rsidRPr="0077659B">
        <w:t>Accounting, performance management/reporting and compliance matters</w:t>
      </w:r>
      <w:bookmarkEnd w:id="370"/>
    </w:p>
    <w:p w14:paraId="6180EC88" w14:textId="77777777" w:rsidR="00307684" w:rsidRPr="0077659B" w:rsidRDefault="00C22F2B" w:rsidP="00287920">
      <w:pPr>
        <w:pStyle w:val="Heading6"/>
      </w:pPr>
      <w:bookmarkStart w:id="373" w:name="_Toc447106663"/>
      <w:r w:rsidRPr="0077659B">
        <w:t>New pronouncements</w:t>
      </w:r>
      <w:bookmarkEnd w:id="373"/>
    </w:p>
    <w:p w14:paraId="29FF0123" w14:textId="77777777" w:rsidR="0097338B" w:rsidRPr="002A764E" w:rsidRDefault="00C22F2B" w:rsidP="002A764E">
      <w:pPr>
        <w:pStyle w:val="Heading6"/>
        <w:rPr>
          <w:rFonts w:eastAsia="MS Mincho"/>
        </w:rPr>
      </w:pPr>
      <w:r w:rsidRPr="0077659B">
        <w:rPr>
          <w:rFonts w:eastAsia="MS Mincho"/>
        </w:rPr>
        <w:t>Standards of GRAP</w:t>
      </w:r>
    </w:p>
    <w:tbl>
      <w:tblPr>
        <w:tblStyle w:val="TableGrid"/>
        <w:tblW w:w="9213" w:type="dxa"/>
        <w:tblInd w:w="421" w:type="dxa"/>
        <w:tblLook w:val="04A0" w:firstRow="1" w:lastRow="0" w:firstColumn="1" w:lastColumn="0" w:noHBand="0" w:noVBand="1"/>
      </w:tblPr>
      <w:tblGrid>
        <w:gridCol w:w="7371"/>
        <w:gridCol w:w="1842"/>
      </w:tblGrid>
      <w:tr w:rsidR="0097338B" w:rsidRPr="00F61ACD" w14:paraId="4997A298" w14:textId="77777777" w:rsidTr="00254867">
        <w:trPr>
          <w:tblHeader/>
        </w:trPr>
        <w:tc>
          <w:tcPr>
            <w:tcW w:w="7371" w:type="dxa"/>
            <w:shd w:val="clear" w:color="auto" w:fill="BFBFBF" w:themeFill="background1" w:themeFillShade="BF"/>
          </w:tcPr>
          <w:p w14:paraId="36DB6C7D" w14:textId="77777777" w:rsidR="0097338B" w:rsidRPr="00F61ACD" w:rsidRDefault="0097338B" w:rsidP="00C10500">
            <w:pPr>
              <w:spacing w:before="60" w:after="60"/>
              <w:rPr>
                <w:rFonts w:eastAsia="Calibri" w:cs="Arial"/>
                <w:b/>
                <w:sz w:val="18"/>
                <w:szCs w:val="18"/>
              </w:rPr>
            </w:pPr>
            <w:r w:rsidRPr="00F61ACD">
              <w:rPr>
                <w:rFonts w:eastAsia="Calibri" w:cs="Arial"/>
                <w:b/>
                <w:sz w:val="18"/>
                <w:szCs w:val="18"/>
              </w:rPr>
              <w:t>GRAP pronouncement</w:t>
            </w:r>
          </w:p>
        </w:tc>
        <w:tc>
          <w:tcPr>
            <w:tcW w:w="1842" w:type="dxa"/>
            <w:shd w:val="clear" w:color="auto" w:fill="BFBFBF" w:themeFill="background1" w:themeFillShade="BF"/>
          </w:tcPr>
          <w:p w14:paraId="1ADDC9E9" w14:textId="77777777" w:rsidR="0097338B" w:rsidRPr="00F61ACD" w:rsidRDefault="0097338B" w:rsidP="00C10500">
            <w:pPr>
              <w:spacing w:before="60" w:after="60"/>
              <w:jc w:val="center"/>
              <w:rPr>
                <w:rFonts w:eastAsia="Calibri" w:cs="Arial"/>
                <w:b/>
                <w:sz w:val="18"/>
                <w:szCs w:val="18"/>
              </w:rPr>
            </w:pPr>
            <w:r w:rsidRPr="00F61ACD">
              <w:rPr>
                <w:rFonts w:eastAsia="Calibri" w:cs="Arial"/>
                <w:b/>
                <w:sz w:val="18"/>
                <w:szCs w:val="18"/>
              </w:rPr>
              <w:t>Effective date</w:t>
            </w:r>
          </w:p>
        </w:tc>
      </w:tr>
      <w:tr w:rsidR="00BC6479" w:rsidRPr="00F61ACD" w14:paraId="0D0A71CA" w14:textId="77777777" w:rsidTr="00641026">
        <w:tc>
          <w:tcPr>
            <w:tcW w:w="7371" w:type="dxa"/>
            <w:vAlign w:val="center"/>
          </w:tcPr>
          <w:p w14:paraId="59458ED6" w14:textId="77777777" w:rsidR="00BC6479" w:rsidRPr="00F61ACD" w:rsidRDefault="00BC6479" w:rsidP="00BC6479">
            <w:pPr>
              <w:spacing w:before="60" w:after="60"/>
              <w:rPr>
                <w:rFonts w:cs="Arial"/>
                <w:sz w:val="18"/>
                <w:szCs w:val="18"/>
              </w:rPr>
            </w:pPr>
            <w:r w:rsidRPr="00F61ACD">
              <w:rPr>
                <w:rFonts w:cs="Arial"/>
                <w:sz w:val="18"/>
                <w:szCs w:val="18"/>
              </w:rPr>
              <w:t xml:space="preserve">GRAP 20 on </w:t>
            </w:r>
            <w:r w:rsidRPr="00F61ACD">
              <w:rPr>
                <w:rFonts w:cs="Arial"/>
                <w:i/>
                <w:sz w:val="18"/>
                <w:szCs w:val="18"/>
              </w:rPr>
              <w:t>Related-party disclosures</w:t>
            </w:r>
          </w:p>
        </w:tc>
        <w:tc>
          <w:tcPr>
            <w:tcW w:w="1842" w:type="dxa"/>
            <w:vAlign w:val="center"/>
          </w:tcPr>
          <w:p w14:paraId="5C859DFA" w14:textId="77777777" w:rsidR="00BC6479" w:rsidRPr="00F61ACD" w:rsidRDefault="00BC6479" w:rsidP="00BC6479">
            <w:pPr>
              <w:spacing w:before="60" w:after="60"/>
              <w:jc w:val="center"/>
              <w:rPr>
                <w:rFonts w:cs="Arial"/>
                <w:sz w:val="18"/>
                <w:szCs w:val="18"/>
              </w:rPr>
            </w:pPr>
            <w:r w:rsidRPr="00F61ACD">
              <w:rPr>
                <w:rFonts w:eastAsia="Calibri" w:cs="Arial"/>
                <w:sz w:val="18"/>
                <w:szCs w:val="18"/>
              </w:rPr>
              <w:t>1 Apr 2021</w:t>
            </w:r>
          </w:p>
        </w:tc>
      </w:tr>
      <w:tr w:rsidR="0097338B" w:rsidRPr="00F61ACD" w14:paraId="25B4E532" w14:textId="77777777" w:rsidTr="00254867">
        <w:tc>
          <w:tcPr>
            <w:tcW w:w="7371" w:type="dxa"/>
            <w:vAlign w:val="center"/>
          </w:tcPr>
          <w:p w14:paraId="64BC106C" w14:textId="77777777" w:rsidR="0097338B" w:rsidRPr="00F61ACD" w:rsidRDefault="0097338B" w:rsidP="00C10500">
            <w:pPr>
              <w:spacing w:before="60" w:after="60"/>
              <w:rPr>
                <w:rFonts w:cs="Arial"/>
                <w:i/>
                <w:sz w:val="18"/>
                <w:szCs w:val="18"/>
              </w:rPr>
            </w:pPr>
            <w:r w:rsidRPr="00F61ACD">
              <w:rPr>
                <w:rFonts w:cs="Arial"/>
                <w:sz w:val="18"/>
                <w:szCs w:val="18"/>
              </w:rPr>
              <w:t xml:space="preserve">GRAP 38 on </w:t>
            </w:r>
            <w:r w:rsidRPr="00F61ACD">
              <w:rPr>
                <w:rFonts w:cs="Arial"/>
                <w:i/>
                <w:sz w:val="18"/>
                <w:szCs w:val="18"/>
              </w:rPr>
              <w:t>Disclosure of interests in other entities</w:t>
            </w:r>
          </w:p>
        </w:tc>
        <w:tc>
          <w:tcPr>
            <w:tcW w:w="1842" w:type="dxa"/>
            <w:vAlign w:val="center"/>
          </w:tcPr>
          <w:p w14:paraId="1DCEE85C" w14:textId="77777777" w:rsidR="0097338B" w:rsidRPr="00F61ACD" w:rsidRDefault="0097338B" w:rsidP="00C10500">
            <w:pPr>
              <w:spacing w:before="60" w:after="60"/>
              <w:jc w:val="center"/>
              <w:rPr>
                <w:rFonts w:cs="Arial"/>
                <w:sz w:val="18"/>
                <w:szCs w:val="18"/>
              </w:rPr>
            </w:pPr>
            <w:r w:rsidRPr="00F61ACD">
              <w:rPr>
                <w:rFonts w:eastAsia="Calibri" w:cs="Arial"/>
                <w:sz w:val="18"/>
                <w:szCs w:val="18"/>
              </w:rPr>
              <w:t>1 Apr 2020</w:t>
            </w:r>
          </w:p>
        </w:tc>
      </w:tr>
      <w:tr w:rsidR="0097338B" w:rsidRPr="00F61ACD" w14:paraId="6B95CB7B" w14:textId="77777777" w:rsidTr="00254867">
        <w:tc>
          <w:tcPr>
            <w:tcW w:w="7371" w:type="dxa"/>
            <w:vAlign w:val="center"/>
          </w:tcPr>
          <w:p w14:paraId="27C9657D" w14:textId="77777777" w:rsidR="0097338B" w:rsidRPr="00F61ACD" w:rsidRDefault="0097338B" w:rsidP="00C10500">
            <w:pPr>
              <w:spacing w:before="60" w:after="60"/>
              <w:rPr>
                <w:rFonts w:cs="Arial"/>
                <w:sz w:val="18"/>
                <w:szCs w:val="18"/>
              </w:rPr>
            </w:pPr>
            <w:r w:rsidRPr="00F61ACD">
              <w:rPr>
                <w:rFonts w:cs="Arial"/>
                <w:sz w:val="18"/>
                <w:szCs w:val="18"/>
              </w:rPr>
              <w:t xml:space="preserve">GRAP 104 on </w:t>
            </w:r>
            <w:r w:rsidRPr="00F61ACD">
              <w:rPr>
                <w:rFonts w:cs="Arial"/>
                <w:i/>
                <w:sz w:val="18"/>
                <w:szCs w:val="18"/>
              </w:rPr>
              <w:t>Financial instruments</w:t>
            </w:r>
            <w:r w:rsidRPr="00F61ACD">
              <w:rPr>
                <w:rFonts w:cs="Arial"/>
                <w:sz w:val="18"/>
                <w:szCs w:val="18"/>
              </w:rPr>
              <w:t xml:space="preserve"> (revised)</w:t>
            </w:r>
          </w:p>
        </w:tc>
        <w:tc>
          <w:tcPr>
            <w:tcW w:w="1842" w:type="dxa"/>
            <w:vAlign w:val="center"/>
          </w:tcPr>
          <w:p w14:paraId="74473A55" w14:textId="77777777" w:rsidR="0097338B" w:rsidRPr="00F61ACD" w:rsidRDefault="0097338B" w:rsidP="00C10500">
            <w:pPr>
              <w:spacing w:before="60" w:after="60"/>
              <w:jc w:val="center"/>
              <w:rPr>
                <w:rFonts w:eastAsia="Calibri" w:cs="Arial"/>
                <w:sz w:val="18"/>
                <w:szCs w:val="18"/>
              </w:rPr>
            </w:pPr>
            <w:r w:rsidRPr="00F61ACD">
              <w:rPr>
                <w:rFonts w:eastAsia="Calibri" w:cs="Arial"/>
                <w:sz w:val="18"/>
                <w:szCs w:val="18"/>
              </w:rPr>
              <w:t>To be determined</w:t>
            </w:r>
          </w:p>
        </w:tc>
      </w:tr>
      <w:tr w:rsidR="00BC6479" w:rsidRPr="00F61ACD" w14:paraId="742BEF1C" w14:textId="77777777" w:rsidTr="00641026">
        <w:tc>
          <w:tcPr>
            <w:tcW w:w="7371" w:type="dxa"/>
            <w:vAlign w:val="center"/>
          </w:tcPr>
          <w:p w14:paraId="6CAC3095" w14:textId="77777777" w:rsidR="00BC6479" w:rsidRPr="00F61ACD" w:rsidRDefault="00BC6479" w:rsidP="00BC6479">
            <w:pPr>
              <w:spacing w:before="60" w:after="60"/>
              <w:rPr>
                <w:rFonts w:cs="Arial"/>
                <w:sz w:val="18"/>
                <w:szCs w:val="18"/>
              </w:rPr>
            </w:pPr>
            <w:r w:rsidRPr="00F61ACD">
              <w:rPr>
                <w:rFonts w:cs="Arial"/>
                <w:sz w:val="18"/>
                <w:szCs w:val="18"/>
              </w:rPr>
              <w:t xml:space="preserve">GRAP 108 on </w:t>
            </w:r>
            <w:r w:rsidRPr="00F61ACD">
              <w:rPr>
                <w:rFonts w:cs="Arial"/>
                <w:i/>
                <w:sz w:val="18"/>
                <w:szCs w:val="18"/>
              </w:rPr>
              <w:t>Statutory receivables</w:t>
            </w:r>
          </w:p>
        </w:tc>
        <w:tc>
          <w:tcPr>
            <w:tcW w:w="1842" w:type="dxa"/>
            <w:vAlign w:val="center"/>
          </w:tcPr>
          <w:p w14:paraId="24D0AA8F" w14:textId="77777777" w:rsidR="00BC6479" w:rsidRPr="00F61ACD" w:rsidRDefault="00BC6479" w:rsidP="00BC6479">
            <w:pPr>
              <w:spacing w:before="60" w:after="60"/>
              <w:jc w:val="center"/>
              <w:rPr>
                <w:rFonts w:cs="Arial"/>
                <w:sz w:val="18"/>
                <w:szCs w:val="18"/>
              </w:rPr>
            </w:pPr>
            <w:r w:rsidRPr="00F61ACD">
              <w:rPr>
                <w:rFonts w:eastAsia="Calibri" w:cs="Arial"/>
                <w:sz w:val="18"/>
                <w:szCs w:val="18"/>
              </w:rPr>
              <w:t>1 Apr 2021</w:t>
            </w:r>
          </w:p>
        </w:tc>
      </w:tr>
      <w:tr w:rsidR="00BC6479" w:rsidRPr="00F61ACD" w14:paraId="76137419" w14:textId="77777777" w:rsidTr="00641026">
        <w:tc>
          <w:tcPr>
            <w:tcW w:w="7371" w:type="dxa"/>
            <w:vAlign w:val="center"/>
          </w:tcPr>
          <w:p w14:paraId="54810A18" w14:textId="77777777" w:rsidR="00BC6479" w:rsidRPr="00F61ACD" w:rsidRDefault="00BC6479" w:rsidP="00BC6479">
            <w:pPr>
              <w:spacing w:before="60" w:after="60"/>
              <w:rPr>
                <w:rFonts w:cs="Arial"/>
                <w:sz w:val="18"/>
                <w:szCs w:val="18"/>
              </w:rPr>
            </w:pPr>
            <w:r w:rsidRPr="00F61ACD">
              <w:rPr>
                <w:rFonts w:cs="Arial"/>
                <w:sz w:val="18"/>
                <w:szCs w:val="18"/>
              </w:rPr>
              <w:t xml:space="preserve">GRAP 109 on </w:t>
            </w:r>
            <w:r w:rsidRPr="00F61ACD">
              <w:rPr>
                <w:rFonts w:cs="Arial"/>
                <w:i/>
                <w:sz w:val="18"/>
                <w:szCs w:val="18"/>
              </w:rPr>
              <w:t>Accounting by principals and agents</w:t>
            </w:r>
          </w:p>
        </w:tc>
        <w:tc>
          <w:tcPr>
            <w:tcW w:w="1842" w:type="dxa"/>
            <w:vAlign w:val="center"/>
          </w:tcPr>
          <w:p w14:paraId="756D1D8C" w14:textId="77777777" w:rsidR="00BC6479" w:rsidRPr="00F61ACD" w:rsidRDefault="00BC6479" w:rsidP="00BC6479">
            <w:pPr>
              <w:spacing w:before="60" w:after="60"/>
              <w:jc w:val="center"/>
              <w:rPr>
                <w:rFonts w:cs="Arial"/>
                <w:sz w:val="18"/>
                <w:szCs w:val="18"/>
              </w:rPr>
            </w:pPr>
            <w:r w:rsidRPr="00F61ACD">
              <w:rPr>
                <w:rFonts w:eastAsia="Calibri" w:cs="Arial"/>
                <w:sz w:val="18"/>
                <w:szCs w:val="18"/>
              </w:rPr>
              <w:t>1 Apr 2021</w:t>
            </w:r>
          </w:p>
        </w:tc>
      </w:tr>
      <w:tr w:rsidR="00BC6479" w:rsidRPr="00F61ACD" w14:paraId="1AFC4861" w14:textId="77777777" w:rsidTr="00641026">
        <w:tc>
          <w:tcPr>
            <w:tcW w:w="7371" w:type="dxa"/>
            <w:vAlign w:val="center"/>
          </w:tcPr>
          <w:p w14:paraId="6359E72E" w14:textId="77777777" w:rsidR="00BC6479" w:rsidRPr="00F61ACD" w:rsidRDefault="00BC6479" w:rsidP="00BC6479">
            <w:pPr>
              <w:spacing w:before="60" w:after="60"/>
              <w:rPr>
                <w:rFonts w:eastAsia="Calibri" w:cs="Arial"/>
                <w:sz w:val="18"/>
                <w:szCs w:val="18"/>
              </w:rPr>
            </w:pPr>
            <w:r w:rsidRPr="00F61ACD">
              <w:rPr>
                <w:rFonts w:cs="Arial"/>
                <w:sz w:val="18"/>
                <w:szCs w:val="18"/>
              </w:rPr>
              <w:t>GRAP 110 on</w:t>
            </w:r>
            <w:r w:rsidRPr="00F61ACD">
              <w:rPr>
                <w:rFonts w:cs="Arial"/>
                <w:i/>
                <w:sz w:val="18"/>
                <w:szCs w:val="18"/>
              </w:rPr>
              <w:t xml:space="preserve"> Living and non-living resources</w:t>
            </w:r>
          </w:p>
        </w:tc>
        <w:tc>
          <w:tcPr>
            <w:tcW w:w="1842" w:type="dxa"/>
            <w:vAlign w:val="center"/>
          </w:tcPr>
          <w:p w14:paraId="0B06B28B" w14:textId="77777777" w:rsidR="00BC6479" w:rsidRPr="00F61ACD" w:rsidRDefault="00BC6479" w:rsidP="00BC6479">
            <w:pPr>
              <w:spacing w:before="60" w:after="60"/>
              <w:jc w:val="center"/>
              <w:rPr>
                <w:rFonts w:cs="Arial"/>
                <w:sz w:val="18"/>
                <w:szCs w:val="18"/>
              </w:rPr>
            </w:pPr>
            <w:r w:rsidRPr="00F61ACD">
              <w:rPr>
                <w:rFonts w:eastAsia="Calibri" w:cs="Arial"/>
                <w:sz w:val="18"/>
                <w:szCs w:val="18"/>
              </w:rPr>
              <w:t>1 Apr 2021</w:t>
            </w:r>
          </w:p>
        </w:tc>
      </w:tr>
      <w:tr w:rsidR="0097338B" w:rsidRPr="00F61ACD" w14:paraId="1A816A18" w14:textId="77777777" w:rsidTr="00254867">
        <w:tc>
          <w:tcPr>
            <w:tcW w:w="7371" w:type="dxa"/>
            <w:vAlign w:val="center"/>
          </w:tcPr>
          <w:p w14:paraId="5B716876" w14:textId="77777777" w:rsidR="0097338B" w:rsidRPr="00F61ACD" w:rsidRDefault="0097338B" w:rsidP="00C10500">
            <w:pPr>
              <w:autoSpaceDE w:val="0"/>
              <w:autoSpaceDN w:val="0"/>
              <w:adjustRightInd w:val="0"/>
              <w:spacing w:before="60" w:after="60"/>
              <w:rPr>
                <w:rFonts w:cs="Arial"/>
                <w:sz w:val="18"/>
                <w:szCs w:val="18"/>
              </w:rPr>
            </w:pPr>
            <w:r w:rsidRPr="00F61ACD">
              <w:rPr>
                <w:rFonts w:cs="Arial"/>
                <w:sz w:val="18"/>
                <w:szCs w:val="18"/>
              </w:rPr>
              <w:t xml:space="preserve">IGRAP 20 on </w:t>
            </w:r>
            <w:r w:rsidRPr="00F61ACD">
              <w:rPr>
                <w:rFonts w:cs="Arial"/>
                <w:i/>
                <w:sz w:val="18"/>
                <w:szCs w:val="18"/>
              </w:rPr>
              <w:t>Accounting for adjustments to revenue</w:t>
            </w:r>
          </w:p>
        </w:tc>
        <w:tc>
          <w:tcPr>
            <w:tcW w:w="1842" w:type="dxa"/>
            <w:vAlign w:val="center"/>
          </w:tcPr>
          <w:p w14:paraId="28C14BB0" w14:textId="77777777" w:rsidR="0097338B" w:rsidRPr="00F61ACD" w:rsidRDefault="0097338B" w:rsidP="00C10500">
            <w:pPr>
              <w:spacing w:before="60" w:after="60"/>
              <w:jc w:val="center"/>
              <w:rPr>
                <w:rFonts w:cs="Arial"/>
                <w:sz w:val="18"/>
                <w:szCs w:val="18"/>
              </w:rPr>
            </w:pPr>
            <w:r w:rsidRPr="00F61ACD">
              <w:rPr>
                <w:rFonts w:eastAsia="Calibri" w:cs="Arial"/>
                <w:sz w:val="18"/>
                <w:szCs w:val="18"/>
              </w:rPr>
              <w:t>1 Apr 2020</w:t>
            </w:r>
          </w:p>
        </w:tc>
      </w:tr>
      <w:tr w:rsidR="0097338B" w:rsidRPr="00F61ACD" w14:paraId="5AA7A7D1" w14:textId="77777777" w:rsidTr="00254867">
        <w:tc>
          <w:tcPr>
            <w:tcW w:w="7371" w:type="dxa"/>
          </w:tcPr>
          <w:p w14:paraId="71CFD54F" w14:textId="77777777" w:rsidR="0097338B" w:rsidRPr="00F61ACD" w:rsidRDefault="0097338B" w:rsidP="00C10500">
            <w:pPr>
              <w:spacing w:before="60" w:after="60"/>
              <w:rPr>
                <w:rFonts w:cs="Arial"/>
                <w:sz w:val="18"/>
                <w:szCs w:val="18"/>
              </w:rPr>
            </w:pPr>
            <w:r w:rsidRPr="00F61ACD">
              <w:rPr>
                <w:rFonts w:cs="Arial"/>
                <w:sz w:val="18"/>
                <w:szCs w:val="18"/>
              </w:rPr>
              <w:t xml:space="preserve">Guideline on </w:t>
            </w:r>
            <w:r w:rsidRPr="00F61ACD">
              <w:rPr>
                <w:rFonts w:cs="Arial"/>
                <w:i/>
                <w:sz w:val="18"/>
                <w:szCs w:val="18"/>
              </w:rPr>
              <w:t>The application of materiality to financial statements</w:t>
            </w:r>
          </w:p>
        </w:tc>
        <w:tc>
          <w:tcPr>
            <w:tcW w:w="1842" w:type="dxa"/>
          </w:tcPr>
          <w:p w14:paraId="4D37398D" w14:textId="77777777" w:rsidR="0097338B" w:rsidRPr="00F61ACD" w:rsidRDefault="0097338B" w:rsidP="00C10500">
            <w:pPr>
              <w:spacing w:before="60" w:after="60"/>
              <w:jc w:val="center"/>
              <w:rPr>
                <w:rFonts w:cs="Arial"/>
                <w:sz w:val="18"/>
                <w:szCs w:val="18"/>
              </w:rPr>
            </w:pPr>
            <w:r w:rsidRPr="00F61ACD">
              <w:rPr>
                <w:rFonts w:eastAsia="Calibri" w:cs="Arial"/>
                <w:sz w:val="18"/>
                <w:szCs w:val="18"/>
              </w:rPr>
              <w:t>Voluntary*</w:t>
            </w:r>
          </w:p>
        </w:tc>
      </w:tr>
    </w:tbl>
    <w:p w14:paraId="6CDDF5B5" w14:textId="77777777" w:rsidR="00C22F2B" w:rsidRPr="0077659B" w:rsidRDefault="00C22F2B" w:rsidP="00A62603">
      <w:pPr>
        <w:pStyle w:val="Heading4"/>
        <w:jc w:val="both"/>
      </w:pPr>
      <w:bookmarkStart w:id="374" w:name="Inventory"/>
      <w:bookmarkStart w:id="375" w:name="Subseq"/>
      <w:bookmarkStart w:id="376" w:name="_Toc447106665"/>
      <w:bookmarkEnd w:id="374"/>
      <w:bookmarkEnd w:id="375"/>
      <w:r w:rsidRPr="0077659B">
        <w:t>Subsequent events</w:t>
      </w:r>
      <w:bookmarkEnd w:id="376"/>
    </w:p>
    <w:p w14:paraId="1A281977" w14:textId="77777777" w:rsidR="005D19F7" w:rsidRPr="001B1093" w:rsidRDefault="001B1093" w:rsidP="006306CE">
      <w:pPr>
        <w:numPr>
          <w:ilvl w:val="0"/>
          <w:numId w:val="15"/>
        </w:numPr>
        <w:shd w:val="clear" w:color="auto" w:fill="FFFFFF"/>
        <w:spacing w:before="120"/>
        <w:ind w:left="567" w:hanging="567"/>
        <w:jc w:val="both"/>
        <w:rPr>
          <w:rFonts w:eastAsia="Calibri" w:cs="Arial"/>
        </w:rPr>
      </w:pPr>
      <w:r>
        <w:t>I</w:t>
      </w:r>
      <w:r w:rsidRPr="001B1093">
        <w:rPr>
          <w:rFonts w:eastAsia="Calibri" w:cs="Arial"/>
        </w:rPr>
        <w:t>n terms of the regulations and as confirmed by the Minister in the media release on 29 May 2020, the Department of</w:t>
      </w:r>
      <w:r>
        <w:rPr>
          <w:rFonts w:eastAsia="Calibri" w:cs="Arial"/>
        </w:rPr>
        <w:t xml:space="preserve"> </w:t>
      </w:r>
      <w:r w:rsidRPr="001B1093">
        <w:rPr>
          <w:rFonts w:eastAsia="Calibri" w:cs="Arial"/>
        </w:rPr>
        <w:t>Public Works and Infrastructure’s (DPWI) role is to identify and make quarantine sites available to the Department of Health.</w:t>
      </w:r>
      <w:r>
        <w:rPr>
          <w:rFonts w:eastAsia="Calibri" w:cs="Arial"/>
        </w:rPr>
        <w:t xml:space="preserve"> </w:t>
      </w:r>
      <w:r w:rsidRPr="001B1093">
        <w:rPr>
          <w:rFonts w:eastAsia="Calibri" w:cs="Arial"/>
        </w:rPr>
        <w:t>The cost cannot be quantified at this stage, as the number of sites to be provided will vary based on escalating infections in the</w:t>
      </w:r>
      <w:r>
        <w:rPr>
          <w:rFonts w:eastAsia="Calibri" w:cs="Arial"/>
        </w:rPr>
        <w:t xml:space="preserve"> country.</w:t>
      </w:r>
    </w:p>
    <w:p w14:paraId="0F65B5B0" w14:textId="77777777" w:rsidR="0019368D" w:rsidRPr="0077659B" w:rsidRDefault="0019368D" w:rsidP="00A62603">
      <w:pPr>
        <w:pStyle w:val="Heading4"/>
        <w:jc w:val="both"/>
      </w:pPr>
      <w:r w:rsidRPr="0077659B">
        <w:t>Audit findings on the annual performance report that may have an impact on the audit opinion in future</w:t>
      </w:r>
    </w:p>
    <w:p w14:paraId="4BF7D10B" w14:textId="71A48A61" w:rsidR="0019368D" w:rsidRDefault="003E20F7" w:rsidP="006306CE">
      <w:pPr>
        <w:numPr>
          <w:ilvl w:val="0"/>
          <w:numId w:val="15"/>
        </w:numPr>
        <w:shd w:val="clear" w:color="auto" w:fill="FFFFFF"/>
        <w:spacing w:before="120"/>
        <w:ind w:left="567" w:hanging="567"/>
        <w:jc w:val="both"/>
        <w:rPr>
          <w:rFonts w:eastAsia="Calibri" w:cs="Arial"/>
        </w:rPr>
      </w:pPr>
      <w:r w:rsidRPr="00311428">
        <w:rPr>
          <w:rFonts w:eastAsia="Calibri" w:cs="Arial"/>
        </w:rPr>
        <w:t>T</w:t>
      </w:r>
      <w:r w:rsidR="00582A5A" w:rsidRPr="00311428">
        <w:rPr>
          <w:rFonts w:eastAsia="Calibri" w:cs="Arial"/>
        </w:rPr>
        <w:t>h</w:t>
      </w:r>
      <w:r w:rsidR="0019368D" w:rsidRPr="00311428">
        <w:rPr>
          <w:rFonts w:eastAsia="Calibri" w:cs="Arial"/>
        </w:rPr>
        <w:t>e planned and reported perfo</w:t>
      </w:r>
      <w:r w:rsidR="00D40133" w:rsidRPr="00311428">
        <w:rPr>
          <w:rFonts w:eastAsia="Calibri" w:cs="Arial"/>
        </w:rPr>
        <w:t>rmance information of selected programmes</w:t>
      </w:r>
      <w:r w:rsidR="0019368D" w:rsidRPr="00311428">
        <w:rPr>
          <w:rFonts w:eastAsia="Calibri" w:cs="Arial"/>
        </w:rPr>
        <w:t xml:space="preserve"> was audited against </w:t>
      </w:r>
      <w:r w:rsidRPr="00311428">
        <w:rPr>
          <w:rFonts w:eastAsia="Calibri" w:cs="Arial"/>
        </w:rPr>
        <w:t xml:space="preserve">the following </w:t>
      </w:r>
      <w:r w:rsidR="0019368D" w:rsidRPr="00311428">
        <w:rPr>
          <w:rFonts w:eastAsia="Calibri" w:cs="Arial"/>
        </w:rPr>
        <w:t xml:space="preserve">additional criteria as developed from the </w:t>
      </w:r>
      <w:r w:rsidR="00CC0E59" w:rsidRPr="00311428">
        <w:rPr>
          <w:rFonts w:eastAsia="Calibri" w:cs="Arial"/>
        </w:rPr>
        <w:t>p</w:t>
      </w:r>
      <w:r w:rsidR="0019368D" w:rsidRPr="00311428">
        <w:rPr>
          <w:rFonts w:eastAsia="Calibri" w:cs="Arial"/>
        </w:rPr>
        <w:t xml:space="preserve">erformance </w:t>
      </w:r>
      <w:r w:rsidR="00CC0E59" w:rsidRPr="00311428">
        <w:rPr>
          <w:rFonts w:eastAsia="Calibri" w:cs="Arial"/>
        </w:rPr>
        <w:t>m</w:t>
      </w:r>
      <w:r w:rsidR="0019368D" w:rsidRPr="00311428">
        <w:rPr>
          <w:rFonts w:eastAsia="Calibri" w:cs="Arial"/>
        </w:rPr>
        <w:t xml:space="preserve">anagement </w:t>
      </w:r>
      <w:r w:rsidR="00010856" w:rsidRPr="00311428">
        <w:rPr>
          <w:rFonts w:eastAsia="Calibri" w:cs="Arial"/>
        </w:rPr>
        <w:t xml:space="preserve">and </w:t>
      </w:r>
      <w:r w:rsidR="00CC0E59" w:rsidRPr="00311428">
        <w:rPr>
          <w:rFonts w:eastAsia="Calibri" w:cs="Arial"/>
        </w:rPr>
        <w:t>r</w:t>
      </w:r>
      <w:r w:rsidR="0019368D" w:rsidRPr="00311428">
        <w:rPr>
          <w:rFonts w:eastAsia="Calibri" w:cs="Arial"/>
        </w:rPr>
        <w:t xml:space="preserve">eporting </w:t>
      </w:r>
      <w:r w:rsidR="00CC0E59" w:rsidRPr="00311428">
        <w:rPr>
          <w:rFonts w:eastAsia="Calibri" w:cs="Arial"/>
        </w:rPr>
        <w:t>f</w:t>
      </w:r>
      <w:r w:rsidR="0019368D" w:rsidRPr="00311428">
        <w:rPr>
          <w:rFonts w:eastAsia="Calibri" w:cs="Arial"/>
        </w:rPr>
        <w:t>ramework</w:t>
      </w:r>
      <w:r w:rsidRPr="00311428">
        <w:rPr>
          <w:rFonts w:eastAsia="Calibri" w:cs="Arial"/>
        </w:rPr>
        <w:t>:</w:t>
      </w:r>
    </w:p>
    <w:p w14:paraId="505DA85E" w14:textId="7DD01DFA" w:rsidR="00E14CF0" w:rsidRDefault="00E14CF0" w:rsidP="00E14CF0">
      <w:pPr>
        <w:shd w:val="clear" w:color="auto" w:fill="FFFFFF"/>
        <w:spacing w:before="120"/>
        <w:jc w:val="both"/>
        <w:rPr>
          <w:rFonts w:eastAsia="Calibri" w:cs="Arial"/>
        </w:rPr>
      </w:pPr>
    </w:p>
    <w:p w14:paraId="341AEDD1" w14:textId="77777777" w:rsidR="00E14CF0" w:rsidRPr="00311428" w:rsidRDefault="00E14CF0" w:rsidP="00E14CF0">
      <w:pPr>
        <w:shd w:val="clear" w:color="auto" w:fill="FFFFFF"/>
        <w:spacing w:before="120"/>
        <w:jc w:val="both"/>
        <w:rPr>
          <w:rFonts w:eastAsia="Calibri" w:cs="Arial"/>
        </w:rPr>
      </w:pPr>
    </w:p>
    <w:p w14:paraId="7D1B5DFF" w14:textId="77777777" w:rsidR="003E20F7" w:rsidRPr="0077659B" w:rsidRDefault="003E20F7" w:rsidP="00311428">
      <w:pPr>
        <w:pStyle w:val="Bulletedlist"/>
        <w:ind w:left="851" w:hanging="283"/>
        <w:jc w:val="both"/>
      </w:pPr>
      <w:r w:rsidRPr="0077659B">
        <w:rPr>
          <w:b/>
        </w:rPr>
        <w:lastRenderedPageBreak/>
        <w:t xml:space="preserve">Presentation and disclosure – </w:t>
      </w:r>
      <w:r w:rsidR="0091433A" w:rsidRPr="0077659B">
        <w:rPr>
          <w:b/>
        </w:rPr>
        <w:t>o</w:t>
      </w:r>
      <w:r w:rsidRPr="0077659B">
        <w:rPr>
          <w:b/>
        </w:rPr>
        <w:t>verall presentation</w:t>
      </w:r>
      <w:r w:rsidRPr="0077659B">
        <w:t>:</w:t>
      </w:r>
    </w:p>
    <w:p w14:paraId="1DF1F906" w14:textId="77777777" w:rsidR="003E20F7" w:rsidRPr="0077659B" w:rsidRDefault="003E20F7" w:rsidP="006306CE">
      <w:pPr>
        <w:pStyle w:val="Bulletedlist"/>
        <w:numPr>
          <w:ilvl w:val="1"/>
          <w:numId w:val="6"/>
        </w:numPr>
        <w:ind w:left="1134"/>
        <w:jc w:val="both"/>
      </w:pPr>
      <w:r w:rsidRPr="0077659B">
        <w:t>Overall presentation of the performance information in the annual performance report is comparable and understandable</w:t>
      </w:r>
    </w:p>
    <w:p w14:paraId="66EB188B" w14:textId="77777777" w:rsidR="003E20F7" w:rsidRPr="0077659B" w:rsidRDefault="003E20F7" w:rsidP="00311428">
      <w:pPr>
        <w:pStyle w:val="Bulletedlist"/>
        <w:jc w:val="both"/>
        <w:rPr>
          <w:b/>
        </w:rPr>
      </w:pPr>
      <w:r w:rsidRPr="0077659B">
        <w:rPr>
          <w:b/>
        </w:rPr>
        <w:t xml:space="preserve">Relevance </w:t>
      </w:r>
      <w:r w:rsidR="00CC0E59" w:rsidRPr="0077659B">
        <w:rPr>
          <w:b/>
        </w:rPr>
        <w:t>–</w:t>
      </w:r>
      <w:r w:rsidRPr="0077659B">
        <w:rPr>
          <w:b/>
        </w:rPr>
        <w:t xml:space="preserve"> </w:t>
      </w:r>
      <w:r w:rsidR="0091433A" w:rsidRPr="0077659B">
        <w:rPr>
          <w:b/>
        </w:rPr>
        <w:t>c</w:t>
      </w:r>
      <w:r w:rsidRPr="0077659B">
        <w:rPr>
          <w:b/>
        </w:rPr>
        <w:t>ompl</w:t>
      </w:r>
      <w:r w:rsidR="00D40133">
        <w:rPr>
          <w:b/>
        </w:rPr>
        <w:t>eteness of relevant indicators:</w:t>
      </w:r>
    </w:p>
    <w:p w14:paraId="641983A1" w14:textId="77777777" w:rsidR="003E20F7" w:rsidRPr="0077659B" w:rsidRDefault="003E20F7" w:rsidP="006306CE">
      <w:pPr>
        <w:pStyle w:val="Bulletedlist"/>
        <w:numPr>
          <w:ilvl w:val="1"/>
          <w:numId w:val="6"/>
        </w:numPr>
        <w:ind w:left="1560" w:hanging="426"/>
        <w:jc w:val="both"/>
      </w:pPr>
      <w:r w:rsidRPr="0077659B">
        <w:t>Completeness of relevant indicators in terms of the mandate of the auditee, including:</w:t>
      </w:r>
    </w:p>
    <w:p w14:paraId="41DBB059" w14:textId="77777777" w:rsidR="003E20F7" w:rsidRPr="0077659B" w:rsidRDefault="00A94EDD" w:rsidP="006306CE">
      <w:pPr>
        <w:pStyle w:val="Bulletedlist"/>
        <w:numPr>
          <w:ilvl w:val="2"/>
          <w:numId w:val="6"/>
        </w:numPr>
        <w:ind w:left="1985" w:hanging="425"/>
        <w:jc w:val="both"/>
      </w:pPr>
      <w:r w:rsidRPr="0077659B">
        <w:t>r</w:t>
      </w:r>
      <w:r w:rsidR="003E20F7" w:rsidRPr="0077659B">
        <w:t>elevant core functions are prioritised in the period under review</w:t>
      </w:r>
    </w:p>
    <w:p w14:paraId="24091FA6" w14:textId="77777777" w:rsidR="003E20F7" w:rsidRPr="0077659B" w:rsidRDefault="00A94EDD" w:rsidP="006306CE">
      <w:pPr>
        <w:pStyle w:val="Bulletedlist"/>
        <w:numPr>
          <w:ilvl w:val="2"/>
          <w:numId w:val="6"/>
        </w:numPr>
        <w:ind w:left="1985" w:hanging="425"/>
        <w:jc w:val="both"/>
      </w:pPr>
      <w:r w:rsidRPr="0077659B">
        <w:t>r</w:t>
      </w:r>
      <w:r w:rsidR="003E20F7" w:rsidRPr="0077659B">
        <w:t>elevant performance indicators are included for the core functions prioritised in the period under review</w:t>
      </w:r>
    </w:p>
    <w:p w14:paraId="0D0FEA91" w14:textId="77777777" w:rsidR="00B81D26" w:rsidRPr="0077659B" w:rsidRDefault="00A94EDD" w:rsidP="006306CE">
      <w:pPr>
        <w:pStyle w:val="Bulletedlist"/>
        <w:numPr>
          <w:ilvl w:val="2"/>
          <w:numId w:val="6"/>
        </w:numPr>
        <w:ind w:left="1985" w:hanging="425"/>
        <w:jc w:val="both"/>
      </w:pPr>
      <w:r w:rsidRPr="0077659B">
        <w:t>c</w:t>
      </w:r>
      <w:r w:rsidR="003E20F7" w:rsidRPr="0077659B">
        <w:t>ustomised indicators related to the core functions prioritised for the year under review are included in planning documents (provincial departments only)</w:t>
      </w:r>
      <w:r w:rsidR="0091433A" w:rsidRPr="0077659B">
        <w:t>.</w:t>
      </w:r>
    </w:p>
    <w:p w14:paraId="36A66630" w14:textId="77777777" w:rsidR="0051471C" w:rsidRPr="00311428" w:rsidRDefault="00582A5A" w:rsidP="006306CE">
      <w:pPr>
        <w:numPr>
          <w:ilvl w:val="0"/>
          <w:numId w:val="15"/>
        </w:numPr>
        <w:shd w:val="clear" w:color="auto" w:fill="FFFFFF"/>
        <w:spacing w:before="120"/>
        <w:ind w:left="567" w:hanging="567"/>
        <w:jc w:val="both"/>
        <w:rPr>
          <w:rFonts w:eastAsia="Calibri" w:cs="Arial"/>
        </w:rPr>
      </w:pPr>
      <w:r w:rsidRPr="00311428">
        <w:rPr>
          <w:rFonts w:eastAsia="Calibri" w:cs="Arial"/>
        </w:rPr>
        <w:t>Material a</w:t>
      </w:r>
      <w:r w:rsidR="0019368D" w:rsidRPr="00311428">
        <w:rPr>
          <w:rFonts w:eastAsia="Calibri" w:cs="Arial"/>
        </w:rPr>
        <w:t xml:space="preserve">udit findings </w:t>
      </w:r>
      <w:r w:rsidRPr="00311428">
        <w:rPr>
          <w:rFonts w:eastAsia="Calibri" w:cs="Arial"/>
        </w:rPr>
        <w:t xml:space="preserve">arising from the audit against the additional criteria do not have an impact </w:t>
      </w:r>
      <w:r w:rsidR="0019368D" w:rsidRPr="00311428">
        <w:rPr>
          <w:rFonts w:eastAsia="Calibri" w:cs="Arial"/>
        </w:rPr>
        <w:t xml:space="preserve">on the audit </w:t>
      </w:r>
      <w:r w:rsidR="00D40133" w:rsidRPr="00311428">
        <w:rPr>
          <w:rFonts w:eastAsia="Calibri" w:cs="Arial"/>
        </w:rPr>
        <w:t xml:space="preserve">opinions of the selected programmes </w:t>
      </w:r>
      <w:r w:rsidRPr="00311428">
        <w:rPr>
          <w:rFonts w:eastAsia="Calibri" w:cs="Arial"/>
        </w:rPr>
        <w:t>in th</w:t>
      </w:r>
      <w:r w:rsidR="00D2457B" w:rsidRPr="00311428">
        <w:rPr>
          <w:rFonts w:eastAsia="Calibri" w:cs="Arial"/>
        </w:rPr>
        <w:t>is</w:t>
      </w:r>
      <w:r w:rsidRPr="00311428">
        <w:rPr>
          <w:rFonts w:eastAsia="Calibri" w:cs="Arial"/>
        </w:rPr>
        <w:t xml:space="preserve"> report. </w:t>
      </w:r>
      <w:r w:rsidR="00A94EDD" w:rsidRPr="00311428">
        <w:rPr>
          <w:rFonts w:eastAsia="Calibri" w:cs="Arial"/>
        </w:rPr>
        <w:t xml:space="preserve">However, it </w:t>
      </w:r>
      <w:r w:rsidRPr="00311428">
        <w:rPr>
          <w:rFonts w:eastAsia="Calibri" w:cs="Arial"/>
        </w:rPr>
        <w:t>may impact</w:t>
      </w:r>
      <w:r w:rsidR="0019368D" w:rsidRPr="00311428">
        <w:rPr>
          <w:rFonts w:eastAsia="Calibri" w:cs="Arial"/>
        </w:rPr>
        <w:t xml:space="preserve"> </w:t>
      </w:r>
      <w:r w:rsidR="00A94EDD" w:rsidRPr="00311428">
        <w:rPr>
          <w:rFonts w:eastAsia="Calibri" w:cs="Arial"/>
        </w:rPr>
        <w:t xml:space="preserve">on </w:t>
      </w:r>
      <w:r w:rsidR="0019368D" w:rsidRPr="00311428">
        <w:rPr>
          <w:rFonts w:eastAsia="Calibri" w:cs="Arial"/>
        </w:rPr>
        <w:t>the audit opinion</w:t>
      </w:r>
      <w:r w:rsidRPr="00311428">
        <w:rPr>
          <w:rFonts w:eastAsia="Calibri" w:cs="Arial"/>
        </w:rPr>
        <w:t xml:space="preserve"> in future</w:t>
      </w:r>
      <w:r w:rsidR="0019368D" w:rsidRPr="00311428">
        <w:rPr>
          <w:rFonts w:eastAsia="Calibri" w:cs="Arial"/>
        </w:rPr>
        <w:t>.</w:t>
      </w:r>
      <w:r w:rsidR="0019368D" w:rsidRPr="00311428" w:rsidDel="00EB3C8F">
        <w:rPr>
          <w:rFonts w:eastAsia="Calibri" w:cs="Arial"/>
        </w:rPr>
        <w:t xml:space="preserve"> </w:t>
      </w:r>
      <w:bookmarkStart w:id="377" w:name="_Toc447106666"/>
    </w:p>
    <w:p w14:paraId="28AB0B0B" w14:textId="77777777" w:rsidR="007A45CB" w:rsidRPr="00A62603" w:rsidRDefault="0051471C" w:rsidP="006306CE">
      <w:pPr>
        <w:numPr>
          <w:ilvl w:val="0"/>
          <w:numId w:val="15"/>
        </w:numPr>
        <w:shd w:val="clear" w:color="auto" w:fill="FFFFFF"/>
        <w:spacing w:before="120"/>
        <w:ind w:left="567" w:hanging="567"/>
        <w:jc w:val="both"/>
      </w:pPr>
      <w:r w:rsidRPr="00311428">
        <w:rPr>
          <w:rFonts w:eastAsia="Calibri" w:cs="Arial"/>
        </w:rPr>
        <w:t>No material findings were identified in respect of the additional criteria.</w:t>
      </w:r>
      <w:r w:rsidR="007A45CB" w:rsidRPr="00A62603">
        <w:rPr>
          <w:rFonts w:ascii="Century Gothic" w:eastAsia="MS Mincho" w:hAnsi="Century Gothic"/>
          <w:b/>
          <w:bCs/>
          <w:color w:val="365F91"/>
          <w:sz w:val="28"/>
          <w:szCs w:val="28"/>
        </w:rPr>
        <w:br w:type="page"/>
      </w:r>
    </w:p>
    <w:p w14:paraId="44D36309" w14:textId="77777777" w:rsidR="00287920" w:rsidRPr="0077659B" w:rsidRDefault="00287920" w:rsidP="00287920">
      <w:pPr>
        <w:pStyle w:val="Heading2"/>
      </w:pPr>
      <w:bookmarkStart w:id="378" w:name="_Toc447106667"/>
      <w:bookmarkStart w:id="379" w:name="_Toc53608735"/>
      <w:bookmarkEnd w:id="371"/>
      <w:bookmarkEnd w:id="372"/>
      <w:bookmarkEnd w:id="377"/>
      <w:r w:rsidRPr="0077659B">
        <w:lastRenderedPageBreak/>
        <w:t>SECTION 8: Ratings of detailed audit findings</w:t>
      </w:r>
      <w:bookmarkEnd w:id="378"/>
      <w:bookmarkEnd w:id="379"/>
    </w:p>
    <w:p w14:paraId="7C8B3964" w14:textId="77777777" w:rsidR="00C22F2B" w:rsidRPr="00311428" w:rsidRDefault="00C22F2B" w:rsidP="006306CE">
      <w:pPr>
        <w:numPr>
          <w:ilvl w:val="0"/>
          <w:numId w:val="15"/>
        </w:numPr>
        <w:shd w:val="clear" w:color="auto" w:fill="FFFFFF"/>
        <w:spacing w:before="120"/>
        <w:ind w:left="567" w:hanging="567"/>
        <w:jc w:val="both"/>
        <w:rPr>
          <w:rFonts w:eastAsia="Calibri" w:cs="Arial"/>
        </w:rPr>
      </w:pPr>
      <w:bookmarkStart w:id="380" w:name="Section6"/>
      <w:bookmarkEnd w:id="380"/>
      <w:r w:rsidRPr="00311428">
        <w:rPr>
          <w:rFonts w:eastAsia="Calibri" w:cs="Arial"/>
        </w:rPr>
        <w:t>For purposes of this report, the detailed audit findings included in annexures A to C have been classified as follows:</w:t>
      </w:r>
    </w:p>
    <w:p w14:paraId="0425AB77" w14:textId="77777777" w:rsidR="00C22F2B" w:rsidRPr="0077659B" w:rsidRDefault="00C22F2B" w:rsidP="00311428">
      <w:pPr>
        <w:pStyle w:val="Bulletedlist"/>
        <w:ind w:left="851" w:hanging="283"/>
        <w:jc w:val="both"/>
      </w:pPr>
      <w:r w:rsidRPr="0077659B">
        <w:t>Matters to be included in the auditor’s report: These matters should be addressed as a matter of urgency.</w:t>
      </w:r>
    </w:p>
    <w:p w14:paraId="342FAAB4" w14:textId="77777777" w:rsidR="00C22F2B" w:rsidRPr="0077659B" w:rsidRDefault="00C22F2B" w:rsidP="00311428">
      <w:pPr>
        <w:pStyle w:val="Bulletedlist"/>
        <w:ind w:left="851" w:hanging="284"/>
        <w:jc w:val="both"/>
      </w:pPr>
      <w:r w:rsidRPr="0077659B">
        <w:t>Other important matters: These matters should be addressed to prevent them from leading to material misstatements of the financial statements or material findings on the performance report and compliance with legislation in future.</w:t>
      </w:r>
    </w:p>
    <w:p w14:paraId="23B49741" w14:textId="77777777" w:rsidR="00C22F2B" w:rsidRPr="0077659B" w:rsidRDefault="00C22F2B" w:rsidP="00311428">
      <w:pPr>
        <w:pStyle w:val="Bulletedlist"/>
        <w:ind w:left="851" w:hanging="284"/>
        <w:jc w:val="both"/>
      </w:pPr>
      <w:r w:rsidRPr="0077659B">
        <w:t>Administrative matters: These matters are unlikely to result in material misstatements of the financial statements or material findings on the performance report and compliance with legislation.</w:t>
      </w:r>
    </w:p>
    <w:p w14:paraId="621B669D" w14:textId="77777777" w:rsidR="00F94CA3" w:rsidRPr="0077659B" w:rsidRDefault="002D6CC1" w:rsidP="002D6CC1">
      <w:pPr>
        <w:pStyle w:val="Heading2"/>
        <w:rPr>
          <w:rFonts w:ascii="Arial" w:eastAsia="Calibri" w:hAnsi="Arial"/>
          <w:lang w:eastAsia="en-ZA"/>
        </w:rPr>
      </w:pPr>
      <w:bookmarkStart w:id="381" w:name="_Toc447106668"/>
      <w:bookmarkStart w:id="382" w:name="_Toc53608736"/>
      <w:r w:rsidRPr="0077659B">
        <w:t>SECTION 9: Conclusion</w:t>
      </w:r>
      <w:bookmarkEnd w:id="381"/>
      <w:bookmarkEnd w:id="382"/>
    </w:p>
    <w:p w14:paraId="503C723F" w14:textId="77777777" w:rsidR="00C22F2B" w:rsidRPr="00311428" w:rsidRDefault="00C22F2B" w:rsidP="006306CE">
      <w:pPr>
        <w:numPr>
          <w:ilvl w:val="0"/>
          <w:numId w:val="15"/>
        </w:numPr>
        <w:shd w:val="clear" w:color="auto" w:fill="FFFFFF"/>
        <w:spacing w:before="120"/>
        <w:ind w:left="567" w:hanging="567"/>
        <w:jc w:val="both"/>
        <w:rPr>
          <w:rFonts w:eastAsia="Calibri" w:cs="Arial"/>
        </w:rPr>
      </w:pPr>
      <w:bookmarkStart w:id="383" w:name="Conclusion"/>
      <w:bookmarkEnd w:id="383"/>
      <w:r w:rsidRPr="00311428">
        <w:rPr>
          <w:rFonts w:eastAsia="Calibri" w:cs="Arial"/>
        </w:rPr>
        <w:t xml:space="preserve">The matters communicated throughout this report relate to the three fundamentals of internal control that should be addressed to achieve sustained clean administration. Our staff </w:t>
      </w:r>
      <w:r w:rsidR="0091433A" w:rsidRPr="00311428">
        <w:rPr>
          <w:rFonts w:eastAsia="Calibri" w:cs="Arial"/>
        </w:rPr>
        <w:t xml:space="preserve">remain </w:t>
      </w:r>
      <w:r w:rsidRPr="00311428">
        <w:rPr>
          <w:rFonts w:eastAsia="Calibri" w:cs="Arial"/>
        </w:rPr>
        <w:t xml:space="preserve">committed to </w:t>
      </w:r>
      <w:r w:rsidR="0091433A" w:rsidRPr="00311428">
        <w:rPr>
          <w:rFonts w:eastAsia="Calibri" w:cs="Arial"/>
        </w:rPr>
        <w:t xml:space="preserve">assist </w:t>
      </w:r>
      <w:r w:rsidRPr="00311428">
        <w:rPr>
          <w:rFonts w:eastAsia="Calibri" w:cs="Arial"/>
        </w:rPr>
        <w:t>in identifying and communicating good practices to improve governance and accountability and to build public confidence in government’s ability to account for public resources in a transparent mann</w:t>
      </w:r>
      <w:r w:rsidR="00D40133" w:rsidRPr="00311428">
        <w:rPr>
          <w:rFonts w:eastAsia="Calibri" w:cs="Arial"/>
        </w:rPr>
        <w:t>er.</w:t>
      </w:r>
    </w:p>
    <w:p w14:paraId="39F7B33A" w14:textId="77777777" w:rsidR="00205B73" w:rsidRDefault="00205B73" w:rsidP="00C22F2B">
      <w:pPr>
        <w:spacing w:after="240" w:line="240" w:lineRule="auto"/>
        <w:rPr>
          <w:rFonts w:eastAsia="Calibri" w:cs="Arial"/>
        </w:rPr>
      </w:pPr>
    </w:p>
    <w:p w14:paraId="6EA397D3" w14:textId="77777777" w:rsidR="00C22F2B" w:rsidRPr="0077659B" w:rsidRDefault="00C22F2B" w:rsidP="00C22F2B">
      <w:pPr>
        <w:spacing w:after="240" w:line="240" w:lineRule="auto"/>
        <w:rPr>
          <w:rFonts w:eastAsia="Calibri" w:cs="Arial"/>
        </w:rPr>
      </w:pPr>
      <w:r w:rsidRPr="0077659B">
        <w:rPr>
          <w:rFonts w:eastAsia="Calibri" w:cs="Arial"/>
        </w:rPr>
        <w:t>Yours faithfully</w:t>
      </w:r>
    </w:p>
    <w:p w14:paraId="15047F1A" w14:textId="77777777" w:rsidR="00C22F2B" w:rsidRPr="0077659B" w:rsidRDefault="00C22F2B" w:rsidP="00C22F2B">
      <w:pPr>
        <w:spacing w:after="0" w:line="240" w:lineRule="auto"/>
        <w:rPr>
          <w:rFonts w:eastAsia="Times New Roman" w:cs="Arial"/>
        </w:rPr>
      </w:pPr>
    </w:p>
    <w:p w14:paraId="688CCF40" w14:textId="77777777" w:rsidR="00C22F2B" w:rsidRPr="0077659B" w:rsidRDefault="00C22F2B" w:rsidP="00C22F2B">
      <w:pPr>
        <w:spacing w:after="0" w:line="240" w:lineRule="auto"/>
        <w:rPr>
          <w:rFonts w:eastAsia="Times New Roman" w:cs="Arial"/>
        </w:rPr>
      </w:pPr>
    </w:p>
    <w:p w14:paraId="7CF7BD09" w14:textId="77777777" w:rsidR="009E3790" w:rsidRPr="00BB31CB" w:rsidRDefault="009E3790" w:rsidP="009E3790">
      <w:pPr>
        <w:pStyle w:val="BodyTextIndent"/>
        <w:jc w:val="both"/>
        <w:rPr>
          <w:rFonts w:cs="Arial"/>
          <w:sz w:val="22"/>
          <w:szCs w:val="18"/>
          <w:lang w:val="en-ZA"/>
        </w:rPr>
      </w:pPr>
      <w:r>
        <w:rPr>
          <w:rFonts w:cs="Arial"/>
          <w:sz w:val="22"/>
          <w:szCs w:val="18"/>
          <w:lang w:val="en-ZA"/>
        </w:rPr>
        <w:t>Corne Myburgh</w:t>
      </w:r>
    </w:p>
    <w:p w14:paraId="471C0CF6" w14:textId="77777777" w:rsidR="009E3790" w:rsidRPr="00BB31CB" w:rsidRDefault="009E3790" w:rsidP="009E3790">
      <w:pPr>
        <w:pStyle w:val="BodyTextIndent"/>
        <w:jc w:val="both"/>
        <w:rPr>
          <w:rFonts w:cs="Arial"/>
          <w:sz w:val="22"/>
          <w:szCs w:val="18"/>
          <w:lang w:val="en-ZA"/>
        </w:rPr>
      </w:pPr>
      <w:r>
        <w:rPr>
          <w:rFonts w:cs="Arial"/>
          <w:sz w:val="22"/>
          <w:szCs w:val="18"/>
          <w:lang w:val="en-ZA"/>
        </w:rPr>
        <w:t>Business Executive</w:t>
      </w:r>
      <w:r w:rsidRPr="00BB31CB">
        <w:rPr>
          <w:rFonts w:cs="Arial"/>
          <w:sz w:val="22"/>
          <w:szCs w:val="18"/>
          <w:lang w:val="en-ZA"/>
        </w:rPr>
        <w:t>: National A</w:t>
      </w:r>
    </w:p>
    <w:p w14:paraId="1A2A1B9A" w14:textId="72BFA5F1" w:rsidR="009E3790" w:rsidRPr="00BB31CB" w:rsidRDefault="009C0F61" w:rsidP="009E3790">
      <w:pPr>
        <w:pStyle w:val="BodyTextIndent"/>
        <w:jc w:val="both"/>
        <w:rPr>
          <w:rFonts w:cs="Arial"/>
          <w:sz w:val="22"/>
          <w:szCs w:val="18"/>
          <w:lang w:val="en-ZA"/>
        </w:rPr>
      </w:pPr>
      <w:r>
        <w:rPr>
          <w:rFonts w:cs="Arial"/>
          <w:sz w:val="22"/>
          <w:szCs w:val="18"/>
          <w:lang w:val="en-ZA"/>
        </w:rPr>
        <w:t>20 October 2020</w:t>
      </w:r>
    </w:p>
    <w:p w14:paraId="5C719B71" w14:textId="77777777" w:rsidR="009E3790" w:rsidRPr="00BB31CB" w:rsidRDefault="009E3790" w:rsidP="009E3790">
      <w:pPr>
        <w:spacing w:after="240" w:line="240" w:lineRule="auto"/>
        <w:jc w:val="both"/>
        <w:rPr>
          <w:rFonts w:eastAsia="Calibri" w:cs="Arial"/>
          <w:sz w:val="18"/>
          <w:szCs w:val="18"/>
        </w:rPr>
      </w:pPr>
      <w:r w:rsidRPr="00BB31CB">
        <w:rPr>
          <w:rFonts w:eastAsia="Calibri" w:cs="Arial"/>
          <w:sz w:val="18"/>
          <w:szCs w:val="18"/>
        </w:rPr>
        <w:t xml:space="preserve"> </w:t>
      </w:r>
    </w:p>
    <w:p w14:paraId="0D65163F" w14:textId="77777777" w:rsidR="009E3790" w:rsidRPr="00BB31CB" w:rsidRDefault="009E3790" w:rsidP="009E3790">
      <w:pPr>
        <w:tabs>
          <w:tab w:val="left" w:pos="1440"/>
        </w:tabs>
        <w:spacing w:after="0" w:line="240" w:lineRule="auto"/>
        <w:jc w:val="both"/>
        <w:rPr>
          <w:rFonts w:eastAsia="Times New Roman" w:cs="Arial"/>
          <w:sz w:val="18"/>
          <w:szCs w:val="18"/>
        </w:rPr>
      </w:pPr>
      <w:r w:rsidRPr="00BB31CB">
        <w:rPr>
          <w:rFonts w:eastAsia="Times New Roman" w:cs="Arial"/>
          <w:sz w:val="18"/>
          <w:szCs w:val="18"/>
        </w:rPr>
        <w:t>Enquiries:</w:t>
      </w:r>
      <w:r w:rsidRPr="00BB31CB">
        <w:rPr>
          <w:rFonts w:eastAsia="Times New Roman" w:cs="Arial"/>
          <w:sz w:val="18"/>
          <w:szCs w:val="18"/>
        </w:rPr>
        <w:tab/>
        <w:t>T</w:t>
      </w:r>
      <w:r>
        <w:rPr>
          <w:rFonts w:eastAsia="Times New Roman" w:cs="Arial"/>
          <w:sz w:val="18"/>
          <w:szCs w:val="18"/>
        </w:rPr>
        <w:t>i</w:t>
      </w:r>
      <w:r w:rsidRPr="00BB31CB">
        <w:rPr>
          <w:rFonts w:eastAsia="Times New Roman" w:cs="Arial"/>
          <w:sz w:val="18"/>
          <w:szCs w:val="18"/>
        </w:rPr>
        <w:t>ntswalo Masia</w:t>
      </w:r>
    </w:p>
    <w:p w14:paraId="7A131A58" w14:textId="77777777" w:rsidR="009E3790" w:rsidRPr="00BB31CB" w:rsidRDefault="009E3790" w:rsidP="009E3790">
      <w:pPr>
        <w:tabs>
          <w:tab w:val="left" w:pos="1440"/>
        </w:tabs>
        <w:spacing w:after="0" w:line="240" w:lineRule="auto"/>
        <w:jc w:val="both"/>
        <w:rPr>
          <w:rFonts w:eastAsia="Times New Roman" w:cs="Arial"/>
          <w:sz w:val="18"/>
          <w:szCs w:val="18"/>
        </w:rPr>
      </w:pPr>
      <w:r w:rsidRPr="00BB31CB">
        <w:rPr>
          <w:rFonts w:eastAsia="Times New Roman" w:cs="Arial"/>
          <w:sz w:val="18"/>
          <w:szCs w:val="18"/>
        </w:rPr>
        <w:t>Telephone:</w:t>
      </w:r>
      <w:r w:rsidRPr="00BB31CB">
        <w:rPr>
          <w:rFonts w:eastAsia="Times New Roman" w:cs="Arial"/>
          <w:sz w:val="18"/>
          <w:szCs w:val="18"/>
        </w:rPr>
        <w:tab/>
      </w:r>
      <w:r w:rsidRPr="00BB31CB">
        <w:rPr>
          <w:rFonts w:cs="Arial"/>
          <w:sz w:val="18"/>
          <w:szCs w:val="18"/>
        </w:rPr>
        <w:t>012 426 8178</w:t>
      </w:r>
    </w:p>
    <w:p w14:paraId="49E6894B" w14:textId="77777777" w:rsidR="009E3790" w:rsidRPr="00BB31CB" w:rsidRDefault="009E3790" w:rsidP="009E3790">
      <w:pPr>
        <w:tabs>
          <w:tab w:val="left" w:pos="1440"/>
        </w:tabs>
        <w:spacing w:after="0" w:line="240" w:lineRule="auto"/>
        <w:jc w:val="both"/>
        <w:rPr>
          <w:rFonts w:eastAsia="Times New Roman" w:cs="Arial"/>
          <w:sz w:val="18"/>
          <w:szCs w:val="18"/>
        </w:rPr>
      </w:pPr>
      <w:r w:rsidRPr="00BB31CB">
        <w:rPr>
          <w:rFonts w:eastAsia="Times New Roman" w:cs="Arial"/>
          <w:sz w:val="18"/>
          <w:szCs w:val="18"/>
        </w:rPr>
        <w:t>Fax:</w:t>
      </w:r>
      <w:r w:rsidRPr="00BB31CB">
        <w:rPr>
          <w:rFonts w:eastAsia="Times New Roman" w:cs="Arial"/>
          <w:sz w:val="18"/>
          <w:szCs w:val="18"/>
        </w:rPr>
        <w:tab/>
      </w:r>
      <w:r w:rsidRPr="00BB31CB">
        <w:rPr>
          <w:rFonts w:cs="Arial"/>
          <w:sz w:val="18"/>
          <w:szCs w:val="18"/>
        </w:rPr>
        <w:t>012 422 9619</w:t>
      </w:r>
      <w:r w:rsidRPr="00BB31CB">
        <w:rPr>
          <w:rFonts w:cs="Arial"/>
          <w:sz w:val="18"/>
          <w:szCs w:val="18"/>
        </w:rPr>
        <w:tab/>
      </w:r>
    </w:p>
    <w:p w14:paraId="2C2DEEAB" w14:textId="77777777" w:rsidR="009E3790" w:rsidRDefault="009E3790" w:rsidP="009E3790">
      <w:pPr>
        <w:spacing w:after="0" w:line="240" w:lineRule="auto"/>
        <w:rPr>
          <w:rFonts w:eastAsia="Times New Roman" w:cs="Arial"/>
          <w:b/>
          <w:sz w:val="20"/>
          <w:szCs w:val="20"/>
        </w:rPr>
      </w:pPr>
      <w:r w:rsidRPr="00BB31CB">
        <w:rPr>
          <w:rFonts w:eastAsia="Times New Roman" w:cs="Arial"/>
          <w:sz w:val="18"/>
          <w:szCs w:val="18"/>
        </w:rPr>
        <w:t>Email:</w:t>
      </w:r>
      <w:r w:rsidRPr="00BB31CB">
        <w:rPr>
          <w:rFonts w:eastAsia="Times New Roman" w:cs="Arial"/>
          <w:sz w:val="18"/>
          <w:szCs w:val="18"/>
        </w:rPr>
        <w:tab/>
      </w:r>
      <w:r w:rsidRPr="00BB31CB">
        <w:rPr>
          <w:rFonts w:cs="Arial"/>
          <w:sz w:val="18"/>
          <w:szCs w:val="18"/>
        </w:rPr>
        <w:t>Tintswalom2@agsa.co.za</w:t>
      </w:r>
      <w:r w:rsidRPr="0077659B">
        <w:rPr>
          <w:rFonts w:eastAsia="Times New Roman" w:cs="Arial"/>
          <w:b/>
          <w:sz w:val="20"/>
          <w:szCs w:val="20"/>
        </w:rPr>
        <w:t xml:space="preserve"> </w:t>
      </w:r>
    </w:p>
    <w:p w14:paraId="7929E997" w14:textId="77777777" w:rsidR="009E3790" w:rsidRDefault="009E3790" w:rsidP="009E3790">
      <w:pPr>
        <w:spacing w:after="0" w:line="240" w:lineRule="auto"/>
        <w:rPr>
          <w:rFonts w:eastAsia="Times New Roman" w:cs="Arial"/>
          <w:b/>
          <w:sz w:val="20"/>
          <w:szCs w:val="20"/>
        </w:rPr>
      </w:pPr>
    </w:p>
    <w:p w14:paraId="57F32D08" w14:textId="77777777" w:rsidR="009E3790" w:rsidRPr="0077659B" w:rsidRDefault="009E3790" w:rsidP="009E3790">
      <w:pPr>
        <w:spacing w:after="0" w:line="240" w:lineRule="auto"/>
        <w:rPr>
          <w:rFonts w:eastAsia="Times New Roman" w:cs="Arial"/>
          <w:b/>
          <w:sz w:val="20"/>
          <w:szCs w:val="20"/>
        </w:rPr>
      </w:pPr>
      <w:r w:rsidRPr="0077659B">
        <w:rPr>
          <w:rFonts w:eastAsia="Times New Roman" w:cs="Arial"/>
          <w:b/>
          <w:sz w:val="20"/>
          <w:szCs w:val="20"/>
        </w:rPr>
        <w:t>Distribution:</w:t>
      </w:r>
    </w:p>
    <w:p w14:paraId="27136A65" w14:textId="77777777" w:rsidR="009E3790" w:rsidRPr="0077659B" w:rsidRDefault="009E3790" w:rsidP="009E3790">
      <w:pPr>
        <w:spacing w:after="0" w:line="240" w:lineRule="auto"/>
        <w:rPr>
          <w:rFonts w:eastAsia="Times New Roman" w:cs="Arial"/>
          <w:sz w:val="20"/>
          <w:szCs w:val="20"/>
        </w:rPr>
      </w:pPr>
      <w:r w:rsidRPr="0077659B">
        <w:rPr>
          <w:rFonts w:eastAsia="Times New Roman" w:cs="Arial"/>
          <w:sz w:val="20"/>
          <w:szCs w:val="20"/>
        </w:rPr>
        <w:t xml:space="preserve">Audit committee </w:t>
      </w:r>
    </w:p>
    <w:p w14:paraId="2EE55A0B" w14:textId="77777777" w:rsidR="009E3790" w:rsidRPr="0077659B" w:rsidRDefault="009E3790" w:rsidP="009E3790">
      <w:pPr>
        <w:spacing w:after="0" w:line="240" w:lineRule="auto"/>
        <w:rPr>
          <w:rFonts w:eastAsia="Times New Roman" w:cs="Arial"/>
          <w:sz w:val="20"/>
          <w:szCs w:val="20"/>
        </w:rPr>
      </w:pPr>
      <w:r w:rsidRPr="0077659B">
        <w:rPr>
          <w:rFonts w:eastAsia="Times New Roman" w:cs="Arial"/>
          <w:sz w:val="20"/>
          <w:szCs w:val="20"/>
        </w:rPr>
        <w:t>Head of internal audit unit</w:t>
      </w:r>
    </w:p>
    <w:p w14:paraId="2FBC1810" w14:textId="77777777" w:rsidR="009E3790" w:rsidRPr="0077659B" w:rsidRDefault="009E3790" w:rsidP="009E3790">
      <w:pPr>
        <w:spacing w:after="0" w:line="240" w:lineRule="auto"/>
        <w:rPr>
          <w:rFonts w:eastAsia="Times New Roman" w:cs="Arial"/>
          <w:sz w:val="20"/>
          <w:szCs w:val="20"/>
        </w:rPr>
      </w:pPr>
      <w:r w:rsidRPr="0077659B">
        <w:rPr>
          <w:rFonts w:eastAsia="Times New Roman" w:cs="Arial"/>
          <w:sz w:val="20"/>
          <w:szCs w:val="20"/>
        </w:rPr>
        <w:t xml:space="preserve">Executive authority </w:t>
      </w:r>
    </w:p>
    <w:p w14:paraId="5DF3DCE7" w14:textId="77777777" w:rsidR="00CC7F75" w:rsidRPr="0077659B" w:rsidRDefault="00CC7F75" w:rsidP="005657E9">
      <w:pPr>
        <w:spacing w:after="60" w:line="240" w:lineRule="auto"/>
        <w:rPr>
          <w:rFonts w:eastAsia="MS Mincho" w:cs="Arial"/>
          <w:b/>
        </w:rPr>
        <w:sectPr w:rsidR="00CC7F75" w:rsidRPr="0077659B" w:rsidSect="00C12C2B">
          <w:headerReference w:type="default" r:id="rId27"/>
          <w:endnotePr>
            <w:numFmt w:val="decimal"/>
          </w:endnotePr>
          <w:pgSz w:w="11906" w:h="16838" w:code="9"/>
          <w:pgMar w:top="1134" w:right="1134" w:bottom="1134" w:left="1134" w:header="1134" w:footer="709" w:gutter="0"/>
          <w:cols w:space="708"/>
          <w:docGrid w:linePitch="360"/>
        </w:sectPr>
      </w:pPr>
    </w:p>
    <w:p w14:paraId="6F6E6182" w14:textId="68547725" w:rsidR="002C07AF" w:rsidRPr="0077659B" w:rsidRDefault="002C07AF" w:rsidP="00282DFA">
      <w:pPr>
        <w:rPr>
          <w:rFonts w:eastAsia="Calibri" w:cs="Arial"/>
        </w:rPr>
      </w:pPr>
    </w:p>
    <w:sectPr w:rsidR="002C07AF" w:rsidRPr="0077659B" w:rsidSect="00BB6EEC">
      <w:headerReference w:type="default" r:id="rId28"/>
      <w:footerReference w:type="default" r:id="rId29"/>
      <w:endnotePr>
        <w:numFmt w:val="decimal"/>
      </w:endnotePr>
      <w:pgSz w:w="11906" w:h="16838"/>
      <w:pgMar w:top="1440" w:right="1440" w:bottom="1701" w:left="1440"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yburgh,Corne (BE)" w:date="2020-11-12T09:53:00Z" w:initials="M(">
    <w:p w14:paraId="1500506A" w14:textId="684AD94C" w:rsidR="002B58D6" w:rsidRDefault="002B58D6" w:rsidP="002B58D6">
      <w:pPr>
        <w:pStyle w:val="CommentText"/>
        <w:numPr>
          <w:ilvl w:val="0"/>
          <w:numId w:val="34"/>
        </w:numPr>
      </w:pPr>
      <w:r>
        <w:rPr>
          <w:rStyle w:val="CommentReference"/>
        </w:rPr>
        <w:annotationRef/>
      </w:r>
      <w:r>
        <w:t xml:space="preserve"> IT under risk areas is red bt under internal control lboth IT governance and IT systems control is yellow? </w:t>
      </w:r>
    </w:p>
    <w:p w14:paraId="1A7F154C" w14:textId="4EE6A0A4" w:rsidR="00174169" w:rsidRDefault="00174169" w:rsidP="00174169">
      <w:pPr>
        <w:pStyle w:val="CommentText"/>
      </w:pPr>
    </w:p>
    <w:p w14:paraId="00AD966A" w14:textId="70B72D88" w:rsidR="00174169" w:rsidRDefault="00174169" w:rsidP="00174169">
      <w:pPr>
        <w:pStyle w:val="CommentText"/>
      </w:pPr>
    </w:p>
    <w:p w14:paraId="3E5A9C90" w14:textId="596CF106" w:rsidR="00174169" w:rsidRDefault="00174169" w:rsidP="00174169">
      <w:pPr>
        <w:pStyle w:val="CommentText"/>
      </w:pPr>
    </w:p>
    <w:p w14:paraId="43675EC7" w14:textId="77777777" w:rsidR="00174169" w:rsidRDefault="00174169" w:rsidP="00174169">
      <w:pPr>
        <w:pStyle w:val="CommentText"/>
      </w:pPr>
    </w:p>
    <w:p w14:paraId="3A39B561" w14:textId="77777777" w:rsidR="00174169" w:rsidRDefault="00174169" w:rsidP="00174169">
      <w:pPr>
        <w:pStyle w:val="CommentText"/>
      </w:pPr>
    </w:p>
    <w:p w14:paraId="5328F9BD" w14:textId="0D83BBF8" w:rsidR="002B58D6" w:rsidRDefault="002B58D6" w:rsidP="002B58D6">
      <w:pPr>
        <w:pStyle w:val="CommentText"/>
        <w:numPr>
          <w:ilvl w:val="0"/>
          <w:numId w:val="34"/>
        </w:numPr>
      </w:pPr>
      <w:r>
        <w:t xml:space="preserve">As a top 3 root cause we state key officials lack competency and skills. But under controls HR is yellow and in the overall message we refer to key positions being vacant and filled with acting close to preparing AFS?  Are we sure this is a key root cause isn’t oversight and monitoring more relevant as a top 3? </w:t>
      </w:r>
    </w:p>
  </w:comment>
  <w:comment w:id="10" w:author="Mulaifa,Mathoho" w:date="2020-11-12T13:40:00Z" w:initials="M">
    <w:p w14:paraId="1F5DF4E8" w14:textId="662EDAAD" w:rsidR="00174169" w:rsidRDefault="00174169" w:rsidP="00174169">
      <w:pPr>
        <w:pStyle w:val="CommentText"/>
        <w:numPr>
          <w:ilvl w:val="0"/>
          <w:numId w:val="35"/>
        </w:numPr>
      </w:pPr>
      <w:r>
        <w:rPr>
          <w:rStyle w:val="CommentReference"/>
        </w:rPr>
        <w:annotationRef/>
      </w:r>
      <w:r>
        <w:t>IT System has been amended.</w:t>
      </w:r>
    </w:p>
    <w:p w14:paraId="2E87FEAF" w14:textId="6BE0540D" w:rsidR="00174169" w:rsidRDefault="00174169" w:rsidP="00174169">
      <w:pPr>
        <w:pStyle w:val="CommentText"/>
      </w:pPr>
    </w:p>
    <w:p w14:paraId="2AEF703A" w14:textId="562F08B7" w:rsidR="00174169" w:rsidRDefault="00174169" w:rsidP="00990390">
      <w:pPr>
        <w:pStyle w:val="CommentText"/>
      </w:pPr>
    </w:p>
  </w:comment>
  <w:comment w:id="11" w:author="Masia,Tintswalo (SM)" w:date="2020-11-13T09:43:00Z" w:initials="M(">
    <w:p w14:paraId="38C9380C" w14:textId="7BFE45EA" w:rsidR="00990390" w:rsidRDefault="00990390">
      <w:pPr>
        <w:pStyle w:val="CommentText"/>
      </w:pPr>
      <w:r>
        <w:rPr>
          <w:rStyle w:val="CommentReference"/>
        </w:rPr>
        <w:annotationRef/>
      </w:r>
      <w:r>
        <w:t>I changed it to highlight inadequate human resource management which is the result of lack of skilled people and that performance is monitored.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28F9BD" w15:done="0"/>
  <w15:commentEx w15:paraId="2AEF703A" w15:paraIdParent="5328F9BD" w15:done="0"/>
  <w15:commentEx w15:paraId="38C9380C" w15:paraIdParent="5328F9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B1AD1" w14:textId="77777777" w:rsidR="00FB7538" w:rsidRDefault="00FB7538">
      <w:pPr>
        <w:spacing w:after="0" w:line="240" w:lineRule="auto"/>
      </w:pPr>
      <w:r>
        <w:separator/>
      </w:r>
    </w:p>
    <w:p w14:paraId="4BB0BD9C" w14:textId="77777777" w:rsidR="00FB7538" w:rsidRDefault="00FB7538"/>
  </w:endnote>
  <w:endnote w:type="continuationSeparator" w:id="0">
    <w:p w14:paraId="441BEB4C" w14:textId="77777777" w:rsidR="00FB7538" w:rsidRDefault="00FB7538">
      <w:pPr>
        <w:spacing w:after="0" w:line="240" w:lineRule="auto"/>
      </w:pPr>
      <w:r>
        <w:continuationSeparator/>
      </w:r>
    </w:p>
    <w:p w14:paraId="7E1E969A" w14:textId="77777777" w:rsidR="00FB7538" w:rsidRDefault="00FB7538"/>
  </w:endnote>
  <w:endnote w:type="continuationNotice" w:id="1">
    <w:p w14:paraId="54B706B2" w14:textId="77777777" w:rsidR="00FB7538" w:rsidRDefault="00FB7538">
      <w:pPr>
        <w:spacing w:after="0" w:line="240" w:lineRule="auto"/>
      </w:pPr>
    </w:p>
    <w:p w14:paraId="0C88B21C" w14:textId="77777777" w:rsidR="00FB7538" w:rsidRDefault="00FB7538"/>
  </w:endnote>
  <w:endnote w:id="2">
    <w:p w14:paraId="16E287B3" w14:textId="77777777" w:rsidR="009929EF" w:rsidRDefault="009929EF" w:rsidP="00A62603">
      <w:pPr>
        <w:pBdr>
          <w:top w:val="single" w:sz="4" w:space="1" w:color="auto"/>
          <w:left w:val="single" w:sz="4" w:space="3" w:color="auto"/>
          <w:bottom w:val="single" w:sz="4" w:space="1" w:color="auto"/>
          <w:right w:val="single" w:sz="4" w:space="4" w:color="auto"/>
        </w:pBdr>
        <w:shd w:val="clear" w:color="auto" w:fill="8DB3E2"/>
        <w:spacing w:before="240" w:after="60" w:line="240" w:lineRule="auto"/>
      </w:pPr>
    </w:p>
    <w:p w14:paraId="0B7C9913" w14:textId="77777777" w:rsidR="009929EF" w:rsidRDefault="009929EF">
      <w:pPr>
        <w:pStyle w:val="EndnoteText"/>
      </w:pPr>
    </w:p>
  </w:endnote>
  <w:endnote w:id="3">
    <w:p w14:paraId="46092679" w14:textId="77777777" w:rsidR="009929EF" w:rsidRPr="006248F0" w:rsidRDefault="009929EF" w:rsidP="00282DFA">
      <w:pPr>
        <w:pStyle w:val="EndnoteText"/>
        <w:rPr>
          <w:rFonts w:ascii="Arial" w:eastAsia="Calibri" w:hAnsi="Arial" w:cs="Arial"/>
          <w:sz w:val="22"/>
          <w:szCs w:val="22"/>
        </w:rPr>
      </w:pPr>
    </w:p>
    <w:p w14:paraId="6815CF1D" w14:textId="77777777" w:rsidR="009929EF" w:rsidRPr="00BB6EEC" w:rsidRDefault="009929EF" w:rsidP="00BB6EEC">
      <w:pPr>
        <w:pStyle w:val="EndnoteText"/>
        <w:rPr>
          <w:rFonts w:ascii="Arial" w:hAnsi="Arial" w:cs="Arial"/>
        </w:rPr>
      </w:pPr>
    </w:p>
  </w:endnote>
  <w:endnote w:id="4">
    <w:p w14:paraId="27B77F9A" w14:textId="77777777" w:rsidR="009929EF" w:rsidRPr="006248F0" w:rsidRDefault="009929EF">
      <w:pPr>
        <w:pStyle w:val="EndnoteText"/>
        <w:rPr>
          <w:rFonts w:ascii="Arial" w:hAnsi="Arial" w:cs="Arial"/>
        </w:rPr>
      </w:pPr>
    </w:p>
  </w:endnote>
  <w:endnote w:id="5">
    <w:p w14:paraId="45A6F848" w14:textId="77777777" w:rsidR="009929EF" w:rsidRDefault="009929EF" w:rsidP="00311428">
      <w:pPr>
        <w:pStyle w:val="Bulletedlist"/>
        <w:numPr>
          <w:ilvl w:val="0"/>
          <w:numId w:val="0"/>
        </w:numPr>
      </w:pPr>
    </w:p>
  </w:endnote>
  <w:endnote w:id="6">
    <w:p w14:paraId="318FCAFB" w14:textId="77777777" w:rsidR="009929EF" w:rsidRDefault="009929EF" w:rsidP="00A011D5">
      <w:pPr>
        <w:pStyle w:val="EndnoteText"/>
      </w:pPr>
    </w:p>
    <w:p w14:paraId="746ADD71" w14:textId="77777777" w:rsidR="009929EF" w:rsidRDefault="009929EF" w:rsidP="00A011D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7552" w14:textId="77777777" w:rsidR="009929EF" w:rsidRDefault="009929EF"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0D599EF5" wp14:editId="4233E2FD">
          <wp:simplePos x="0" y="0"/>
          <wp:positionH relativeFrom="column">
            <wp:posOffset>-282575</wp:posOffset>
          </wp:positionH>
          <wp:positionV relativeFrom="paragraph">
            <wp:posOffset>135255</wp:posOffset>
          </wp:positionV>
          <wp:extent cx="6400800" cy="344170"/>
          <wp:effectExtent l="19050" t="0" r="0" b="0"/>
          <wp:wrapNone/>
          <wp:docPr id="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4F059724" w14:textId="77777777" w:rsidR="009929EF" w:rsidRDefault="009929EF" w:rsidP="00DC267C">
    <w:pPr>
      <w:pStyle w:val="Footer"/>
      <w:tabs>
        <w:tab w:val="clear" w:pos="4320"/>
        <w:tab w:val="clear" w:pos="8640"/>
        <w:tab w:val="center" w:pos="4111"/>
        <w:tab w:val="right" w:pos="9923"/>
      </w:tabs>
      <w:ind w:left="-142" w:right="-285"/>
      <w:jc w:val="right"/>
      <w:rPr>
        <w:rFonts w:ascii="Arial" w:hAnsi="Arial" w:cs="Arial"/>
        <w:b/>
        <w:color w:val="003B79"/>
      </w:rPr>
    </w:pPr>
  </w:p>
  <w:p w14:paraId="24841D71" w14:textId="77777777" w:rsidR="009929EF" w:rsidRPr="002D6730" w:rsidRDefault="009929EF" w:rsidP="00DC267C">
    <w:pPr>
      <w:pStyle w:val="Footer"/>
      <w:tabs>
        <w:tab w:val="clear" w:pos="4320"/>
        <w:tab w:val="clear" w:pos="8640"/>
        <w:tab w:val="center" w:pos="4111"/>
        <w:tab w:val="right" w:pos="9923"/>
      </w:tabs>
      <w:ind w:left="-142" w:right="-285"/>
      <w:jc w:val="right"/>
      <w:rPr>
        <w:rFonts w:ascii="Arial" w:hAnsi="Arial" w:cs="Arial"/>
        <w:b/>
        <w:color w:val="003B79"/>
      </w:rPr>
    </w:pPr>
  </w:p>
  <w:p w14:paraId="7B6A37F6" w14:textId="77777777" w:rsidR="009929EF" w:rsidRDefault="009929EF" w:rsidP="00DC267C">
    <w:pPr>
      <w:pStyle w:val="Footer"/>
      <w:tabs>
        <w:tab w:val="clear" w:pos="4320"/>
        <w:tab w:val="center" w:pos="4111"/>
        <w:tab w:val="right" w:pos="9923"/>
      </w:tabs>
      <w:ind w:left="-142"/>
      <w:jc w:val="right"/>
      <w:rPr>
        <w:szCs w:val="22"/>
      </w:rPr>
    </w:pPr>
  </w:p>
  <w:p w14:paraId="34F1D63F" w14:textId="77777777" w:rsidR="009929EF" w:rsidRDefault="009929EF" w:rsidP="00DC267C">
    <w:pPr>
      <w:pStyle w:val="Footer"/>
      <w:tabs>
        <w:tab w:val="clear" w:pos="4320"/>
        <w:tab w:val="center" w:pos="4111"/>
        <w:tab w:val="right" w:pos="9923"/>
      </w:tabs>
      <w:ind w:left="-142"/>
      <w:jc w:val="right"/>
      <w:rPr>
        <w:szCs w:val="22"/>
      </w:rPr>
    </w:pPr>
  </w:p>
  <w:p w14:paraId="3CB50EB8" w14:textId="77777777" w:rsidR="009929EF" w:rsidRPr="005F7D46" w:rsidRDefault="009929EF"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E89B7" w14:textId="77777777" w:rsidR="009929EF" w:rsidRDefault="009929EF" w:rsidP="00CB4728">
    <w:pPr>
      <w:pStyle w:val="Footer"/>
      <w:tabs>
        <w:tab w:val="clear" w:pos="4320"/>
        <w:tab w:val="center" w:pos="4111"/>
      </w:tabs>
      <w:rPr>
        <w:szCs w:val="22"/>
      </w:rPr>
    </w:pPr>
  </w:p>
  <w:p w14:paraId="67B60EEA" w14:textId="0094CC75" w:rsidR="009929EF" w:rsidRPr="002D6730" w:rsidRDefault="009929EF"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06368" behindDoc="1" locked="0" layoutInCell="1" allowOverlap="1" wp14:anchorId="6412C815" wp14:editId="3F92CC42">
          <wp:simplePos x="0" y="0"/>
          <wp:positionH relativeFrom="column">
            <wp:align>left</wp:align>
          </wp:positionH>
          <wp:positionV relativeFrom="paragraph">
            <wp:posOffset>-10795</wp:posOffset>
          </wp:positionV>
          <wp:extent cx="6400800" cy="344170"/>
          <wp:effectExtent l="19050" t="0" r="0" b="0"/>
          <wp:wrapNone/>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B763F0">
      <w:rPr>
        <w:rStyle w:val="PageNumber"/>
        <w:rFonts w:ascii="Arial" w:hAnsi="Arial" w:cs="Arial"/>
        <w:b/>
        <w:noProof/>
        <w:color w:val="003B79"/>
      </w:rPr>
      <w:t>39</w:t>
    </w:r>
    <w:r w:rsidRPr="002D6730">
      <w:rPr>
        <w:rStyle w:val="PageNumber"/>
        <w:rFonts w:ascii="Arial" w:hAnsi="Arial" w:cs="Arial"/>
        <w:b/>
        <w:color w:val="003B79"/>
      </w:rPr>
      <w:fldChar w:fldCharType="end"/>
    </w:r>
  </w:p>
  <w:p w14:paraId="4E671441" w14:textId="77777777" w:rsidR="009929EF" w:rsidRPr="0072219B" w:rsidRDefault="009929EF" w:rsidP="00CB4728">
    <w:pPr>
      <w:pStyle w:val="Footer"/>
      <w:rPr>
        <w:szCs w:val="22"/>
      </w:rPr>
    </w:pPr>
  </w:p>
  <w:p w14:paraId="6380D502" w14:textId="77777777" w:rsidR="009929EF" w:rsidRPr="005F7D46" w:rsidRDefault="009929EF" w:rsidP="00CB4728">
    <w:pPr>
      <w:pStyle w:val="Footer"/>
      <w:tabs>
        <w:tab w:val="clear" w:pos="4320"/>
        <w:tab w:val="center" w:pos="4111"/>
        <w:tab w:val="right" w:pos="9923"/>
      </w:tabs>
      <w:ind w:left="-142"/>
      <w:rPr>
        <w:szCs w:val="22"/>
      </w:rPr>
    </w:pPr>
  </w:p>
  <w:p w14:paraId="60788DEF" w14:textId="77777777" w:rsidR="009929EF" w:rsidRPr="00CB4728" w:rsidRDefault="009929EF" w:rsidP="00CB47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1F796" w14:textId="77777777" w:rsidR="009929EF" w:rsidRDefault="009929EF" w:rsidP="00DC267C">
    <w:pPr>
      <w:pStyle w:val="Footer"/>
      <w:tabs>
        <w:tab w:val="clear" w:pos="4320"/>
        <w:tab w:val="center" w:pos="4111"/>
      </w:tabs>
      <w:ind w:left="-142"/>
      <w:rPr>
        <w:szCs w:val="22"/>
      </w:rPr>
    </w:pPr>
    <w:r>
      <w:rPr>
        <w:szCs w:val="22"/>
      </w:rPr>
      <w:t>`</w:t>
    </w:r>
  </w:p>
  <w:p w14:paraId="6DF4133A" w14:textId="77777777" w:rsidR="009929EF" w:rsidRPr="002D6730" w:rsidRDefault="009929EF"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3DB69B7E" wp14:editId="217815A1">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Pr>
        <w:rStyle w:val="PageNumber"/>
        <w:rFonts w:cs="Arial"/>
        <w:noProof/>
        <w:color w:val="003B79"/>
      </w:rPr>
      <w:t>41</w:t>
    </w:r>
    <w:r w:rsidRPr="002D6730">
      <w:rPr>
        <w:rStyle w:val="PageNumber"/>
        <w:rFonts w:cs="Arial"/>
        <w:b/>
        <w:color w:val="003B79"/>
      </w:rPr>
      <w:fldChar w:fldCharType="end"/>
    </w:r>
  </w:p>
  <w:p w14:paraId="47927AD3" w14:textId="77777777" w:rsidR="009929EF" w:rsidRPr="0072219B" w:rsidRDefault="009929EF" w:rsidP="00DC267C">
    <w:pPr>
      <w:pStyle w:val="Footer"/>
      <w:rPr>
        <w:szCs w:val="22"/>
      </w:rPr>
    </w:pPr>
  </w:p>
  <w:p w14:paraId="597EDA13" w14:textId="77777777" w:rsidR="009929EF" w:rsidRPr="005F7D46" w:rsidRDefault="009929EF" w:rsidP="00DC267C">
    <w:pPr>
      <w:pStyle w:val="Footer"/>
      <w:tabs>
        <w:tab w:val="clear" w:pos="4320"/>
        <w:tab w:val="center" w:pos="4111"/>
        <w:tab w:val="right" w:pos="9923"/>
      </w:tabs>
      <w:ind w:left="-142"/>
      <w:rPr>
        <w:szCs w:val="22"/>
      </w:rPr>
    </w:pPr>
  </w:p>
  <w:p w14:paraId="7280FA8B" w14:textId="77777777" w:rsidR="009929EF" w:rsidRDefault="009929E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9EEFF" w14:textId="77777777" w:rsidR="00FB7538" w:rsidRDefault="00FB7538">
      <w:pPr>
        <w:spacing w:after="0" w:line="240" w:lineRule="auto"/>
      </w:pPr>
      <w:r>
        <w:separator/>
      </w:r>
    </w:p>
    <w:p w14:paraId="6DB26BCC" w14:textId="77777777" w:rsidR="00FB7538" w:rsidRDefault="00FB7538"/>
  </w:footnote>
  <w:footnote w:type="continuationSeparator" w:id="0">
    <w:p w14:paraId="2162F3BD" w14:textId="77777777" w:rsidR="00FB7538" w:rsidRDefault="00FB7538">
      <w:pPr>
        <w:spacing w:after="0" w:line="240" w:lineRule="auto"/>
      </w:pPr>
      <w:r>
        <w:continuationSeparator/>
      </w:r>
    </w:p>
    <w:p w14:paraId="6C2D639D" w14:textId="77777777" w:rsidR="00FB7538" w:rsidRDefault="00FB7538"/>
  </w:footnote>
  <w:footnote w:type="continuationNotice" w:id="1">
    <w:p w14:paraId="2DFA0BB4" w14:textId="77777777" w:rsidR="00FB7538" w:rsidRDefault="00FB7538">
      <w:pPr>
        <w:spacing w:after="0" w:line="240" w:lineRule="auto"/>
      </w:pPr>
    </w:p>
    <w:p w14:paraId="6C9FD1DA" w14:textId="77777777" w:rsidR="00FB7538" w:rsidRDefault="00FB753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97E0" w14:textId="77777777" w:rsidR="009929EF" w:rsidRPr="002D3B5F" w:rsidRDefault="009929EF" w:rsidP="00DC267C">
    <w:pPr>
      <w:pStyle w:val="Header"/>
    </w:pPr>
    <w:r>
      <w:rPr>
        <w:noProof/>
        <w:lang w:eastAsia="en-ZA"/>
      </w:rPr>
      <w:drawing>
        <wp:inline distT="0" distB="0" distL="0" distR="0" wp14:anchorId="75C22E2F" wp14:editId="3572BA16">
          <wp:extent cx="6283960" cy="1062990"/>
          <wp:effectExtent l="19050" t="0" r="2540" b="0"/>
          <wp:docPr id="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0D02B" w14:textId="77777777" w:rsidR="009929EF" w:rsidRPr="00862481" w:rsidRDefault="009929E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14:paraId="65AEC774" w14:textId="77777777" w:rsidR="009929EF" w:rsidRPr="008F2827" w:rsidRDefault="009929E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44928" behindDoc="0" locked="0" layoutInCell="1" allowOverlap="1" wp14:anchorId="5B97D069" wp14:editId="6A233771">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768F8"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D336E" w14:textId="77777777" w:rsidR="009929EF" w:rsidRPr="00862481" w:rsidRDefault="009929E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14:paraId="034ACAAC" w14:textId="77777777" w:rsidR="009929EF" w:rsidRPr="008F2827" w:rsidRDefault="009929E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7DB2D8C3" wp14:editId="5132BA68">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5E8938B"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2294B" w14:textId="77777777" w:rsidR="009929EF" w:rsidRPr="00862481" w:rsidRDefault="009929E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14:paraId="5DF6F989" w14:textId="77777777" w:rsidR="009929EF" w:rsidRPr="008F2827" w:rsidRDefault="009929E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22261481" wp14:editId="29ED61D8">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1FCB09A"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CA7DD" w14:textId="77777777" w:rsidR="009929EF" w:rsidRDefault="009929EF" w:rsidP="00DC267C">
    <w:pPr>
      <w:pStyle w:val="Header"/>
      <w:ind w:left="-142" w:right="6"/>
      <w:rPr>
        <w:b/>
        <w:color w:val="022B69"/>
        <w:sz w:val="16"/>
        <w:szCs w:val="16"/>
      </w:rPr>
    </w:pPr>
  </w:p>
  <w:p w14:paraId="7EF0B122" w14:textId="77777777" w:rsidR="009929EF" w:rsidRPr="00862481" w:rsidRDefault="009929EF"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14:paraId="72C85C1C" w14:textId="77777777" w:rsidR="009929EF" w:rsidRPr="008F2827" w:rsidRDefault="009929EF"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12CF722A" wp14:editId="3B5B6ECE">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836DD37"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0B829AA2" w14:textId="77777777" w:rsidR="009929EF" w:rsidRDefault="009929E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8pt;height:2in" o:bullet="t">
        <v:imagedata r:id="rId1" o:title="MC900293188[1]"/>
      </v:shape>
    </w:pict>
  </w:numPicBullet>
  <w:numPicBullet w:numPicBulletId="1">
    <w:pict>
      <v:shape id="_x0000_i1029" type="#_x0000_t75" style="width:120pt;height:138pt" o:bullet="t">
        <v:imagedata r:id="rId2" o:title="MC900239461[1]"/>
      </v:shape>
    </w:pict>
  </w:numPicBullet>
  <w:abstractNum w:abstractNumId="0" w15:restartNumberingAfterBreak="0">
    <w:nsid w:val="02867B43"/>
    <w:multiLevelType w:val="hybridMultilevel"/>
    <w:tmpl w:val="0F4A0C4C"/>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1"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81A0D8E"/>
    <w:multiLevelType w:val="hybridMultilevel"/>
    <w:tmpl w:val="51EE79D8"/>
    <w:lvl w:ilvl="0" w:tplc="1C090003">
      <w:start w:val="1"/>
      <w:numFmt w:val="bullet"/>
      <w:lvlText w:val="o"/>
      <w:lvlJc w:val="left"/>
      <w:pPr>
        <w:ind w:left="1363" w:hanging="360"/>
      </w:pPr>
      <w:rPr>
        <w:rFonts w:ascii="Courier New" w:hAnsi="Courier New" w:cs="Courier New"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4" w15:restartNumberingAfterBreak="0">
    <w:nsid w:val="09EC45CA"/>
    <w:multiLevelType w:val="hybridMultilevel"/>
    <w:tmpl w:val="6FA0C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9160D8B"/>
    <w:multiLevelType w:val="hybridMultilevel"/>
    <w:tmpl w:val="372A9A2A"/>
    <w:lvl w:ilvl="0" w:tplc="1C090003">
      <w:start w:val="1"/>
      <w:numFmt w:val="bullet"/>
      <w:lvlText w:val="o"/>
      <w:lvlJc w:val="left"/>
      <w:pPr>
        <w:ind w:left="1363" w:hanging="360"/>
      </w:pPr>
      <w:rPr>
        <w:rFonts w:ascii="Courier New" w:hAnsi="Courier New" w:cs="Courier New"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7" w15:restartNumberingAfterBreak="0">
    <w:nsid w:val="1D6C767F"/>
    <w:multiLevelType w:val="hybridMultilevel"/>
    <w:tmpl w:val="729C54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9"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B9636F"/>
    <w:multiLevelType w:val="hybridMultilevel"/>
    <w:tmpl w:val="F55444A6"/>
    <w:lvl w:ilvl="0" w:tplc="69CC0FDC">
      <w:start w:val="14"/>
      <w:numFmt w:val="decimal"/>
      <w:lvlText w:val="%1."/>
      <w:lvlJc w:val="left"/>
      <w:pPr>
        <w:ind w:left="644"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9E74EFA"/>
    <w:multiLevelType w:val="hybridMultilevel"/>
    <w:tmpl w:val="3968AD8A"/>
    <w:lvl w:ilvl="0" w:tplc="45A2AF82">
      <w:start w:val="1"/>
      <w:numFmt w:val="decimal"/>
      <w:suff w:val="space"/>
      <w:lvlText w:val="%1."/>
      <w:lvlJc w:val="left"/>
      <w:pPr>
        <w:ind w:left="360"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A2163B8"/>
    <w:multiLevelType w:val="hybridMultilevel"/>
    <w:tmpl w:val="814836E0"/>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2AC16B13"/>
    <w:multiLevelType w:val="hybridMultilevel"/>
    <w:tmpl w:val="14F4310E"/>
    <w:lvl w:ilvl="0" w:tplc="1C09000B">
      <w:start w:val="1"/>
      <w:numFmt w:val="bullet"/>
      <w:lvlText w:val=""/>
      <w:lvlJc w:val="left"/>
      <w:pPr>
        <w:ind w:left="1571" w:hanging="360"/>
      </w:pPr>
      <w:rPr>
        <w:rFonts w:ascii="Wingdings" w:hAnsi="Wingdings"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15"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4E901D2"/>
    <w:multiLevelType w:val="hybridMultilevel"/>
    <w:tmpl w:val="A6407DE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4E4058"/>
    <w:multiLevelType w:val="hybridMultilevel"/>
    <w:tmpl w:val="595CBB70"/>
    <w:lvl w:ilvl="0" w:tplc="1C090003">
      <w:start w:val="1"/>
      <w:numFmt w:val="bullet"/>
      <w:lvlText w:val="o"/>
      <w:lvlJc w:val="left"/>
      <w:pPr>
        <w:ind w:left="1363" w:hanging="360"/>
      </w:pPr>
      <w:rPr>
        <w:rFonts w:ascii="Courier New" w:hAnsi="Courier New" w:cs="Courier New"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19"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94A7CC6"/>
    <w:multiLevelType w:val="hybridMultilevel"/>
    <w:tmpl w:val="F53CC0E2"/>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21"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75D04D2"/>
    <w:multiLevelType w:val="hybridMultilevel"/>
    <w:tmpl w:val="59FED2C2"/>
    <w:lvl w:ilvl="0" w:tplc="1C090003">
      <w:start w:val="1"/>
      <w:numFmt w:val="bullet"/>
      <w:lvlText w:val="o"/>
      <w:lvlJc w:val="left"/>
      <w:pPr>
        <w:ind w:left="1363" w:hanging="360"/>
      </w:pPr>
      <w:rPr>
        <w:rFonts w:ascii="Courier New" w:hAnsi="Courier New" w:cs="Courier New"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24" w15:restartNumberingAfterBreak="0">
    <w:nsid w:val="4F146BB2"/>
    <w:multiLevelType w:val="hybridMultilevel"/>
    <w:tmpl w:val="EB4E92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26" w15:restartNumberingAfterBreak="0">
    <w:nsid w:val="5C2B30C1"/>
    <w:multiLevelType w:val="hybridMultilevel"/>
    <w:tmpl w:val="08D092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CC66809"/>
    <w:multiLevelType w:val="hybridMultilevel"/>
    <w:tmpl w:val="EC1EB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29" w15:restartNumberingAfterBreak="0">
    <w:nsid w:val="6B404A62"/>
    <w:multiLevelType w:val="hybridMultilevel"/>
    <w:tmpl w:val="D278D54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0"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09311CC"/>
    <w:multiLevelType w:val="hybridMultilevel"/>
    <w:tmpl w:val="46604D58"/>
    <w:lvl w:ilvl="0" w:tplc="8DC09DEC">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6D806C9"/>
    <w:multiLevelType w:val="hybridMultilevel"/>
    <w:tmpl w:val="CA628706"/>
    <w:lvl w:ilvl="0" w:tplc="1C090003">
      <w:start w:val="1"/>
      <w:numFmt w:val="bullet"/>
      <w:lvlText w:val="o"/>
      <w:lvlJc w:val="left"/>
      <w:pPr>
        <w:ind w:left="1363" w:hanging="360"/>
      </w:pPr>
      <w:rPr>
        <w:rFonts w:ascii="Courier New" w:hAnsi="Courier New" w:cs="Courier New"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33" w15:restartNumberingAfterBreak="0">
    <w:nsid w:val="7F0666F0"/>
    <w:multiLevelType w:val="hybridMultilevel"/>
    <w:tmpl w:val="ADA4177E"/>
    <w:lvl w:ilvl="0" w:tplc="BE52D1B0">
      <w:start w:val="1"/>
      <w:numFmt w:val="decimal"/>
      <w:lvlText w:val="%1."/>
      <w:lvlJc w:val="left"/>
      <w:pPr>
        <w:ind w:left="8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22"/>
  </w:num>
  <w:num w:numId="3">
    <w:abstractNumId w:val="5"/>
  </w:num>
  <w:num w:numId="4">
    <w:abstractNumId w:val="16"/>
  </w:num>
  <w:num w:numId="5">
    <w:abstractNumId w:val="1"/>
  </w:num>
  <w:num w:numId="6">
    <w:abstractNumId w:val="8"/>
  </w:num>
  <w:num w:numId="7">
    <w:abstractNumId w:val="9"/>
  </w:num>
  <w:num w:numId="8">
    <w:abstractNumId w:val="11"/>
  </w:num>
  <w:num w:numId="9">
    <w:abstractNumId w:val="28"/>
  </w:num>
  <w:num w:numId="10">
    <w:abstractNumId w:val="21"/>
  </w:num>
  <w:num w:numId="11">
    <w:abstractNumId w:val="19"/>
  </w:num>
  <w:num w:numId="12">
    <w:abstractNumId w:val="15"/>
  </w:num>
  <w:num w:numId="13">
    <w:abstractNumId w:val="30"/>
  </w:num>
  <w:num w:numId="14">
    <w:abstractNumId w:val="33"/>
  </w:num>
  <w:num w:numId="15">
    <w:abstractNumId w:val="10"/>
  </w:num>
  <w:num w:numId="16">
    <w:abstractNumId w:val="27"/>
  </w:num>
  <w:num w:numId="17">
    <w:abstractNumId w:val="14"/>
  </w:num>
  <w:num w:numId="18">
    <w:abstractNumId w:val="31"/>
  </w:num>
  <w:num w:numId="19">
    <w:abstractNumId w:val="12"/>
  </w:num>
  <w:num w:numId="20">
    <w:abstractNumId w:val="4"/>
  </w:num>
  <w:num w:numId="21">
    <w:abstractNumId w:val="29"/>
  </w:num>
  <w:num w:numId="22">
    <w:abstractNumId w:val="25"/>
  </w:num>
  <w:num w:numId="23">
    <w:abstractNumId w:val="24"/>
  </w:num>
  <w:num w:numId="24">
    <w:abstractNumId w:val="18"/>
  </w:num>
  <w:num w:numId="25">
    <w:abstractNumId w:val="0"/>
  </w:num>
  <w:num w:numId="26">
    <w:abstractNumId w:val="3"/>
  </w:num>
  <w:num w:numId="27">
    <w:abstractNumId w:val="20"/>
  </w:num>
  <w:num w:numId="28">
    <w:abstractNumId w:val="32"/>
  </w:num>
  <w:num w:numId="29">
    <w:abstractNumId w:val="23"/>
  </w:num>
  <w:num w:numId="30">
    <w:abstractNumId w:val="6"/>
  </w:num>
  <w:num w:numId="31">
    <w:abstractNumId w:val="7"/>
  </w:num>
  <w:num w:numId="32">
    <w:abstractNumId w:val="19"/>
  </w:num>
  <w:num w:numId="33">
    <w:abstractNumId w:val="13"/>
  </w:num>
  <w:num w:numId="34">
    <w:abstractNumId w:val="17"/>
  </w:num>
  <w:num w:numId="35">
    <w:abstractNumId w:val="26"/>
  </w:num>
  <w:numIdMacAtCleanup w:val="3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burgh,Corne (BE)">
    <w15:presenceInfo w15:providerId="AD" w15:userId="S-1-5-21-1765814103-231811140-111032338-2439"/>
  </w15:person>
  <w15:person w15:author="Mulaifa,Mathoho">
    <w15:presenceInfo w15:providerId="AD" w15:userId="S-1-5-21-1765814103-231811140-111032338-62918"/>
  </w15:person>
  <w15:person w15:author="Masia,Tintswalo (SM)">
    <w15:presenceInfo w15:providerId="AD" w15:userId="S-1-5-21-1765814103-231811140-111032338-55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178B"/>
    <w:rsid w:val="00012065"/>
    <w:rsid w:val="000120B9"/>
    <w:rsid w:val="00012C2F"/>
    <w:rsid w:val="00013575"/>
    <w:rsid w:val="000138B2"/>
    <w:rsid w:val="000142F4"/>
    <w:rsid w:val="00014678"/>
    <w:rsid w:val="00015AF5"/>
    <w:rsid w:val="00015DC0"/>
    <w:rsid w:val="0002110E"/>
    <w:rsid w:val="00021328"/>
    <w:rsid w:val="000226DC"/>
    <w:rsid w:val="000228EA"/>
    <w:rsid w:val="00022D13"/>
    <w:rsid w:val="0002329F"/>
    <w:rsid w:val="0002467E"/>
    <w:rsid w:val="00024EB0"/>
    <w:rsid w:val="000262C0"/>
    <w:rsid w:val="00027ACC"/>
    <w:rsid w:val="00027E46"/>
    <w:rsid w:val="00027F5A"/>
    <w:rsid w:val="000301DC"/>
    <w:rsid w:val="00030521"/>
    <w:rsid w:val="000338C5"/>
    <w:rsid w:val="00034830"/>
    <w:rsid w:val="000351DC"/>
    <w:rsid w:val="000359A6"/>
    <w:rsid w:val="000376A9"/>
    <w:rsid w:val="00041540"/>
    <w:rsid w:val="00041838"/>
    <w:rsid w:val="0004194B"/>
    <w:rsid w:val="00041D3B"/>
    <w:rsid w:val="0004644A"/>
    <w:rsid w:val="000504B9"/>
    <w:rsid w:val="00052817"/>
    <w:rsid w:val="000539A3"/>
    <w:rsid w:val="000550D9"/>
    <w:rsid w:val="000554E4"/>
    <w:rsid w:val="00056309"/>
    <w:rsid w:val="00056395"/>
    <w:rsid w:val="00060278"/>
    <w:rsid w:val="00060FFB"/>
    <w:rsid w:val="000614D3"/>
    <w:rsid w:val="00061B91"/>
    <w:rsid w:val="00061DBE"/>
    <w:rsid w:val="000622DA"/>
    <w:rsid w:val="0006328C"/>
    <w:rsid w:val="00064AE7"/>
    <w:rsid w:val="00065BBE"/>
    <w:rsid w:val="00066121"/>
    <w:rsid w:val="000663CE"/>
    <w:rsid w:val="00067D7B"/>
    <w:rsid w:val="0007051A"/>
    <w:rsid w:val="000707AC"/>
    <w:rsid w:val="00071AAC"/>
    <w:rsid w:val="00072064"/>
    <w:rsid w:val="0007342F"/>
    <w:rsid w:val="00074660"/>
    <w:rsid w:val="000762E9"/>
    <w:rsid w:val="00076C78"/>
    <w:rsid w:val="00076CAF"/>
    <w:rsid w:val="00076D11"/>
    <w:rsid w:val="00076FB3"/>
    <w:rsid w:val="00077067"/>
    <w:rsid w:val="00077779"/>
    <w:rsid w:val="00077BD8"/>
    <w:rsid w:val="000803CC"/>
    <w:rsid w:val="00080813"/>
    <w:rsid w:val="000809AC"/>
    <w:rsid w:val="00080F9D"/>
    <w:rsid w:val="00081CD0"/>
    <w:rsid w:val="000830FF"/>
    <w:rsid w:val="000845F8"/>
    <w:rsid w:val="000847F8"/>
    <w:rsid w:val="00086009"/>
    <w:rsid w:val="00086A8C"/>
    <w:rsid w:val="00086EF1"/>
    <w:rsid w:val="00090E6D"/>
    <w:rsid w:val="0009390C"/>
    <w:rsid w:val="000945A8"/>
    <w:rsid w:val="00095C41"/>
    <w:rsid w:val="00097070"/>
    <w:rsid w:val="000A2286"/>
    <w:rsid w:val="000A2E32"/>
    <w:rsid w:val="000A4B81"/>
    <w:rsid w:val="000A4DBD"/>
    <w:rsid w:val="000B0318"/>
    <w:rsid w:val="000B0E16"/>
    <w:rsid w:val="000B2E95"/>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37DB"/>
    <w:rsid w:val="000D4896"/>
    <w:rsid w:val="000D4C40"/>
    <w:rsid w:val="000D51D5"/>
    <w:rsid w:val="000D7782"/>
    <w:rsid w:val="000E0E98"/>
    <w:rsid w:val="000E2027"/>
    <w:rsid w:val="000E2C06"/>
    <w:rsid w:val="000E3B91"/>
    <w:rsid w:val="000E3CB5"/>
    <w:rsid w:val="000E4C0D"/>
    <w:rsid w:val="000E67CA"/>
    <w:rsid w:val="000E69B8"/>
    <w:rsid w:val="000E78E8"/>
    <w:rsid w:val="000F1F3A"/>
    <w:rsid w:val="000F2065"/>
    <w:rsid w:val="000F234E"/>
    <w:rsid w:val="000F25AA"/>
    <w:rsid w:val="000F388F"/>
    <w:rsid w:val="000F64FC"/>
    <w:rsid w:val="000F6788"/>
    <w:rsid w:val="000F68EC"/>
    <w:rsid w:val="000F754A"/>
    <w:rsid w:val="00100242"/>
    <w:rsid w:val="00100392"/>
    <w:rsid w:val="001025B2"/>
    <w:rsid w:val="00102C04"/>
    <w:rsid w:val="00103524"/>
    <w:rsid w:val="00103D1A"/>
    <w:rsid w:val="00103D76"/>
    <w:rsid w:val="00106040"/>
    <w:rsid w:val="001075CC"/>
    <w:rsid w:val="00107930"/>
    <w:rsid w:val="00110109"/>
    <w:rsid w:val="00110DA1"/>
    <w:rsid w:val="00112ECF"/>
    <w:rsid w:val="0011316F"/>
    <w:rsid w:val="001131A9"/>
    <w:rsid w:val="00114504"/>
    <w:rsid w:val="00114A20"/>
    <w:rsid w:val="00114A35"/>
    <w:rsid w:val="001169D2"/>
    <w:rsid w:val="001174CC"/>
    <w:rsid w:val="00121060"/>
    <w:rsid w:val="00121F7C"/>
    <w:rsid w:val="00122450"/>
    <w:rsid w:val="00123CE3"/>
    <w:rsid w:val="0012667F"/>
    <w:rsid w:val="00127D0D"/>
    <w:rsid w:val="001306D1"/>
    <w:rsid w:val="001324CE"/>
    <w:rsid w:val="00133E8C"/>
    <w:rsid w:val="00134BC8"/>
    <w:rsid w:val="00135A8C"/>
    <w:rsid w:val="00136340"/>
    <w:rsid w:val="00137334"/>
    <w:rsid w:val="001378BF"/>
    <w:rsid w:val="00140A7F"/>
    <w:rsid w:val="0014262A"/>
    <w:rsid w:val="00143CDB"/>
    <w:rsid w:val="00146834"/>
    <w:rsid w:val="00147697"/>
    <w:rsid w:val="001500B7"/>
    <w:rsid w:val="001516CD"/>
    <w:rsid w:val="00152099"/>
    <w:rsid w:val="0015211F"/>
    <w:rsid w:val="001528F8"/>
    <w:rsid w:val="001529AE"/>
    <w:rsid w:val="0015343C"/>
    <w:rsid w:val="00153824"/>
    <w:rsid w:val="00153FF6"/>
    <w:rsid w:val="00156FBB"/>
    <w:rsid w:val="001574FC"/>
    <w:rsid w:val="0016007C"/>
    <w:rsid w:val="001603BD"/>
    <w:rsid w:val="00161CA6"/>
    <w:rsid w:val="00161FE3"/>
    <w:rsid w:val="00164F12"/>
    <w:rsid w:val="00166C46"/>
    <w:rsid w:val="00170952"/>
    <w:rsid w:val="00170C11"/>
    <w:rsid w:val="0017182D"/>
    <w:rsid w:val="001719ED"/>
    <w:rsid w:val="001726B7"/>
    <w:rsid w:val="00174169"/>
    <w:rsid w:val="001744CD"/>
    <w:rsid w:val="00176356"/>
    <w:rsid w:val="00180CBB"/>
    <w:rsid w:val="0018197E"/>
    <w:rsid w:val="00181C0D"/>
    <w:rsid w:val="00182DB0"/>
    <w:rsid w:val="001856D7"/>
    <w:rsid w:val="001860AB"/>
    <w:rsid w:val="00187B58"/>
    <w:rsid w:val="0019189C"/>
    <w:rsid w:val="00192029"/>
    <w:rsid w:val="001923BB"/>
    <w:rsid w:val="00192671"/>
    <w:rsid w:val="00192AE4"/>
    <w:rsid w:val="00192EDA"/>
    <w:rsid w:val="0019368D"/>
    <w:rsid w:val="001938BE"/>
    <w:rsid w:val="00193D70"/>
    <w:rsid w:val="0019411C"/>
    <w:rsid w:val="00196335"/>
    <w:rsid w:val="001A1C0F"/>
    <w:rsid w:val="001A2900"/>
    <w:rsid w:val="001A362F"/>
    <w:rsid w:val="001A367B"/>
    <w:rsid w:val="001A387D"/>
    <w:rsid w:val="001A4272"/>
    <w:rsid w:val="001A69E5"/>
    <w:rsid w:val="001A771C"/>
    <w:rsid w:val="001A776D"/>
    <w:rsid w:val="001B02F2"/>
    <w:rsid w:val="001B1093"/>
    <w:rsid w:val="001B12C6"/>
    <w:rsid w:val="001B1624"/>
    <w:rsid w:val="001B3005"/>
    <w:rsid w:val="001B37B1"/>
    <w:rsid w:val="001B3A30"/>
    <w:rsid w:val="001B50CE"/>
    <w:rsid w:val="001B60AA"/>
    <w:rsid w:val="001B61A0"/>
    <w:rsid w:val="001B6809"/>
    <w:rsid w:val="001B7737"/>
    <w:rsid w:val="001B781C"/>
    <w:rsid w:val="001C02EF"/>
    <w:rsid w:val="001C1A86"/>
    <w:rsid w:val="001C288F"/>
    <w:rsid w:val="001C4638"/>
    <w:rsid w:val="001C5292"/>
    <w:rsid w:val="001C5F3D"/>
    <w:rsid w:val="001C6B38"/>
    <w:rsid w:val="001C707A"/>
    <w:rsid w:val="001C76CF"/>
    <w:rsid w:val="001C7B67"/>
    <w:rsid w:val="001D1D6E"/>
    <w:rsid w:val="001D40E7"/>
    <w:rsid w:val="001D5CBD"/>
    <w:rsid w:val="001D6332"/>
    <w:rsid w:val="001E0928"/>
    <w:rsid w:val="001E2DA9"/>
    <w:rsid w:val="001E37EE"/>
    <w:rsid w:val="001E3F4B"/>
    <w:rsid w:val="001E5BB4"/>
    <w:rsid w:val="001E6115"/>
    <w:rsid w:val="001E6959"/>
    <w:rsid w:val="001F03AA"/>
    <w:rsid w:val="001F03F7"/>
    <w:rsid w:val="001F0A88"/>
    <w:rsid w:val="001F1899"/>
    <w:rsid w:val="001F1CF5"/>
    <w:rsid w:val="001F33AF"/>
    <w:rsid w:val="001F38DA"/>
    <w:rsid w:val="001F4083"/>
    <w:rsid w:val="001F43F8"/>
    <w:rsid w:val="001F4789"/>
    <w:rsid w:val="001F50D7"/>
    <w:rsid w:val="001F6C60"/>
    <w:rsid w:val="001F7DCB"/>
    <w:rsid w:val="0020027A"/>
    <w:rsid w:val="002004A3"/>
    <w:rsid w:val="00201880"/>
    <w:rsid w:val="00203E15"/>
    <w:rsid w:val="00205A11"/>
    <w:rsid w:val="00205B73"/>
    <w:rsid w:val="0020665F"/>
    <w:rsid w:val="00207C88"/>
    <w:rsid w:val="00210023"/>
    <w:rsid w:val="00210D3E"/>
    <w:rsid w:val="00211B8D"/>
    <w:rsid w:val="00212B1A"/>
    <w:rsid w:val="00213751"/>
    <w:rsid w:val="0021467E"/>
    <w:rsid w:val="002148D1"/>
    <w:rsid w:val="00214936"/>
    <w:rsid w:val="002156DB"/>
    <w:rsid w:val="00215B00"/>
    <w:rsid w:val="00216005"/>
    <w:rsid w:val="0021652D"/>
    <w:rsid w:val="0022009C"/>
    <w:rsid w:val="002203FF"/>
    <w:rsid w:val="00223273"/>
    <w:rsid w:val="00225441"/>
    <w:rsid w:val="0022586F"/>
    <w:rsid w:val="00226048"/>
    <w:rsid w:val="0022746F"/>
    <w:rsid w:val="00230212"/>
    <w:rsid w:val="00230577"/>
    <w:rsid w:val="0023093E"/>
    <w:rsid w:val="00236884"/>
    <w:rsid w:val="00237003"/>
    <w:rsid w:val="00237F7F"/>
    <w:rsid w:val="002409AF"/>
    <w:rsid w:val="00241A04"/>
    <w:rsid w:val="00242800"/>
    <w:rsid w:val="00244491"/>
    <w:rsid w:val="00244512"/>
    <w:rsid w:val="0024537E"/>
    <w:rsid w:val="002456F1"/>
    <w:rsid w:val="002459C9"/>
    <w:rsid w:val="00246CAE"/>
    <w:rsid w:val="00247441"/>
    <w:rsid w:val="0024796A"/>
    <w:rsid w:val="00250620"/>
    <w:rsid w:val="00251554"/>
    <w:rsid w:val="00252A9C"/>
    <w:rsid w:val="00253084"/>
    <w:rsid w:val="00253FDE"/>
    <w:rsid w:val="00254191"/>
    <w:rsid w:val="00254867"/>
    <w:rsid w:val="002565BD"/>
    <w:rsid w:val="002566F1"/>
    <w:rsid w:val="00256C48"/>
    <w:rsid w:val="0025744E"/>
    <w:rsid w:val="0026061E"/>
    <w:rsid w:val="0026108A"/>
    <w:rsid w:val="00262088"/>
    <w:rsid w:val="00262A5F"/>
    <w:rsid w:val="00262BD0"/>
    <w:rsid w:val="00263413"/>
    <w:rsid w:val="00265B26"/>
    <w:rsid w:val="00266C36"/>
    <w:rsid w:val="00270DF1"/>
    <w:rsid w:val="00273C35"/>
    <w:rsid w:val="00273D4D"/>
    <w:rsid w:val="00274F79"/>
    <w:rsid w:val="00275BFC"/>
    <w:rsid w:val="002766BE"/>
    <w:rsid w:val="00276BF2"/>
    <w:rsid w:val="00277320"/>
    <w:rsid w:val="00277E5F"/>
    <w:rsid w:val="002805E7"/>
    <w:rsid w:val="00280CF0"/>
    <w:rsid w:val="002812BF"/>
    <w:rsid w:val="00282DFA"/>
    <w:rsid w:val="002836FE"/>
    <w:rsid w:val="00285636"/>
    <w:rsid w:val="002860B6"/>
    <w:rsid w:val="00287619"/>
    <w:rsid w:val="00287710"/>
    <w:rsid w:val="00287920"/>
    <w:rsid w:val="00290FB4"/>
    <w:rsid w:val="0029101B"/>
    <w:rsid w:val="0029185D"/>
    <w:rsid w:val="00292A3F"/>
    <w:rsid w:val="00293419"/>
    <w:rsid w:val="0029504D"/>
    <w:rsid w:val="002956B8"/>
    <w:rsid w:val="00297044"/>
    <w:rsid w:val="002A0937"/>
    <w:rsid w:val="002A0B82"/>
    <w:rsid w:val="002A1012"/>
    <w:rsid w:val="002A22E9"/>
    <w:rsid w:val="002A26C0"/>
    <w:rsid w:val="002A2A8E"/>
    <w:rsid w:val="002A2B32"/>
    <w:rsid w:val="002A588C"/>
    <w:rsid w:val="002A6D19"/>
    <w:rsid w:val="002A7206"/>
    <w:rsid w:val="002A735C"/>
    <w:rsid w:val="002A764E"/>
    <w:rsid w:val="002B2FC4"/>
    <w:rsid w:val="002B42A1"/>
    <w:rsid w:val="002B5779"/>
    <w:rsid w:val="002B58D6"/>
    <w:rsid w:val="002B7F23"/>
    <w:rsid w:val="002C07AF"/>
    <w:rsid w:val="002C0858"/>
    <w:rsid w:val="002C13C9"/>
    <w:rsid w:val="002C7103"/>
    <w:rsid w:val="002D22C7"/>
    <w:rsid w:val="002D28FD"/>
    <w:rsid w:val="002D6CC1"/>
    <w:rsid w:val="002D7AB0"/>
    <w:rsid w:val="002E06BD"/>
    <w:rsid w:val="002E403A"/>
    <w:rsid w:val="002E48CB"/>
    <w:rsid w:val="002E72EF"/>
    <w:rsid w:val="002E76E3"/>
    <w:rsid w:val="002F14D1"/>
    <w:rsid w:val="002F24A8"/>
    <w:rsid w:val="002F3943"/>
    <w:rsid w:val="003008D3"/>
    <w:rsid w:val="003049A8"/>
    <w:rsid w:val="00305A60"/>
    <w:rsid w:val="00307016"/>
    <w:rsid w:val="00307661"/>
    <w:rsid w:val="00307684"/>
    <w:rsid w:val="00307DE0"/>
    <w:rsid w:val="003108DB"/>
    <w:rsid w:val="00311428"/>
    <w:rsid w:val="00313524"/>
    <w:rsid w:val="00314B76"/>
    <w:rsid w:val="00314BBE"/>
    <w:rsid w:val="00315907"/>
    <w:rsid w:val="00315DC9"/>
    <w:rsid w:val="003166BB"/>
    <w:rsid w:val="0031707D"/>
    <w:rsid w:val="00324603"/>
    <w:rsid w:val="00324C2B"/>
    <w:rsid w:val="00325162"/>
    <w:rsid w:val="003257EA"/>
    <w:rsid w:val="003258D5"/>
    <w:rsid w:val="00327D25"/>
    <w:rsid w:val="0033164E"/>
    <w:rsid w:val="003321C5"/>
    <w:rsid w:val="003338B2"/>
    <w:rsid w:val="0033415F"/>
    <w:rsid w:val="0033481D"/>
    <w:rsid w:val="003358A5"/>
    <w:rsid w:val="00336167"/>
    <w:rsid w:val="0033655A"/>
    <w:rsid w:val="00336C8C"/>
    <w:rsid w:val="0034035F"/>
    <w:rsid w:val="00341662"/>
    <w:rsid w:val="00342C2C"/>
    <w:rsid w:val="00344497"/>
    <w:rsid w:val="00350AC1"/>
    <w:rsid w:val="00351318"/>
    <w:rsid w:val="00351D4A"/>
    <w:rsid w:val="00355ED7"/>
    <w:rsid w:val="00355F20"/>
    <w:rsid w:val="0035648C"/>
    <w:rsid w:val="003564C7"/>
    <w:rsid w:val="00356762"/>
    <w:rsid w:val="00356C84"/>
    <w:rsid w:val="0036018B"/>
    <w:rsid w:val="00361D37"/>
    <w:rsid w:val="00362E11"/>
    <w:rsid w:val="0036472E"/>
    <w:rsid w:val="00366A91"/>
    <w:rsid w:val="003706FA"/>
    <w:rsid w:val="00372127"/>
    <w:rsid w:val="003722ED"/>
    <w:rsid w:val="003744D4"/>
    <w:rsid w:val="0037551A"/>
    <w:rsid w:val="00375613"/>
    <w:rsid w:val="00375C94"/>
    <w:rsid w:val="0037708D"/>
    <w:rsid w:val="00377D3C"/>
    <w:rsid w:val="0038078F"/>
    <w:rsid w:val="00380E12"/>
    <w:rsid w:val="00381C53"/>
    <w:rsid w:val="00382876"/>
    <w:rsid w:val="0038335A"/>
    <w:rsid w:val="003843A9"/>
    <w:rsid w:val="00384993"/>
    <w:rsid w:val="00384D8C"/>
    <w:rsid w:val="003855D4"/>
    <w:rsid w:val="00387349"/>
    <w:rsid w:val="00387635"/>
    <w:rsid w:val="00392DF7"/>
    <w:rsid w:val="0039364E"/>
    <w:rsid w:val="0039423B"/>
    <w:rsid w:val="0039626F"/>
    <w:rsid w:val="00397E0A"/>
    <w:rsid w:val="00397EBD"/>
    <w:rsid w:val="003A047F"/>
    <w:rsid w:val="003A3318"/>
    <w:rsid w:val="003A3C5C"/>
    <w:rsid w:val="003A5D37"/>
    <w:rsid w:val="003A5DE4"/>
    <w:rsid w:val="003A68D5"/>
    <w:rsid w:val="003A7BD5"/>
    <w:rsid w:val="003B0EDA"/>
    <w:rsid w:val="003B1B8D"/>
    <w:rsid w:val="003B3BEC"/>
    <w:rsid w:val="003B4632"/>
    <w:rsid w:val="003B5092"/>
    <w:rsid w:val="003B5437"/>
    <w:rsid w:val="003B6814"/>
    <w:rsid w:val="003C1C8C"/>
    <w:rsid w:val="003C4106"/>
    <w:rsid w:val="003C57C8"/>
    <w:rsid w:val="003C5D3B"/>
    <w:rsid w:val="003C7B1B"/>
    <w:rsid w:val="003C7E81"/>
    <w:rsid w:val="003D080D"/>
    <w:rsid w:val="003D2A9B"/>
    <w:rsid w:val="003D4128"/>
    <w:rsid w:val="003D41B4"/>
    <w:rsid w:val="003D73AD"/>
    <w:rsid w:val="003D7C22"/>
    <w:rsid w:val="003D7E72"/>
    <w:rsid w:val="003E0ADE"/>
    <w:rsid w:val="003E20F7"/>
    <w:rsid w:val="003E26B0"/>
    <w:rsid w:val="003E3B64"/>
    <w:rsid w:val="003E3D2D"/>
    <w:rsid w:val="003E440D"/>
    <w:rsid w:val="003E45F6"/>
    <w:rsid w:val="003E4960"/>
    <w:rsid w:val="003E6ADE"/>
    <w:rsid w:val="003F25A1"/>
    <w:rsid w:val="003F2B14"/>
    <w:rsid w:val="003F2C16"/>
    <w:rsid w:val="003F2C25"/>
    <w:rsid w:val="003F3039"/>
    <w:rsid w:val="003F392D"/>
    <w:rsid w:val="003F4C11"/>
    <w:rsid w:val="003F510C"/>
    <w:rsid w:val="003F5910"/>
    <w:rsid w:val="003F5B91"/>
    <w:rsid w:val="003F5C32"/>
    <w:rsid w:val="003F5EA4"/>
    <w:rsid w:val="003F6912"/>
    <w:rsid w:val="003F6D80"/>
    <w:rsid w:val="003F6FB2"/>
    <w:rsid w:val="003F722B"/>
    <w:rsid w:val="00401119"/>
    <w:rsid w:val="00401BDE"/>
    <w:rsid w:val="0040240C"/>
    <w:rsid w:val="004052DF"/>
    <w:rsid w:val="00405AC8"/>
    <w:rsid w:val="00406EB3"/>
    <w:rsid w:val="004127C3"/>
    <w:rsid w:val="00412D27"/>
    <w:rsid w:val="004139CB"/>
    <w:rsid w:val="0041464E"/>
    <w:rsid w:val="0041794E"/>
    <w:rsid w:val="004210F8"/>
    <w:rsid w:val="004211D1"/>
    <w:rsid w:val="00422903"/>
    <w:rsid w:val="004229DA"/>
    <w:rsid w:val="00422D63"/>
    <w:rsid w:val="00424192"/>
    <w:rsid w:val="00424A73"/>
    <w:rsid w:val="004252FA"/>
    <w:rsid w:val="0042577B"/>
    <w:rsid w:val="004261A3"/>
    <w:rsid w:val="0042657F"/>
    <w:rsid w:val="00427380"/>
    <w:rsid w:val="00427DF3"/>
    <w:rsid w:val="004300F9"/>
    <w:rsid w:val="00430C92"/>
    <w:rsid w:val="0043131C"/>
    <w:rsid w:val="004315E1"/>
    <w:rsid w:val="0043163C"/>
    <w:rsid w:val="004317BC"/>
    <w:rsid w:val="0043232E"/>
    <w:rsid w:val="00432611"/>
    <w:rsid w:val="00433864"/>
    <w:rsid w:val="00434F0F"/>
    <w:rsid w:val="00434F12"/>
    <w:rsid w:val="00437104"/>
    <w:rsid w:val="004373D5"/>
    <w:rsid w:val="004379C3"/>
    <w:rsid w:val="00440928"/>
    <w:rsid w:val="00441AE6"/>
    <w:rsid w:val="004443E0"/>
    <w:rsid w:val="00444600"/>
    <w:rsid w:val="004456D7"/>
    <w:rsid w:val="00450936"/>
    <w:rsid w:val="00450EC3"/>
    <w:rsid w:val="00452158"/>
    <w:rsid w:val="004523B1"/>
    <w:rsid w:val="00452BCD"/>
    <w:rsid w:val="00453D1F"/>
    <w:rsid w:val="00453E54"/>
    <w:rsid w:val="00454657"/>
    <w:rsid w:val="00454BD7"/>
    <w:rsid w:val="00457304"/>
    <w:rsid w:val="00460939"/>
    <w:rsid w:val="004616EC"/>
    <w:rsid w:val="00463D92"/>
    <w:rsid w:val="00465505"/>
    <w:rsid w:val="00465FEA"/>
    <w:rsid w:val="0046733A"/>
    <w:rsid w:val="00467A50"/>
    <w:rsid w:val="00470547"/>
    <w:rsid w:val="004705FD"/>
    <w:rsid w:val="00470C7D"/>
    <w:rsid w:val="00471780"/>
    <w:rsid w:val="00473558"/>
    <w:rsid w:val="004735FB"/>
    <w:rsid w:val="00475888"/>
    <w:rsid w:val="0047596D"/>
    <w:rsid w:val="00475AE1"/>
    <w:rsid w:val="00475D21"/>
    <w:rsid w:val="00475EBF"/>
    <w:rsid w:val="004764C1"/>
    <w:rsid w:val="00476A73"/>
    <w:rsid w:val="00476B67"/>
    <w:rsid w:val="0048052D"/>
    <w:rsid w:val="00480597"/>
    <w:rsid w:val="00486054"/>
    <w:rsid w:val="00490080"/>
    <w:rsid w:val="004921F9"/>
    <w:rsid w:val="00495554"/>
    <w:rsid w:val="004A1EC0"/>
    <w:rsid w:val="004A2CF3"/>
    <w:rsid w:val="004A30C1"/>
    <w:rsid w:val="004A33FD"/>
    <w:rsid w:val="004A34FC"/>
    <w:rsid w:val="004A398C"/>
    <w:rsid w:val="004A4115"/>
    <w:rsid w:val="004B0C76"/>
    <w:rsid w:val="004B1010"/>
    <w:rsid w:val="004B2970"/>
    <w:rsid w:val="004B2AA4"/>
    <w:rsid w:val="004B4113"/>
    <w:rsid w:val="004B7B93"/>
    <w:rsid w:val="004C179C"/>
    <w:rsid w:val="004C247C"/>
    <w:rsid w:val="004C2A91"/>
    <w:rsid w:val="004C3FB5"/>
    <w:rsid w:val="004C4EB1"/>
    <w:rsid w:val="004C5685"/>
    <w:rsid w:val="004C6D3B"/>
    <w:rsid w:val="004C7F0D"/>
    <w:rsid w:val="004D06CB"/>
    <w:rsid w:val="004D184D"/>
    <w:rsid w:val="004D31DD"/>
    <w:rsid w:val="004D3A0F"/>
    <w:rsid w:val="004D5904"/>
    <w:rsid w:val="004D5C13"/>
    <w:rsid w:val="004D635D"/>
    <w:rsid w:val="004E3BC6"/>
    <w:rsid w:val="004E4C9B"/>
    <w:rsid w:val="004F04B4"/>
    <w:rsid w:val="004F1630"/>
    <w:rsid w:val="004F2886"/>
    <w:rsid w:val="004F3317"/>
    <w:rsid w:val="004F4566"/>
    <w:rsid w:val="004F5053"/>
    <w:rsid w:val="004F5DD8"/>
    <w:rsid w:val="004F68E9"/>
    <w:rsid w:val="00501068"/>
    <w:rsid w:val="00501E41"/>
    <w:rsid w:val="00502677"/>
    <w:rsid w:val="005050E2"/>
    <w:rsid w:val="00506B95"/>
    <w:rsid w:val="0050737A"/>
    <w:rsid w:val="00507792"/>
    <w:rsid w:val="00510C3C"/>
    <w:rsid w:val="0051471C"/>
    <w:rsid w:val="00516AD1"/>
    <w:rsid w:val="00517C1F"/>
    <w:rsid w:val="00520011"/>
    <w:rsid w:val="0052138D"/>
    <w:rsid w:val="005226C3"/>
    <w:rsid w:val="00524274"/>
    <w:rsid w:val="00524DC7"/>
    <w:rsid w:val="00525329"/>
    <w:rsid w:val="00526D5A"/>
    <w:rsid w:val="005306E1"/>
    <w:rsid w:val="0053300F"/>
    <w:rsid w:val="00533040"/>
    <w:rsid w:val="0053329C"/>
    <w:rsid w:val="00536F59"/>
    <w:rsid w:val="00537F4F"/>
    <w:rsid w:val="00542C02"/>
    <w:rsid w:val="00543B98"/>
    <w:rsid w:val="00544A96"/>
    <w:rsid w:val="005453F9"/>
    <w:rsid w:val="00546E69"/>
    <w:rsid w:val="00551DBD"/>
    <w:rsid w:val="005526D0"/>
    <w:rsid w:val="005528D3"/>
    <w:rsid w:val="00552E83"/>
    <w:rsid w:val="005536CA"/>
    <w:rsid w:val="00553A29"/>
    <w:rsid w:val="005551E4"/>
    <w:rsid w:val="0055637F"/>
    <w:rsid w:val="00560DFB"/>
    <w:rsid w:val="005625BB"/>
    <w:rsid w:val="00563141"/>
    <w:rsid w:val="00563F3E"/>
    <w:rsid w:val="00564162"/>
    <w:rsid w:val="00564816"/>
    <w:rsid w:val="00564CED"/>
    <w:rsid w:val="005657E9"/>
    <w:rsid w:val="00565D01"/>
    <w:rsid w:val="0056608E"/>
    <w:rsid w:val="005674DC"/>
    <w:rsid w:val="005678FC"/>
    <w:rsid w:val="00571DA1"/>
    <w:rsid w:val="005720C4"/>
    <w:rsid w:val="0057402F"/>
    <w:rsid w:val="00574F13"/>
    <w:rsid w:val="005750FD"/>
    <w:rsid w:val="00576A5E"/>
    <w:rsid w:val="00576FEB"/>
    <w:rsid w:val="00577658"/>
    <w:rsid w:val="00580EB7"/>
    <w:rsid w:val="00581DB9"/>
    <w:rsid w:val="005827DA"/>
    <w:rsid w:val="00582A5A"/>
    <w:rsid w:val="00582F2C"/>
    <w:rsid w:val="00583F7C"/>
    <w:rsid w:val="005843BD"/>
    <w:rsid w:val="00585FFB"/>
    <w:rsid w:val="0058654C"/>
    <w:rsid w:val="0058770D"/>
    <w:rsid w:val="00591EBA"/>
    <w:rsid w:val="005922BC"/>
    <w:rsid w:val="005966E2"/>
    <w:rsid w:val="00596AF2"/>
    <w:rsid w:val="005A003B"/>
    <w:rsid w:val="005A074F"/>
    <w:rsid w:val="005A2873"/>
    <w:rsid w:val="005A304D"/>
    <w:rsid w:val="005A59A2"/>
    <w:rsid w:val="005A631A"/>
    <w:rsid w:val="005A6C11"/>
    <w:rsid w:val="005A73AD"/>
    <w:rsid w:val="005A7D7C"/>
    <w:rsid w:val="005B0ABB"/>
    <w:rsid w:val="005B120C"/>
    <w:rsid w:val="005B2225"/>
    <w:rsid w:val="005B266F"/>
    <w:rsid w:val="005B3113"/>
    <w:rsid w:val="005B3137"/>
    <w:rsid w:val="005B34F7"/>
    <w:rsid w:val="005B35EB"/>
    <w:rsid w:val="005B3834"/>
    <w:rsid w:val="005B3C04"/>
    <w:rsid w:val="005B4D2C"/>
    <w:rsid w:val="005B759E"/>
    <w:rsid w:val="005C20E6"/>
    <w:rsid w:val="005C212D"/>
    <w:rsid w:val="005C3222"/>
    <w:rsid w:val="005C5113"/>
    <w:rsid w:val="005C7DB2"/>
    <w:rsid w:val="005D0338"/>
    <w:rsid w:val="005D183A"/>
    <w:rsid w:val="005D19F7"/>
    <w:rsid w:val="005D289B"/>
    <w:rsid w:val="005D34AA"/>
    <w:rsid w:val="005D3C78"/>
    <w:rsid w:val="005D4607"/>
    <w:rsid w:val="005D5ED5"/>
    <w:rsid w:val="005D6767"/>
    <w:rsid w:val="005D6D40"/>
    <w:rsid w:val="005E0E52"/>
    <w:rsid w:val="005E12C1"/>
    <w:rsid w:val="005E24E8"/>
    <w:rsid w:val="005E31C1"/>
    <w:rsid w:val="005E3571"/>
    <w:rsid w:val="005E3880"/>
    <w:rsid w:val="005E4810"/>
    <w:rsid w:val="005E61FC"/>
    <w:rsid w:val="005E7651"/>
    <w:rsid w:val="005F071B"/>
    <w:rsid w:val="005F1A7A"/>
    <w:rsid w:val="005F2FEA"/>
    <w:rsid w:val="005F4E3F"/>
    <w:rsid w:val="005F5AD8"/>
    <w:rsid w:val="005F7832"/>
    <w:rsid w:val="005F7F29"/>
    <w:rsid w:val="00600B4F"/>
    <w:rsid w:val="006010AA"/>
    <w:rsid w:val="006017C5"/>
    <w:rsid w:val="00601BE5"/>
    <w:rsid w:val="00602BAB"/>
    <w:rsid w:val="006035C5"/>
    <w:rsid w:val="006039CD"/>
    <w:rsid w:val="00605BCC"/>
    <w:rsid w:val="0060747D"/>
    <w:rsid w:val="00607585"/>
    <w:rsid w:val="00607800"/>
    <w:rsid w:val="0061270E"/>
    <w:rsid w:val="00613A45"/>
    <w:rsid w:val="00614D4E"/>
    <w:rsid w:val="006179E4"/>
    <w:rsid w:val="00617D69"/>
    <w:rsid w:val="0062014C"/>
    <w:rsid w:val="006219B8"/>
    <w:rsid w:val="00622FE3"/>
    <w:rsid w:val="006232C0"/>
    <w:rsid w:val="006248F0"/>
    <w:rsid w:val="00625CB1"/>
    <w:rsid w:val="006306CE"/>
    <w:rsid w:val="00630D73"/>
    <w:rsid w:val="00631ADF"/>
    <w:rsid w:val="00632BE5"/>
    <w:rsid w:val="00633475"/>
    <w:rsid w:val="00633A95"/>
    <w:rsid w:val="00634D1A"/>
    <w:rsid w:val="006358E7"/>
    <w:rsid w:val="0063595F"/>
    <w:rsid w:val="00635CD1"/>
    <w:rsid w:val="00636999"/>
    <w:rsid w:val="00641026"/>
    <w:rsid w:val="006419A6"/>
    <w:rsid w:val="00641E89"/>
    <w:rsid w:val="00641F05"/>
    <w:rsid w:val="006424D0"/>
    <w:rsid w:val="0064279F"/>
    <w:rsid w:val="0064300E"/>
    <w:rsid w:val="00647454"/>
    <w:rsid w:val="00651DC2"/>
    <w:rsid w:val="00651E59"/>
    <w:rsid w:val="00651F93"/>
    <w:rsid w:val="00656376"/>
    <w:rsid w:val="006563DC"/>
    <w:rsid w:val="00656A73"/>
    <w:rsid w:val="00657563"/>
    <w:rsid w:val="0066146C"/>
    <w:rsid w:val="0066203A"/>
    <w:rsid w:val="00664686"/>
    <w:rsid w:val="00667BE9"/>
    <w:rsid w:val="0067694C"/>
    <w:rsid w:val="0068422E"/>
    <w:rsid w:val="00684416"/>
    <w:rsid w:val="00685D10"/>
    <w:rsid w:val="0068772F"/>
    <w:rsid w:val="0068781A"/>
    <w:rsid w:val="00693FF5"/>
    <w:rsid w:val="006958A8"/>
    <w:rsid w:val="0069678A"/>
    <w:rsid w:val="00696D56"/>
    <w:rsid w:val="006973FA"/>
    <w:rsid w:val="006975C7"/>
    <w:rsid w:val="00697CD2"/>
    <w:rsid w:val="006A0B6A"/>
    <w:rsid w:val="006A1979"/>
    <w:rsid w:val="006A2979"/>
    <w:rsid w:val="006A3C5F"/>
    <w:rsid w:val="006A3F20"/>
    <w:rsid w:val="006A4063"/>
    <w:rsid w:val="006A456C"/>
    <w:rsid w:val="006A45C0"/>
    <w:rsid w:val="006A5FA9"/>
    <w:rsid w:val="006A6243"/>
    <w:rsid w:val="006A6AE8"/>
    <w:rsid w:val="006A7CD8"/>
    <w:rsid w:val="006B082B"/>
    <w:rsid w:val="006B1269"/>
    <w:rsid w:val="006B1D3E"/>
    <w:rsid w:val="006B2E0D"/>
    <w:rsid w:val="006B35B3"/>
    <w:rsid w:val="006B5D82"/>
    <w:rsid w:val="006B698F"/>
    <w:rsid w:val="006B7A7F"/>
    <w:rsid w:val="006C08BB"/>
    <w:rsid w:val="006C0DAE"/>
    <w:rsid w:val="006C1440"/>
    <w:rsid w:val="006C168B"/>
    <w:rsid w:val="006C32AD"/>
    <w:rsid w:val="006C3468"/>
    <w:rsid w:val="006C3494"/>
    <w:rsid w:val="006C4646"/>
    <w:rsid w:val="006C52DC"/>
    <w:rsid w:val="006C5582"/>
    <w:rsid w:val="006C5964"/>
    <w:rsid w:val="006C5E31"/>
    <w:rsid w:val="006C6F2E"/>
    <w:rsid w:val="006C7935"/>
    <w:rsid w:val="006C7B67"/>
    <w:rsid w:val="006C7C7A"/>
    <w:rsid w:val="006D0DED"/>
    <w:rsid w:val="006D16D4"/>
    <w:rsid w:val="006D1B48"/>
    <w:rsid w:val="006D35DB"/>
    <w:rsid w:val="006D4010"/>
    <w:rsid w:val="006D6CD4"/>
    <w:rsid w:val="006D7E03"/>
    <w:rsid w:val="006E470D"/>
    <w:rsid w:val="006E4D52"/>
    <w:rsid w:val="006E4F8A"/>
    <w:rsid w:val="006E5DAC"/>
    <w:rsid w:val="006E6D55"/>
    <w:rsid w:val="006E6EE7"/>
    <w:rsid w:val="006E7836"/>
    <w:rsid w:val="006F125A"/>
    <w:rsid w:val="006F2BFF"/>
    <w:rsid w:val="006F3A59"/>
    <w:rsid w:val="006F4425"/>
    <w:rsid w:val="006F4B61"/>
    <w:rsid w:val="006F50D5"/>
    <w:rsid w:val="006F5AC4"/>
    <w:rsid w:val="006F7DF0"/>
    <w:rsid w:val="00701EBE"/>
    <w:rsid w:val="00703376"/>
    <w:rsid w:val="007045E3"/>
    <w:rsid w:val="00705CDC"/>
    <w:rsid w:val="007068EE"/>
    <w:rsid w:val="007071A4"/>
    <w:rsid w:val="0071081B"/>
    <w:rsid w:val="007110C4"/>
    <w:rsid w:val="007123FE"/>
    <w:rsid w:val="00712AAD"/>
    <w:rsid w:val="00712C86"/>
    <w:rsid w:val="007138F1"/>
    <w:rsid w:val="007152B8"/>
    <w:rsid w:val="00715CEA"/>
    <w:rsid w:val="00717059"/>
    <w:rsid w:val="00717CFA"/>
    <w:rsid w:val="007207E7"/>
    <w:rsid w:val="0072104B"/>
    <w:rsid w:val="0072167B"/>
    <w:rsid w:val="00721694"/>
    <w:rsid w:val="00722F26"/>
    <w:rsid w:val="00723090"/>
    <w:rsid w:val="00725180"/>
    <w:rsid w:val="00725FEE"/>
    <w:rsid w:val="00732373"/>
    <w:rsid w:val="00732678"/>
    <w:rsid w:val="00733586"/>
    <w:rsid w:val="007343A9"/>
    <w:rsid w:val="0073695C"/>
    <w:rsid w:val="007375C1"/>
    <w:rsid w:val="007379FF"/>
    <w:rsid w:val="00740A6A"/>
    <w:rsid w:val="0074264D"/>
    <w:rsid w:val="007435D9"/>
    <w:rsid w:val="00746E34"/>
    <w:rsid w:val="00746F0A"/>
    <w:rsid w:val="00747F0B"/>
    <w:rsid w:val="0075308A"/>
    <w:rsid w:val="00755B4E"/>
    <w:rsid w:val="00757753"/>
    <w:rsid w:val="00757BC0"/>
    <w:rsid w:val="00760936"/>
    <w:rsid w:val="007617F4"/>
    <w:rsid w:val="00762D30"/>
    <w:rsid w:val="00764037"/>
    <w:rsid w:val="0076617B"/>
    <w:rsid w:val="007717FD"/>
    <w:rsid w:val="007719E8"/>
    <w:rsid w:val="00773831"/>
    <w:rsid w:val="0077443B"/>
    <w:rsid w:val="00774981"/>
    <w:rsid w:val="007750A1"/>
    <w:rsid w:val="0077556A"/>
    <w:rsid w:val="007756DB"/>
    <w:rsid w:val="00775734"/>
    <w:rsid w:val="007757B7"/>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37AB"/>
    <w:rsid w:val="007A45CB"/>
    <w:rsid w:val="007A4B17"/>
    <w:rsid w:val="007A5D4C"/>
    <w:rsid w:val="007A6439"/>
    <w:rsid w:val="007B0A8B"/>
    <w:rsid w:val="007B0F48"/>
    <w:rsid w:val="007B1990"/>
    <w:rsid w:val="007B2DE1"/>
    <w:rsid w:val="007B329E"/>
    <w:rsid w:val="007B37DD"/>
    <w:rsid w:val="007B5E1B"/>
    <w:rsid w:val="007B6AF6"/>
    <w:rsid w:val="007B7C88"/>
    <w:rsid w:val="007C0082"/>
    <w:rsid w:val="007C00AA"/>
    <w:rsid w:val="007C01B1"/>
    <w:rsid w:val="007C0410"/>
    <w:rsid w:val="007C0DE4"/>
    <w:rsid w:val="007C2A1C"/>
    <w:rsid w:val="007C495A"/>
    <w:rsid w:val="007C57D9"/>
    <w:rsid w:val="007C60C3"/>
    <w:rsid w:val="007C6AB7"/>
    <w:rsid w:val="007C7025"/>
    <w:rsid w:val="007C7207"/>
    <w:rsid w:val="007C790C"/>
    <w:rsid w:val="007D081E"/>
    <w:rsid w:val="007D3604"/>
    <w:rsid w:val="007D37B9"/>
    <w:rsid w:val="007D3F82"/>
    <w:rsid w:val="007D42EF"/>
    <w:rsid w:val="007D5611"/>
    <w:rsid w:val="007D5B0B"/>
    <w:rsid w:val="007D6519"/>
    <w:rsid w:val="007D6696"/>
    <w:rsid w:val="007D6AA2"/>
    <w:rsid w:val="007E008B"/>
    <w:rsid w:val="007E025B"/>
    <w:rsid w:val="007E181F"/>
    <w:rsid w:val="007E1C4F"/>
    <w:rsid w:val="007E20D1"/>
    <w:rsid w:val="007E2BE9"/>
    <w:rsid w:val="007E3153"/>
    <w:rsid w:val="007E4163"/>
    <w:rsid w:val="007E4806"/>
    <w:rsid w:val="007E5459"/>
    <w:rsid w:val="007E5616"/>
    <w:rsid w:val="007E5C22"/>
    <w:rsid w:val="007E60B2"/>
    <w:rsid w:val="007E6D09"/>
    <w:rsid w:val="007F0BF1"/>
    <w:rsid w:val="007F2788"/>
    <w:rsid w:val="007F3B9B"/>
    <w:rsid w:val="007F4B70"/>
    <w:rsid w:val="007F66B9"/>
    <w:rsid w:val="007F7401"/>
    <w:rsid w:val="007F790F"/>
    <w:rsid w:val="00800162"/>
    <w:rsid w:val="00800D11"/>
    <w:rsid w:val="00802545"/>
    <w:rsid w:val="008028BA"/>
    <w:rsid w:val="00804922"/>
    <w:rsid w:val="00804D02"/>
    <w:rsid w:val="0080526C"/>
    <w:rsid w:val="0080602A"/>
    <w:rsid w:val="008108C5"/>
    <w:rsid w:val="00811663"/>
    <w:rsid w:val="00811EC5"/>
    <w:rsid w:val="008145CE"/>
    <w:rsid w:val="008167CC"/>
    <w:rsid w:val="00817CA2"/>
    <w:rsid w:val="00823693"/>
    <w:rsid w:val="00825827"/>
    <w:rsid w:val="008258E8"/>
    <w:rsid w:val="00825B54"/>
    <w:rsid w:val="008268DA"/>
    <w:rsid w:val="00826A79"/>
    <w:rsid w:val="00826E05"/>
    <w:rsid w:val="008270A5"/>
    <w:rsid w:val="008274F1"/>
    <w:rsid w:val="00827B59"/>
    <w:rsid w:val="008304A3"/>
    <w:rsid w:val="0083167F"/>
    <w:rsid w:val="00832596"/>
    <w:rsid w:val="00833240"/>
    <w:rsid w:val="008341AC"/>
    <w:rsid w:val="00834855"/>
    <w:rsid w:val="0083595A"/>
    <w:rsid w:val="00836A5A"/>
    <w:rsid w:val="00836BC6"/>
    <w:rsid w:val="00836FC5"/>
    <w:rsid w:val="00837BBD"/>
    <w:rsid w:val="00840A00"/>
    <w:rsid w:val="00841F14"/>
    <w:rsid w:val="008427DF"/>
    <w:rsid w:val="008429BF"/>
    <w:rsid w:val="00842CB7"/>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389"/>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5F0"/>
    <w:rsid w:val="008769AA"/>
    <w:rsid w:val="00880829"/>
    <w:rsid w:val="008814C8"/>
    <w:rsid w:val="008818B8"/>
    <w:rsid w:val="00881F76"/>
    <w:rsid w:val="00882544"/>
    <w:rsid w:val="00883095"/>
    <w:rsid w:val="008855D3"/>
    <w:rsid w:val="0088562C"/>
    <w:rsid w:val="00885947"/>
    <w:rsid w:val="008863C7"/>
    <w:rsid w:val="00886A75"/>
    <w:rsid w:val="00886C50"/>
    <w:rsid w:val="00886D03"/>
    <w:rsid w:val="00887EB3"/>
    <w:rsid w:val="00887EC2"/>
    <w:rsid w:val="0089115A"/>
    <w:rsid w:val="0089187B"/>
    <w:rsid w:val="00891DC3"/>
    <w:rsid w:val="00892247"/>
    <w:rsid w:val="00892F3D"/>
    <w:rsid w:val="00893B40"/>
    <w:rsid w:val="008952E9"/>
    <w:rsid w:val="008957BC"/>
    <w:rsid w:val="008A1751"/>
    <w:rsid w:val="008A1A13"/>
    <w:rsid w:val="008A1F2D"/>
    <w:rsid w:val="008A3441"/>
    <w:rsid w:val="008A34B7"/>
    <w:rsid w:val="008A36D6"/>
    <w:rsid w:val="008A49BF"/>
    <w:rsid w:val="008A50A7"/>
    <w:rsid w:val="008A7579"/>
    <w:rsid w:val="008A772B"/>
    <w:rsid w:val="008A7F7A"/>
    <w:rsid w:val="008B14CD"/>
    <w:rsid w:val="008B20A3"/>
    <w:rsid w:val="008B603C"/>
    <w:rsid w:val="008B6701"/>
    <w:rsid w:val="008B70A5"/>
    <w:rsid w:val="008C0C88"/>
    <w:rsid w:val="008C136A"/>
    <w:rsid w:val="008C2164"/>
    <w:rsid w:val="008C2867"/>
    <w:rsid w:val="008C3E68"/>
    <w:rsid w:val="008D00BB"/>
    <w:rsid w:val="008D1FB0"/>
    <w:rsid w:val="008D20C7"/>
    <w:rsid w:val="008D2651"/>
    <w:rsid w:val="008D2A7F"/>
    <w:rsid w:val="008D37EC"/>
    <w:rsid w:val="008D48C1"/>
    <w:rsid w:val="008D5257"/>
    <w:rsid w:val="008D53BF"/>
    <w:rsid w:val="008D611A"/>
    <w:rsid w:val="008D6136"/>
    <w:rsid w:val="008D66D7"/>
    <w:rsid w:val="008D6EC3"/>
    <w:rsid w:val="008D7912"/>
    <w:rsid w:val="008E1830"/>
    <w:rsid w:val="008E289E"/>
    <w:rsid w:val="008E3ECC"/>
    <w:rsid w:val="008E50B3"/>
    <w:rsid w:val="008E5837"/>
    <w:rsid w:val="008E5DDD"/>
    <w:rsid w:val="008E6C71"/>
    <w:rsid w:val="008F0228"/>
    <w:rsid w:val="008F0E7C"/>
    <w:rsid w:val="008F179F"/>
    <w:rsid w:val="008F55DD"/>
    <w:rsid w:val="008F6C98"/>
    <w:rsid w:val="0090099F"/>
    <w:rsid w:val="0090228B"/>
    <w:rsid w:val="00902F69"/>
    <w:rsid w:val="00904D91"/>
    <w:rsid w:val="009054F9"/>
    <w:rsid w:val="00906339"/>
    <w:rsid w:val="00907323"/>
    <w:rsid w:val="00907575"/>
    <w:rsid w:val="0091054D"/>
    <w:rsid w:val="00911DBE"/>
    <w:rsid w:val="00913111"/>
    <w:rsid w:val="00913379"/>
    <w:rsid w:val="009138FF"/>
    <w:rsid w:val="0091433A"/>
    <w:rsid w:val="0091434F"/>
    <w:rsid w:val="00914B77"/>
    <w:rsid w:val="00920041"/>
    <w:rsid w:val="0092184F"/>
    <w:rsid w:val="00921ED5"/>
    <w:rsid w:val="00922655"/>
    <w:rsid w:val="00926A54"/>
    <w:rsid w:val="00926E1E"/>
    <w:rsid w:val="00927248"/>
    <w:rsid w:val="00934A8F"/>
    <w:rsid w:val="00935BCB"/>
    <w:rsid w:val="009377A0"/>
    <w:rsid w:val="009378D9"/>
    <w:rsid w:val="0094140A"/>
    <w:rsid w:val="0094253C"/>
    <w:rsid w:val="00943E98"/>
    <w:rsid w:val="0094485C"/>
    <w:rsid w:val="009454C9"/>
    <w:rsid w:val="00945702"/>
    <w:rsid w:val="00946C32"/>
    <w:rsid w:val="00953B4C"/>
    <w:rsid w:val="00953CBC"/>
    <w:rsid w:val="00953CD0"/>
    <w:rsid w:val="00954D36"/>
    <w:rsid w:val="009550C6"/>
    <w:rsid w:val="009634E6"/>
    <w:rsid w:val="0096469C"/>
    <w:rsid w:val="00964770"/>
    <w:rsid w:val="00964B4B"/>
    <w:rsid w:val="0096631A"/>
    <w:rsid w:val="00966B1F"/>
    <w:rsid w:val="00970525"/>
    <w:rsid w:val="00970860"/>
    <w:rsid w:val="00971682"/>
    <w:rsid w:val="00972A1C"/>
    <w:rsid w:val="0097338B"/>
    <w:rsid w:val="00973A62"/>
    <w:rsid w:val="00975B71"/>
    <w:rsid w:val="00980097"/>
    <w:rsid w:val="00981194"/>
    <w:rsid w:val="00981CCF"/>
    <w:rsid w:val="0098215C"/>
    <w:rsid w:val="009828A2"/>
    <w:rsid w:val="0098396E"/>
    <w:rsid w:val="0098579A"/>
    <w:rsid w:val="00986F11"/>
    <w:rsid w:val="00990390"/>
    <w:rsid w:val="009913F3"/>
    <w:rsid w:val="00991876"/>
    <w:rsid w:val="00991991"/>
    <w:rsid w:val="0099203B"/>
    <w:rsid w:val="009929EF"/>
    <w:rsid w:val="00997276"/>
    <w:rsid w:val="009A01CC"/>
    <w:rsid w:val="009A0402"/>
    <w:rsid w:val="009A0A2D"/>
    <w:rsid w:val="009A3EAA"/>
    <w:rsid w:val="009A4AF3"/>
    <w:rsid w:val="009A4E3D"/>
    <w:rsid w:val="009A5515"/>
    <w:rsid w:val="009A63CF"/>
    <w:rsid w:val="009A6FC9"/>
    <w:rsid w:val="009A79D2"/>
    <w:rsid w:val="009B0177"/>
    <w:rsid w:val="009B0621"/>
    <w:rsid w:val="009B2394"/>
    <w:rsid w:val="009B436F"/>
    <w:rsid w:val="009C0F61"/>
    <w:rsid w:val="009C12BF"/>
    <w:rsid w:val="009C558C"/>
    <w:rsid w:val="009C7749"/>
    <w:rsid w:val="009C7781"/>
    <w:rsid w:val="009C7849"/>
    <w:rsid w:val="009D089B"/>
    <w:rsid w:val="009D0915"/>
    <w:rsid w:val="009D21D3"/>
    <w:rsid w:val="009D2681"/>
    <w:rsid w:val="009D3270"/>
    <w:rsid w:val="009D3CE7"/>
    <w:rsid w:val="009E1290"/>
    <w:rsid w:val="009E2385"/>
    <w:rsid w:val="009E33A1"/>
    <w:rsid w:val="009E3790"/>
    <w:rsid w:val="009E4049"/>
    <w:rsid w:val="009E6697"/>
    <w:rsid w:val="009E79C4"/>
    <w:rsid w:val="009F2DC4"/>
    <w:rsid w:val="009F387C"/>
    <w:rsid w:val="009F38E7"/>
    <w:rsid w:val="009F3B37"/>
    <w:rsid w:val="009F3EA9"/>
    <w:rsid w:val="009F6E46"/>
    <w:rsid w:val="00A001AA"/>
    <w:rsid w:val="00A002ED"/>
    <w:rsid w:val="00A011D5"/>
    <w:rsid w:val="00A01ED9"/>
    <w:rsid w:val="00A03372"/>
    <w:rsid w:val="00A03476"/>
    <w:rsid w:val="00A036DE"/>
    <w:rsid w:val="00A0400D"/>
    <w:rsid w:val="00A055FC"/>
    <w:rsid w:val="00A10A07"/>
    <w:rsid w:val="00A14CAB"/>
    <w:rsid w:val="00A17FC4"/>
    <w:rsid w:val="00A211E9"/>
    <w:rsid w:val="00A218F2"/>
    <w:rsid w:val="00A21A21"/>
    <w:rsid w:val="00A22C95"/>
    <w:rsid w:val="00A266A2"/>
    <w:rsid w:val="00A274FB"/>
    <w:rsid w:val="00A32058"/>
    <w:rsid w:val="00A33DEB"/>
    <w:rsid w:val="00A3483C"/>
    <w:rsid w:val="00A3735E"/>
    <w:rsid w:val="00A37568"/>
    <w:rsid w:val="00A41DC6"/>
    <w:rsid w:val="00A429C3"/>
    <w:rsid w:val="00A4391A"/>
    <w:rsid w:val="00A43F6F"/>
    <w:rsid w:val="00A4682B"/>
    <w:rsid w:val="00A479A3"/>
    <w:rsid w:val="00A50559"/>
    <w:rsid w:val="00A51E01"/>
    <w:rsid w:val="00A520E1"/>
    <w:rsid w:val="00A52771"/>
    <w:rsid w:val="00A54806"/>
    <w:rsid w:val="00A560B9"/>
    <w:rsid w:val="00A574C4"/>
    <w:rsid w:val="00A60154"/>
    <w:rsid w:val="00A61A68"/>
    <w:rsid w:val="00A6241C"/>
    <w:rsid w:val="00A62603"/>
    <w:rsid w:val="00A62B46"/>
    <w:rsid w:val="00A63128"/>
    <w:rsid w:val="00A65171"/>
    <w:rsid w:val="00A6722A"/>
    <w:rsid w:val="00A6797F"/>
    <w:rsid w:val="00A67A30"/>
    <w:rsid w:val="00A765B1"/>
    <w:rsid w:val="00A77775"/>
    <w:rsid w:val="00A77E61"/>
    <w:rsid w:val="00A80305"/>
    <w:rsid w:val="00A8138F"/>
    <w:rsid w:val="00A81D04"/>
    <w:rsid w:val="00A8373B"/>
    <w:rsid w:val="00A85D5D"/>
    <w:rsid w:val="00A86566"/>
    <w:rsid w:val="00A875A0"/>
    <w:rsid w:val="00A908D3"/>
    <w:rsid w:val="00A90E27"/>
    <w:rsid w:val="00A91773"/>
    <w:rsid w:val="00A91ECC"/>
    <w:rsid w:val="00A91FFC"/>
    <w:rsid w:val="00A924D6"/>
    <w:rsid w:val="00A94381"/>
    <w:rsid w:val="00A94EDD"/>
    <w:rsid w:val="00A95EA6"/>
    <w:rsid w:val="00A96A84"/>
    <w:rsid w:val="00AA1F99"/>
    <w:rsid w:val="00AA33E3"/>
    <w:rsid w:val="00AA344F"/>
    <w:rsid w:val="00AA3B58"/>
    <w:rsid w:val="00AA3B71"/>
    <w:rsid w:val="00AA3E91"/>
    <w:rsid w:val="00AA639A"/>
    <w:rsid w:val="00AA7E06"/>
    <w:rsid w:val="00AB0E04"/>
    <w:rsid w:val="00AB175E"/>
    <w:rsid w:val="00AB1A00"/>
    <w:rsid w:val="00AB361A"/>
    <w:rsid w:val="00AB3A91"/>
    <w:rsid w:val="00AB62A5"/>
    <w:rsid w:val="00AB6B4B"/>
    <w:rsid w:val="00AB7817"/>
    <w:rsid w:val="00AC1DE3"/>
    <w:rsid w:val="00AC2910"/>
    <w:rsid w:val="00AC3AE3"/>
    <w:rsid w:val="00AC4F67"/>
    <w:rsid w:val="00AC526A"/>
    <w:rsid w:val="00AC5890"/>
    <w:rsid w:val="00AC59AA"/>
    <w:rsid w:val="00AC695E"/>
    <w:rsid w:val="00AC756F"/>
    <w:rsid w:val="00AC7882"/>
    <w:rsid w:val="00AD2CC9"/>
    <w:rsid w:val="00AD399A"/>
    <w:rsid w:val="00AD4A37"/>
    <w:rsid w:val="00AD50FB"/>
    <w:rsid w:val="00AD5129"/>
    <w:rsid w:val="00AD6BDB"/>
    <w:rsid w:val="00AD6C24"/>
    <w:rsid w:val="00AD77F7"/>
    <w:rsid w:val="00AE0AAB"/>
    <w:rsid w:val="00AE0E10"/>
    <w:rsid w:val="00AE20D9"/>
    <w:rsid w:val="00AE3982"/>
    <w:rsid w:val="00AE3B0A"/>
    <w:rsid w:val="00AE5951"/>
    <w:rsid w:val="00AE626F"/>
    <w:rsid w:val="00AE6E3C"/>
    <w:rsid w:val="00AF0069"/>
    <w:rsid w:val="00AF0D0E"/>
    <w:rsid w:val="00AF2986"/>
    <w:rsid w:val="00AF3F29"/>
    <w:rsid w:val="00AF4CA8"/>
    <w:rsid w:val="00AF5095"/>
    <w:rsid w:val="00B02276"/>
    <w:rsid w:val="00B0235B"/>
    <w:rsid w:val="00B04E1B"/>
    <w:rsid w:val="00B050E6"/>
    <w:rsid w:val="00B05512"/>
    <w:rsid w:val="00B05BA2"/>
    <w:rsid w:val="00B05D9A"/>
    <w:rsid w:val="00B06116"/>
    <w:rsid w:val="00B062B5"/>
    <w:rsid w:val="00B066D5"/>
    <w:rsid w:val="00B06774"/>
    <w:rsid w:val="00B06987"/>
    <w:rsid w:val="00B06ED9"/>
    <w:rsid w:val="00B11D3F"/>
    <w:rsid w:val="00B127A6"/>
    <w:rsid w:val="00B130D0"/>
    <w:rsid w:val="00B14C0F"/>
    <w:rsid w:val="00B14EC5"/>
    <w:rsid w:val="00B15702"/>
    <w:rsid w:val="00B17D58"/>
    <w:rsid w:val="00B20A19"/>
    <w:rsid w:val="00B211B6"/>
    <w:rsid w:val="00B25E09"/>
    <w:rsid w:val="00B30E6F"/>
    <w:rsid w:val="00B31394"/>
    <w:rsid w:val="00B3156C"/>
    <w:rsid w:val="00B32927"/>
    <w:rsid w:val="00B333C2"/>
    <w:rsid w:val="00B34CA0"/>
    <w:rsid w:val="00B34D80"/>
    <w:rsid w:val="00B35F12"/>
    <w:rsid w:val="00B40E1A"/>
    <w:rsid w:val="00B41944"/>
    <w:rsid w:val="00B41F93"/>
    <w:rsid w:val="00B43203"/>
    <w:rsid w:val="00B4347A"/>
    <w:rsid w:val="00B44A46"/>
    <w:rsid w:val="00B5013F"/>
    <w:rsid w:val="00B51678"/>
    <w:rsid w:val="00B527C9"/>
    <w:rsid w:val="00B53DEA"/>
    <w:rsid w:val="00B550C6"/>
    <w:rsid w:val="00B55890"/>
    <w:rsid w:val="00B55A46"/>
    <w:rsid w:val="00B56149"/>
    <w:rsid w:val="00B56475"/>
    <w:rsid w:val="00B56A14"/>
    <w:rsid w:val="00B56BF7"/>
    <w:rsid w:val="00B57538"/>
    <w:rsid w:val="00B60A22"/>
    <w:rsid w:val="00B623FC"/>
    <w:rsid w:val="00B62D43"/>
    <w:rsid w:val="00B6323F"/>
    <w:rsid w:val="00B633C2"/>
    <w:rsid w:val="00B641B4"/>
    <w:rsid w:val="00B65109"/>
    <w:rsid w:val="00B65242"/>
    <w:rsid w:val="00B65508"/>
    <w:rsid w:val="00B6581F"/>
    <w:rsid w:val="00B65C2A"/>
    <w:rsid w:val="00B664A7"/>
    <w:rsid w:val="00B6770F"/>
    <w:rsid w:val="00B67978"/>
    <w:rsid w:val="00B67A91"/>
    <w:rsid w:val="00B70699"/>
    <w:rsid w:val="00B707A6"/>
    <w:rsid w:val="00B71157"/>
    <w:rsid w:val="00B72C1D"/>
    <w:rsid w:val="00B72C69"/>
    <w:rsid w:val="00B75402"/>
    <w:rsid w:val="00B75567"/>
    <w:rsid w:val="00B763A2"/>
    <w:rsid w:val="00B763F0"/>
    <w:rsid w:val="00B7676E"/>
    <w:rsid w:val="00B76DC6"/>
    <w:rsid w:val="00B76E44"/>
    <w:rsid w:val="00B81A5C"/>
    <w:rsid w:val="00B81D26"/>
    <w:rsid w:val="00B82012"/>
    <w:rsid w:val="00B83EEB"/>
    <w:rsid w:val="00B86F40"/>
    <w:rsid w:val="00B90C92"/>
    <w:rsid w:val="00B927CF"/>
    <w:rsid w:val="00B944EE"/>
    <w:rsid w:val="00B94B81"/>
    <w:rsid w:val="00B94BAC"/>
    <w:rsid w:val="00B96493"/>
    <w:rsid w:val="00B976E4"/>
    <w:rsid w:val="00BA00DE"/>
    <w:rsid w:val="00BA0206"/>
    <w:rsid w:val="00BA0709"/>
    <w:rsid w:val="00BA07F3"/>
    <w:rsid w:val="00BA352E"/>
    <w:rsid w:val="00BA4AF3"/>
    <w:rsid w:val="00BA5B0D"/>
    <w:rsid w:val="00BA6BF4"/>
    <w:rsid w:val="00BA71FA"/>
    <w:rsid w:val="00BB08AB"/>
    <w:rsid w:val="00BB16F1"/>
    <w:rsid w:val="00BB27EB"/>
    <w:rsid w:val="00BB5D1F"/>
    <w:rsid w:val="00BB6377"/>
    <w:rsid w:val="00BB6EEC"/>
    <w:rsid w:val="00BB74B8"/>
    <w:rsid w:val="00BC04B7"/>
    <w:rsid w:val="00BC2AB2"/>
    <w:rsid w:val="00BC45C6"/>
    <w:rsid w:val="00BC546C"/>
    <w:rsid w:val="00BC6479"/>
    <w:rsid w:val="00BC73DA"/>
    <w:rsid w:val="00BD09F0"/>
    <w:rsid w:val="00BD20ED"/>
    <w:rsid w:val="00BD341A"/>
    <w:rsid w:val="00BD35D1"/>
    <w:rsid w:val="00BD3E8D"/>
    <w:rsid w:val="00BD5B2B"/>
    <w:rsid w:val="00BD642F"/>
    <w:rsid w:val="00BD7E4F"/>
    <w:rsid w:val="00BE0AE1"/>
    <w:rsid w:val="00BE2E8D"/>
    <w:rsid w:val="00BE4001"/>
    <w:rsid w:val="00BF08F8"/>
    <w:rsid w:val="00BF5223"/>
    <w:rsid w:val="00BF52CE"/>
    <w:rsid w:val="00BF566C"/>
    <w:rsid w:val="00BF5E83"/>
    <w:rsid w:val="00BF7C1E"/>
    <w:rsid w:val="00BF7DD4"/>
    <w:rsid w:val="00C00269"/>
    <w:rsid w:val="00C0067A"/>
    <w:rsid w:val="00C00934"/>
    <w:rsid w:val="00C01D76"/>
    <w:rsid w:val="00C02B24"/>
    <w:rsid w:val="00C04C9F"/>
    <w:rsid w:val="00C04F74"/>
    <w:rsid w:val="00C05754"/>
    <w:rsid w:val="00C059A5"/>
    <w:rsid w:val="00C05EA5"/>
    <w:rsid w:val="00C062D7"/>
    <w:rsid w:val="00C063BC"/>
    <w:rsid w:val="00C06859"/>
    <w:rsid w:val="00C07FA6"/>
    <w:rsid w:val="00C10500"/>
    <w:rsid w:val="00C105FA"/>
    <w:rsid w:val="00C109AA"/>
    <w:rsid w:val="00C1267D"/>
    <w:rsid w:val="00C12C2B"/>
    <w:rsid w:val="00C12C9B"/>
    <w:rsid w:val="00C14072"/>
    <w:rsid w:val="00C140A3"/>
    <w:rsid w:val="00C14D83"/>
    <w:rsid w:val="00C154FA"/>
    <w:rsid w:val="00C158B3"/>
    <w:rsid w:val="00C15ECA"/>
    <w:rsid w:val="00C170F3"/>
    <w:rsid w:val="00C172C3"/>
    <w:rsid w:val="00C21D9C"/>
    <w:rsid w:val="00C21DAF"/>
    <w:rsid w:val="00C22528"/>
    <w:rsid w:val="00C22843"/>
    <w:rsid w:val="00C22F2B"/>
    <w:rsid w:val="00C27AEF"/>
    <w:rsid w:val="00C34378"/>
    <w:rsid w:val="00C37650"/>
    <w:rsid w:val="00C41EEE"/>
    <w:rsid w:val="00C443FC"/>
    <w:rsid w:val="00C4529B"/>
    <w:rsid w:val="00C45BD3"/>
    <w:rsid w:val="00C47242"/>
    <w:rsid w:val="00C478DC"/>
    <w:rsid w:val="00C50C6C"/>
    <w:rsid w:val="00C516E8"/>
    <w:rsid w:val="00C54705"/>
    <w:rsid w:val="00C563FF"/>
    <w:rsid w:val="00C56BED"/>
    <w:rsid w:val="00C570B5"/>
    <w:rsid w:val="00C60969"/>
    <w:rsid w:val="00C615EE"/>
    <w:rsid w:val="00C62427"/>
    <w:rsid w:val="00C631D6"/>
    <w:rsid w:val="00C638D5"/>
    <w:rsid w:val="00C64231"/>
    <w:rsid w:val="00C64B6F"/>
    <w:rsid w:val="00C64BE6"/>
    <w:rsid w:val="00C64E1A"/>
    <w:rsid w:val="00C656F8"/>
    <w:rsid w:val="00C7056F"/>
    <w:rsid w:val="00C70E16"/>
    <w:rsid w:val="00C71E23"/>
    <w:rsid w:val="00C7238D"/>
    <w:rsid w:val="00C73795"/>
    <w:rsid w:val="00C743D7"/>
    <w:rsid w:val="00C7497F"/>
    <w:rsid w:val="00C75861"/>
    <w:rsid w:val="00C80248"/>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9FB"/>
    <w:rsid w:val="00C97B5F"/>
    <w:rsid w:val="00CA25B2"/>
    <w:rsid w:val="00CA489F"/>
    <w:rsid w:val="00CA493D"/>
    <w:rsid w:val="00CA5AAE"/>
    <w:rsid w:val="00CB0156"/>
    <w:rsid w:val="00CB1471"/>
    <w:rsid w:val="00CB1735"/>
    <w:rsid w:val="00CB1832"/>
    <w:rsid w:val="00CB2AD3"/>
    <w:rsid w:val="00CB372C"/>
    <w:rsid w:val="00CB37D5"/>
    <w:rsid w:val="00CB4728"/>
    <w:rsid w:val="00CB4918"/>
    <w:rsid w:val="00CB603E"/>
    <w:rsid w:val="00CB653D"/>
    <w:rsid w:val="00CB67EE"/>
    <w:rsid w:val="00CC051F"/>
    <w:rsid w:val="00CC0AB4"/>
    <w:rsid w:val="00CC0E59"/>
    <w:rsid w:val="00CC19AF"/>
    <w:rsid w:val="00CC1B8C"/>
    <w:rsid w:val="00CC32C1"/>
    <w:rsid w:val="00CC482F"/>
    <w:rsid w:val="00CC577C"/>
    <w:rsid w:val="00CC762D"/>
    <w:rsid w:val="00CC7CEE"/>
    <w:rsid w:val="00CC7F75"/>
    <w:rsid w:val="00CD3FC0"/>
    <w:rsid w:val="00CD5969"/>
    <w:rsid w:val="00CD5C29"/>
    <w:rsid w:val="00CD5FC1"/>
    <w:rsid w:val="00CD6183"/>
    <w:rsid w:val="00CD645F"/>
    <w:rsid w:val="00CE0ECA"/>
    <w:rsid w:val="00CE3840"/>
    <w:rsid w:val="00CE3AF3"/>
    <w:rsid w:val="00CE4645"/>
    <w:rsid w:val="00CE6896"/>
    <w:rsid w:val="00CE7F0E"/>
    <w:rsid w:val="00CF0398"/>
    <w:rsid w:val="00CF1D87"/>
    <w:rsid w:val="00CF258F"/>
    <w:rsid w:val="00CF4A77"/>
    <w:rsid w:val="00CF6863"/>
    <w:rsid w:val="00CF76EB"/>
    <w:rsid w:val="00CF7EFE"/>
    <w:rsid w:val="00D01DBC"/>
    <w:rsid w:val="00D0232C"/>
    <w:rsid w:val="00D0412C"/>
    <w:rsid w:val="00D05097"/>
    <w:rsid w:val="00D06B0C"/>
    <w:rsid w:val="00D07D46"/>
    <w:rsid w:val="00D103D0"/>
    <w:rsid w:val="00D10FE1"/>
    <w:rsid w:val="00D11C1E"/>
    <w:rsid w:val="00D11F3C"/>
    <w:rsid w:val="00D11FB6"/>
    <w:rsid w:val="00D13F3B"/>
    <w:rsid w:val="00D15FCC"/>
    <w:rsid w:val="00D16AD1"/>
    <w:rsid w:val="00D16F30"/>
    <w:rsid w:val="00D17342"/>
    <w:rsid w:val="00D200FE"/>
    <w:rsid w:val="00D22D7E"/>
    <w:rsid w:val="00D23D2D"/>
    <w:rsid w:val="00D2457B"/>
    <w:rsid w:val="00D26232"/>
    <w:rsid w:val="00D3038D"/>
    <w:rsid w:val="00D310C7"/>
    <w:rsid w:val="00D32742"/>
    <w:rsid w:val="00D339DC"/>
    <w:rsid w:val="00D33B7E"/>
    <w:rsid w:val="00D34029"/>
    <w:rsid w:val="00D34B9A"/>
    <w:rsid w:val="00D357A7"/>
    <w:rsid w:val="00D35BBA"/>
    <w:rsid w:val="00D3610B"/>
    <w:rsid w:val="00D40133"/>
    <w:rsid w:val="00D40BD3"/>
    <w:rsid w:val="00D4169B"/>
    <w:rsid w:val="00D41D3B"/>
    <w:rsid w:val="00D43891"/>
    <w:rsid w:val="00D43C78"/>
    <w:rsid w:val="00D450F6"/>
    <w:rsid w:val="00D45FF3"/>
    <w:rsid w:val="00D4710B"/>
    <w:rsid w:val="00D501E8"/>
    <w:rsid w:val="00D505CC"/>
    <w:rsid w:val="00D506EC"/>
    <w:rsid w:val="00D5148D"/>
    <w:rsid w:val="00D53937"/>
    <w:rsid w:val="00D56BD3"/>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CF7"/>
    <w:rsid w:val="00D77F36"/>
    <w:rsid w:val="00D80CB9"/>
    <w:rsid w:val="00D817C7"/>
    <w:rsid w:val="00D82150"/>
    <w:rsid w:val="00D82FB7"/>
    <w:rsid w:val="00D836EC"/>
    <w:rsid w:val="00D859E5"/>
    <w:rsid w:val="00D87EC2"/>
    <w:rsid w:val="00D92042"/>
    <w:rsid w:val="00D93104"/>
    <w:rsid w:val="00D93620"/>
    <w:rsid w:val="00D93A72"/>
    <w:rsid w:val="00D9456C"/>
    <w:rsid w:val="00D945AD"/>
    <w:rsid w:val="00D94F0E"/>
    <w:rsid w:val="00DA0174"/>
    <w:rsid w:val="00DA2704"/>
    <w:rsid w:val="00DA2EEB"/>
    <w:rsid w:val="00DA701A"/>
    <w:rsid w:val="00DA7665"/>
    <w:rsid w:val="00DB071D"/>
    <w:rsid w:val="00DB0A16"/>
    <w:rsid w:val="00DB1D27"/>
    <w:rsid w:val="00DB2251"/>
    <w:rsid w:val="00DB3740"/>
    <w:rsid w:val="00DB5C9B"/>
    <w:rsid w:val="00DB5EBA"/>
    <w:rsid w:val="00DB7CC5"/>
    <w:rsid w:val="00DC0BC9"/>
    <w:rsid w:val="00DC1FAE"/>
    <w:rsid w:val="00DC229B"/>
    <w:rsid w:val="00DC23B3"/>
    <w:rsid w:val="00DC24B2"/>
    <w:rsid w:val="00DC267C"/>
    <w:rsid w:val="00DC64D8"/>
    <w:rsid w:val="00DC6719"/>
    <w:rsid w:val="00DC7863"/>
    <w:rsid w:val="00DD1161"/>
    <w:rsid w:val="00DD1780"/>
    <w:rsid w:val="00DD22D3"/>
    <w:rsid w:val="00DD3181"/>
    <w:rsid w:val="00DD4C18"/>
    <w:rsid w:val="00DD4CD7"/>
    <w:rsid w:val="00DD6891"/>
    <w:rsid w:val="00DD6EE1"/>
    <w:rsid w:val="00DE022A"/>
    <w:rsid w:val="00DE02F6"/>
    <w:rsid w:val="00DE0FDD"/>
    <w:rsid w:val="00DE0FE4"/>
    <w:rsid w:val="00DE1410"/>
    <w:rsid w:val="00DE16AD"/>
    <w:rsid w:val="00DE40CF"/>
    <w:rsid w:val="00DE4643"/>
    <w:rsid w:val="00DE5806"/>
    <w:rsid w:val="00DE5DCC"/>
    <w:rsid w:val="00DE7551"/>
    <w:rsid w:val="00DF20EE"/>
    <w:rsid w:val="00DF2791"/>
    <w:rsid w:val="00DF2C4B"/>
    <w:rsid w:val="00DF3373"/>
    <w:rsid w:val="00DF6344"/>
    <w:rsid w:val="00DF7420"/>
    <w:rsid w:val="00E02C68"/>
    <w:rsid w:val="00E041BA"/>
    <w:rsid w:val="00E04E4E"/>
    <w:rsid w:val="00E04F72"/>
    <w:rsid w:val="00E0540A"/>
    <w:rsid w:val="00E105DA"/>
    <w:rsid w:val="00E133F9"/>
    <w:rsid w:val="00E14CF0"/>
    <w:rsid w:val="00E15443"/>
    <w:rsid w:val="00E16E76"/>
    <w:rsid w:val="00E217C3"/>
    <w:rsid w:val="00E22A25"/>
    <w:rsid w:val="00E247C6"/>
    <w:rsid w:val="00E24E95"/>
    <w:rsid w:val="00E25D4F"/>
    <w:rsid w:val="00E26943"/>
    <w:rsid w:val="00E31072"/>
    <w:rsid w:val="00E3362F"/>
    <w:rsid w:val="00E33CE1"/>
    <w:rsid w:val="00E33D00"/>
    <w:rsid w:val="00E342A8"/>
    <w:rsid w:val="00E35D96"/>
    <w:rsid w:val="00E36CEF"/>
    <w:rsid w:val="00E37FD7"/>
    <w:rsid w:val="00E40BC8"/>
    <w:rsid w:val="00E41501"/>
    <w:rsid w:val="00E4186C"/>
    <w:rsid w:val="00E42CA2"/>
    <w:rsid w:val="00E45CF6"/>
    <w:rsid w:val="00E46576"/>
    <w:rsid w:val="00E627A0"/>
    <w:rsid w:val="00E62C3F"/>
    <w:rsid w:val="00E649C1"/>
    <w:rsid w:val="00E64A9F"/>
    <w:rsid w:val="00E650A5"/>
    <w:rsid w:val="00E65533"/>
    <w:rsid w:val="00E673D8"/>
    <w:rsid w:val="00E67EAA"/>
    <w:rsid w:val="00E70963"/>
    <w:rsid w:val="00E709BE"/>
    <w:rsid w:val="00E712DA"/>
    <w:rsid w:val="00E724DF"/>
    <w:rsid w:val="00E730B7"/>
    <w:rsid w:val="00E73AE1"/>
    <w:rsid w:val="00E748EB"/>
    <w:rsid w:val="00E74E0D"/>
    <w:rsid w:val="00E7509A"/>
    <w:rsid w:val="00E757C3"/>
    <w:rsid w:val="00E76BFC"/>
    <w:rsid w:val="00E7753C"/>
    <w:rsid w:val="00E77A14"/>
    <w:rsid w:val="00E81C11"/>
    <w:rsid w:val="00E82694"/>
    <w:rsid w:val="00E83192"/>
    <w:rsid w:val="00E849CC"/>
    <w:rsid w:val="00E84BA3"/>
    <w:rsid w:val="00E852E7"/>
    <w:rsid w:val="00E85458"/>
    <w:rsid w:val="00E85BB7"/>
    <w:rsid w:val="00E85E34"/>
    <w:rsid w:val="00E91A4A"/>
    <w:rsid w:val="00E92DF5"/>
    <w:rsid w:val="00E92FF5"/>
    <w:rsid w:val="00E951C1"/>
    <w:rsid w:val="00E95B41"/>
    <w:rsid w:val="00E9681D"/>
    <w:rsid w:val="00E972CA"/>
    <w:rsid w:val="00E97AC4"/>
    <w:rsid w:val="00E97FDE"/>
    <w:rsid w:val="00EA006D"/>
    <w:rsid w:val="00EA1FBA"/>
    <w:rsid w:val="00EA5BC8"/>
    <w:rsid w:val="00EA74D3"/>
    <w:rsid w:val="00EB22B1"/>
    <w:rsid w:val="00EB3BE0"/>
    <w:rsid w:val="00EB6BF4"/>
    <w:rsid w:val="00EB7571"/>
    <w:rsid w:val="00EC0B78"/>
    <w:rsid w:val="00EC3259"/>
    <w:rsid w:val="00EC47F6"/>
    <w:rsid w:val="00EC5E55"/>
    <w:rsid w:val="00EC6CB3"/>
    <w:rsid w:val="00EC6E6F"/>
    <w:rsid w:val="00ED00AF"/>
    <w:rsid w:val="00ED059D"/>
    <w:rsid w:val="00ED0779"/>
    <w:rsid w:val="00ED283A"/>
    <w:rsid w:val="00ED3015"/>
    <w:rsid w:val="00ED428B"/>
    <w:rsid w:val="00ED64F5"/>
    <w:rsid w:val="00ED6B02"/>
    <w:rsid w:val="00ED6BFC"/>
    <w:rsid w:val="00EE2C82"/>
    <w:rsid w:val="00EE474F"/>
    <w:rsid w:val="00EE51FE"/>
    <w:rsid w:val="00EF072C"/>
    <w:rsid w:val="00EF13F6"/>
    <w:rsid w:val="00EF6222"/>
    <w:rsid w:val="00EF75DD"/>
    <w:rsid w:val="00F00952"/>
    <w:rsid w:val="00F05DB8"/>
    <w:rsid w:val="00F05E35"/>
    <w:rsid w:val="00F07AB0"/>
    <w:rsid w:val="00F07B02"/>
    <w:rsid w:val="00F110DC"/>
    <w:rsid w:val="00F11C26"/>
    <w:rsid w:val="00F124FE"/>
    <w:rsid w:val="00F12BC9"/>
    <w:rsid w:val="00F13402"/>
    <w:rsid w:val="00F14B17"/>
    <w:rsid w:val="00F14B3C"/>
    <w:rsid w:val="00F16DC8"/>
    <w:rsid w:val="00F21EDE"/>
    <w:rsid w:val="00F231C3"/>
    <w:rsid w:val="00F2457B"/>
    <w:rsid w:val="00F253E0"/>
    <w:rsid w:val="00F2549E"/>
    <w:rsid w:val="00F257D1"/>
    <w:rsid w:val="00F257F1"/>
    <w:rsid w:val="00F266D0"/>
    <w:rsid w:val="00F26926"/>
    <w:rsid w:val="00F27445"/>
    <w:rsid w:val="00F301F7"/>
    <w:rsid w:val="00F3055B"/>
    <w:rsid w:val="00F31C20"/>
    <w:rsid w:val="00F31C8A"/>
    <w:rsid w:val="00F32697"/>
    <w:rsid w:val="00F32CD3"/>
    <w:rsid w:val="00F3458E"/>
    <w:rsid w:val="00F350F0"/>
    <w:rsid w:val="00F3526D"/>
    <w:rsid w:val="00F352A5"/>
    <w:rsid w:val="00F370BD"/>
    <w:rsid w:val="00F40F44"/>
    <w:rsid w:val="00F4154D"/>
    <w:rsid w:val="00F431D9"/>
    <w:rsid w:val="00F44349"/>
    <w:rsid w:val="00F44449"/>
    <w:rsid w:val="00F44659"/>
    <w:rsid w:val="00F45A67"/>
    <w:rsid w:val="00F46446"/>
    <w:rsid w:val="00F465ED"/>
    <w:rsid w:val="00F47952"/>
    <w:rsid w:val="00F51CDA"/>
    <w:rsid w:val="00F52458"/>
    <w:rsid w:val="00F54C15"/>
    <w:rsid w:val="00F55D70"/>
    <w:rsid w:val="00F56641"/>
    <w:rsid w:val="00F571CE"/>
    <w:rsid w:val="00F576DC"/>
    <w:rsid w:val="00F61ACD"/>
    <w:rsid w:val="00F61DC9"/>
    <w:rsid w:val="00F61E2E"/>
    <w:rsid w:val="00F628AA"/>
    <w:rsid w:val="00F66D09"/>
    <w:rsid w:val="00F71623"/>
    <w:rsid w:val="00F71ABC"/>
    <w:rsid w:val="00F723D7"/>
    <w:rsid w:val="00F72956"/>
    <w:rsid w:val="00F72F3E"/>
    <w:rsid w:val="00F73648"/>
    <w:rsid w:val="00F746B1"/>
    <w:rsid w:val="00F74C2B"/>
    <w:rsid w:val="00F7503B"/>
    <w:rsid w:val="00F7587A"/>
    <w:rsid w:val="00F75C1D"/>
    <w:rsid w:val="00F767FA"/>
    <w:rsid w:val="00F7702F"/>
    <w:rsid w:val="00F8056E"/>
    <w:rsid w:val="00F8056F"/>
    <w:rsid w:val="00F80742"/>
    <w:rsid w:val="00F80D89"/>
    <w:rsid w:val="00F81845"/>
    <w:rsid w:val="00F84538"/>
    <w:rsid w:val="00F85777"/>
    <w:rsid w:val="00F85B09"/>
    <w:rsid w:val="00F91520"/>
    <w:rsid w:val="00F91E72"/>
    <w:rsid w:val="00F9384F"/>
    <w:rsid w:val="00F93A8D"/>
    <w:rsid w:val="00F93C4B"/>
    <w:rsid w:val="00F93FDC"/>
    <w:rsid w:val="00F94CA3"/>
    <w:rsid w:val="00F96DAA"/>
    <w:rsid w:val="00F97211"/>
    <w:rsid w:val="00FA06D7"/>
    <w:rsid w:val="00FA12D8"/>
    <w:rsid w:val="00FA19FA"/>
    <w:rsid w:val="00FA1EF6"/>
    <w:rsid w:val="00FA37FC"/>
    <w:rsid w:val="00FA57F1"/>
    <w:rsid w:val="00FA5B7A"/>
    <w:rsid w:val="00FA6FB2"/>
    <w:rsid w:val="00FA77B4"/>
    <w:rsid w:val="00FB0333"/>
    <w:rsid w:val="00FB08A8"/>
    <w:rsid w:val="00FB0EA3"/>
    <w:rsid w:val="00FB1071"/>
    <w:rsid w:val="00FB1846"/>
    <w:rsid w:val="00FB363C"/>
    <w:rsid w:val="00FB37DA"/>
    <w:rsid w:val="00FB5745"/>
    <w:rsid w:val="00FB584B"/>
    <w:rsid w:val="00FB5B12"/>
    <w:rsid w:val="00FB6017"/>
    <w:rsid w:val="00FB7538"/>
    <w:rsid w:val="00FC0D57"/>
    <w:rsid w:val="00FC16A3"/>
    <w:rsid w:val="00FC19D6"/>
    <w:rsid w:val="00FC3B2B"/>
    <w:rsid w:val="00FC416C"/>
    <w:rsid w:val="00FC4315"/>
    <w:rsid w:val="00FC5490"/>
    <w:rsid w:val="00FC5AB7"/>
    <w:rsid w:val="00FC637E"/>
    <w:rsid w:val="00FD1BEB"/>
    <w:rsid w:val="00FD2337"/>
    <w:rsid w:val="00FD4093"/>
    <w:rsid w:val="00FD44D5"/>
    <w:rsid w:val="00FD54C1"/>
    <w:rsid w:val="00FE0711"/>
    <w:rsid w:val="00FE1EB3"/>
    <w:rsid w:val="00FE2390"/>
    <w:rsid w:val="00FE3D62"/>
    <w:rsid w:val="00FE4F85"/>
    <w:rsid w:val="00FE551C"/>
    <w:rsid w:val="00FE57D6"/>
    <w:rsid w:val="00FE6ACA"/>
    <w:rsid w:val="00FE6B42"/>
    <w:rsid w:val="00FE70FA"/>
    <w:rsid w:val="00FF0E18"/>
    <w:rsid w:val="00FF3F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0CFA"/>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845"/>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13"/>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1"/>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8"/>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9"/>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0"/>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6"/>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table" w:customStyle="1" w:styleId="TableGrid24">
    <w:name w:val="Table Grid24"/>
    <w:basedOn w:val="TableNormal"/>
    <w:next w:val="TableGrid"/>
    <w:uiPriority w:val="39"/>
    <w:rsid w:val="00A011D5"/>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A011D5"/>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 821"/>
    <w:basedOn w:val="TableNormal"/>
    <w:next w:val="TableGrid80"/>
    <w:rsid w:val="00A011D5"/>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2ndBullet">
    <w:name w:val="1 2nd Bullet"/>
    <w:basedOn w:val="Normal"/>
    <w:rsid w:val="00E76BFC"/>
    <w:pPr>
      <w:numPr>
        <w:numId w:val="22"/>
      </w:numPr>
      <w:spacing w:line="240" w:lineRule="auto"/>
    </w:pPr>
    <w:rPr>
      <w:rFonts w:eastAsia="Times New Roman" w:cs="Times New Roman"/>
      <w:szCs w:val="20"/>
    </w:rPr>
  </w:style>
  <w:style w:type="paragraph" w:customStyle="1" w:styleId="1aParNorm">
    <w:name w:val="1a ParNorm"/>
    <w:basedOn w:val="Normal"/>
    <w:autoRedefine/>
    <w:qFormat/>
    <w:rsid w:val="00F44449"/>
    <w:pPr>
      <w:shd w:val="clear" w:color="auto" w:fill="FFFFFF"/>
      <w:spacing w:line="240" w:lineRule="auto"/>
      <w:ind w:left="720" w:hanging="360"/>
    </w:pPr>
    <w:rPr>
      <w:rFonts w:eastAsia="MS Mincho" w:cs="Arial"/>
    </w:rPr>
  </w:style>
  <w:style w:type="table" w:customStyle="1" w:styleId="TableGrid142">
    <w:name w:val="Table Grid142"/>
    <w:basedOn w:val="TableNormal"/>
    <w:next w:val="TableGrid"/>
    <w:uiPriority w:val="59"/>
    <w:rsid w:val="00A62B46"/>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78167033">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71116722">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387339535">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02797468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8.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package" Target="embeddings/Microsoft_PowerPoint_Presentation.pptx"/><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8.emf"/><Relationship Id="rId27" Type="http://schemas.openxmlformats.org/officeDocument/2006/relationships/header" Target="head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4" ma:contentTypeDescription="Create a new document." ma:contentTypeScope="" ma:versionID="43538ca468e1e1a10b493749b650d297">
  <xsd:schema xmlns:xsd="http://www.w3.org/2001/XMLSchema" xmlns:xs="http://www.w3.org/2001/XMLSchema" xmlns:p="http://schemas.microsoft.com/office/2006/metadata/properties" xmlns:ns1="http://schemas.microsoft.com/sharepoint/v3" xmlns:ns2="db9a61e7-e58b-4a0f-a1f0-f0fe15068406" targetNamespace="http://schemas.microsoft.com/office/2006/metadata/properties" ma:root="true" ma:fieldsID="58e8476fae41d65f72083201dead6a15" ns1:_="" ns2:_="">
    <xsd:import namespace="http://schemas.microsoft.com/sharepoint/v3"/>
    <xsd:import namespace="db9a61e7-e58b-4a0f-a1f0-f0fe150684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65882-65D7-4A6B-8417-5B42EFD0E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4.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5.xml><?xml version="1.0" encoding="utf-8"?>
<ds:datastoreItem xmlns:ds="http://schemas.openxmlformats.org/officeDocument/2006/customXml" ds:itemID="{25E4A31F-E0E8-4F7F-89D3-2C13FC8F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40</Pages>
  <Words>12807</Words>
  <Characters>73000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85636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Shabangu,Spha</cp:lastModifiedBy>
  <cp:revision>145</cp:revision>
  <cp:lastPrinted>2020-05-28T11:32:00Z</cp:lastPrinted>
  <dcterms:created xsi:type="dcterms:W3CDTF">2020-09-17T10:03:00Z</dcterms:created>
  <dcterms:modified xsi:type="dcterms:W3CDTF">2020-11-13T09:45:00Z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0x010100ACC49524D098E14FA6EB8D1196D58558</vt:lpwstr>
  </op:property>
  <op:property fmtid="{D5CDD505-2E9C-101B-9397-08002B2CF9AE}" pid="3" name="NativeLinkConverted2">
    <vt:bool>true</vt:bool>
  </op:property>
</op:Properties>
</file>