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Pr="0077659B" w:rsidRDefault="00254989" w:rsidP="00BB4C5C">
      <w:pPr>
        <w:shd w:val="clear" w:color="auto" w:fill="FFFFFF"/>
        <w:spacing w:after="240" w:line="240" w:lineRule="auto"/>
        <w:jc w:val="both"/>
        <w:rPr>
          <w:rStyle w:val="BookTitle"/>
          <w:rFonts w:eastAsiaTheme="minorHAnsi"/>
        </w:rPr>
      </w:pPr>
      <w:r>
        <w:rPr>
          <w:rStyle w:val="BookTitle"/>
          <w:rFonts w:eastAsiaTheme="minorHAnsi"/>
        </w:rPr>
        <w:t>DRAFT</w:t>
      </w:r>
      <w:r w:rsidR="00C22F2B" w:rsidRPr="0077659B">
        <w:rPr>
          <w:rStyle w:val="BookTitle"/>
          <w:rFonts w:eastAsiaTheme="minorHAnsi"/>
        </w:rPr>
        <w:t xml:space="preserve"> MANAGEMENT REPORT</w:t>
      </w:r>
    </w:p>
    <w:p w:rsidR="00C22F2B" w:rsidRPr="0077659B" w:rsidRDefault="002E4F22" w:rsidP="00BB4C5C">
      <w:pPr>
        <w:pStyle w:val="Title"/>
      </w:pPr>
      <w:r>
        <w:t>Property Management Trading E</w:t>
      </w:r>
      <w:r w:rsidR="005F276B">
        <w:t xml:space="preserve">ntity </w:t>
      </w:r>
    </w:p>
    <w:p w:rsidR="00C22F2B" w:rsidRPr="00BB6EEC" w:rsidRDefault="005F276B" w:rsidP="00BB4C5C">
      <w:pPr>
        <w:spacing w:line="240" w:lineRule="auto"/>
        <w:jc w:val="both"/>
        <w:rPr>
          <w:rStyle w:val="Strong"/>
          <w:rFonts w:eastAsiaTheme="minorHAnsi"/>
        </w:rPr>
      </w:pPr>
      <w:r>
        <w:rPr>
          <w:rStyle w:val="Strong"/>
          <w:rFonts w:eastAsiaTheme="minorHAnsi"/>
        </w:rPr>
        <w:t>31 March 2021</w:t>
      </w:r>
    </w:p>
    <w:p w:rsidR="003A047F" w:rsidRPr="0077659B" w:rsidRDefault="003A047F" w:rsidP="00BB4C5C">
      <w:pPr>
        <w:spacing w:line="240" w:lineRule="auto"/>
        <w:jc w:val="both"/>
        <w:rPr>
          <w:rStyle w:val="Strong"/>
          <w:rFonts w:eastAsiaTheme="minorHAnsi"/>
        </w:rPr>
      </w:pPr>
      <w:r w:rsidRPr="0077659B">
        <w:rPr>
          <w:rStyle w:val="Strong"/>
          <w:rFonts w:eastAsiaTheme="minorHAnsi"/>
        </w:rPr>
        <w:t xml:space="preserve">Communicated to the </w:t>
      </w:r>
      <w:r w:rsidR="00D9601F" w:rsidRPr="0077659B">
        <w:rPr>
          <w:rStyle w:val="Strong"/>
          <w:rFonts w:eastAsiaTheme="minorHAnsi"/>
        </w:rPr>
        <w:t>accounting officer</w:t>
      </w:r>
      <w:r w:rsidRPr="0077659B">
        <w:rPr>
          <w:rStyle w:val="Strong"/>
          <w:rFonts w:eastAsiaTheme="minorHAnsi"/>
        </w:rPr>
        <w:t xml:space="preserve"> on: </w:t>
      </w:r>
      <w:r w:rsidR="00A065E3">
        <w:rPr>
          <w:rStyle w:val="Strong"/>
          <w:rFonts w:eastAsiaTheme="minorHAnsi"/>
        </w:rPr>
        <w:t xml:space="preserve">31 </w:t>
      </w:r>
      <w:r w:rsidR="005F276B">
        <w:rPr>
          <w:rStyle w:val="Strong"/>
          <w:rFonts w:eastAsiaTheme="minorHAnsi"/>
        </w:rPr>
        <w:t>August 2021</w:t>
      </w:r>
    </w:p>
    <w:p w:rsidR="00C22F2B" w:rsidRPr="0077659B" w:rsidRDefault="00C22F2B" w:rsidP="00C22F2B">
      <w:pPr>
        <w:spacing w:after="0" w:line="240" w:lineRule="auto"/>
        <w:rPr>
          <w:rFonts w:eastAsia="Times New Roman" w:cs="Arial"/>
          <w:b/>
        </w:rPr>
      </w:pPr>
    </w:p>
    <w:p w:rsidR="00C22F2B" w:rsidRPr="0077659B" w:rsidRDefault="00C22F2B" w:rsidP="00C22F2B">
      <w:pPr>
        <w:spacing w:after="0" w:line="240" w:lineRule="auto"/>
        <w:rPr>
          <w:rFonts w:eastAsia="Times New Roman" w:cs="Arial"/>
          <w:b/>
          <w:bCs/>
          <w:spacing w:val="-4"/>
        </w:rPr>
      </w:pPr>
    </w:p>
    <w:p w:rsidR="00E14DA8" w:rsidRDefault="00E14DA8" w:rsidP="00C22F2B">
      <w:pPr>
        <w:spacing w:after="0" w:line="240" w:lineRule="auto"/>
        <w:rPr>
          <w:rFonts w:eastAsia="Times New Roman" w:cs="Arial"/>
          <w:b/>
          <w:bCs/>
          <w:spacing w:val="-4"/>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Default="00E14DA8" w:rsidP="00E14DA8">
      <w:pPr>
        <w:rPr>
          <w:rFonts w:eastAsia="Times New Roman" w:cs="Arial"/>
        </w:rPr>
      </w:pPr>
    </w:p>
    <w:p w:rsidR="00E14DA8" w:rsidRDefault="00E14DA8" w:rsidP="00871C3E">
      <w:pPr>
        <w:tabs>
          <w:tab w:val="left" w:pos="1932"/>
        </w:tabs>
        <w:rPr>
          <w:rFonts w:eastAsia="Times New Roman" w:cs="Arial"/>
        </w:rPr>
      </w:pPr>
      <w:r>
        <w:rPr>
          <w:rFonts w:eastAsia="Times New Roman" w:cs="Arial"/>
        </w:rPr>
        <w:tab/>
      </w:r>
    </w:p>
    <w:p w:rsidR="001E213E" w:rsidRPr="00871C3E" w:rsidRDefault="00E14DA8" w:rsidP="00871C3E">
      <w:pPr>
        <w:tabs>
          <w:tab w:val="left" w:pos="1932"/>
        </w:tabs>
        <w:rPr>
          <w:rFonts w:eastAsia="Times New Roman" w:cs="Arial"/>
        </w:rPr>
        <w:sectPr w:rsidR="001E213E" w:rsidRPr="00871C3E" w:rsidSect="00C12C2B">
          <w:headerReference w:type="even" r:id="rId12"/>
          <w:headerReference w:type="default" r:id="rId13"/>
          <w:footerReference w:type="even" r:id="rId14"/>
          <w:footerReference w:type="default" r:id="rId15"/>
          <w:headerReference w:type="first" r:id="rId16"/>
          <w:footerReference w:type="first" r:id="rId17"/>
          <w:endnotePr>
            <w:numFmt w:val="decimal"/>
          </w:endnotePr>
          <w:pgSz w:w="11906" w:h="16838" w:code="9"/>
          <w:pgMar w:top="1134" w:right="1134" w:bottom="1134" w:left="1134" w:header="1814" w:footer="680" w:gutter="0"/>
          <w:pgNumType w:start="1"/>
          <w:cols w:space="720"/>
        </w:sectPr>
      </w:pPr>
      <w:r>
        <w:rPr>
          <w:rFonts w:eastAsia="Times New Roman" w:cs="Arial"/>
        </w:rPr>
        <w:tab/>
      </w:r>
    </w:p>
    <w:p w:rsidR="00C22F2B" w:rsidRPr="0077659B" w:rsidRDefault="00C22F2B" w:rsidP="00253FDE">
      <w:pPr>
        <w:pStyle w:val="Title"/>
      </w:pPr>
      <w:r w:rsidRPr="0077659B">
        <w:lastRenderedPageBreak/>
        <w:t>MANAGEMENT REPORT</w:t>
      </w:r>
    </w:p>
    <w:p w:rsidR="00C22F2B" w:rsidRPr="00BB6EEC" w:rsidRDefault="00254989" w:rsidP="00C22F2B">
      <w:pPr>
        <w:spacing w:after="0" w:line="240" w:lineRule="auto"/>
        <w:jc w:val="both"/>
        <w:rPr>
          <w:rStyle w:val="Strong"/>
          <w:rFonts w:eastAsiaTheme="minorHAnsi"/>
        </w:rPr>
      </w:pPr>
      <w:r>
        <w:rPr>
          <w:rStyle w:val="Strong"/>
          <w:rFonts w:eastAsiaTheme="minorHAnsi"/>
        </w:rPr>
        <w:t xml:space="preserve">Property Management </w:t>
      </w:r>
      <w:r w:rsidR="00D9601F">
        <w:rPr>
          <w:rStyle w:val="Strong"/>
          <w:rFonts w:eastAsiaTheme="minorHAnsi"/>
        </w:rPr>
        <w:t>Trading</w:t>
      </w:r>
      <w:r w:rsidR="000B3E47">
        <w:rPr>
          <w:rStyle w:val="Strong"/>
          <w:rFonts w:eastAsiaTheme="minorHAnsi"/>
        </w:rPr>
        <w:t xml:space="preserve"> Entity</w:t>
      </w:r>
    </w:p>
    <w:p w:rsidR="00C22F2B" w:rsidRPr="0077659B" w:rsidRDefault="000B3E47" w:rsidP="00C22F2B">
      <w:pPr>
        <w:spacing w:after="0" w:line="240" w:lineRule="auto"/>
        <w:jc w:val="both"/>
        <w:rPr>
          <w:rStyle w:val="Strong"/>
          <w:rFonts w:eastAsiaTheme="minorHAnsi"/>
        </w:rPr>
      </w:pPr>
      <w:r>
        <w:rPr>
          <w:rStyle w:val="Strong"/>
          <w:rFonts w:eastAsiaTheme="minorHAnsi"/>
        </w:rPr>
        <w:t>31 March 2021</w:t>
      </w:r>
    </w:p>
    <w:p w:rsidR="00C22F2B" w:rsidRDefault="00C22F2B" w:rsidP="00C22F2B">
      <w:pPr>
        <w:spacing w:after="0" w:line="240" w:lineRule="auto"/>
        <w:jc w:val="both"/>
        <w:rPr>
          <w:rStyle w:val="Strong"/>
          <w:rFonts w:eastAsiaTheme="minorHAnsi"/>
        </w:rPr>
      </w:pPr>
      <w:r w:rsidRPr="0077659B">
        <w:rPr>
          <w:rStyle w:val="Strong"/>
          <w:rFonts w:eastAsiaTheme="minorHAnsi"/>
        </w:rPr>
        <w:t>Discussed with</w:t>
      </w:r>
      <w:r w:rsidR="003A047F" w:rsidRPr="0077659B">
        <w:rPr>
          <w:rStyle w:val="Strong"/>
          <w:rFonts w:eastAsiaTheme="minorHAnsi"/>
        </w:rPr>
        <w:t xml:space="preserve"> the accounting officer</w:t>
      </w:r>
      <w:r w:rsidR="00254989">
        <w:rPr>
          <w:rStyle w:val="Strong"/>
          <w:rFonts w:eastAsiaTheme="minorHAnsi"/>
        </w:rPr>
        <w:t xml:space="preserve"> on: 12 August 2021</w:t>
      </w:r>
    </w:p>
    <w:p w:rsidR="00C00269" w:rsidRPr="0077659B" w:rsidRDefault="00C00269" w:rsidP="00C22F2B">
      <w:pPr>
        <w:spacing w:after="0" w:line="240" w:lineRule="auto"/>
        <w:jc w:val="both"/>
        <w:rPr>
          <w:rStyle w:val="Strong"/>
          <w:rFonts w:eastAsiaTheme="minorHAnsi"/>
        </w:rPr>
      </w:pPr>
    </w:p>
    <w:sdt>
      <w:sdtPr>
        <w:rPr>
          <w:rFonts w:asciiTheme="minorHAnsi" w:eastAsiaTheme="minorHAnsi" w:hAnsiTheme="minorHAnsi" w:cstheme="minorBidi"/>
          <w:bCs/>
          <w:iCs/>
          <w:color w:val="auto"/>
          <w:sz w:val="24"/>
          <w:szCs w:val="24"/>
        </w:rPr>
        <w:id w:val="-349726486"/>
        <w:docPartObj>
          <w:docPartGallery w:val="Table of Contents"/>
          <w:docPartUnique/>
        </w:docPartObj>
      </w:sdtPr>
      <w:sdtEndPr>
        <w:rPr>
          <w:rFonts w:ascii="Arial" w:hAnsi="Arial"/>
          <w:b w:val="0"/>
          <w:bCs w:val="0"/>
          <w:noProof/>
          <w:sz w:val="22"/>
          <w:szCs w:val="22"/>
        </w:rPr>
      </w:sdtEndPr>
      <w:sdtContent>
        <w:p w:rsidR="00254989" w:rsidRDefault="001F1CF5">
          <w:pPr>
            <w:pStyle w:val="TOC2"/>
            <w:rPr>
              <w:noProof/>
            </w:rPr>
          </w:pPr>
          <w:r w:rsidRPr="00C00269">
            <w:t>CONTENT</w:t>
          </w:r>
          <w:r w:rsidR="006A7CD8" w:rsidRPr="0077659B">
            <w:fldChar w:fldCharType="begin"/>
          </w:r>
          <w:r w:rsidR="006A7CD8" w:rsidRPr="0077659B">
            <w:instrText xml:space="preserve"> TOC \o "2-2" \h \z \t "Heading 3,3" </w:instrText>
          </w:r>
          <w:r w:rsidR="006A7CD8" w:rsidRPr="0077659B">
            <w:fldChar w:fldCharType="separate"/>
          </w:r>
        </w:p>
        <w:p w:rsidR="00254989" w:rsidRDefault="00E134C9">
          <w:pPr>
            <w:pStyle w:val="TOC2"/>
            <w:rPr>
              <w:rFonts w:asciiTheme="minorHAnsi" w:eastAsiaTheme="minorEastAsia" w:hAnsiTheme="minorHAnsi" w:cstheme="minorBidi"/>
              <w:b w:val="0"/>
              <w:noProof/>
              <w:color w:val="auto"/>
              <w:szCs w:val="22"/>
              <w:lang w:eastAsia="en-ZA"/>
            </w:rPr>
          </w:pPr>
          <w:hyperlink w:anchor="_Toc79349480" w:history="1">
            <w:r w:rsidR="00254989" w:rsidRPr="003B6888">
              <w:rPr>
                <w:rStyle w:val="Hyperlink"/>
                <w:noProof/>
              </w:rPr>
              <w:t>MANAGEMENT REPORT TO THE ACCOUNTING OFFICER ON THE AUDIT OF THE property management trading entity FOR THE YEAR ENDED 31 march 2021</w:t>
            </w:r>
            <w:r w:rsidR="00254989">
              <w:rPr>
                <w:noProof/>
                <w:webHidden/>
              </w:rPr>
              <w:tab/>
            </w:r>
            <w:r w:rsidR="00254989">
              <w:rPr>
                <w:noProof/>
                <w:webHidden/>
              </w:rPr>
              <w:fldChar w:fldCharType="begin"/>
            </w:r>
            <w:r w:rsidR="00254989">
              <w:rPr>
                <w:noProof/>
                <w:webHidden/>
              </w:rPr>
              <w:instrText xml:space="preserve"> PAGEREF _Toc79349480 \h </w:instrText>
            </w:r>
            <w:r w:rsidR="00254989">
              <w:rPr>
                <w:noProof/>
                <w:webHidden/>
              </w:rPr>
            </w:r>
            <w:r w:rsidR="00254989">
              <w:rPr>
                <w:noProof/>
                <w:webHidden/>
              </w:rPr>
              <w:fldChar w:fldCharType="separate"/>
            </w:r>
            <w:r w:rsidR="00254989">
              <w:rPr>
                <w:noProof/>
                <w:webHidden/>
              </w:rPr>
              <w:t>4</w:t>
            </w:r>
            <w:r w:rsidR="00254989">
              <w:rPr>
                <w:noProof/>
                <w:webHidden/>
              </w:rPr>
              <w:fldChar w:fldCharType="end"/>
            </w:r>
          </w:hyperlink>
        </w:p>
        <w:p w:rsidR="00254989" w:rsidRDefault="00E134C9">
          <w:pPr>
            <w:pStyle w:val="TOC2"/>
            <w:rPr>
              <w:rFonts w:asciiTheme="minorHAnsi" w:eastAsiaTheme="minorEastAsia" w:hAnsiTheme="minorHAnsi" w:cstheme="minorBidi"/>
              <w:b w:val="0"/>
              <w:noProof/>
              <w:color w:val="auto"/>
              <w:szCs w:val="22"/>
              <w:lang w:eastAsia="en-ZA"/>
            </w:rPr>
          </w:pPr>
          <w:hyperlink w:anchor="_Toc79349481" w:history="1">
            <w:r w:rsidR="00254989" w:rsidRPr="003B6888">
              <w:rPr>
                <w:rStyle w:val="Hyperlink"/>
                <w:noProof/>
              </w:rPr>
              <w:t>INTRODUCTION</w:t>
            </w:r>
            <w:r w:rsidR="00254989">
              <w:rPr>
                <w:noProof/>
                <w:webHidden/>
              </w:rPr>
              <w:tab/>
            </w:r>
            <w:r w:rsidR="00254989">
              <w:rPr>
                <w:noProof/>
                <w:webHidden/>
              </w:rPr>
              <w:fldChar w:fldCharType="begin"/>
            </w:r>
            <w:r w:rsidR="00254989">
              <w:rPr>
                <w:noProof/>
                <w:webHidden/>
              </w:rPr>
              <w:instrText xml:space="preserve"> PAGEREF _Toc79349481 \h </w:instrText>
            </w:r>
            <w:r w:rsidR="00254989">
              <w:rPr>
                <w:noProof/>
                <w:webHidden/>
              </w:rPr>
            </w:r>
            <w:r w:rsidR="00254989">
              <w:rPr>
                <w:noProof/>
                <w:webHidden/>
              </w:rPr>
              <w:fldChar w:fldCharType="separate"/>
            </w:r>
            <w:r w:rsidR="00254989">
              <w:rPr>
                <w:noProof/>
                <w:webHidden/>
              </w:rPr>
              <w:t>4</w:t>
            </w:r>
            <w:r w:rsidR="00254989">
              <w:rPr>
                <w:noProof/>
                <w:webHidden/>
              </w:rPr>
              <w:fldChar w:fldCharType="end"/>
            </w:r>
          </w:hyperlink>
        </w:p>
        <w:p w:rsidR="00254989" w:rsidRDefault="00E134C9">
          <w:pPr>
            <w:pStyle w:val="TOC2"/>
            <w:rPr>
              <w:rFonts w:asciiTheme="minorHAnsi" w:eastAsiaTheme="minorEastAsia" w:hAnsiTheme="minorHAnsi" w:cstheme="minorBidi"/>
              <w:b w:val="0"/>
              <w:noProof/>
              <w:color w:val="auto"/>
              <w:szCs w:val="22"/>
              <w:lang w:eastAsia="en-ZA"/>
            </w:rPr>
          </w:pPr>
          <w:hyperlink w:anchor="_Toc79349482" w:history="1">
            <w:r w:rsidR="00254989" w:rsidRPr="003B6888">
              <w:rPr>
                <w:rStyle w:val="Hyperlink"/>
                <w:noProof/>
              </w:rPr>
              <w:t>OVERALL MESSAGE</w:t>
            </w:r>
            <w:r w:rsidR="00254989">
              <w:rPr>
                <w:noProof/>
                <w:webHidden/>
              </w:rPr>
              <w:tab/>
            </w:r>
            <w:r w:rsidR="00254989">
              <w:rPr>
                <w:noProof/>
                <w:webHidden/>
              </w:rPr>
              <w:fldChar w:fldCharType="begin"/>
            </w:r>
            <w:r w:rsidR="00254989">
              <w:rPr>
                <w:noProof/>
                <w:webHidden/>
              </w:rPr>
              <w:instrText xml:space="preserve"> PAGEREF _Toc79349482 \h </w:instrText>
            </w:r>
            <w:r w:rsidR="00254989">
              <w:rPr>
                <w:noProof/>
                <w:webHidden/>
              </w:rPr>
            </w:r>
            <w:r w:rsidR="00254989">
              <w:rPr>
                <w:noProof/>
                <w:webHidden/>
              </w:rPr>
              <w:fldChar w:fldCharType="separate"/>
            </w:r>
            <w:r w:rsidR="00254989">
              <w:rPr>
                <w:noProof/>
                <w:webHidden/>
              </w:rPr>
              <w:t>7</w:t>
            </w:r>
            <w:r w:rsidR="00254989">
              <w:rPr>
                <w:noProof/>
                <w:webHidden/>
              </w:rPr>
              <w:fldChar w:fldCharType="end"/>
            </w:r>
          </w:hyperlink>
        </w:p>
        <w:p w:rsidR="00254989" w:rsidRDefault="00E134C9">
          <w:pPr>
            <w:pStyle w:val="TOC2"/>
            <w:rPr>
              <w:rFonts w:asciiTheme="minorHAnsi" w:eastAsiaTheme="minorEastAsia" w:hAnsiTheme="minorHAnsi" w:cstheme="minorBidi"/>
              <w:b w:val="0"/>
              <w:noProof/>
              <w:color w:val="auto"/>
              <w:szCs w:val="22"/>
              <w:lang w:eastAsia="en-ZA"/>
            </w:rPr>
          </w:pPr>
          <w:hyperlink w:anchor="_Toc79349483" w:history="1">
            <w:r w:rsidR="00254989" w:rsidRPr="003B6888">
              <w:rPr>
                <w:rStyle w:val="Hyperlink"/>
                <w:noProof/>
              </w:rPr>
              <w:t>SECTION 1: Interactions with stakeholders responsible for oversight and governance</w:t>
            </w:r>
            <w:r w:rsidR="00254989">
              <w:rPr>
                <w:noProof/>
                <w:webHidden/>
              </w:rPr>
              <w:tab/>
            </w:r>
            <w:r w:rsidR="00254989">
              <w:rPr>
                <w:noProof/>
                <w:webHidden/>
              </w:rPr>
              <w:fldChar w:fldCharType="begin"/>
            </w:r>
            <w:r w:rsidR="00254989">
              <w:rPr>
                <w:noProof/>
                <w:webHidden/>
              </w:rPr>
              <w:instrText xml:space="preserve"> PAGEREF _Toc79349483 \h </w:instrText>
            </w:r>
            <w:r w:rsidR="00254989">
              <w:rPr>
                <w:noProof/>
                <w:webHidden/>
              </w:rPr>
            </w:r>
            <w:r w:rsidR="00254989">
              <w:rPr>
                <w:noProof/>
                <w:webHidden/>
              </w:rPr>
              <w:fldChar w:fldCharType="separate"/>
            </w:r>
            <w:r w:rsidR="00254989">
              <w:rPr>
                <w:noProof/>
                <w:webHidden/>
              </w:rPr>
              <w:t>7</w:t>
            </w:r>
            <w:r w:rsidR="00254989">
              <w:rPr>
                <w:noProof/>
                <w:webHidden/>
              </w:rPr>
              <w:fldChar w:fldCharType="end"/>
            </w:r>
          </w:hyperlink>
        </w:p>
        <w:p w:rsidR="00254989" w:rsidRDefault="00E134C9">
          <w:pPr>
            <w:pStyle w:val="TOC2"/>
            <w:rPr>
              <w:rFonts w:asciiTheme="minorHAnsi" w:eastAsiaTheme="minorEastAsia" w:hAnsiTheme="minorHAnsi" w:cstheme="minorBidi"/>
              <w:b w:val="0"/>
              <w:noProof/>
              <w:color w:val="auto"/>
              <w:szCs w:val="22"/>
              <w:lang w:eastAsia="en-ZA"/>
            </w:rPr>
          </w:pPr>
          <w:hyperlink w:anchor="_Toc79349484" w:history="1">
            <w:r w:rsidR="00254989" w:rsidRPr="003B6888">
              <w:rPr>
                <w:rStyle w:val="Hyperlink"/>
                <w:noProof/>
              </w:rPr>
              <w:t>SECTION 2: Matters relating to the auditor’s report</w:t>
            </w:r>
            <w:r w:rsidR="00254989">
              <w:rPr>
                <w:noProof/>
                <w:webHidden/>
              </w:rPr>
              <w:tab/>
            </w:r>
            <w:r w:rsidR="00254989">
              <w:rPr>
                <w:noProof/>
                <w:webHidden/>
              </w:rPr>
              <w:fldChar w:fldCharType="begin"/>
            </w:r>
            <w:r w:rsidR="00254989">
              <w:rPr>
                <w:noProof/>
                <w:webHidden/>
              </w:rPr>
              <w:instrText xml:space="preserve"> PAGEREF _Toc79349484 \h </w:instrText>
            </w:r>
            <w:r w:rsidR="00254989">
              <w:rPr>
                <w:noProof/>
                <w:webHidden/>
              </w:rPr>
            </w:r>
            <w:r w:rsidR="00254989">
              <w:rPr>
                <w:noProof/>
                <w:webHidden/>
              </w:rPr>
              <w:fldChar w:fldCharType="separate"/>
            </w:r>
            <w:r w:rsidR="00254989">
              <w:rPr>
                <w:noProof/>
                <w:webHidden/>
              </w:rPr>
              <w:t>10</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85" w:history="1">
            <w:r w:rsidR="00254989" w:rsidRPr="003B6888">
              <w:rPr>
                <w:rStyle w:val="Hyperlink"/>
                <w:noProof/>
              </w:rPr>
              <w:t>AUDIT OF THE FINANCIAL STATEMENTS</w:t>
            </w:r>
            <w:r w:rsidR="00254989">
              <w:rPr>
                <w:noProof/>
                <w:webHidden/>
              </w:rPr>
              <w:tab/>
            </w:r>
            <w:r w:rsidR="00254989">
              <w:rPr>
                <w:noProof/>
                <w:webHidden/>
              </w:rPr>
              <w:fldChar w:fldCharType="begin"/>
            </w:r>
            <w:r w:rsidR="00254989">
              <w:rPr>
                <w:noProof/>
                <w:webHidden/>
              </w:rPr>
              <w:instrText xml:space="preserve"> PAGEREF _Toc79349485 \h </w:instrText>
            </w:r>
            <w:r w:rsidR="00254989">
              <w:rPr>
                <w:noProof/>
                <w:webHidden/>
              </w:rPr>
            </w:r>
            <w:r w:rsidR="00254989">
              <w:rPr>
                <w:noProof/>
                <w:webHidden/>
              </w:rPr>
              <w:fldChar w:fldCharType="separate"/>
            </w:r>
            <w:r w:rsidR="00254989">
              <w:rPr>
                <w:noProof/>
                <w:webHidden/>
              </w:rPr>
              <w:t>10</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86" w:history="1">
            <w:r w:rsidR="00254989" w:rsidRPr="003B6888">
              <w:rPr>
                <w:rStyle w:val="Hyperlink"/>
                <w:noProof/>
              </w:rPr>
              <w:t>AUDIT OF THE ANNUAL PERFORMANCE REPORT</w:t>
            </w:r>
            <w:r w:rsidR="00254989">
              <w:rPr>
                <w:noProof/>
                <w:webHidden/>
              </w:rPr>
              <w:tab/>
            </w:r>
            <w:r w:rsidR="00254989">
              <w:rPr>
                <w:noProof/>
                <w:webHidden/>
              </w:rPr>
              <w:fldChar w:fldCharType="begin"/>
            </w:r>
            <w:r w:rsidR="00254989">
              <w:rPr>
                <w:noProof/>
                <w:webHidden/>
              </w:rPr>
              <w:instrText xml:space="preserve"> PAGEREF _Toc79349486 \h </w:instrText>
            </w:r>
            <w:r w:rsidR="00254989">
              <w:rPr>
                <w:noProof/>
                <w:webHidden/>
              </w:rPr>
            </w:r>
            <w:r w:rsidR="00254989">
              <w:rPr>
                <w:noProof/>
                <w:webHidden/>
              </w:rPr>
              <w:fldChar w:fldCharType="separate"/>
            </w:r>
            <w:r w:rsidR="00254989">
              <w:rPr>
                <w:noProof/>
                <w:webHidden/>
              </w:rPr>
              <w:t>12</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87" w:history="1">
            <w:r w:rsidR="00254989" w:rsidRPr="003B6888">
              <w:rPr>
                <w:rStyle w:val="Hyperlink"/>
                <w:noProof/>
              </w:rPr>
              <w:t>AUDIT OF COMPLIANCE WITH LEGISLATION</w:t>
            </w:r>
            <w:r w:rsidR="00254989">
              <w:rPr>
                <w:noProof/>
                <w:webHidden/>
              </w:rPr>
              <w:tab/>
            </w:r>
            <w:r w:rsidR="00254989">
              <w:rPr>
                <w:noProof/>
                <w:webHidden/>
              </w:rPr>
              <w:fldChar w:fldCharType="begin"/>
            </w:r>
            <w:r w:rsidR="00254989">
              <w:rPr>
                <w:noProof/>
                <w:webHidden/>
              </w:rPr>
              <w:instrText xml:space="preserve"> PAGEREF _Toc79349487 \h </w:instrText>
            </w:r>
            <w:r w:rsidR="00254989">
              <w:rPr>
                <w:noProof/>
                <w:webHidden/>
              </w:rPr>
            </w:r>
            <w:r w:rsidR="00254989">
              <w:rPr>
                <w:noProof/>
                <w:webHidden/>
              </w:rPr>
              <w:fldChar w:fldCharType="separate"/>
            </w:r>
            <w:r w:rsidR="00254989">
              <w:rPr>
                <w:noProof/>
                <w:webHidden/>
              </w:rPr>
              <w:t>13</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88" w:history="1">
            <w:r w:rsidR="00254989" w:rsidRPr="003B6888">
              <w:rPr>
                <w:rStyle w:val="Hyperlink"/>
                <w:noProof/>
              </w:rPr>
              <w:t>INTERNAL CONTROLS</w:t>
            </w:r>
            <w:r w:rsidR="00254989">
              <w:rPr>
                <w:noProof/>
                <w:webHidden/>
              </w:rPr>
              <w:tab/>
            </w:r>
            <w:r w:rsidR="00254989">
              <w:rPr>
                <w:noProof/>
                <w:webHidden/>
              </w:rPr>
              <w:fldChar w:fldCharType="begin"/>
            </w:r>
            <w:r w:rsidR="00254989">
              <w:rPr>
                <w:noProof/>
                <w:webHidden/>
              </w:rPr>
              <w:instrText xml:space="preserve"> PAGEREF _Toc79349488 \h </w:instrText>
            </w:r>
            <w:r w:rsidR="00254989">
              <w:rPr>
                <w:noProof/>
                <w:webHidden/>
              </w:rPr>
            </w:r>
            <w:r w:rsidR="00254989">
              <w:rPr>
                <w:noProof/>
                <w:webHidden/>
              </w:rPr>
              <w:fldChar w:fldCharType="separate"/>
            </w:r>
            <w:r w:rsidR="00254989">
              <w:rPr>
                <w:noProof/>
                <w:webHidden/>
              </w:rPr>
              <w:t>14</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89" w:history="1">
            <w:r w:rsidR="00254989" w:rsidRPr="003B6888">
              <w:rPr>
                <w:rStyle w:val="Hyperlink"/>
                <w:noProof/>
              </w:rPr>
              <w:t>MATERIAL IRREGULARITIES</w:t>
            </w:r>
            <w:r w:rsidR="00254989">
              <w:rPr>
                <w:noProof/>
                <w:webHidden/>
              </w:rPr>
              <w:tab/>
            </w:r>
            <w:r w:rsidR="00254989">
              <w:rPr>
                <w:noProof/>
                <w:webHidden/>
              </w:rPr>
              <w:fldChar w:fldCharType="begin"/>
            </w:r>
            <w:r w:rsidR="00254989">
              <w:rPr>
                <w:noProof/>
                <w:webHidden/>
              </w:rPr>
              <w:instrText xml:space="preserve"> PAGEREF _Toc79349489 \h </w:instrText>
            </w:r>
            <w:r w:rsidR="00254989">
              <w:rPr>
                <w:noProof/>
                <w:webHidden/>
              </w:rPr>
            </w:r>
            <w:r w:rsidR="00254989">
              <w:rPr>
                <w:noProof/>
                <w:webHidden/>
              </w:rPr>
              <w:fldChar w:fldCharType="separate"/>
            </w:r>
            <w:r w:rsidR="00254989">
              <w:rPr>
                <w:noProof/>
                <w:webHidden/>
              </w:rPr>
              <w:t>19</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90" w:history="1">
            <w:r w:rsidR="00254989" w:rsidRPr="003B6888">
              <w:rPr>
                <w:rStyle w:val="Hyperlink"/>
                <w:noProof/>
              </w:rPr>
              <w:t>OTHER REPORTS</w:t>
            </w:r>
            <w:r w:rsidR="00254989">
              <w:rPr>
                <w:noProof/>
                <w:webHidden/>
              </w:rPr>
              <w:tab/>
            </w:r>
            <w:r w:rsidR="00254989">
              <w:rPr>
                <w:noProof/>
                <w:webHidden/>
              </w:rPr>
              <w:fldChar w:fldCharType="begin"/>
            </w:r>
            <w:r w:rsidR="00254989">
              <w:rPr>
                <w:noProof/>
                <w:webHidden/>
              </w:rPr>
              <w:instrText xml:space="preserve"> PAGEREF _Toc79349490 \h </w:instrText>
            </w:r>
            <w:r w:rsidR="00254989">
              <w:rPr>
                <w:noProof/>
                <w:webHidden/>
              </w:rPr>
            </w:r>
            <w:r w:rsidR="00254989">
              <w:rPr>
                <w:noProof/>
                <w:webHidden/>
              </w:rPr>
              <w:fldChar w:fldCharType="separate"/>
            </w:r>
            <w:r w:rsidR="00254989">
              <w:rPr>
                <w:noProof/>
                <w:webHidden/>
              </w:rPr>
              <w:t>19</w:t>
            </w:r>
            <w:r w:rsidR="00254989">
              <w:rPr>
                <w:noProof/>
                <w:webHidden/>
              </w:rPr>
              <w:fldChar w:fldCharType="end"/>
            </w:r>
          </w:hyperlink>
        </w:p>
        <w:p w:rsidR="00254989" w:rsidRDefault="00E134C9">
          <w:pPr>
            <w:pStyle w:val="TOC2"/>
            <w:rPr>
              <w:rFonts w:asciiTheme="minorHAnsi" w:eastAsiaTheme="minorEastAsia" w:hAnsiTheme="minorHAnsi" w:cstheme="minorBidi"/>
              <w:b w:val="0"/>
              <w:noProof/>
              <w:color w:val="auto"/>
              <w:szCs w:val="22"/>
              <w:lang w:eastAsia="en-ZA"/>
            </w:rPr>
          </w:pPr>
          <w:hyperlink w:anchor="_Toc79349491" w:history="1">
            <w:r w:rsidR="00254989" w:rsidRPr="003B6888">
              <w:rPr>
                <w:rStyle w:val="Hyperlink"/>
                <w:noProof/>
              </w:rPr>
              <w:t>SECTION 3: Assurance providers and status of implementation of commitments and recommendations</w:t>
            </w:r>
            <w:r w:rsidR="00254989">
              <w:rPr>
                <w:noProof/>
                <w:webHidden/>
              </w:rPr>
              <w:tab/>
            </w:r>
            <w:r w:rsidR="00254989">
              <w:rPr>
                <w:noProof/>
                <w:webHidden/>
              </w:rPr>
              <w:fldChar w:fldCharType="begin"/>
            </w:r>
            <w:r w:rsidR="00254989">
              <w:rPr>
                <w:noProof/>
                <w:webHidden/>
              </w:rPr>
              <w:instrText xml:space="preserve"> PAGEREF _Toc79349491 \h </w:instrText>
            </w:r>
            <w:r w:rsidR="00254989">
              <w:rPr>
                <w:noProof/>
                <w:webHidden/>
              </w:rPr>
            </w:r>
            <w:r w:rsidR="00254989">
              <w:rPr>
                <w:noProof/>
                <w:webHidden/>
              </w:rPr>
              <w:fldChar w:fldCharType="separate"/>
            </w:r>
            <w:r w:rsidR="00254989">
              <w:rPr>
                <w:noProof/>
                <w:webHidden/>
              </w:rPr>
              <w:t>20</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92" w:history="1">
            <w:r w:rsidR="00254989" w:rsidRPr="003B6888">
              <w:rPr>
                <w:rStyle w:val="Hyperlink"/>
                <w:noProof/>
              </w:rPr>
              <w:t>ASSESSMENT OF ASSURANCE PROVIDERS</w:t>
            </w:r>
            <w:r w:rsidR="00254989">
              <w:rPr>
                <w:noProof/>
                <w:webHidden/>
              </w:rPr>
              <w:tab/>
            </w:r>
            <w:r w:rsidR="00254989">
              <w:rPr>
                <w:noProof/>
                <w:webHidden/>
              </w:rPr>
              <w:fldChar w:fldCharType="begin"/>
            </w:r>
            <w:r w:rsidR="00254989">
              <w:rPr>
                <w:noProof/>
                <w:webHidden/>
              </w:rPr>
              <w:instrText xml:space="preserve"> PAGEREF _Toc79349492 \h </w:instrText>
            </w:r>
            <w:r w:rsidR="00254989">
              <w:rPr>
                <w:noProof/>
                <w:webHidden/>
              </w:rPr>
            </w:r>
            <w:r w:rsidR="00254989">
              <w:rPr>
                <w:noProof/>
                <w:webHidden/>
              </w:rPr>
              <w:fldChar w:fldCharType="separate"/>
            </w:r>
            <w:r w:rsidR="00254989">
              <w:rPr>
                <w:noProof/>
                <w:webHidden/>
              </w:rPr>
              <w:t>20</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93" w:history="1">
            <w:r w:rsidR="00254989" w:rsidRPr="003B6888">
              <w:rPr>
                <w:rStyle w:val="Hyperlink"/>
                <w:noProof/>
              </w:rPr>
              <w:t>STATUS OF IMPLEMENTING COMMITMENTS AND RECOMMENDATIONS</w:t>
            </w:r>
            <w:r w:rsidR="00254989">
              <w:rPr>
                <w:noProof/>
                <w:webHidden/>
              </w:rPr>
              <w:tab/>
            </w:r>
            <w:r w:rsidR="00254989">
              <w:rPr>
                <w:noProof/>
                <w:webHidden/>
              </w:rPr>
              <w:fldChar w:fldCharType="begin"/>
            </w:r>
            <w:r w:rsidR="00254989">
              <w:rPr>
                <w:noProof/>
                <w:webHidden/>
              </w:rPr>
              <w:instrText xml:space="preserve"> PAGEREF _Toc79349493 \h </w:instrText>
            </w:r>
            <w:r w:rsidR="00254989">
              <w:rPr>
                <w:noProof/>
                <w:webHidden/>
              </w:rPr>
            </w:r>
            <w:r w:rsidR="00254989">
              <w:rPr>
                <w:noProof/>
                <w:webHidden/>
              </w:rPr>
              <w:fldChar w:fldCharType="separate"/>
            </w:r>
            <w:r w:rsidR="00254989">
              <w:rPr>
                <w:noProof/>
                <w:webHidden/>
              </w:rPr>
              <w:t>22</w:t>
            </w:r>
            <w:r w:rsidR="00254989">
              <w:rPr>
                <w:noProof/>
                <w:webHidden/>
              </w:rPr>
              <w:fldChar w:fldCharType="end"/>
            </w:r>
          </w:hyperlink>
        </w:p>
        <w:p w:rsidR="00254989" w:rsidRDefault="00E134C9">
          <w:pPr>
            <w:pStyle w:val="TOC2"/>
            <w:rPr>
              <w:rFonts w:asciiTheme="minorHAnsi" w:eastAsiaTheme="minorEastAsia" w:hAnsiTheme="minorHAnsi" w:cstheme="minorBidi"/>
              <w:b w:val="0"/>
              <w:noProof/>
              <w:color w:val="auto"/>
              <w:szCs w:val="22"/>
              <w:lang w:eastAsia="en-ZA"/>
            </w:rPr>
          </w:pPr>
          <w:hyperlink w:anchor="_Toc79349494" w:history="1">
            <w:r w:rsidR="00254989" w:rsidRPr="003B6888">
              <w:rPr>
                <w:rStyle w:val="Hyperlink"/>
                <w:noProof/>
              </w:rPr>
              <w:t>SECTION 4: Specific focus areas</w:t>
            </w:r>
            <w:r w:rsidR="00254989">
              <w:rPr>
                <w:noProof/>
                <w:webHidden/>
              </w:rPr>
              <w:tab/>
            </w:r>
            <w:r w:rsidR="00254989">
              <w:rPr>
                <w:noProof/>
                <w:webHidden/>
              </w:rPr>
              <w:fldChar w:fldCharType="begin"/>
            </w:r>
            <w:r w:rsidR="00254989">
              <w:rPr>
                <w:noProof/>
                <w:webHidden/>
              </w:rPr>
              <w:instrText xml:space="preserve"> PAGEREF _Toc79349494 \h </w:instrText>
            </w:r>
            <w:r w:rsidR="00254989">
              <w:rPr>
                <w:noProof/>
                <w:webHidden/>
              </w:rPr>
            </w:r>
            <w:r w:rsidR="00254989">
              <w:rPr>
                <w:noProof/>
                <w:webHidden/>
              </w:rPr>
              <w:fldChar w:fldCharType="separate"/>
            </w:r>
            <w:r w:rsidR="00254989">
              <w:rPr>
                <w:noProof/>
                <w:webHidden/>
              </w:rPr>
              <w:t>22</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95" w:history="1">
            <w:r w:rsidR="00254989" w:rsidRPr="003B6888">
              <w:rPr>
                <w:rStyle w:val="Hyperlink"/>
                <w:noProof/>
              </w:rPr>
              <w:t>FINANCIAL VIABILITY</w:t>
            </w:r>
            <w:r w:rsidR="00254989">
              <w:rPr>
                <w:noProof/>
                <w:webHidden/>
              </w:rPr>
              <w:tab/>
            </w:r>
            <w:r w:rsidR="00254989">
              <w:rPr>
                <w:noProof/>
                <w:webHidden/>
              </w:rPr>
              <w:fldChar w:fldCharType="begin"/>
            </w:r>
            <w:r w:rsidR="00254989">
              <w:rPr>
                <w:noProof/>
                <w:webHidden/>
              </w:rPr>
              <w:instrText xml:space="preserve"> PAGEREF _Toc79349495 \h </w:instrText>
            </w:r>
            <w:r w:rsidR="00254989">
              <w:rPr>
                <w:noProof/>
                <w:webHidden/>
              </w:rPr>
            </w:r>
            <w:r w:rsidR="00254989">
              <w:rPr>
                <w:noProof/>
                <w:webHidden/>
              </w:rPr>
              <w:fldChar w:fldCharType="separate"/>
            </w:r>
            <w:r w:rsidR="00254989">
              <w:rPr>
                <w:noProof/>
                <w:webHidden/>
              </w:rPr>
              <w:t>22</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96" w:history="1">
            <w:r w:rsidR="00254989" w:rsidRPr="003B6888">
              <w:rPr>
                <w:rStyle w:val="Hyperlink"/>
                <w:noProof/>
              </w:rPr>
              <w:t>PROCUREMENT AND CONTRACT MANAGEMENT</w:t>
            </w:r>
            <w:r w:rsidR="00254989">
              <w:rPr>
                <w:noProof/>
                <w:webHidden/>
              </w:rPr>
              <w:tab/>
            </w:r>
            <w:r w:rsidR="00254989">
              <w:rPr>
                <w:noProof/>
                <w:webHidden/>
              </w:rPr>
              <w:fldChar w:fldCharType="begin"/>
            </w:r>
            <w:r w:rsidR="00254989">
              <w:rPr>
                <w:noProof/>
                <w:webHidden/>
              </w:rPr>
              <w:instrText xml:space="preserve"> PAGEREF _Toc79349496 \h </w:instrText>
            </w:r>
            <w:r w:rsidR="00254989">
              <w:rPr>
                <w:noProof/>
                <w:webHidden/>
              </w:rPr>
            </w:r>
            <w:r w:rsidR="00254989">
              <w:rPr>
                <w:noProof/>
                <w:webHidden/>
              </w:rPr>
              <w:fldChar w:fldCharType="separate"/>
            </w:r>
            <w:r w:rsidR="00254989">
              <w:rPr>
                <w:noProof/>
                <w:webHidden/>
              </w:rPr>
              <w:t>25</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97" w:history="1">
            <w:r w:rsidR="00254989" w:rsidRPr="003B6888">
              <w:rPr>
                <w:rStyle w:val="Hyperlink"/>
                <w:noProof/>
              </w:rPr>
              <w:t>FRAUD AND CONSEQUENCE MANAGEMENT</w:t>
            </w:r>
            <w:r w:rsidR="00254989">
              <w:rPr>
                <w:noProof/>
                <w:webHidden/>
              </w:rPr>
              <w:tab/>
            </w:r>
            <w:r w:rsidR="00254989">
              <w:rPr>
                <w:noProof/>
                <w:webHidden/>
              </w:rPr>
              <w:fldChar w:fldCharType="begin"/>
            </w:r>
            <w:r w:rsidR="00254989">
              <w:rPr>
                <w:noProof/>
                <w:webHidden/>
              </w:rPr>
              <w:instrText xml:space="preserve"> PAGEREF _Toc79349497 \h </w:instrText>
            </w:r>
            <w:r w:rsidR="00254989">
              <w:rPr>
                <w:noProof/>
                <w:webHidden/>
              </w:rPr>
            </w:r>
            <w:r w:rsidR="00254989">
              <w:rPr>
                <w:noProof/>
                <w:webHidden/>
              </w:rPr>
              <w:fldChar w:fldCharType="separate"/>
            </w:r>
            <w:r w:rsidR="00254989">
              <w:rPr>
                <w:noProof/>
                <w:webHidden/>
              </w:rPr>
              <w:t>28</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98" w:history="1">
            <w:r w:rsidR="00254989" w:rsidRPr="003B6888">
              <w:rPr>
                <w:rStyle w:val="Hyperlink"/>
                <w:noProof/>
              </w:rPr>
              <w:t>BROAD</w:t>
            </w:r>
            <w:r w:rsidR="00254989" w:rsidRPr="003B6888">
              <w:rPr>
                <w:rStyle w:val="Hyperlink"/>
                <w:bCs/>
                <w:noProof/>
              </w:rPr>
              <w:t>-BASED BLACK ECONOMIC EMPOWERMENT (B-BBEE) ACT AND REGULATIONS REQUIREMENTS</w:t>
            </w:r>
            <w:r w:rsidR="00254989">
              <w:rPr>
                <w:noProof/>
                <w:webHidden/>
              </w:rPr>
              <w:tab/>
            </w:r>
            <w:r w:rsidR="00254989">
              <w:rPr>
                <w:noProof/>
                <w:webHidden/>
              </w:rPr>
              <w:fldChar w:fldCharType="begin"/>
            </w:r>
            <w:r w:rsidR="00254989">
              <w:rPr>
                <w:noProof/>
                <w:webHidden/>
              </w:rPr>
              <w:instrText xml:space="preserve"> PAGEREF _Toc79349498 \h </w:instrText>
            </w:r>
            <w:r w:rsidR="00254989">
              <w:rPr>
                <w:noProof/>
                <w:webHidden/>
              </w:rPr>
            </w:r>
            <w:r w:rsidR="00254989">
              <w:rPr>
                <w:noProof/>
                <w:webHidden/>
              </w:rPr>
              <w:fldChar w:fldCharType="separate"/>
            </w:r>
            <w:r w:rsidR="00254989">
              <w:rPr>
                <w:noProof/>
                <w:webHidden/>
              </w:rPr>
              <w:t>33</w:t>
            </w:r>
            <w:r w:rsidR="00254989">
              <w:rPr>
                <w:noProof/>
                <w:webHidden/>
              </w:rPr>
              <w:fldChar w:fldCharType="end"/>
            </w:r>
          </w:hyperlink>
        </w:p>
        <w:p w:rsidR="00254989" w:rsidRDefault="00E134C9">
          <w:pPr>
            <w:pStyle w:val="TOC3"/>
            <w:rPr>
              <w:rFonts w:asciiTheme="minorHAnsi" w:eastAsiaTheme="minorEastAsia" w:hAnsiTheme="minorHAnsi" w:cstheme="minorBidi"/>
              <w:noProof/>
              <w:color w:val="auto"/>
              <w:szCs w:val="22"/>
              <w:lang w:eastAsia="en-ZA"/>
            </w:rPr>
          </w:pPr>
          <w:hyperlink w:anchor="_Toc79349499" w:history="1">
            <w:r w:rsidR="00254989" w:rsidRPr="003B6888">
              <w:rPr>
                <w:rStyle w:val="Hyperlink"/>
                <w:caps/>
                <w:noProof/>
              </w:rPr>
              <w:t>Covid-related procurement and transactions</w:t>
            </w:r>
            <w:r w:rsidR="00254989">
              <w:rPr>
                <w:noProof/>
                <w:webHidden/>
              </w:rPr>
              <w:tab/>
            </w:r>
            <w:r w:rsidR="00254989">
              <w:rPr>
                <w:noProof/>
                <w:webHidden/>
              </w:rPr>
              <w:fldChar w:fldCharType="begin"/>
            </w:r>
            <w:r w:rsidR="00254989">
              <w:rPr>
                <w:noProof/>
                <w:webHidden/>
              </w:rPr>
              <w:instrText xml:space="preserve"> PAGEREF _Toc79349499 \h </w:instrText>
            </w:r>
            <w:r w:rsidR="00254989">
              <w:rPr>
                <w:noProof/>
                <w:webHidden/>
              </w:rPr>
            </w:r>
            <w:r w:rsidR="00254989">
              <w:rPr>
                <w:noProof/>
                <w:webHidden/>
              </w:rPr>
              <w:fldChar w:fldCharType="separate"/>
            </w:r>
            <w:r w:rsidR="00254989">
              <w:rPr>
                <w:noProof/>
                <w:webHidden/>
              </w:rPr>
              <w:t>33</w:t>
            </w:r>
            <w:r w:rsidR="00254989">
              <w:rPr>
                <w:noProof/>
                <w:webHidden/>
              </w:rPr>
              <w:fldChar w:fldCharType="end"/>
            </w:r>
          </w:hyperlink>
        </w:p>
        <w:p w:rsidR="00254989" w:rsidRDefault="00E134C9">
          <w:pPr>
            <w:pStyle w:val="TOC2"/>
            <w:rPr>
              <w:rFonts w:asciiTheme="minorHAnsi" w:eastAsiaTheme="minorEastAsia" w:hAnsiTheme="minorHAnsi" w:cstheme="minorBidi"/>
              <w:b w:val="0"/>
              <w:noProof/>
              <w:color w:val="auto"/>
              <w:szCs w:val="22"/>
              <w:lang w:eastAsia="en-ZA"/>
            </w:rPr>
          </w:pPr>
          <w:hyperlink w:anchor="_Toc79349500" w:history="1">
            <w:r w:rsidR="00254989" w:rsidRPr="003B6888">
              <w:rPr>
                <w:rStyle w:val="Hyperlink"/>
                <w:noProof/>
              </w:rPr>
              <w:t>SECTION 5. Using the work of internal audit</w:t>
            </w:r>
            <w:r w:rsidR="00254989">
              <w:rPr>
                <w:noProof/>
                <w:webHidden/>
              </w:rPr>
              <w:tab/>
            </w:r>
            <w:r w:rsidR="00254989">
              <w:rPr>
                <w:noProof/>
                <w:webHidden/>
              </w:rPr>
              <w:fldChar w:fldCharType="begin"/>
            </w:r>
            <w:r w:rsidR="00254989">
              <w:rPr>
                <w:noProof/>
                <w:webHidden/>
              </w:rPr>
              <w:instrText xml:space="preserve"> PAGEREF _Toc79349500 \h </w:instrText>
            </w:r>
            <w:r w:rsidR="00254989">
              <w:rPr>
                <w:noProof/>
                <w:webHidden/>
              </w:rPr>
            </w:r>
            <w:r w:rsidR="00254989">
              <w:rPr>
                <w:noProof/>
                <w:webHidden/>
              </w:rPr>
              <w:fldChar w:fldCharType="separate"/>
            </w:r>
            <w:r w:rsidR="00254989">
              <w:rPr>
                <w:noProof/>
                <w:webHidden/>
              </w:rPr>
              <w:t>33</w:t>
            </w:r>
            <w:r w:rsidR="00254989">
              <w:rPr>
                <w:noProof/>
                <w:webHidden/>
              </w:rPr>
              <w:fldChar w:fldCharType="end"/>
            </w:r>
          </w:hyperlink>
        </w:p>
        <w:p w:rsidR="00254989" w:rsidRDefault="00E134C9">
          <w:pPr>
            <w:pStyle w:val="TOC2"/>
            <w:rPr>
              <w:rFonts w:asciiTheme="minorHAnsi" w:eastAsiaTheme="minorEastAsia" w:hAnsiTheme="minorHAnsi" w:cstheme="minorBidi"/>
              <w:b w:val="0"/>
              <w:noProof/>
              <w:color w:val="auto"/>
              <w:szCs w:val="22"/>
              <w:lang w:eastAsia="en-ZA"/>
            </w:rPr>
          </w:pPr>
          <w:hyperlink w:anchor="_Toc79349501" w:history="1">
            <w:r w:rsidR="00BB4C5C">
              <w:rPr>
                <w:rStyle w:val="Hyperlink"/>
                <w:noProof/>
              </w:rPr>
              <w:t>SECTION 7</w:t>
            </w:r>
            <w:r w:rsidR="00254989" w:rsidRPr="003B6888">
              <w:rPr>
                <w:rStyle w:val="Hyperlink"/>
                <w:noProof/>
              </w:rPr>
              <w:t>: Ratings of detailed audit findings</w:t>
            </w:r>
            <w:r w:rsidR="00254989">
              <w:rPr>
                <w:noProof/>
                <w:webHidden/>
              </w:rPr>
              <w:tab/>
            </w:r>
            <w:r w:rsidR="00254989">
              <w:rPr>
                <w:noProof/>
                <w:webHidden/>
              </w:rPr>
              <w:fldChar w:fldCharType="begin"/>
            </w:r>
            <w:r w:rsidR="00254989">
              <w:rPr>
                <w:noProof/>
                <w:webHidden/>
              </w:rPr>
              <w:instrText xml:space="preserve"> PAGEREF _Toc79349501 \h </w:instrText>
            </w:r>
            <w:r w:rsidR="00254989">
              <w:rPr>
                <w:noProof/>
                <w:webHidden/>
              </w:rPr>
            </w:r>
            <w:r w:rsidR="00254989">
              <w:rPr>
                <w:noProof/>
                <w:webHidden/>
              </w:rPr>
              <w:fldChar w:fldCharType="separate"/>
            </w:r>
            <w:r w:rsidR="00254989">
              <w:rPr>
                <w:noProof/>
                <w:webHidden/>
              </w:rPr>
              <w:t>34</w:t>
            </w:r>
            <w:r w:rsidR="00254989">
              <w:rPr>
                <w:noProof/>
                <w:webHidden/>
              </w:rPr>
              <w:fldChar w:fldCharType="end"/>
            </w:r>
          </w:hyperlink>
        </w:p>
        <w:p w:rsidR="00254989" w:rsidRDefault="00E134C9">
          <w:pPr>
            <w:pStyle w:val="TOC2"/>
            <w:rPr>
              <w:rFonts w:asciiTheme="minorHAnsi" w:eastAsiaTheme="minorEastAsia" w:hAnsiTheme="minorHAnsi" w:cstheme="minorBidi"/>
              <w:b w:val="0"/>
              <w:noProof/>
              <w:color w:val="auto"/>
              <w:szCs w:val="22"/>
              <w:lang w:eastAsia="en-ZA"/>
            </w:rPr>
          </w:pPr>
          <w:hyperlink w:anchor="_Toc79349502" w:history="1">
            <w:r w:rsidR="00BB4C5C">
              <w:rPr>
                <w:rStyle w:val="Hyperlink"/>
                <w:noProof/>
              </w:rPr>
              <w:t>SECTION 8</w:t>
            </w:r>
            <w:r w:rsidR="00254989" w:rsidRPr="003B6888">
              <w:rPr>
                <w:rStyle w:val="Hyperlink"/>
                <w:noProof/>
              </w:rPr>
              <w:t>: Conclusion</w:t>
            </w:r>
            <w:r w:rsidR="00254989">
              <w:rPr>
                <w:noProof/>
                <w:webHidden/>
              </w:rPr>
              <w:tab/>
            </w:r>
            <w:r w:rsidR="00254989">
              <w:rPr>
                <w:noProof/>
                <w:webHidden/>
              </w:rPr>
              <w:fldChar w:fldCharType="begin"/>
            </w:r>
            <w:r w:rsidR="00254989">
              <w:rPr>
                <w:noProof/>
                <w:webHidden/>
              </w:rPr>
              <w:instrText xml:space="preserve"> PAGEREF _Toc79349502 \h </w:instrText>
            </w:r>
            <w:r w:rsidR="00254989">
              <w:rPr>
                <w:noProof/>
                <w:webHidden/>
              </w:rPr>
            </w:r>
            <w:r w:rsidR="00254989">
              <w:rPr>
                <w:noProof/>
                <w:webHidden/>
              </w:rPr>
              <w:fldChar w:fldCharType="separate"/>
            </w:r>
            <w:r w:rsidR="00254989">
              <w:rPr>
                <w:noProof/>
                <w:webHidden/>
              </w:rPr>
              <w:t>35</w:t>
            </w:r>
            <w:r w:rsidR="00254989">
              <w:rPr>
                <w:noProof/>
                <w:webHidden/>
              </w:rPr>
              <w:fldChar w:fldCharType="end"/>
            </w:r>
          </w:hyperlink>
        </w:p>
        <w:p w:rsidR="001F1CF5" w:rsidRPr="0077659B" w:rsidRDefault="006A7CD8">
          <w:r w:rsidRPr="0077659B">
            <w:rPr>
              <w:rFonts w:eastAsia="Times New Roman" w:cs="Arial"/>
              <w:b/>
              <w:color w:val="365F91"/>
            </w:rPr>
            <w:fldChar w:fldCharType="end"/>
          </w:r>
        </w:p>
      </w:sdtContent>
    </w:sdt>
    <w:p w:rsidR="00C22F2B" w:rsidRPr="0077659B" w:rsidRDefault="00C22F2B" w:rsidP="00C22F2B">
      <w:pPr>
        <w:tabs>
          <w:tab w:val="num" w:pos="0"/>
        </w:tabs>
        <w:spacing w:before="60" w:after="0" w:line="240" w:lineRule="auto"/>
        <w:ind w:left="851" w:hanging="851"/>
        <w:jc w:val="both"/>
        <w:rPr>
          <w:rFonts w:eastAsia="Times New Roman" w:cs="Arial"/>
          <w:b/>
          <w:bCs/>
          <w:iCs/>
          <w:color w:val="003B79"/>
          <w:sz w:val="24"/>
          <w:szCs w:val="24"/>
        </w:rPr>
      </w:pPr>
    </w:p>
    <w:p w:rsidR="00C22F2B" w:rsidRPr="0077659B" w:rsidRDefault="00C22F2B" w:rsidP="00C22F2B">
      <w:pPr>
        <w:spacing w:after="0" w:line="240" w:lineRule="auto"/>
        <w:jc w:val="both"/>
        <w:rPr>
          <w:rFonts w:eastAsia="Times New Roman" w:cs="Arial"/>
          <w:b/>
          <w:bCs/>
          <w:iCs/>
          <w:color w:val="003B79"/>
          <w:sz w:val="10"/>
          <w:szCs w:val="10"/>
        </w:rPr>
      </w:pPr>
    </w:p>
    <w:p w:rsidR="00C22F2B" w:rsidRPr="0077659B" w:rsidRDefault="00C22F2B" w:rsidP="00C22F2B">
      <w:pPr>
        <w:spacing w:after="0" w:line="240" w:lineRule="auto"/>
        <w:rPr>
          <w:rFonts w:eastAsia="Times New Roman" w:cs="Arial"/>
          <w:b/>
          <w:bCs/>
          <w:spacing w:val="-4"/>
          <w:sz w:val="10"/>
          <w:szCs w:val="10"/>
        </w:rPr>
      </w:pPr>
    </w:p>
    <w:p w:rsidR="00C22F2B" w:rsidRPr="0077659B" w:rsidRDefault="00C22F2B" w:rsidP="00C22F2B">
      <w:pPr>
        <w:spacing w:after="0" w:line="240" w:lineRule="auto"/>
        <w:rPr>
          <w:rFonts w:eastAsia="Times New Roman" w:cs="Arial"/>
          <w:b/>
          <w:bCs/>
          <w:spacing w:val="-4"/>
          <w:sz w:val="10"/>
          <w:szCs w:val="10"/>
        </w:rPr>
        <w:sectPr w:rsidR="00C22F2B" w:rsidRPr="0077659B" w:rsidSect="00C12C2B">
          <w:endnotePr>
            <w:numFmt w:val="decimal"/>
          </w:endnotePr>
          <w:pgSz w:w="11906" w:h="16838" w:code="9"/>
          <w:pgMar w:top="1134" w:right="1134" w:bottom="1134" w:left="1134" w:header="1814" w:footer="680" w:gutter="0"/>
          <w:cols w:space="720"/>
        </w:sectPr>
      </w:pPr>
    </w:p>
    <w:p w:rsidR="00C22F2B" w:rsidRPr="0077659B" w:rsidRDefault="00C22F2B" w:rsidP="00FA5B7A">
      <w:pPr>
        <w:pStyle w:val="Heading2"/>
      </w:pPr>
      <w:bookmarkStart w:id="0" w:name="_Toc447106579"/>
      <w:bookmarkStart w:id="1" w:name="_Toc31548090"/>
      <w:bookmarkStart w:id="2" w:name="_Toc40695666"/>
      <w:bookmarkStart w:id="3" w:name="_Toc41685565"/>
      <w:bookmarkStart w:id="4" w:name="_Toc41826025"/>
      <w:bookmarkStart w:id="5" w:name="_Toc42616102"/>
      <w:bookmarkStart w:id="6" w:name="_Toc79349480"/>
      <w:r w:rsidRPr="0077659B">
        <w:lastRenderedPageBreak/>
        <w:t>MANAGEMENT REPORT TO THE ACCOUNTING OFFICER</w:t>
      </w:r>
      <w:r w:rsidR="00DA785E">
        <w:t xml:space="preserve"> </w:t>
      </w:r>
      <w:r w:rsidRPr="0077659B">
        <w:t xml:space="preserve">ON THE AUDIT OF THE </w:t>
      </w:r>
      <w:r w:rsidR="005D1931">
        <w:t>property management trading entity</w:t>
      </w:r>
      <w:r w:rsidRPr="0077659B">
        <w:t xml:space="preserve"> FOR THE YEAR ENDED </w:t>
      </w:r>
      <w:bookmarkEnd w:id="0"/>
      <w:bookmarkEnd w:id="1"/>
      <w:bookmarkEnd w:id="2"/>
      <w:bookmarkEnd w:id="3"/>
      <w:bookmarkEnd w:id="4"/>
      <w:bookmarkEnd w:id="5"/>
      <w:r w:rsidR="005D1931">
        <w:t>31 march 2021</w:t>
      </w:r>
      <w:bookmarkEnd w:id="6"/>
    </w:p>
    <w:p w:rsidR="003A047F" w:rsidRPr="00871C3E" w:rsidRDefault="003A047F" w:rsidP="00153824">
      <w:pPr>
        <w:shd w:val="clear" w:color="auto" w:fill="FFFFFF"/>
        <w:spacing w:line="240" w:lineRule="auto"/>
        <w:ind w:left="425"/>
        <w:rPr>
          <w:rFonts w:eastAsia="Times New Roman" w:cs="Arial"/>
          <w:sz w:val="6"/>
          <w:szCs w:val="16"/>
        </w:rPr>
      </w:pPr>
    </w:p>
    <w:p w:rsidR="00AD6C24" w:rsidRPr="000F7205" w:rsidRDefault="00FA5B7A" w:rsidP="00DD409F">
      <w:pPr>
        <w:pStyle w:val="Heading2"/>
      </w:pPr>
      <w:bookmarkStart w:id="7" w:name="_Toc79349481"/>
      <w:r w:rsidRPr="0077659B">
        <w:t>INTRODUCTION</w:t>
      </w:r>
      <w:bookmarkEnd w:id="7"/>
    </w:p>
    <w:p w:rsidR="00AD6C24" w:rsidRPr="000F7205" w:rsidRDefault="00AD6C24" w:rsidP="00165C2D">
      <w:pPr>
        <w:pStyle w:val="Numbernormal"/>
        <w:numPr>
          <w:ilvl w:val="0"/>
          <w:numId w:val="14"/>
        </w:numPr>
        <w:ind w:left="567" w:hanging="567"/>
        <w:jc w:val="both"/>
      </w:pPr>
      <w:r w:rsidRPr="000F7205">
        <w:t>The purpose of the management report is to communicate audit findings and other key audit observations to the accounting officer and to provide a summary of the material irregularities and suspected material irregularities of which the accounting offic</w:t>
      </w:r>
      <w:r w:rsidR="00995066">
        <w:t>er</w:t>
      </w:r>
      <w:r w:rsidRPr="000F7205">
        <w:t xml:space="preserve"> was notified. The report does not</w:t>
      </w:r>
      <w:r w:rsidR="00D501E8" w:rsidRPr="000F7205">
        <w:t xml:space="preserve"> constitute public information.</w:t>
      </w:r>
    </w:p>
    <w:p w:rsidR="00AD6C24" w:rsidRPr="000F7205" w:rsidRDefault="00AD6C24" w:rsidP="00BB4C5C">
      <w:pPr>
        <w:pStyle w:val="Numbernormal"/>
        <w:ind w:left="567" w:hanging="11"/>
        <w:jc w:val="both"/>
      </w:pPr>
      <w:r w:rsidRPr="000F7205">
        <w:t xml:space="preserve">The management report includes audit findings arising from the audit of the financial statements, performance information and compliance with legislation for the year ended </w:t>
      </w:r>
      <w:r w:rsidR="00995066">
        <w:t>31 March 2021</w:t>
      </w:r>
      <w:r w:rsidRPr="000F7205">
        <w:t>. These findings were communicated to management and this report details management’s response to these findings. The report includes information on the internal control deficiencies that we identified as the root causes of the matters reported. Addressing these deficiencies will help to improve the audit outcome.</w:t>
      </w:r>
    </w:p>
    <w:p w:rsidR="00C22F2B" w:rsidRPr="000F7205" w:rsidRDefault="003A047F" w:rsidP="00165C2D">
      <w:pPr>
        <w:pStyle w:val="Numbernormal"/>
        <w:numPr>
          <w:ilvl w:val="0"/>
          <w:numId w:val="14"/>
        </w:numPr>
        <w:ind w:left="567" w:hanging="567"/>
        <w:jc w:val="both"/>
      </w:pPr>
      <w:r w:rsidRPr="000F7205">
        <w:t>In accordance with the terms of engagement, our responsibility in this regard is to</w:t>
      </w:r>
      <w:r w:rsidR="00C22F2B" w:rsidRPr="000F7205">
        <w:t xml:space="preserve">: </w:t>
      </w:r>
    </w:p>
    <w:p w:rsidR="00C22F2B" w:rsidRPr="000F7205" w:rsidRDefault="00C22F2B" w:rsidP="00BB4C5C">
      <w:pPr>
        <w:pStyle w:val="Bulletedlist"/>
        <w:ind w:left="851" w:hanging="284"/>
        <w:jc w:val="both"/>
      </w:pPr>
      <w:r w:rsidRPr="000F7205">
        <w:t>express an opinion on</w:t>
      </w:r>
      <w:r w:rsidR="00BB4C5C">
        <w:t xml:space="preserve"> the</w:t>
      </w:r>
      <w:r w:rsidRPr="000F7205">
        <w:t xml:space="preserve"> financial statements</w:t>
      </w:r>
    </w:p>
    <w:p w:rsidR="00C22F2B" w:rsidRPr="000F7205" w:rsidRDefault="00C22F2B" w:rsidP="00BB4C5C">
      <w:pPr>
        <w:pStyle w:val="Bulletedlist"/>
        <w:ind w:left="851" w:hanging="284"/>
        <w:jc w:val="both"/>
      </w:pPr>
      <w:r w:rsidRPr="000F7205">
        <w:t>express a</w:t>
      </w:r>
      <w:r w:rsidR="0058770D" w:rsidRPr="000F7205">
        <w:t>n opinion</w:t>
      </w:r>
      <w:r w:rsidRPr="000F7205">
        <w:t xml:space="preserve"> in the management report on the usefulness and reliability of the reported performance information for </w:t>
      </w:r>
      <w:r w:rsidR="00BB4C5C">
        <w:t>selected programmes</w:t>
      </w:r>
      <w:r w:rsidRPr="000F7205">
        <w:t>, and report the material findings in the auditor’s report</w:t>
      </w:r>
    </w:p>
    <w:p w:rsidR="00C22F2B" w:rsidRPr="000F7205" w:rsidRDefault="00C22F2B" w:rsidP="00BB4C5C">
      <w:pPr>
        <w:pStyle w:val="Bulletedlist"/>
        <w:ind w:left="851" w:hanging="284"/>
        <w:jc w:val="both"/>
      </w:pPr>
      <w:r w:rsidRPr="000F7205">
        <w:t xml:space="preserve">report on material findings relating to compliance with specific requirements in key applicable legislation, as set out in the general notice issued in terms of the Public Audit Act, 2004 (Act No. 25 of 2004) (PAA) </w:t>
      </w:r>
    </w:p>
    <w:p w:rsidR="00AD6C24" w:rsidRPr="000F7205" w:rsidRDefault="00AD6C24" w:rsidP="00165C2D">
      <w:pPr>
        <w:numPr>
          <w:ilvl w:val="0"/>
          <w:numId w:val="6"/>
        </w:numPr>
        <w:spacing w:line="240" w:lineRule="auto"/>
        <w:ind w:left="851" w:hanging="284"/>
        <w:jc w:val="both"/>
        <w:rPr>
          <w:rFonts w:eastAsia="Calibri"/>
        </w:rPr>
      </w:pPr>
      <w:r w:rsidRPr="000F7205">
        <w:rPr>
          <w:rFonts w:eastAsia="Calibri"/>
        </w:rPr>
        <w:t xml:space="preserve">notify the accounting officer of any material irregularity or suspected material irregularities identified during the audit, and report on </w:t>
      </w:r>
      <w:r w:rsidR="00AE3982" w:rsidRPr="000F7205">
        <w:rPr>
          <w:rFonts w:eastAsia="Calibri"/>
        </w:rPr>
        <w:t xml:space="preserve">it </w:t>
      </w:r>
      <w:r w:rsidRPr="000F7205">
        <w:rPr>
          <w:rFonts w:eastAsia="Calibri"/>
        </w:rPr>
        <w:t>in the auditor’s report.</w:t>
      </w:r>
    </w:p>
    <w:p w:rsidR="00C22F2B" w:rsidRPr="000F7205" w:rsidRDefault="00C22F2B" w:rsidP="00165C2D">
      <w:pPr>
        <w:pStyle w:val="Numbernormal"/>
        <w:numPr>
          <w:ilvl w:val="0"/>
          <w:numId w:val="14"/>
        </w:numPr>
        <w:ind w:left="567" w:hanging="567"/>
        <w:jc w:val="both"/>
      </w:pPr>
      <w:r w:rsidRPr="000F7205">
        <w:t xml:space="preserve">Our engagement letter sets out our responsibilities and those of the </w:t>
      </w:r>
      <w:r w:rsidR="00FA5B7A" w:rsidRPr="000F7205">
        <w:t xml:space="preserve">accounting </w:t>
      </w:r>
      <w:r w:rsidRPr="000F7205">
        <w:t xml:space="preserve">officer in detail. </w:t>
      </w:r>
    </w:p>
    <w:p w:rsidR="00C22F2B" w:rsidRPr="000F7205" w:rsidRDefault="00C22F2B" w:rsidP="00165C2D">
      <w:pPr>
        <w:pStyle w:val="Numbernormal"/>
        <w:numPr>
          <w:ilvl w:val="0"/>
          <w:numId w:val="14"/>
        </w:numPr>
        <w:ind w:left="567" w:hanging="567"/>
        <w:jc w:val="both"/>
      </w:pPr>
      <w:r w:rsidRPr="000F7205">
        <w:t xml:space="preserve">This management report consists of </w:t>
      </w:r>
      <w:r w:rsidR="00A65171" w:rsidRPr="000F7205">
        <w:t>the overall message arising from the audit, summary of key findings and observations, a</w:t>
      </w:r>
      <w:r w:rsidRPr="000F7205">
        <w:t>nnexures containing the detailed audit findings</w:t>
      </w:r>
      <w:r w:rsidR="00076FB3" w:rsidRPr="000F7205">
        <w:t>, annexures to the report on the audit of performance information as well as the annexure to internal control deficiencies reported</w:t>
      </w:r>
      <w:r w:rsidRPr="000F7205">
        <w:t>.</w:t>
      </w:r>
    </w:p>
    <w:p w:rsidR="00066121" w:rsidRPr="0077659B" w:rsidRDefault="00C22F2B" w:rsidP="00165C2D">
      <w:pPr>
        <w:pStyle w:val="Numbernormal"/>
        <w:numPr>
          <w:ilvl w:val="0"/>
          <w:numId w:val="14"/>
        </w:numPr>
        <w:ind w:left="567" w:hanging="567"/>
        <w:jc w:val="both"/>
      </w:pPr>
      <w:r w:rsidRPr="000F7205">
        <w:t xml:space="preserve">The auditor’s report is finalised only after the management report has been communicated. All matters included in this report that relate to the auditor’s report </w:t>
      </w:r>
      <w:r w:rsidR="00C516E8" w:rsidRPr="000F7205">
        <w:t xml:space="preserve">remain </w:t>
      </w:r>
      <w:r w:rsidRPr="000F7205">
        <w:t xml:space="preserve">in draft form until the final auditor’s report is signed. In adherence to section 50 of the PAA, we do not disclose any information obtained during the audit and contained in this management report. </w:t>
      </w:r>
    </w:p>
    <w:p w:rsidR="00F110DC" w:rsidRPr="0077659B" w:rsidRDefault="00F110DC" w:rsidP="00165C2D">
      <w:pPr>
        <w:pStyle w:val="Numbernormal"/>
        <w:numPr>
          <w:ilvl w:val="0"/>
          <w:numId w:val="14"/>
        </w:numPr>
        <w:ind w:left="567" w:hanging="501"/>
        <w:jc w:val="both"/>
      </w:pPr>
      <w:bookmarkStart w:id="8" w:name="OM1"/>
      <w:bookmarkEnd w:id="8"/>
      <w:r w:rsidRPr="0077659B">
        <w:t>The</w:t>
      </w:r>
      <w:r w:rsidR="002E76E3" w:rsidRPr="0077659B">
        <w:t xml:space="preserve"> </w:t>
      </w:r>
      <w:r w:rsidR="00607585" w:rsidRPr="0077659B">
        <w:rPr>
          <w:b/>
        </w:rPr>
        <w:t>figure</w:t>
      </w:r>
      <w:r w:rsidR="00607585" w:rsidRPr="0077659B">
        <w:t xml:space="preserve"> </w:t>
      </w:r>
      <w:r w:rsidRPr="0077659B">
        <w:t xml:space="preserve">that follows provides a pictorial summary of the </w:t>
      </w:r>
      <w:r w:rsidR="0007051A" w:rsidRPr="0077659B">
        <w:t>audit results</w:t>
      </w:r>
      <w:r w:rsidRPr="0077659B">
        <w:t xml:space="preserve"> </w:t>
      </w:r>
      <w:r w:rsidR="0007051A" w:rsidRPr="0077659B">
        <w:t>and our key mess</w:t>
      </w:r>
      <w:r w:rsidR="00BB4C5C">
        <w:t>ages on how to improve</w:t>
      </w:r>
      <w:r w:rsidR="0007051A" w:rsidRPr="0077659B">
        <w:t xml:space="preserve"> the audit outcomes </w:t>
      </w:r>
      <w:r w:rsidRPr="0077659B">
        <w:t>with the focus on the following:</w:t>
      </w:r>
    </w:p>
    <w:p w:rsidR="00F110DC" w:rsidRPr="0077659B" w:rsidRDefault="00F110DC" w:rsidP="00BB4C5C">
      <w:pPr>
        <w:pStyle w:val="Bulletedlist"/>
        <w:ind w:left="851" w:hanging="284"/>
        <w:jc w:val="both"/>
      </w:pPr>
      <w:r w:rsidRPr="0077659B">
        <w:t>Status of the audit outcomes</w:t>
      </w:r>
    </w:p>
    <w:p w:rsidR="00F110DC" w:rsidRPr="0077659B" w:rsidRDefault="00F110DC" w:rsidP="00BB4C5C">
      <w:pPr>
        <w:pStyle w:val="Bulletedlist"/>
        <w:ind w:left="851" w:hanging="284"/>
        <w:jc w:val="both"/>
      </w:pPr>
      <w:r w:rsidRPr="0077659B">
        <w:lastRenderedPageBreak/>
        <w:t>Status of the level of assurance provided by key role players</w:t>
      </w:r>
    </w:p>
    <w:p w:rsidR="00F110DC" w:rsidRPr="0077659B" w:rsidRDefault="00F110DC" w:rsidP="00BB4C5C">
      <w:pPr>
        <w:pStyle w:val="Bulletedlist"/>
        <w:ind w:left="851" w:hanging="284"/>
        <w:jc w:val="both"/>
      </w:pPr>
      <w:r w:rsidRPr="0077659B">
        <w:t>Status of the drivers of internal controls</w:t>
      </w:r>
    </w:p>
    <w:p w:rsidR="00F110DC" w:rsidRPr="0077659B" w:rsidRDefault="00F110DC" w:rsidP="00BB4C5C">
      <w:pPr>
        <w:pStyle w:val="Bulletedlist"/>
        <w:ind w:left="851" w:hanging="284"/>
        <w:jc w:val="both"/>
      </w:pPr>
      <w:r w:rsidRPr="0077659B">
        <w:t xml:space="preserve">Status of risk areas </w:t>
      </w:r>
    </w:p>
    <w:p w:rsidR="00F110DC" w:rsidRPr="0077659B" w:rsidRDefault="00F110DC" w:rsidP="00BB4C5C">
      <w:pPr>
        <w:pStyle w:val="Bulletedlist"/>
        <w:ind w:left="851" w:hanging="284"/>
        <w:jc w:val="both"/>
      </w:pPr>
      <w:r w:rsidRPr="0077659B">
        <w:t>Root causes to be addressed</w:t>
      </w:r>
      <w:r w:rsidR="0007051A" w:rsidRPr="0077659B">
        <w:t>/Best practices that should be maintained</w:t>
      </w:r>
    </w:p>
    <w:p w:rsidR="00F73648" w:rsidRPr="0077659B" w:rsidRDefault="00253FDE" w:rsidP="00165C2D">
      <w:pPr>
        <w:pStyle w:val="Numbernormal"/>
        <w:numPr>
          <w:ilvl w:val="0"/>
          <w:numId w:val="14"/>
        </w:numPr>
        <w:ind w:left="567" w:hanging="567"/>
        <w:jc w:val="both"/>
      </w:pPr>
      <w:r w:rsidRPr="0077659B">
        <w:rPr>
          <w:noProof/>
          <w:lang w:val="en-GB" w:eastAsia="en-GB"/>
        </w:rPr>
        <mc:AlternateContent>
          <mc:Choice Requires="wpg">
            <w:drawing>
              <wp:anchor distT="0" distB="0" distL="114300" distR="114300" simplePos="0" relativeHeight="251652608" behindDoc="0" locked="0" layoutInCell="1" allowOverlap="1" wp14:anchorId="70B65DD8" wp14:editId="27E8FB00">
                <wp:simplePos x="0" y="0"/>
                <wp:positionH relativeFrom="column">
                  <wp:posOffset>380365</wp:posOffset>
                </wp:positionH>
                <wp:positionV relativeFrom="paragraph">
                  <wp:posOffset>240665</wp:posOffset>
                </wp:positionV>
                <wp:extent cx="618490" cy="713105"/>
                <wp:effectExtent l="0" t="0" r="0" b="0"/>
                <wp:wrapNone/>
                <wp:docPr id="1" name="Group 1"/>
                <wp:cNvGraphicFramePr/>
                <a:graphic xmlns:a="http://schemas.openxmlformats.org/drawingml/2006/main">
                  <a:graphicData uri="http://schemas.microsoft.com/office/word/2010/wordprocessingGroup">
                    <wpg:wgp>
                      <wpg:cNvGrpSpPr/>
                      <wpg:grpSpPr>
                        <a:xfrm>
                          <a:off x="0" y="0"/>
                          <a:ext cx="618490" cy="713105"/>
                          <a:chOff x="0" y="0"/>
                          <a:chExt cx="618617" cy="713714"/>
                        </a:xfrm>
                      </wpg:grpSpPr>
                      <pic:pic xmlns:pic="http://schemas.openxmlformats.org/drawingml/2006/picture">
                        <pic:nvPicPr>
                          <pic:cNvPr id="120" name="Picture 119"/>
                          <pic:cNvPicPr/>
                        </pic:nvPicPr>
                        <pic:blipFill>
                          <a:blip r:embed="rId18" cstate="print">
                            <a:extLst>
                              <a:ext uri="{28A0092B-C50C-407E-A947-70E740481C1C}">
                                <a14:useLocalDpi xmlns:a14="http://schemas.microsoft.com/office/drawing/2010/main" val="0"/>
                              </a:ext>
                            </a:extLst>
                          </a:blip>
                          <a:stretch>
                            <a:fillRect/>
                          </a:stretch>
                        </pic:blipFill>
                        <pic:spPr>
                          <a:xfrm>
                            <a:off x="219456" y="0"/>
                            <a:ext cx="179705" cy="179705"/>
                          </a:xfrm>
                          <a:prstGeom prst="rect">
                            <a:avLst/>
                          </a:prstGeom>
                        </pic:spPr>
                      </pic:pic>
                      <pic:pic xmlns:pic="http://schemas.openxmlformats.org/drawingml/2006/picture">
                        <pic:nvPicPr>
                          <pic:cNvPr id="16" name="Picture 116"/>
                          <pic:cNvPicPr/>
                        </pic:nvPicPr>
                        <pic:blipFill>
                          <a:blip r:embed="rId19" cstate="print">
                            <a:extLst>
                              <a:ext uri="{28A0092B-C50C-407E-A947-70E740481C1C}">
                                <a14:useLocalDpi xmlns:a14="http://schemas.microsoft.com/office/drawing/2010/main" val="0"/>
                              </a:ext>
                            </a:extLst>
                          </a:blip>
                          <a:stretch>
                            <a:fillRect/>
                          </a:stretch>
                        </pic:blipFill>
                        <pic:spPr>
                          <a:xfrm>
                            <a:off x="219456" y="256032"/>
                            <a:ext cx="179705" cy="179705"/>
                          </a:xfrm>
                          <a:prstGeom prst="rect">
                            <a:avLst/>
                          </a:prstGeom>
                        </pic:spPr>
                      </pic:pic>
                      <pic:pic xmlns:pic="http://schemas.openxmlformats.org/drawingml/2006/picture">
                        <pic:nvPicPr>
                          <pic:cNvPr id="17" name="Picture 117"/>
                          <pic:cNvPicPr/>
                        </pic:nvPicPr>
                        <pic:blipFill>
                          <a:blip r:embed="rId19" cstate="print">
                            <a:extLst>
                              <a:ext uri="{28A0092B-C50C-407E-A947-70E740481C1C}">
                                <a14:useLocalDpi xmlns:a14="http://schemas.microsoft.com/office/drawing/2010/main" val="0"/>
                              </a:ext>
                            </a:extLst>
                          </a:blip>
                          <a:stretch>
                            <a:fillRect/>
                          </a:stretch>
                        </pic:blipFill>
                        <pic:spPr>
                          <a:xfrm flipV="1">
                            <a:off x="438912" y="256032"/>
                            <a:ext cx="179705" cy="179705"/>
                          </a:xfrm>
                          <a:prstGeom prst="rect">
                            <a:avLst/>
                          </a:prstGeom>
                        </pic:spPr>
                      </pic:pic>
                      <pic:pic xmlns:pic="http://schemas.openxmlformats.org/drawingml/2006/picture">
                        <pic:nvPicPr>
                          <pic:cNvPr id="18" name="Picture 118"/>
                          <pic:cNvPicPr/>
                        </pic:nvPicPr>
                        <pic:blipFill>
                          <a:blip r:embed="rId19" cstate="print">
                            <a:extLst>
                              <a:ext uri="{28A0092B-C50C-407E-A947-70E740481C1C}">
                                <a14:useLocalDpi xmlns:a14="http://schemas.microsoft.com/office/drawing/2010/main" val="0"/>
                              </a:ext>
                            </a:extLst>
                          </a:blip>
                          <a:stretch>
                            <a:fillRect/>
                          </a:stretch>
                        </pic:blipFill>
                        <pic:spPr>
                          <a:xfrm rot="5400000" flipH="1">
                            <a:off x="0" y="256032"/>
                            <a:ext cx="179705" cy="179705"/>
                          </a:xfrm>
                          <a:prstGeom prst="rect">
                            <a:avLst/>
                          </a:prstGeom>
                        </pic:spPr>
                      </pic:pic>
                      <pic:pic xmlns:pic="http://schemas.openxmlformats.org/drawingml/2006/picture">
                        <pic:nvPicPr>
                          <pic:cNvPr id="116" name="Picture 115"/>
                          <pic:cNvPicPr/>
                        </pic:nvPicPr>
                        <pic:blipFill>
                          <a:blip r:embed="rId20" cstate="print">
                            <a:extLst>
                              <a:ext uri="{28A0092B-C50C-407E-A947-70E740481C1C}">
                                <a14:useLocalDpi xmlns:a14="http://schemas.microsoft.com/office/drawing/2010/main" val="0"/>
                              </a:ext>
                            </a:extLst>
                          </a:blip>
                          <a:stretch>
                            <a:fillRect/>
                          </a:stretch>
                        </pic:blipFill>
                        <pic:spPr>
                          <a:xfrm>
                            <a:off x="219456" y="534009"/>
                            <a:ext cx="179705" cy="179705"/>
                          </a:xfrm>
                          <a:prstGeom prst="rect">
                            <a:avLst/>
                          </a:prstGeom>
                        </pic:spPr>
                      </pic:pic>
                    </wpg:wgp>
                  </a:graphicData>
                </a:graphic>
              </wp:anchor>
            </w:drawing>
          </mc:Choice>
          <mc:Fallback>
            <w:pict>
              <v:group w14:anchorId="4FC57AE5" id="Group 1" o:spid="_x0000_s1026" style="position:absolute;margin-left:29.95pt;margin-top:18.95pt;width:48.7pt;height:56.15pt;z-index:251652608" coordsize="6186,7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">
                <v:shape id="Picture 119" o:spid="_x0000_s1027" type="#_x0000_t75" style="position:absolute;left:2194;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">
                  <v:imagedata r:id="rId21" o:title=""/>
                </v:shape>
                <v:shape id="Picture 116" o:spid="_x0000_s1028" type="#_x0000_t75" style="position:absolute;left:2194;top:256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">
                  <v:imagedata r:id="rId22" o:title=""/>
                </v:shape>
                <v:shape id="Picture 117" o:spid="_x0000_s1029" type="#_x0000_t75" style="position:absolute;left:4389;top:2560;width:1797;height:17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">
                  <v:imagedata r:id="rId22" o:title=""/>
                </v:shape>
                <v:shape id="Picture 118" o:spid="_x0000_s1030" type="#_x0000_t75" style="position:absolute;top:2560;width:1797;height:1797;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">
                  <v:imagedata r:id="rId22" o:title=""/>
                </v:shape>
                <v:shape id="Picture 115" o:spid="_x0000_s1031" type="#_x0000_t75" style="position:absolute;left:2194;top:534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">
                  <v:imagedata r:id="rId23" o:title=""/>
                </v:shape>
              </v:group>
            </w:pict>
          </mc:Fallback>
        </mc:AlternateContent>
      </w:r>
      <w:r w:rsidR="00581DB9" w:rsidRPr="0077659B">
        <w:t>Movement from the previous year is depicted as follows</w:t>
      </w:r>
      <w:r w:rsidR="00E852E7" w:rsidRPr="0077659B">
        <w:t>:</w:t>
      </w:r>
    </w:p>
    <w:p w:rsidR="00F73648" w:rsidRPr="0077659B" w:rsidRDefault="001B6809" w:rsidP="00BB4C5C">
      <w:pPr>
        <w:spacing w:before="60" w:after="60"/>
        <w:ind w:left="426"/>
        <w:jc w:val="both"/>
        <w:rPr>
          <w:rFonts w:cs="Arial"/>
        </w:rPr>
      </w:pPr>
      <w:r w:rsidRPr="0077659B">
        <w:rPr>
          <w:rFonts w:cs="Arial"/>
        </w:rPr>
        <w:t xml:space="preserve">       </w:t>
      </w:r>
      <w:r w:rsidR="00F73648" w:rsidRPr="0077659B">
        <w:rPr>
          <w:rFonts w:cs="Arial"/>
        </w:rPr>
        <w:t xml:space="preserve">  </w:t>
      </w:r>
      <w:r w:rsidR="00D4011C">
        <w:rPr>
          <w:rFonts w:cs="Arial"/>
        </w:rPr>
        <w:t xml:space="preserve">            </w:t>
      </w:r>
      <w:r w:rsidR="00F73648" w:rsidRPr="0077659B">
        <w:rPr>
          <w:rFonts w:cs="Arial"/>
        </w:rPr>
        <w:t xml:space="preserve">Improved </w:t>
      </w:r>
    </w:p>
    <w:p w:rsidR="00F73648" w:rsidRPr="0077659B" w:rsidRDefault="001B6809" w:rsidP="00BB4C5C">
      <w:pPr>
        <w:spacing w:before="120"/>
        <w:ind w:left="425"/>
        <w:jc w:val="both"/>
        <w:rPr>
          <w:rFonts w:cs="Arial"/>
        </w:rPr>
      </w:pPr>
      <w:r w:rsidRPr="0077659B">
        <w:t xml:space="preserve">          </w:t>
      </w:r>
      <w:r w:rsidR="00F73648" w:rsidRPr="0077659B">
        <w:t xml:space="preserve"> </w:t>
      </w:r>
      <w:r w:rsidR="00D4011C">
        <w:t xml:space="preserve">          </w:t>
      </w:r>
      <w:r w:rsidR="00F73648" w:rsidRPr="0077659B">
        <w:rPr>
          <w:rFonts w:cs="Arial"/>
        </w:rPr>
        <w:t xml:space="preserve">Unchanged / slight improvement / slight regression     </w:t>
      </w:r>
    </w:p>
    <w:p w:rsidR="00F73648" w:rsidRPr="0077659B" w:rsidRDefault="001B6809" w:rsidP="00BB4C5C">
      <w:pPr>
        <w:spacing w:before="120" w:after="60"/>
        <w:ind w:left="425"/>
        <w:jc w:val="both"/>
        <w:rPr>
          <w:rFonts w:cs="Arial"/>
        </w:rPr>
      </w:pPr>
      <w:r w:rsidRPr="0077659B">
        <w:rPr>
          <w:rFonts w:cs="Arial"/>
        </w:rPr>
        <w:t xml:space="preserve">      </w:t>
      </w:r>
      <w:r w:rsidR="00F73648" w:rsidRPr="0077659B">
        <w:rPr>
          <w:rFonts w:cs="Arial"/>
        </w:rPr>
        <w:t xml:space="preserve">  </w:t>
      </w:r>
      <w:r w:rsidR="00D4011C">
        <w:rPr>
          <w:rFonts w:cs="Arial"/>
        </w:rPr>
        <w:t xml:space="preserve">         </w:t>
      </w:r>
      <w:r w:rsidR="00F73648" w:rsidRPr="0077659B">
        <w:rPr>
          <w:rFonts w:cs="Arial"/>
        </w:rPr>
        <w:t xml:space="preserve"> </w:t>
      </w:r>
      <w:r w:rsidR="00D4011C">
        <w:rPr>
          <w:rFonts w:cs="Arial"/>
        </w:rPr>
        <w:t xml:space="preserve">   </w:t>
      </w:r>
      <w:r w:rsidR="00F73648" w:rsidRPr="0077659B">
        <w:rPr>
          <w:rFonts w:cs="Arial"/>
        </w:rPr>
        <w:t>Regressed</w:t>
      </w:r>
    </w:p>
    <w:p w:rsidR="008677D8" w:rsidRPr="0077659B" w:rsidRDefault="008677D8" w:rsidP="00C22F2B">
      <w:pPr>
        <w:spacing w:after="240" w:line="240" w:lineRule="auto"/>
        <w:rPr>
          <w:rFonts w:eastAsia="Times New Roman" w:cs="Arial"/>
          <w:sz w:val="6"/>
          <w:szCs w:val="6"/>
        </w:rPr>
        <w:sectPr w:rsidR="008677D8" w:rsidRPr="0077659B" w:rsidSect="00C12C2B">
          <w:headerReference w:type="default" r:id="rId24"/>
          <w:footerReference w:type="default" r:id="rId25"/>
          <w:endnotePr>
            <w:numFmt w:val="decimal"/>
          </w:endnotePr>
          <w:pgSz w:w="11906" w:h="16838" w:code="9"/>
          <w:pgMar w:top="1245" w:right="1134" w:bottom="1134" w:left="1134" w:header="1134" w:footer="709" w:gutter="0"/>
          <w:cols w:space="708"/>
          <w:docGrid w:linePitch="360"/>
        </w:sectPr>
      </w:pPr>
    </w:p>
    <w:p w:rsidR="004D5904" w:rsidRPr="0077659B" w:rsidRDefault="004D5904" w:rsidP="004D5904">
      <w:pPr>
        <w:rPr>
          <w:rFonts w:eastAsia="Times New Roman" w:cs="Arial"/>
          <w:sz w:val="6"/>
          <w:szCs w:val="6"/>
        </w:rPr>
      </w:pPr>
    </w:p>
    <w:p w:rsidR="000B7561" w:rsidRDefault="000B7561" w:rsidP="004D5904">
      <w:pPr>
        <w:rPr>
          <w:rFonts w:eastAsia="Times New Roman" w:cs="Arial"/>
          <w:sz w:val="6"/>
          <w:szCs w:val="6"/>
        </w:rPr>
      </w:pPr>
    </w:p>
    <w:p w:rsidR="000B7561" w:rsidRPr="000B7561" w:rsidRDefault="000B7561" w:rsidP="000B7561">
      <w:pPr>
        <w:rPr>
          <w:rFonts w:eastAsia="Times New Roman" w:cs="Arial"/>
          <w:sz w:val="6"/>
          <w:szCs w:val="6"/>
        </w:rPr>
      </w:pPr>
    </w:p>
    <w:p w:rsidR="000B7561" w:rsidRPr="000B7561" w:rsidRDefault="000B7561" w:rsidP="000B7561">
      <w:pPr>
        <w:rPr>
          <w:rFonts w:eastAsia="Times New Roman" w:cs="Arial"/>
          <w:sz w:val="6"/>
          <w:szCs w:val="6"/>
        </w:rPr>
      </w:pPr>
    </w:p>
    <w:p w:rsidR="00153824" w:rsidRPr="000B7561" w:rsidRDefault="000772D4" w:rsidP="000B7561">
      <w:pPr>
        <w:tabs>
          <w:tab w:val="left" w:pos="4884"/>
        </w:tabs>
        <w:rPr>
          <w:rFonts w:eastAsia="Times New Roman" w:cs="Arial"/>
          <w:sz w:val="6"/>
          <w:szCs w:val="6"/>
        </w:rPr>
        <w:sectPr w:rsidR="00153824" w:rsidRPr="000B7561" w:rsidSect="00C12C2B">
          <w:endnotePr>
            <w:numFmt w:val="decimal"/>
          </w:endnotePr>
          <w:pgSz w:w="16838" w:h="11906" w:orient="landscape" w:code="9"/>
          <w:pgMar w:top="281" w:right="1245" w:bottom="1134" w:left="1134" w:header="278" w:footer="313" w:gutter="0"/>
          <w:cols w:space="708"/>
          <w:docGrid w:linePitch="360"/>
        </w:sectPr>
      </w:pPr>
      <w:r>
        <w:rPr>
          <w:noProof/>
          <w:lang w:val="en-GB" w:eastAsia="en-GB"/>
        </w:rPr>
        <w:lastRenderedPageBreak/>
        <w:drawing>
          <wp:inline distT="0" distB="0" distL="0" distR="0" wp14:anchorId="70F38ECC" wp14:editId="49A89E49">
            <wp:extent cx="9181465" cy="63722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81465" cy="6372225"/>
                    </a:xfrm>
                    <a:prstGeom prst="rect">
                      <a:avLst/>
                    </a:prstGeom>
                  </pic:spPr>
                </pic:pic>
              </a:graphicData>
            </a:graphic>
          </wp:inline>
        </w:drawing>
      </w:r>
    </w:p>
    <w:p w:rsidR="00F110DC" w:rsidRPr="0077659B" w:rsidRDefault="005674DC" w:rsidP="000C4D17">
      <w:pPr>
        <w:pStyle w:val="Heading2"/>
      </w:pPr>
      <w:bookmarkStart w:id="9" w:name="_Toc79349482"/>
      <w:r w:rsidRPr="0077659B">
        <w:lastRenderedPageBreak/>
        <w:t>OVERALL MESSAGE</w:t>
      </w:r>
      <w:bookmarkEnd w:id="9"/>
    </w:p>
    <w:p w:rsidR="00F110DC" w:rsidRPr="0077659B" w:rsidRDefault="005D4607" w:rsidP="00F110DC">
      <w:pPr>
        <w:shd w:val="clear" w:color="auto" w:fill="FFFFFF"/>
        <w:spacing w:line="240" w:lineRule="auto"/>
        <w:rPr>
          <w:rFonts w:eastAsia="Times New Roman" w:cs="Arial"/>
          <w:sz w:val="2"/>
        </w:rPr>
      </w:pPr>
      <w:r w:rsidRPr="0077659B">
        <w:rPr>
          <w:rFonts w:eastAsia="Times New Roman" w:cs="Arial"/>
          <w:sz w:val="2"/>
        </w:rPr>
        <w:t>-</w:t>
      </w:r>
    </w:p>
    <w:p w:rsidR="00DC4403" w:rsidRPr="001B792A" w:rsidRDefault="00DC4403" w:rsidP="00DC4403">
      <w:pPr>
        <w:shd w:val="clear" w:color="auto" w:fill="FFFFFF"/>
        <w:ind w:left="357"/>
        <w:rPr>
          <w:rFonts w:eastAsia="Times New Roman"/>
          <w:sz w:val="2"/>
        </w:rPr>
      </w:pPr>
    </w:p>
    <w:p w:rsidR="003F7E7D" w:rsidRDefault="003F7E7D" w:rsidP="00165C2D">
      <w:pPr>
        <w:pStyle w:val="Numbernormal"/>
        <w:numPr>
          <w:ilvl w:val="0"/>
          <w:numId w:val="14"/>
        </w:numPr>
        <w:ind w:left="142"/>
        <w:jc w:val="both"/>
      </w:pPr>
      <w:r>
        <w:t xml:space="preserve">The audit outcome of the entity has regressed in the current period, with the entity obtaining an adverse audit outcome with findings on other areas. Material misstatements in the </w:t>
      </w:r>
      <w:r w:rsidRPr="00CD645F">
        <w:rPr>
          <w:b/>
        </w:rPr>
        <w:t>annual financial statements</w:t>
      </w:r>
      <w:r>
        <w:t xml:space="preserve"> were identified with respect to immovable assets,</w:t>
      </w:r>
      <w:r w:rsidR="006C4FFE">
        <w:t xml:space="preserve"> operating lease revenue, expenditure and commitments,</w:t>
      </w:r>
      <w:r>
        <w:t xml:space="preserve"> receivables from exchange transactions, payables from exchange transactions</w:t>
      </w:r>
      <w:r w:rsidR="006C4FFE">
        <w:t xml:space="preserve"> and</w:t>
      </w:r>
      <w:r>
        <w:t xml:space="preserve"> irregular expenditure, which formed the basis for the adverse audit outcome.</w:t>
      </w:r>
    </w:p>
    <w:p w:rsidR="003F7E7D" w:rsidRDefault="003F7E7D" w:rsidP="00165C2D">
      <w:pPr>
        <w:pStyle w:val="Numbernormal"/>
        <w:numPr>
          <w:ilvl w:val="0"/>
          <w:numId w:val="14"/>
        </w:numPr>
        <w:ind w:left="142"/>
        <w:jc w:val="both"/>
      </w:pPr>
      <w:r>
        <w:t>An improvement was noted on the property, plant and equipment in respect to the classification of asset under construction, which contributed to the prior year qualification.</w:t>
      </w:r>
      <w:r w:rsidR="006C4FFE">
        <w:t xml:space="preserve"> This porton of qualification was resolved in the current financial period. </w:t>
      </w:r>
      <w:r>
        <w:t xml:space="preserve"> </w:t>
      </w:r>
      <w:r w:rsidR="006D48D8">
        <w:t>However, it is</w:t>
      </w:r>
      <w:r>
        <w:t xml:space="preserve"> regrettable to note that th</w:t>
      </w:r>
      <w:r w:rsidR="006C4FFE">
        <w:t>is</w:t>
      </w:r>
      <w:r>
        <w:t xml:space="preserve"> improvement w</w:t>
      </w:r>
      <w:r w:rsidR="006C4FFE">
        <w:t>as</w:t>
      </w:r>
      <w:r>
        <w:t xml:space="preserve"> offset by the re-occurrence of the ownership issue, which was previously resolved. </w:t>
      </w:r>
      <w:r w:rsidR="006C4FFE">
        <w:t>M</w:t>
      </w:r>
      <w:r>
        <w:t>anagement recognised assets for which proof of ownership were not retained</w:t>
      </w:r>
      <w:r w:rsidR="006D48D8">
        <w:t xml:space="preserve"> to confirm that the assets indeed belong to the trading entity</w:t>
      </w:r>
      <w:r>
        <w:t xml:space="preserve">. </w:t>
      </w:r>
      <w:r w:rsidR="006C4FFE">
        <w:t xml:space="preserve">Furthermore, the trading entity used incorrect rates in calculating the value of land. We have also noted </w:t>
      </w:r>
      <w:r>
        <w:t xml:space="preserve">duplicate properties </w:t>
      </w:r>
      <w:r w:rsidR="0089105D">
        <w:t>i</w:t>
      </w:r>
      <w:r>
        <w:t>n the Immovable assets register (IAR) resulting in the overstatement of the assets</w:t>
      </w:r>
      <w:r w:rsidR="006C4FFE">
        <w:t>. I</w:t>
      </w:r>
      <w:r w:rsidR="0089105D">
        <w:t xml:space="preserve">t is concerning that prior year issues were not adequately prevented and detected through implementation of the actions plans and the senior management reviews that ought to have taken place prior to submission of the Annual financial statements for audit. Consequently, the above issues have resulted in a qualification on Property, </w:t>
      </w:r>
      <w:r w:rsidR="00D9601F">
        <w:t>Plant</w:t>
      </w:r>
      <w:r w:rsidR="0089105D">
        <w:t xml:space="preserve"> and </w:t>
      </w:r>
      <w:r w:rsidR="00D9601F">
        <w:t>Equipment</w:t>
      </w:r>
      <w:r w:rsidR="0089105D">
        <w:t>.</w:t>
      </w:r>
    </w:p>
    <w:p w:rsidR="006C4FFE" w:rsidRDefault="006C4FFE" w:rsidP="00667137">
      <w:pPr>
        <w:pStyle w:val="ListParagraph"/>
        <w:numPr>
          <w:ilvl w:val="0"/>
          <w:numId w:val="14"/>
        </w:numPr>
        <w:spacing w:line="276" w:lineRule="auto"/>
        <w:ind w:left="142"/>
        <w:jc w:val="both"/>
      </w:pPr>
      <w:r>
        <w:t xml:space="preserve">Material misstatements relating to operating leases remained unresolved in the current year.  A number of existing leases were not correctly captured on Archibus, which resulted in numerous misstatements on recorded lease transactions. This resulted from concluded lease agreements by Real Estate Management Services (REMS) not being sent timely to the regional offices to be captured on Archibus system. Consequently, overpayments were made to landlords due to payments being processed on old lease agreement which were at higher rental fees. In addition, management did not use the correct schedule for lease commitments to form a basis </w:t>
      </w:r>
      <w:r w:rsidR="00D9601F">
        <w:t>of disclosure</w:t>
      </w:r>
      <w:r>
        <w:t xml:space="preserve"> which resulted in amounts disclosed on the annual financial statements not agreeing to the amounts on the supporting schedules submitted for audit. </w:t>
      </w:r>
    </w:p>
    <w:p w:rsidR="003F7E7D" w:rsidRDefault="006E61B2">
      <w:pPr>
        <w:pStyle w:val="ListParagraph"/>
        <w:numPr>
          <w:ilvl w:val="0"/>
          <w:numId w:val="14"/>
        </w:numPr>
        <w:spacing w:line="276" w:lineRule="auto"/>
        <w:ind w:left="142"/>
        <w:jc w:val="both"/>
      </w:pPr>
      <w:r>
        <w:rPr>
          <w:rFonts w:eastAsia="Calibri" w:cs="Arial"/>
        </w:rPr>
        <w:t xml:space="preserve">Notwithstanding the misstatements identified on </w:t>
      </w:r>
      <w:r w:rsidR="006C4FFE">
        <w:rPr>
          <w:rFonts w:eastAsia="Calibri" w:cs="Arial"/>
        </w:rPr>
        <w:t>leases</w:t>
      </w:r>
      <w:r>
        <w:rPr>
          <w:rFonts w:eastAsia="Calibri" w:cs="Arial"/>
        </w:rPr>
        <w:t>, a</w:t>
      </w:r>
      <w:r w:rsidR="003F7E7D" w:rsidRPr="003F7E7D">
        <w:rPr>
          <w:rFonts w:eastAsia="Calibri" w:cs="Arial"/>
        </w:rPr>
        <w:t xml:space="preserve"> regression was noted for </w:t>
      </w:r>
      <w:r w:rsidR="006A6F07">
        <w:rPr>
          <w:rFonts w:eastAsia="Calibri" w:cs="Arial"/>
        </w:rPr>
        <w:t>R</w:t>
      </w:r>
      <w:r w:rsidR="003F7E7D" w:rsidRPr="003F7E7D">
        <w:rPr>
          <w:rFonts w:eastAsia="Calibri" w:cs="Arial"/>
        </w:rPr>
        <w:t>eceivables from exchange transactions with respect to municipal services and prepaid expenses leases as amounts disclosed on the annual financial statements did not agree to the amounts on the supporting schedules submitted for audit. The root causes of such regression was due to system technical issues related to the SAGE system. Furthermore, adequate review of the financial information prior to submission for audit were not implemented to ensure that the financials are free from error.</w:t>
      </w:r>
    </w:p>
    <w:p w:rsidR="003F7E7D" w:rsidRDefault="003F7E7D" w:rsidP="00165C2D">
      <w:pPr>
        <w:pStyle w:val="ListParagraph"/>
        <w:numPr>
          <w:ilvl w:val="0"/>
          <w:numId w:val="14"/>
        </w:numPr>
        <w:spacing w:line="276" w:lineRule="auto"/>
        <w:ind w:left="142"/>
        <w:jc w:val="both"/>
      </w:pPr>
      <w:r>
        <w:t xml:space="preserve">In relation to the audit of payables from exchange transactions, material misstatements were identified with respect to </w:t>
      </w:r>
      <w:r w:rsidR="00D9601F">
        <w:t>accruals,</w:t>
      </w:r>
      <w:r w:rsidR="006C4FFE">
        <w:t xml:space="preserve"> as the amounts disclosed on the annual financial statements were overstated.</w:t>
      </w:r>
      <w:r>
        <w:t xml:space="preserve"> </w:t>
      </w:r>
      <w:r w:rsidR="006A6F07">
        <w:t xml:space="preserve">Consequently, the trading entity further regressed into a qualification which had been resolved in the past years. This is concerning as it flagged inconsistency in the implementation of preventative controls or actions plans that ought to be implemented consistently to ensure </w:t>
      </w:r>
      <w:r w:rsidR="00D9601F">
        <w:t>sustainable</w:t>
      </w:r>
      <w:r w:rsidR="006A6F07">
        <w:t xml:space="preserve"> improved audit outcomes.</w:t>
      </w:r>
    </w:p>
    <w:p w:rsidR="003F7E7D" w:rsidRPr="0006390A" w:rsidRDefault="00D9601F" w:rsidP="0006390A">
      <w:pPr>
        <w:pStyle w:val="ListParagraph"/>
        <w:numPr>
          <w:ilvl w:val="0"/>
          <w:numId w:val="14"/>
        </w:numPr>
        <w:spacing w:line="276" w:lineRule="auto"/>
        <w:jc w:val="both"/>
      </w:pPr>
      <w:r>
        <w:lastRenderedPageBreak/>
        <w:t>Lastly,</w:t>
      </w:r>
      <w:r w:rsidR="00A64FDC">
        <w:t xml:space="preserve"> in relation to the financial statements, </w:t>
      </w:r>
      <w:r w:rsidR="003F7E7D">
        <w:t>the disclosure note</w:t>
      </w:r>
      <w:r w:rsidR="003F7E7D" w:rsidRPr="00F14CE6">
        <w:t xml:space="preserve"> relating to irregular </w:t>
      </w:r>
      <w:r w:rsidR="003F7E7D">
        <w:t xml:space="preserve">expenditure </w:t>
      </w:r>
      <w:r w:rsidR="003F7E7D" w:rsidRPr="00F14CE6">
        <w:t>h</w:t>
      </w:r>
      <w:r w:rsidR="003F7E7D">
        <w:t xml:space="preserve">ave been materially understated by an unquantifiable amount. Investigations conducted </w:t>
      </w:r>
      <w:r w:rsidR="003F7E7D" w:rsidRPr="006A6F07">
        <w:t xml:space="preserve">by the </w:t>
      </w:r>
      <w:r w:rsidR="006C4FFE">
        <w:t>Governance and Risk Unit</w:t>
      </w:r>
      <w:r w:rsidR="003F7E7D" w:rsidRPr="006A6F07">
        <w:t xml:space="preserve"> and concluded in the current financial period were not reported as irregular expenditure even though non-compliances were </w:t>
      </w:r>
      <w:r w:rsidRPr="006A6F07">
        <w:t>identified.</w:t>
      </w:r>
      <w:r>
        <w:t xml:space="preserve"> SIU</w:t>
      </w:r>
      <w:r w:rsidR="003F7E7D" w:rsidRPr="006A6F07">
        <w:t xml:space="preserve"> reports with recommendation on transactions concluded to be irregular expenditure were not considered on the irregular expenditure note. Furthermore, irregular expenditure identifie</w:t>
      </w:r>
      <w:r w:rsidR="003F7E7D" w:rsidRPr="0006390A">
        <w:t>d by auditors, which were disclosed as “under assessment”, or “determination” in the previous year’s annual financial statements were not investigated and finalised as per the irregular expenditure framework. This results in the understatement of the irregular expenditure note</w:t>
      </w:r>
      <w:r w:rsidR="00C222E0">
        <w:t xml:space="preserve"> and further negatively reflect as slow response by senior management and the </w:t>
      </w:r>
      <w:r>
        <w:t>accounting</w:t>
      </w:r>
      <w:r w:rsidR="00C222E0">
        <w:t xml:space="preserve"> officer to enable consequence management.</w:t>
      </w:r>
    </w:p>
    <w:p w:rsidR="003F7E7D" w:rsidRDefault="003F7E7D" w:rsidP="0006390A">
      <w:pPr>
        <w:pStyle w:val="ListParagraph"/>
        <w:numPr>
          <w:ilvl w:val="0"/>
          <w:numId w:val="14"/>
        </w:numPr>
        <w:spacing w:line="276" w:lineRule="auto"/>
        <w:jc w:val="both"/>
      </w:pPr>
      <w:r>
        <w:t xml:space="preserve">The trading entity is not implementing preventative controls adequately to </w:t>
      </w:r>
      <w:r w:rsidR="00A64FDC">
        <w:t xml:space="preserve">prevent </w:t>
      </w:r>
      <w:r>
        <w:t>non-</w:t>
      </w:r>
      <w:r w:rsidRPr="0056206B">
        <w:t>compliances with laws and regulations</w:t>
      </w:r>
      <w:r>
        <w:t xml:space="preserve">.  This has been evidence by the numerously non-compliances identified through the internal investigations as well as the audit process.. </w:t>
      </w:r>
      <w:r w:rsidRPr="00FE21B8">
        <w:t>Non- compliance</w:t>
      </w:r>
      <w:r>
        <w:t>s were</w:t>
      </w:r>
      <w:r w:rsidRPr="00FE21B8">
        <w:t xml:space="preserve"> identified with </w:t>
      </w:r>
      <w:r>
        <w:t xml:space="preserve">Public Finance Management Act (PFMA), </w:t>
      </w:r>
      <w:r w:rsidRPr="00FE21B8">
        <w:t>Preferential Procurement Regula</w:t>
      </w:r>
      <w:r>
        <w:t xml:space="preserve">tions and Treasury Regulations. Furthermore, numerous non-compliances were identified in relation to procurement of commodities designated for local content and production. </w:t>
      </w:r>
      <w:r w:rsidRPr="00FE21B8">
        <w:t>In certain inst</w:t>
      </w:r>
      <w:r>
        <w:t>ances, such non-compliances</w:t>
      </w:r>
      <w:r w:rsidRPr="00FE21B8">
        <w:t xml:space="preserve"> </w:t>
      </w:r>
      <w:r>
        <w:t>resulted in</w:t>
      </w:r>
      <w:r w:rsidRPr="00FE21B8">
        <w:t xml:space="preserve"> irregular</w:t>
      </w:r>
      <w:r>
        <w:t xml:space="preserve">, fruitless and wasteful expenditure being incurred. </w:t>
      </w:r>
    </w:p>
    <w:p w:rsidR="008F0BDB" w:rsidRDefault="006C4FFE" w:rsidP="0006390A">
      <w:pPr>
        <w:pStyle w:val="Numbernormal"/>
        <w:numPr>
          <w:ilvl w:val="0"/>
          <w:numId w:val="14"/>
        </w:numPr>
        <w:jc w:val="both"/>
      </w:pPr>
      <w:r>
        <w:rPr>
          <w:rFonts w:ascii="ArialMT" w:eastAsia="Times New Roman" w:hAnsi="ArialMT" w:cs="ArialMT"/>
        </w:rPr>
        <w:t xml:space="preserve">An improvement was noted with respect to payments made within 30 days, however the entity </w:t>
      </w:r>
      <w:r w:rsidR="003F7E7D" w:rsidRPr="0056206B">
        <w:rPr>
          <w:rFonts w:ascii="ArialMT" w:eastAsia="Times New Roman" w:hAnsi="ArialMT" w:cs="ArialMT"/>
        </w:rPr>
        <w:t>failed to implement effective and appropriate steps to prevent irregular</w:t>
      </w:r>
      <w:r>
        <w:rPr>
          <w:rFonts w:ascii="ArialMT" w:eastAsia="Times New Roman" w:hAnsi="ArialMT" w:cs="ArialMT"/>
        </w:rPr>
        <w:t xml:space="preserve"> </w:t>
      </w:r>
      <w:r w:rsidR="003F7E7D" w:rsidRPr="0056206B">
        <w:rPr>
          <w:rFonts w:ascii="ArialMT" w:eastAsia="Times New Roman" w:hAnsi="ArialMT" w:cs="ArialMT"/>
        </w:rPr>
        <w:t xml:space="preserve">expenditure. </w:t>
      </w:r>
      <w:r w:rsidR="008F0BDB" w:rsidRPr="0056206B">
        <w:rPr>
          <w:rFonts w:ascii="ArialMT" w:eastAsia="Times New Roman" w:hAnsi="ArialMT" w:cs="ArialMT"/>
        </w:rPr>
        <w:t xml:space="preserve">Overpayments made to landlords in terms of private leased properties continued in the current year as management made payments on old lease agreements which were at a higher rental fees. The process put into place to verify payment amounts before they are </w:t>
      </w:r>
      <w:r w:rsidR="00D9601F" w:rsidRPr="0056206B">
        <w:rPr>
          <w:rFonts w:ascii="ArialMT" w:eastAsia="Times New Roman" w:hAnsi="ArialMT" w:cs="ArialMT"/>
        </w:rPr>
        <w:t>made</w:t>
      </w:r>
      <w:r w:rsidR="008F0BDB" w:rsidRPr="0056206B">
        <w:rPr>
          <w:rFonts w:ascii="ArialMT" w:eastAsia="Times New Roman" w:hAnsi="ArialMT" w:cs="ArialMT"/>
        </w:rPr>
        <w:t xml:space="preserve"> have not yet made a significant difference as the overpayments have continued</w:t>
      </w:r>
      <w:r w:rsidR="008F0BDB" w:rsidRPr="008F0BDB">
        <w:t xml:space="preserve"> to occur. </w:t>
      </w:r>
      <w:r w:rsidR="003F7E7D">
        <w:t xml:space="preserve">The control environment in relation to leases requires intervention. </w:t>
      </w:r>
    </w:p>
    <w:p w:rsidR="003F7E7D" w:rsidRDefault="003F7E7D" w:rsidP="00165C2D">
      <w:pPr>
        <w:pStyle w:val="Numbernormal"/>
        <w:numPr>
          <w:ilvl w:val="0"/>
          <w:numId w:val="14"/>
        </w:numPr>
        <w:jc w:val="both"/>
      </w:pPr>
      <w:r>
        <w:t>The entity has also regressed</w:t>
      </w:r>
      <w:r w:rsidR="008F0BDB">
        <w:t xml:space="preserve"> in relation to safeguarding </w:t>
      </w:r>
      <w:r>
        <w:t xml:space="preserve">of their assets, which are still under construction. This is evidenced by audit findings raised in relation to Boilers at Leeuwkop prison which were left unprotected. </w:t>
      </w:r>
    </w:p>
    <w:p w:rsidR="003F7E7D" w:rsidRDefault="003F7E7D" w:rsidP="00165C2D">
      <w:pPr>
        <w:pStyle w:val="ListParagraph"/>
        <w:numPr>
          <w:ilvl w:val="0"/>
          <w:numId w:val="14"/>
        </w:numPr>
        <w:jc w:val="both"/>
      </w:pPr>
      <w:r>
        <w:t xml:space="preserve">In the current year, we have noted that management have taken a decision to report the entity’s annual </w:t>
      </w:r>
      <w:r w:rsidRPr="003F7E7D">
        <w:rPr>
          <w:b/>
        </w:rPr>
        <w:t>performance information</w:t>
      </w:r>
      <w:r>
        <w:t xml:space="preserve"> in the Department of Public Works and Infrastructure. </w:t>
      </w:r>
      <w:r w:rsidRPr="0077659B">
        <w:t>The usefulness and reliability of the reported performance information w</w:t>
      </w:r>
      <w:r>
        <w:t>as</w:t>
      </w:r>
      <w:r w:rsidRPr="0077659B">
        <w:t xml:space="preserve"> tested as part of the audit of </w:t>
      </w:r>
      <w:r>
        <w:t>Department of Public Works and Infrastructure</w:t>
      </w:r>
      <w:r w:rsidRPr="0077659B">
        <w:t xml:space="preserve"> and any audit findings are included in the management and auditor’s report of </w:t>
      </w:r>
      <w:r>
        <w:t>Department of Public Works and Infrastructure.</w:t>
      </w:r>
    </w:p>
    <w:p w:rsidR="003F7E7D" w:rsidRPr="0077659B" w:rsidRDefault="006C4FFE">
      <w:pPr>
        <w:pStyle w:val="ListParagraph"/>
        <w:numPr>
          <w:ilvl w:val="0"/>
          <w:numId w:val="14"/>
        </w:numPr>
        <w:spacing w:line="276" w:lineRule="auto"/>
        <w:jc w:val="both"/>
      </w:pPr>
      <w:r w:rsidRPr="006C4FFE">
        <w:rPr>
          <w:rFonts w:cs="Arial"/>
          <w:szCs w:val="36"/>
        </w:rPr>
        <w:t>A</w:t>
      </w:r>
      <w:r w:rsidR="003F7E7D" w:rsidRPr="006C4FFE">
        <w:rPr>
          <w:rFonts w:cs="Arial"/>
          <w:szCs w:val="36"/>
        </w:rPr>
        <w:t xml:space="preserve">reas of concerns </w:t>
      </w:r>
      <w:r w:rsidRPr="006C4FFE">
        <w:rPr>
          <w:rFonts w:cs="Arial"/>
          <w:szCs w:val="36"/>
        </w:rPr>
        <w:t xml:space="preserve">were noted which requires management </w:t>
      </w:r>
      <w:r w:rsidR="003F7E7D" w:rsidRPr="006C4FFE">
        <w:rPr>
          <w:rFonts w:cs="Arial"/>
          <w:szCs w:val="36"/>
        </w:rPr>
        <w:t>attention especially on ICT service continuity and reviews of users access accounts on the financial systems. The ICT focus areas relating to user access management and Network security management still require improvement. The lack of implementing basic IT security and user access controls could further lead to unauthorised users gaining access to systems, resulting in data being compromised, denial of service attacks or data integrity issues and consequently overall disruption to business processes.</w:t>
      </w:r>
    </w:p>
    <w:p w:rsidR="00253FDE" w:rsidRPr="0077659B" w:rsidRDefault="00253FDE" w:rsidP="00253FDE">
      <w:pPr>
        <w:pStyle w:val="Heading2"/>
        <w:rPr>
          <w:rFonts w:ascii="Arial" w:eastAsia="Calibri" w:hAnsi="Arial"/>
        </w:rPr>
      </w:pPr>
      <w:bookmarkStart w:id="10" w:name="_Toc447106582"/>
      <w:bookmarkStart w:id="11" w:name="_Toc79349483"/>
      <w:r w:rsidRPr="0077659B">
        <w:lastRenderedPageBreak/>
        <w:t>SECTION 1: Interactions with stakeholders responsible for oversight and governance</w:t>
      </w:r>
      <w:bookmarkEnd w:id="10"/>
      <w:bookmarkEnd w:id="11"/>
    </w:p>
    <w:p w:rsidR="00C22F2B" w:rsidRPr="0077659B" w:rsidRDefault="00C22F2B" w:rsidP="00165C2D">
      <w:pPr>
        <w:pStyle w:val="Numbernormal"/>
        <w:numPr>
          <w:ilvl w:val="0"/>
          <w:numId w:val="14"/>
        </w:numPr>
        <w:ind w:left="567"/>
      </w:pPr>
      <w:bookmarkStart w:id="12" w:name="Section1"/>
      <w:bookmarkEnd w:id="12"/>
      <w:r w:rsidRPr="0077659B">
        <w:t xml:space="preserve">During the audit cycle, we met with the following key stakeholders responsible for oversight and governance to communicate matters relating to the audit outcome </w:t>
      </w:r>
      <w:r w:rsidR="0077556A" w:rsidRPr="0077659B">
        <w:t xml:space="preserve">and matters identified during our status of records review/s </w:t>
      </w:r>
      <w:r w:rsidRPr="0077659B">
        <w:t>of the</w:t>
      </w:r>
      <w:r w:rsidR="004F2692">
        <w:t xml:space="preserve"> entity </w:t>
      </w:r>
      <w:r w:rsidRPr="0077659B">
        <w:t>:</w:t>
      </w:r>
    </w:p>
    <w:tbl>
      <w:tblPr>
        <w:tblStyle w:val="TableGrid171"/>
        <w:tblW w:w="5000" w:type="pct"/>
        <w:tblLook w:val="04A0" w:firstRow="1" w:lastRow="0" w:firstColumn="1" w:lastColumn="0" w:noHBand="0" w:noVBand="1"/>
      </w:tblPr>
      <w:tblGrid>
        <w:gridCol w:w="3326"/>
        <w:gridCol w:w="4708"/>
        <w:gridCol w:w="1594"/>
      </w:tblGrid>
      <w:tr w:rsidR="0063108A" w:rsidRPr="003B217A" w:rsidTr="003B217A">
        <w:trPr>
          <w:tblHeader/>
        </w:trPr>
        <w:tc>
          <w:tcPr>
            <w:tcW w:w="1727" w:type="pct"/>
            <w:shd w:val="clear" w:color="auto" w:fill="A6A6A6" w:themeFill="background1" w:themeFillShade="A6"/>
            <w:hideMark/>
          </w:tcPr>
          <w:p w:rsidR="0063108A" w:rsidRPr="003B217A" w:rsidRDefault="0063108A" w:rsidP="009979A7">
            <w:pPr>
              <w:pStyle w:val="NoSpacing"/>
              <w:rPr>
                <w:rFonts w:cs="Arial"/>
                <w:sz w:val="18"/>
                <w:szCs w:val="18"/>
              </w:rPr>
            </w:pPr>
            <w:r w:rsidRPr="003B217A">
              <w:rPr>
                <w:rFonts w:cs="Arial"/>
                <w:sz w:val="18"/>
                <w:szCs w:val="18"/>
              </w:rPr>
              <w:t>Key stakeholder</w:t>
            </w:r>
          </w:p>
        </w:tc>
        <w:tc>
          <w:tcPr>
            <w:tcW w:w="2445" w:type="pct"/>
            <w:shd w:val="clear" w:color="auto" w:fill="A6A6A6" w:themeFill="background1" w:themeFillShade="A6"/>
            <w:hideMark/>
          </w:tcPr>
          <w:p w:rsidR="0063108A" w:rsidRPr="003B217A" w:rsidRDefault="0063108A" w:rsidP="009979A7">
            <w:pPr>
              <w:pStyle w:val="NoSpacing"/>
              <w:rPr>
                <w:rFonts w:cs="Arial"/>
                <w:sz w:val="18"/>
                <w:szCs w:val="18"/>
              </w:rPr>
            </w:pPr>
            <w:r w:rsidRPr="003B217A">
              <w:rPr>
                <w:rFonts w:cs="Arial"/>
                <w:sz w:val="18"/>
                <w:szCs w:val="18"/>
              </w:rPr>
              <w:t>Purpose of interaction</w:t>
            </w:r>
          </w:p>
        </w:tc>
        <w:tc>
          <w:tcPr>
            <w:tcW w:w="828" w:type="pct"/>
            <w:shd w:val="clear" w:color="auto" w:fill="A6A6A6" w:themeFill="background1" w:themeFillShade="A6"/>
            <w:hideMark/>
          </w:tcPr>
          <w:p w:rsidR="0063108A" w:rsidRPr="003B217A" w:rsidRDefault="0063108A" w:rsidP="009979A7">
            <w:pPr>
              <w:pStyle w:val="NoSpacing"/>
              <w:rPr>
                <w:rFonts w:cs="Arial"/>
                <w:sz w:val="18"/>
                <w:szCs w:val="18"/>
              </w:rPr>
            </w:pPr>
            <w:r w:rsidRPr="003B217A">
              <w:rPr>
                <w:rFonts w:cs="Arial"/>
                <w:sz w:val="18"/>
                <w:szCs w:val="18"/>
              </w:rPr>
              <w:t>Number of interactions</w:t>
            </w:r>
          </w:p>
        </w:tc>
      </w:tr>
      <w:tr w:rsidR="0063108A" w:rsidRPr="003B217A" w:rsidTr="003B217A">
        <w:trPr>
          <w:trHeight w:val="255"/>
        </w:trPr>
        <w:tc>
          <w:tcPr>
            <w:tcW w:w="1727" w:type="pct"/>
            <w:shd w:val="clear" w:color="auto" w:fill="D9D9D9" w:themeFill="background1" w:themeFillShade="D9"/>
          </w:tcPr>
          <w:p w:rsidR="0063108A" w:rsidRPr="003B217A" w:rsidRDefault="0063108A" w:rsidP="009979A7">
            <w:pPr>
              <w:pStyle w:val="Tabletext"/>
              <w:rPr>
                <w:rFonts w:cs="Arial"/>
                <w:szCs w:val="18"/>
                <w:lang w:val="en-ZA"/>
              </w:rPr>
            </w:pPr>
            <w:r w:rsidRPr="003B217A">
              <w:rPr>
                <w:rFonts w:cs="Arial"/>
                <w:szCs w:val="18"/>
                <w:lang w:val="en-ZA"/>
              </w:rPr>
              <w:t>Portfolio committee on Public Works and Infrascture</w:t>
            </w:r>
          </w:p>
        </w:tc>
        <w:tc>
          <w:tcPr>
            <w:tcW w:w="2445" w:type="pct"/>
          </w:tcPr>
          <w:p w:rsidR="0063108A" w:rsidRPr="003B217A" w:rsidRDefault="0063108A" w:rsidP="009979A7">
            <w:pPr>
              <w:pStyle w:val="Tabletext"/>
              <w:rPr>
                <w:rFonts w:eastAsia="CIDFont+F6" w:cs="Arial"/>
                <w:szCs w:val="18"/>
              </w:rPr>
            </w:pPr>
            <w:r w:rsidRPr="003B217A">
              <w:rPr>
                <w:rFonts w:eastAsia="CIDFont+F6" w:cs="Arial"/>
                <w:szCs w:val="18"/>
              </w:rPr>
              <w:t xml:space="preserve"> </w:t>
            </w:r>
            <w:r w:rsidR="00D9601F" w:rsidRPr="003B217A">
              <w:rPr>
                <w:rFonts w:eastAsia="CIDFont+F6" w:cs="Arial"/>
                <w:szCs w:val="18"/>
              </w:rPr>
              <w:t>Meeting</w:t>
            </w:r>
            <w:r w:rsidRPr="003B217A">
              <w:rPr>
                <w:rFonts w:eastAsia="CIDFont+F6" w:cs="Arial"/>
                <w:szCs w:val="18"/>
              </w:rPr>
              <w:t xml:space="preserve"> to share the audit outcomes and present the BRRR</w:t>
            </w:r>
          </w:p>
          <w:p w:rsidR="0063108A" w:rsidRPr="003B217A" w:rsidRDefault="0063108A" w:rsidP="009979A7">
            <w:pPr>
              <w:pStyle w:val="Tabletext"/>
              <w:rPr>
                <w:rFonts w:cs="Arial"/>
                <w:szCs w:val="18"/>
                <w:highlight w:val="yellow"/>
                <w:lang w:val="en-ZA"/>
              </w:rPr>
            </w:pPr>
            <w:r w:rsidRPr="003B217A">
              <w:rPr>
                <w:rFonts w:eastAsia="CIDFont+F6" w:cs="Arial"/>
                <w:szCs w:val="18"/>
              </w:rPr>
              <w:t> Presentation of the Special audit report 1 on Covid-19 expenditure</w:t>
            </w:r>
            <w:r w:rsidRPr="003B217A">
              <w:rPr>
                <w:rFonts w:cs="Arial"/>
                <w:szCs w:val="18"/>
                <w:highlight w:val="yellow"/>
                <w:lang w:val="en-ZA"/>
              </w:rPr>
              <w:t xml:space="preserve"> </w:t>
            </w:r>
          </w:p>
          <w:p w:rsidR="0063108A" w:rsidRPr="003B217A" w:rsidRDefault="0063108A" w:rsidP="009979A7">
            <w:pPr>
              <w:pStyle w:val="Tabletext"/>
              <w:rPr>
                <w:rFonts w:cs="Arial"/>
                <w:szCs w:val="18"/>
                <w:highlight w:val="yellow"/>
                <w:lang w:val="en-ZA"/>
              </w:rPr>
            </w:pPr>
            <w:r w:rsidRPr="003B217A">
              <w:rPr>
                <w:rFonts w:eastAsia="CIDFont+F6" w:cs="Arial"/>
                <w:szCs w:val="18"/>
              </w:rPr>
              <w:t xml:space="preserve"> Letter to the chairperson of the </w:t>
            </w:r>
            <w:r w:rsidR="00D9601F" w:rsidRPr="003B217A">
              <w:rPr>
                <w:rFonts w:eastAsia="CIDFont+F6" w:cs="Arial"/>
                <w:szCs w:val="18"/>
              </w:rPr>
              <w:t>portfolio</w:t>
            </w:r>
            <w:r w:rsidRPr="003B217A">
              <w:rPr>
                <w:rFonts w:eastAsia="CIDFont+F6" w:cs="Arial"/>
                <w:szCs w:val="18"/>
              </w:rPr>
              <w:t xml:space="preserve"> committee on DPWI presenting a summary of the issues on Special audit report 1 and 2 on Covid-19 expenditure</w:t>
            </w:r>
          </w:p>
        </w:tc>
        <w:tc>
          <w:tcPr>
            <w:tcW w:w="828" w:type="pct"/>
            <w:shd w:val="clear" w:color="auto" w:fill="auto"/>
          </w:tcPr>
          <w:p w:rsidR="0063108A" w:rsidRPr="003B217A" w:rsidRDefault="003B217A" w:rsidP="009979A7">
            <w:pPr>
              <w:pStyle w:val="Tabletext"/>
              <w:rPr>
                <w:rFonts w:cs="Arial"/>
                <w:szCs w:val="18"/>
                <w:lang w:val="en-ZA"/>
              </w:rPr>
            </w:pPr>
            <w:r w:rsidRPr="003B217A">
              <w:rPr>
                <w:rFonts w:cs="Arial"/>
                <w:szCs w:val="18"/>
                <w:lang w:val="en-ZA"/>
              </w:rPr>
              <w:t xml:space="preserve">          </w:t>
            </w:r>
            <w:r w:rsidR="0063108A" w:rsidRPr="003B217A">
              <w:rPr>
                <w:rFonts w:cs="Arial"/>
                <w:szCs w:val="18"/>
                <w:lang w:val="en-ZA"/>
              </w:rPr>
              <w:t>3</w:t>
            </w:r>
          </w:p>
        </w:tc>
      </w:tr>
      <w:tr w:rsidR="0063108A" w:rsidRPr="003B217A" w:rsidTr="003B217A">
        <w:trPr>
          <w:trHeight w:val="255"/>
        </w:trPr>
        <w:tc>
          <w:tcPr>
            <w:tcW w:w="1727" w:type="pct"/>
            <w:shd w:val="clear" w:color="auto" w:fill="D9D9D9" w:themeFill="background1" w:themeFillShade="D9"/>
          </w:tcPr>
          <w:p w:rsidR="0063108A" w:rsidRPr="003B217A" w:rsidRDefault="0063108A" w:rsidP="009979A7">
            <w:pPr>
              <w:pStyle w:val="Tabletext"/>
              <w:rPr>
                <w:rFonts w:cs="Arial"/>
                <w:szCs w:val="18"/>
                <w:lang w:val="en-ZA"/>
              </w:rPr>
            </w:pPr>
            <w:r w:rsidRPr="003B217A">
              <w:rPr>
                <w:rFonts w:cs="Arial"/>
                <w:szCs w:val="18"/>
                <w:lang w:val="en-ZA"/>
              </w:rPr>
              <w:t xml:space="preserve">Minister </w:t>
            </w:r>
          </w:p>
        </w:tc>
        <w:tc>
          <w:tcPr>
            <w:tcW w:w="2445" w:type="pct"/>
          </w:tcPr>
          <w:p w:rsidR="0063108A" w:rsidRPr="003B217A" w:rsidRDefault="0063108A" w:rsidP="009979A7">
            <w:pPr>
              <w:pStyle w:val="Tabletext"/>
              <w:rPr>
                <w:rFonts w:cs="Arial"/>
                <w:szCs w:val="18"/>
              </w:rPr>
            </w:pPr>
            <w:r w:rsidRPr="003B217A">
              <w:rPr>
                <w:rFonts w:eastAsia="CIDFont+F6" w:cs="Arial"/>
                <w:szCs w:val="18"/>
              </w:rPr>
              <w:t xml:space="preserve"> </w:t>
            </w:r>
            <w:r w:rsidRPr="003B217A">
              <w:rPr>
                <w:rFonts w:cs="Arial"/>
                <w:szCs w:val="18"/>
              </w:rPr>
              <w:t>Presentation on audit outcomes and key messages</w:t>
            </w:r>
          </w:p>
          <w:p w:rsidR="0063108A" w:rsidRPr="003B217A" w:rsidRDefault="0063108A" w:rsidP="009979A7">
            <w:pPr>
              <w:pStyle w:val="Tabletext"/>
              <w:rPr>
                <w:rFonts w:cs="Arial"/>
                <w:szCs w:val="18"/>
              </w:rPr>
            </w:pPr>
            <w:r w:rsidRPr="003B217A">
              <w:rPr>
                <w:rFonts w:eastAsia="CIDFont+F6" w:cs="Arial"/>
                <w:szCs w:val="18"/>
              </w:rPr>
              <w:t xml:space="preserve"> </w:t>
            </w:r>
            <w:r w:rsidRPr="003B217A">
              <w:rPr>
                <w:rFonts w:cs="Arial"/>
                <w:szCs w:val="18"/>
              </w:rPr>
              <w:t>Letter was sent following up on the progress made in the disciplinary of the minister’s special advisor</w:t>
            </w:r>
          </w:p>
          <w:p w:rsidR="0063108A" w:rsidRPr="003B217A" w:rsidRDefault="0063108A" w:rsidP="009979A7">
            <w:pPr>
              <w:pStyle w:val="Tabletext"/>
              <w:rPr>
                <w:rFonts w:eastAsia="CIDFont+F6" w:cs="Arial"/>
                <w:szCs w:val="18"/>
              </w:rPr>
            </w:pPr>
            <w:r w:rsidRPr="003B217A">
              <w:rPr>
                <w:rFonts w:eastAsia="CIDFont+F6" w:cs="Arial"/>
                <w:szCs w:val="18"/>
              </w:rPr>
              <w:t> Presentation of the Special audit report 1 on Covid-19 expenditure</w:t>
            </w:r>
          </w:p>
          <w:p w:rsidR="0063108A" w:rsidRPr="003B217A" w:rsidRDefault="0063108A" w:rsidP="009979A7">
            <w:pPr>
              <w:pStyle w:val="Tabletext"/>
              <w:rPr>
                <w:rFonts w:cs="Arial"/>
                <w:szCs w:val="18"/>
              </w:rPr>
            </w:pPr>
            <w:r w:rsidRPr="003B217A">
              <w:rPr>
                <w:rFonts w:eastAsia="CIDFont+F6" w:cs="Arial"/>
                <w:szCs w:val="18"/>
              </w:rPr>
              <w:t> Presentation of the Special audit report 2 on Covid-19 expenditure</w:t>
            </w:r>
          </w:p>
        </w:tc>
        <w:tc>
          <w:tcPr>
            <w:tcW w:w="828" w:type="pct"/>
            <w:shd w:val="clear" w:color="auto" w:fill="auto"/>
          </w:tcPr>
          <w:p w:rsidR="0063108A" w:rsidRPr="003B217A" w:rsidRDefault="003B217A" w:rsidP="009979A7">
            <w:pPr>
              <w:pStyle w:val="Tabletext"/>
              <w:rPr>
                <w:rFonts w:cs="Arial"/>
                <w:szCs w:val="18"/>
                <w:lang w:val="en-ZA"/>
              </w:rPr>
            </w:pPr>
            <w:r w:rsidRPr="003B217A">
              <w:rPr>
                <w:rFonts w:cs="Arial"/>
                <w:szCs w:val="18"/>
                <w:lang w:val="en-ZA"/>
              </w:rPr>
              <w:t xml:space="preserve">         </w:t>
            </w:r>
            <w:r w:rsidR="0063108A" w:rsidRPr="003B217A">
              <w:rPr>
                <w:rFonts w:cs="Arial"/>
                <w:szCs w:val="18"/>
                <w:lang w:val="en-ZA"/>
              </w:rPr>
              <w:t>5</w:t>
            </w:r>
          </w:p>
        </w:tc>
      </w:tr>
      <w:tr w:rsidR="0063108A" w:rsidRPr="003B217A" w:rsidTr="003B217A">
        <w:trPr>
          <w:trHeight w:val="255"/>
        </w:trPr>
        <w:tc>
          <w:tcPr>
            <w:tcW w:w="1727" w:type="pct"/>
            <w:shd w:val="clear" w:color="auto" w:fill="D9D9D9" w:themeFill="background1" w:themeFillShade="D9"/>
          </w:tcPr>
          <w:p w:rsidR="0063108A" w:rsidRPr="003B217A" w:rsidRDefault="0063108A" w:rsidP="009979A7">
            <w:pPr>
              <w:pStyle w:val="Tabletext"/>
              <w:rPr>
                <w:rFonts w:cs="Arial"/>
                <w:szCs w:val="18"/>
                <w:lang w:val="en-ZA"/>
              </w:rPr>
            </w:pPr>
            <w:r w:rsidRPr="003B217A">
              <w:rPr>
                <w:rFonts w:cs="Arial"/>
                <w:szCs w:val="18"/>
                <w:lang w:val="en-ZA"/>
              </w:rPr>
              <w:t>Director-general</w:t>
            </w:r>
          </w:p>
        </w:tc>
        <w:tc>
          <w:tcPr>
            <w:tcW w:w="2445" w:type="pct"/>
          </w:tcPr>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Refresher Presentation on amendments to Public Audit Act</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xml:space="preserve"> Detail discussion on interim management report and Status of Records review. </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Discussion of the engagement letter and audit Strategy</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:Letters on Audit progress of the Public works portfolio</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Discussion on progress made in addressing material irregularities communicated in the prior year</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Meeting with DPWI, DPME &amp; AGSA to discuss the challenges on EPWP indicator reporting</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xml:space="preserve"> Meeting about the audit action plans to address both internal and external audit findings on AoPO and compliance subject matters. </w:t>
            </w:r>
          </w:p>
        </w:tc>
        <w:tc>
          <w:tcPr>
            <w:tcW w:w="828" w:type="pct"/>
            <w:shd w:val="clear" w:color="auto" w:fill="auto"/>
          </w:tcPr>
          <w:p w:rsidR="0063108A" w:rsidRPr="003B217A" w:rsidRDefault="003B217A" w:rsidP="009979A7">
            <w:pPr>
              <w:pStyle w:val="Tabletext"/>
              <w:rPr>
                <w:rFonts w:cs="Arial"/>
                <w:szCs w:val="18"/>
                <w:lang w:val="en-ZA"/>
              </w:rPr>
            </w:pPr>
            <w:r w:rsidRPr="003B217A">
              <w:rPr>
                <w:rFonts w:cs="Arial"/>
                <w:szCs w:val="18"/>
                <w:lang w:val="en-ZA"/>
              </w:rPr>
              <w:t xml:space="preserve">       </w:t>
            </w:r>
            <w:r w:rsidR="0063108A" w:rsidRPr="003B217A">
              <w:rPr>
                <w:rFonts w:cs="Arial"/>
                <w:szCs w:val="18"/>
                <w:lang w:val="en-ZA"/>
              </w:rPr>
              <w:t>7</w:t>
            </w:r>
          </w:p>
        </w:tc>
      </w:tr>
      <w:tr w:rsidR="0063108A" w:rsidRPr="003B217A" w:rsidTr="003B217A">
        <w:trPr>
          <w:trHeight w:val="255"/>
        </w:trPr>
        <w:tc>
          <w:tcPr>
            <w:tcW w:w="1727" w:type="pct"/>
            <w:shd w:val="clear" w:color="auto" w:fill="D9D9D9" w:themeFill="background1" w:themeFillShade="D9"/>
          </w:tcPr>
          <w:p w:rsidR="0063108A" w:rsidRPr="003B217A" w:rsidRDefault="0063108A" w:rsidP="009979A7">
            <w:pPr>
              <w:pStyle w:val="Tabletext"/>
              <w:rPr>
                <w:rFonts w:cs="Arial"/>
                <w:szCs w:val="18"/>
                <w:lang w:val="en-ZA"/>
              </w:rPr>
            </w:pPr>
            <w:r w:rsidRPr="003B217A">
              <w:rPr>
                <w:rFonts w:cs="Arial"/>
                <w:szCs w:val="18"/>
                <w:lang w:val="en-ZA"/>
              </w:rPr>
              <w:t>Audit committee</w:t>
            </w:r>
          </w:p>
        </w:tc>
        <w:tc>
          <w:tcPr>
            <w:tcW w:w="2445" w:type="pct"/>
          </w:tcPr>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Discussion of the engagement letter and audit strategy</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Communication of the interim management report and Status of Records review.</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Approval of the Department’s Annual Financial Statements</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xml:space="preserve"> Management presentation on the audit action plans to address both internal and external audit findings. </w:t>
            </w:r>
          </w:p>
          <w:p w:rsidR="0063108A" w:rsidRPr="003B217A" w:rsidRDefault="0063108A" w:rsidP="009979A7">
            <w:pPr>
              <w:autoSpaceDE w:val="0"/>
              <w:autoSpaceDN w:val="0"/>
              <w:adjustRightInd w:val="0"/>
              <w:spacing w:after="0"/>
              <w:rPr>
                <w:rFonts w:eastAsia="CIDFont+F6" w:cs="Arial"/>
                <w:sz w:val="18"/>
                <w:szCs w:val="18"/>
              </w:rPr>
            </w:pPr>
          </w:p>
        </w:tc>
        <w:tc>
          <w:tcPr>
            <w:tcW w:w="828" w:type="pct"/>
            <w:shd w:val="clear" w:color="auto" w:fill="auto"/>
          </w:tcPr>
          <w:p w:rsidR="0063108A" w:rsidRPr="003B217A" w:rsidRDefault="003B217A" w:rsidP="009979A7">
            <w:pPr>
              <w:pStyle w:val="Tabletext"/>
              <w:rPr>
                <w:rFonts w:cs="Arial"/>
                <w:szCs w:val="18"/>
                <w:lang w:val="en-ZA"/>
              </w:rPr>
            </w:pPr>
            <w:r w:rsidRPr="003B217A">
              <w:rPr>
                <w:rFonts w:cs="Arial"/>
                <w:szCs w:val="18"/>
                <w:lang w:val="en-ZA"/>
              </w:rPr>
              <w:t xml:space="preserve">        </w:t>
            </w:r>
            <w:r w:rsidR="0063108A" w:rsidRPr="003B217A">
              <w:rPr>
                <w:rFonts w:cs="Arial"/>
                <w:szCs w:val="18"/>
                <w:lang w:val="en-ZA"/>
              </w:rPr>
              <w:t>4</w:t>
            </w:r>
          </w:p>
        </w:tc>
      </w:tr>
      <w:tr w:rsidR="0063108A" w:rsidRPr="003B217A" w:rsidTr="003B217A">
        <w:trPr>
          <w:trHeight w:val="255"/>
        </w:trPr>
        <w:tc>
          <w:tcPr>
            <w:tcW w:w="1727" w:type="pct"/>
            <w:shd w:val="clear" w:color="auto" w:fill="D9D9D9" w:themeFill="background1" w:themeFillShade="D9"/>
          </w:tcPr>
          <w:p w:rsidR="0063108A" w:rsidRPr="003B217A" w:rsidRDefault="0063108A" w:rsidP="009979A7">
            <w:pPr>
              <w:pStyle w:val="Tabletext"/>
              <w:rPr>
                <w:rFonts w:cs="Arial"/>
                <w:szCs w:val="18"/>
                <w:lang w:val="en-ZA"/>
              </w:rPr>
            </w:pPr>
            <w:r w:rsidRPr="003B217A">
              <w:rPr>
                <w:rFonts w:cs="Arial"/>
                <w:szCs w:val="18"/>
                <w:lang w:val="en-ZA"/>
              </w:rPr>
              <w:t xml:space="preserve">Senior Management </w:t>
            </w:r>
          </w:p>
        </w:tc>
        <w:tc>
          <w:tcPr>
            <w:tcW w:w="2445" w:type="pct"/>
          </w:tcPr>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xml:space="preserve"> Weekly Audit Steering Committee meeting </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xml:space="preserve"> Presentation of the engagement letter and audit strategy </w:t>
            </w:r>
          </w:p>
          <w:p w:rsidR="0063108A" w:rsidRPr="003B217A" w:rsidRDefault="0063108A" w:rsidP="009979A7">
            <w:pPr>
              <w:autoSpaceDE w:val="0"/>
              <w:autoSpaceDN w:val="0"/>
              <w:adjustRightInd w:val="0"/>
              <w:spacing w:after="0"/>
              <w:rPr>
                <w:rFonts w:eastAsia="CIDFont+F6" w:cs="Arial"/>
                <w:sz w:val="18"/>
                <w:szCs w:val="18"/>
              </w:rPr>
            </w:pPr>
            <w:r w:rsidRPr="003B217A">
              <w:rPr>
                <w:rFonts w:eastAsia="CIDFont+F6" w:cs="Arial"/>
                <w:sz w:val="18"/>
                <w:szCs w:val="18"/>
              </w:rPr>
              <w:t xml:space="preserve"> Presentation of the interim management report </w:t>
            </w:r>
          </w:p>
          <w:p w:rsidR="0063108A" w:rsidRPr="003B217A" w:rsidRDefault="00D9601F" w:rsidP="009979A7">
            <w:pPr>
              <w:autoSpaceDE w:val="0"/>
              <w:autoSpaceDN w:val="0"/>
              <w:adjustRightInd w:val="0"/>
              <w:spacing w:after="0"/>
              <w:rPr>
                <w:rFonts w:eastAsia="CIDFont+F6" w:cs="Arial"/>
                <w:sz w:val="18"/>
                <w:szCs w:val="18"/>
              </w:rPr>
            </w:pPr>
            <w:r>
              <w:rPr>
                <w:rFonts w:eastAsia="CIDFont+F6" w:cs="Arial"/>
                <w:sz w:val="18"/>
                <w:szCs w:val="18"/>
              </w:rPr>
              <w:t> Several</w:t>
            </w:r>
            <w:r w:rsidR="0063108A" w:rsidRPr="003B217A">
              <w:rPr>
                <w:rFonts w:eastAsia="CIDFont+F6" w:cs="Arial"/>
                <w:sz w:val="18"/>
                <w:szCs w:val="18"/>
              </w:rPr>
              <w:t xml:space="preserve"> presentations by management on the audit action plans to address both internal and external audit findings on AoPO and compliance subject matters.</w:t>
            </w:r>
          </w:p>
          <w:p w:rsidR="0063108A" w:rsidRPr="003B217A" w:rsidRDefault="0063108A" w:rsidP="009979A7">
            <w:pPr>
              <w:autoSpaceDE w:val="0"/>
              <w:autoSpaceDN w:val="0"/>
              <w:adjustRightInd w:val="0"/>
              <w:spacing w:after="0"/>
              <w:rPr>
                <w:rFonts w:eastAsia="CIDFont+F6" w:cs="Arial"/>
                <w:sz w:val="18"/>
                <w:szCs w:val="18"/>
              </w:rPr>
            </w:pPr>
          </w:p>
        </w:tc>
        <w:tc>
          <w:tcPr>
            <w:tcW w:w="828" w:type="pct"/>
            <w:shd w:val="clear" w:color="auto" w:fill="auto"/>
          </w:tcPr>
          <w:p w:rsidR="0063108A" w:rsidRPr="003B217A" w:rsidRDefault="003B217A" w:rsidP="009979A7">
            <w:pPr>
              <w:pStyle w:val="Tabletext"/>
              <w:rPr>
                <w:rFonts w:cs="Arial"/>
                <w:szCs w:val="18"/>
                <w:lang w:val="en-ZA"/>
              </w:rPr>
            </w:pPr>
            <w:r w:rsidRPr="003B217A">
              <w:rPr>
                <w:rFonts w:cs="Arial"/>
                <w:szCs w:val="18"/>
                <w:lang w:val="en-ZA"/>
              </w:rPr>
              <w:t xml:space="preserve">         </w:t>
            </w:r>
            <w:r w:rsidR="0063108A" w:rsidRPr="003B217A">
              <w:rPr>
                <w:rFonts w:cs="Arial"/>
                <w:szCs w:val="18"/>
                <w:lang w:val="en-ZA"/>
              </w:rPr>
              <w:t>12</w:t>
            </w:r>
          </w:p>
          <w:p w:rsidR="0063108A" w:rsidRPr="003B217A" w:rsidRDefault="0063108A" w:rsidP="009979A7">
            <w:pPr>
              <w:pStyle w:val="Tabletext"/>
              <w:rPr>
                <w:rFonts w:cs="Arial"/>
                <w:szCs w:val="18"/>
                <w:lang w:val="en-ZA"/>
              </w:rPr>
            </w:pPr>
          </w:p>
        </w:tc>
      </w:tr>
    </w:tbl>
    <w:p w:rsidR="00C22F2B" w:rsidRPr="0077659B" w:rsidRDefault="0063108A" w:rsidP="003E45F6">
      <w:pPr>
        <w:shd w:val="clear" w:color="auto" w:fill="FFFFFF"/>
        <w:spacing w:after="240" w:line="240" w:lineRule="auto"/>
        <w:ind w:left="567"/>
        <w:rPr>
          <w:rFonts w:eastAsia="Calibri" w:cs="Arial"/>
        </w:rPr>
      </w:pPr>
      <w:r w:rsidRPr="0077659B" w:rsidDel="004F2692">
        <w:rPr>
          <w:rFonts w:eastAsia="Calibri" w:cs="Arial"/>
        </w:rPr>
        <w:t xml:space="preserve"> </w:t>
      </w:r>
    </w:p>
    <w:p w:rsidR="00C22F2B" w:rsidRPr="0077659B" w:rsidRDefault="00C22F2B" w:rsidP="00C22F2B">
      <w:pPr>
        <w:shd w:val="clear" w:color="auto" w:fill="FFFFFF"/>
        <w:spacing w:line="240" w:lineRule="auto"/>
        <w:ind w:left="709"/>
        <w:rPr>
          <w:rFonts w:eastAsia="Times New Roman" w:cs="Arial"/>
        </w:rPr>
      </w:pPr>
    </w:p>
    <w:p w:rsidR="0086407E" w:rsidRDefault="00F110DC" w:rsidP="00165C2D">
      <w:pPr>
        <w:pStyle w:val="Numbernormal"/>
        <w:numPr>
          <w:ilvl w:val="0"/>
          <w:numId w:val="14"/>
        </w:numPr>
        <w:ind w:left="567"/>
        <w:jc w:val="both"/>
      </w:pPr>
      <w:r w:rsidRPr="0077659B">
        <w:t xml:space="preserve">At these interactions, we shared the following key matters affecting audit outcomes and the auditee </w:t>
      </w:r>
    </w:p>
    <w:p w:rsidR="0086407E" w:rsidRDefault="0086407E" w:rsidP="00165C2D">
      <w:pPr>
        <w:pStyle w:val="Numbernormal"/>
        <w:numPr>
          <w:ilvl w:val="0"/>
          <w:numId w:val="16"/>
        </w:numPr>
        <w:spacing w:before="0"/>
        <w:jc w:val="both"/>
      </w:pPr>
      <w:r>
        <w:t>Audit engagement (with specific emphasis on the roles and responsibilities of the auditor and management as well as those charged with governance).</w:t>
      </w:r>
    </w:p>
    <w:p w:rsidR="0086407E" w:rsidRDefault="0086407E" w:rsidP="00165C2D">
      <w:pPr>
        <w:pStyle w:val="Numbernormal"/>
        <w:numPr>
          <w:ilvl w:val="0"/>
          <w:numId w:val="16"/>
        </w:numPr>
        <w:spacing w:before="0"/>
        <w:jc w:val="both"/>
      </w:pPr>
      <w:r>
        <w:t xml:space="preserve">Overall audit strategy including the proposed nature, timing and extent of audit procedures to be performed.  </w:t>
      </w:r>
    </w:p>
    <w:p w:rsidR="0086407E" w:rsidRDefault="0086407E" w:rsidP="00165C2D">
      <w:pPr>
        <w:pStyle w:val="Numbernormal"/>
        <w:numPr>
          <w:ilvl w:val="0"/>
          <w:numId w:val="16"/>
        </w:numPr>
        <w:spacing w:before="0"/>
        <w:jc w:val="both"/>
      </w:pPr>
      <w:r>
        <w:t>Status of key controls, the weaknesses in the internal control environment identified through the Status of Records Review and interim audit process and actions to be taken to correct these.</w:t>
      </w:r>
    </w:p>
    <w:p w:rsidR="00F110DC" w:rsidRPr="0077659B" w:rsidRDefault="0086407E" w:rsidP="00165C2D">
      <w:pPr>
        <w:pStyle w:val="Numbernormal"/>
        <w:numPr>
          <w:ilvl w:val="0"/>
          <w:numId w:val="16"/>
        </w:numPr>
        <w:spacing w:before="0"/>
        <w:jc w:val="both"/>
      </w:pPr>
      <w:r>
        <w:t>PAA Amendments with the focus on progress made in addressing the material irregularities reported in the prior year.</w:t>
      </w:r>
    </w:p>
    <w:p w:rsidR="00F110DC" w:rsidRPr="0077659B" w:rsidRDefault="00F110DC" w:rsidP="00165C2D">
      <w:pPr>
        <w:pStyle w:val="Numbernormal"/>
        <w:numPr>
          <w:ilvl w:val="0"/>
          <w:numId w:val="14"/>
        </w:numPr>
        <w:ind w:left="567"/>
        <w:jc w:val="both"/>
      </w:pPr>
      <w:r w:rsidRPr="003B217A">
        <w:t>Some</w:t>
      </w:r>
      <w:r w:rsidR="003B217A" w:rsidRPr="003B217A">
        <w:t xml:space="preserve"> </w:t>
      </w:r>
      <w:r w:rsidRPr="0077659B">
        <w:t>stakeholders made commitments to implemen</w:t>
      </w:r>
      <w:r w:rsidR="003B217A">
        <w:t xml:space="preserve">t initiatives that can </w:t>
      </w:r>
      <w:r w:rsidRPr="0077659B">
        <w:t>improve the audit outcome. The commitments given and the progress of previous commitments are included in section</w:t>
      </w:r>
      <w:r w:rsidR="00C64231" w:rsidRPr="0077659B">
        <w:t xml:space="preserve"> 3.2</w:t>
      </w:r>
      <w:r w:rsidRPr="0077659B">
        <w:t>, which deals with the assessment of assurance providers.</w:t>
      </w:r>
    </w:p>
    <w:p w:rsidR="00C22F2B" w:rsidRPr="0077659B" w:rsidRDefault="00C22F2B" w:rsidP="00C22F2B">
      <w:pPr>
        <w:shd w:val="clear" w:color="auto" w:fill="FFFFFF"/>
        <w:spacing w:line="240" w:lineRule="auto"/>
        <w:rPr>
          <w:rFonts w:eastAsia="Times New Roman" w:cs="Arial"/>
        </w:rPr>
      </w:pPr>
    </w:p>
    <w:p w:rsidR="00C22F2B" w:rsidRPr="0077659B" w:rsidRDefault="00C22F2B" w:rsidP="00165C2D">
      <w:pPr>
        <w:numPr>
          <w:ilvl w:val="0"/>
          <w:numId w:val="4"/>
        </w:numPr>
        <w:shd w:val="clear" w:color="auto" w:fill="FFFFFF"/>
        <w:spacing w:line="240" w:lineRule="auto"/>
        <w:rPr>
          <w:rFonts w:eastAsia="Times New Roman" w:cs="Arial"/>
        </w:rPr>
        <w:sectPr w:rsidR="00C22F2B" w:rsidRPr="0077659B" w:rsidSect="00C12C2B">
          <w:endnotePr>
            <w:numFmt w:val="decimal"/>
          </w:endnotePr>
          <w:pgSz w:w="11906" w:h="16838" w:code="9"/>
          <w:pgMar w:top="1245" w:right="1134" w:bottom="1134" w:left="1134" w:header="1134" w:footer="709" w:gutter="0"/>
          <w:cols w:space="708"/>
          <w:docGrid w:linePitch="360"/>
        </w:sectPr>
      </w:pPr>
    </w:p>
    <w:p w:rsidR="00253FDE" w:rsidRPr="0077659B" w:rsidRDefault="00253FDE" w:rsidP="000C4D17">
      <w:pPr>
        <w:pStyle w:val="Heading2"/>
      </w:pPr>
      <w:bookmarkStart w:id="13" w:name="_Toc447106583"/>
      <w:bookmarkStart w:id="14" w:name="_Toc79349484"/>
      <w:bookmarkStart w:id="15" w:name="_Toc447106584"/>
      <w:r w:rsidRPr="0077659B">
        <w:lastRenderedPageBreak/>
        <w:t>SECTION 2: Matters relating to the auditor’s report</w:t>
      </w:r>
      <w:bookmarkEnd w:id="13"/>
      <w:bookmarkEnd w:id="14"/>
    </w:p>
    <w:p w:rsidR="00C22F2B" w:rsidRPr="00BB6EEC" w:rsidRDefault="00BA71FA" w:rsidP="003B217A">
      <w:pPr>
        <w:pStyle w:val="Heading3"/>
        <w:jc w:val="both"/>
        <w:rPr>
          <w:lang w:val="en-ZA"/>
        </w:rPr>
      </w:pPr>
      <w:bookmarkStart w:id="16" w:name="_Toc79349485"/>
      <w:r w:rsidRPr="00BB6EEC">
        <w:rPr>
          <w:lang w:val="en-ZA"/>
        </w:rPr>
        <w:t xml:space="preserve">AUDIT OF </w:t>
      </w:r>
      <w:r w:rsidR="006A4063" w:rsidRPr="00BB6EEC">
        <w:rPr>
          <w:lang w:val="en-ZA"/>
        </w:rPr>
        <w:t>THE</w:t>
      </w:r>
      <w:r w:rsidR="008E1830" w:rsidRPr="00BB6EEC">
        <w:rPr>
          <w:lang w:val="en-ZA"/>
        </w:rPr>
        <w:t xml:space="preserve"> </w:t>
      </w:r>
      <w:r w:rsidR="00C22F2B" w:rsidRPr="00BB6EEC">
        <w:rPr>
          <w:lang w:val="en-ZA"/>
        </w:rPr>
        <w:t>FINANCIAL STATEMENTS</w:t>
      </w:r>
      <w:bookmarkEnd w:id="15"/>
      <w:bookmarkEnd w:id="16"/>
      <w:r w:rsidR="00C22F2B" w:rsidRPr="00BB6EEC">
        <w:rPr>
          <w:lang w:val="en-ZA"/>
        </w:rPr>
        <w:t xml:space="preserve"> </w:t>
      </w:r>
    </w:p>
    <w:p w:rsidR="00C22F2B" w:rsidRPr="0077659B" w:rsidRDefault="00C22F2B" w:rsidP="00165C2D">
      <w:pPr>
        <w:pStyle w:val="Numbernormal"/>
        <w:numPr>
          <w:ilvl w:val="0"/>
          <w:numId w:val="14"/>
        </w:numPr>
        <w:ind w:left="567"/>
        <w:jc w:val="both"/>
      </w:pPr>
      <w:r w:rsidRPr="0077659B">
        <w:t xml:space="preserve">We identified material misstatements in the financial statements during the audit. These misstatements were not prevented or detected by the </w:t>
      </w:r>
      <w:r w:rsidR="00D9601F">
        <w:t>entity’</w:t>
      </w:r>
      <w:r w:rsidR="00D9601F" w:rsidRPr="0077659B">
        <w:t>s</w:t>
      </w:r>
      <w:r w:rsidRPr="0077659B">
        <w:t xml:space="preserve"> system of internal control. These material misstatements also constitute non-com</w:t>
      </w:r>
      <w:r w:rsidR="003B217A">
        <w:t>pliance with section 40(1)</w:t>
      </w:r>
      <w:r w:rsidRPr="0077659B">
        <w:t xml:space="preserve"> of the Public Finance Management Act (PFMA). </w:t>
      </w:r>
    </w:p>
    <w:p w:rsidR="00C22F2B" w:rsidRPr="0077659B" w:rsidRDefault="00C22F2B" w:rsidP="00165C2D">
      <w:pPr>
        <w:pStyle w:val="Numbernormal"/>
        <w:numPr>
          <w:ilvl w:val="0"/>
          <w:numId w:val="14"/>
        </w:numPr>
        <w:ind w:left="567"/>
        <w:jc w:val="both"/>
      </w:pPr>
      <w:r w:rsidRPr="0077659B">
        <w:t>The misstatements that were not corrected form the basis for the qualified</w:t>
      </w:r>
      <w:r w:rsidR="0060660C">
        <w:t xml:space="preserve"> </w:t>
      </w:r>
      <w:r w:rsidRPr="0077659B">
        <w:t xml:space="preserve">opinion on the financial statements.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2"/>
        <w:gridCol w:w="6098"/>
        <w:gridCol w:w="1328"/>
        <w:gridCol w:w="2116"/>
        <w:gridCol w:w="2186"/>
      </w:tblGrid>
      <w:tr w:rsidR="00C22F2B" w:rsidRPr="003B217A" w:rsidTr="008028BA">
        <w:trPr>
          <w:trHeight w:val="186"/>
          <w:tblHeader/>
        </w:trPr>
        <w:tc>
          <w:tcPr>
            <w:tcW w:w="3526" w:type="pct"/>
            <w:gridSpan w:val="3"/>
            <w:shd w:val="clear" w:color="auto" w:fill="A6A6A6" w:themeFill="background1" w:themeFillShade="A6"/>
          </w:tcPr>
          <w:p w:rsidR="00C22F2B" w:rsidRPr="003B217A" w:rsidRDefault="00C22F2B" w:rsidP="000C4D17">
            <w:pPr>
              <w:pStyle w:val="NoSpacing"/>
              <w:rPr>
                <w:rFonts w:cs="Arial"/>
                <w:snapToGrid w:val="0"/>
                <w:sz w:val="18"/>
                <w:szCs w:val="18"/>
              </w:rPr>
            </w:pPr>
            <w:r w:rsidRPr="003B217A">
              <w:rPr>
                <w:rFonts w:cs="Arial"/>
                <w:snapToGrid w:val="0"/>
                <w:sz w:val="18"/>
                <w:szCs w:val="18"/>
              </w:rPr>
              <w:t>Material misstatement</w:t>
            </w:r>
          </w:p>
        </w:tc>
        <w:tc>
          <w:tcPr>
            <w:tcW w:w="725" w:type="pct"/>
            <w:vMerge w:val="restart"/>
            <w:shd w:val="clear" w:color="auto" w:fill="BFBFBF" w:themeFill="background1" w:themeFillShade="BF"/>
          </w:tcPr>
          <w:p w:rsidR="00C22F2B" w:rsidRPr="003B217A" w:rsidRDefault="00C22F2B" w:rsidP="000C4D17">
            <w:pPr>
              <w:pStyle w:val="NoSpacing"/>
              <w:rPr>
                <w:rFonts w:cs="Arial"/>
                <w:snapToGrid w:val="0"/>
                <w:sz w:val="18"/>
                <w:szCs w:val="18"/>
              </w:rPr>
            </w:pPr>
            <w:r w:rsidRPr="003B217A">
              <w:rPr>
                <w:rFonts w:cs="Arial"/>
                <w:snapToGrid w:val="0"/>
                <w:sz w:val="18"/>
                <w:szCs w:val="18"/>
              </w:rPr>
              <w:t>Impact</w:t>
            </w:r>
          </w:p>
          <w:p w:rsidR="00C22F2B" w:rsidRPr="003B217A" w:rsidRDefault="00C22F2B" w:rsidP="000C4D17">
            <w:pPr>
              <w:pStyle w:val="NoSpacing"/>
              <w:rPr>
                <w:rFonts w:cs="Arial"/>
                <w:snapToGrid w:val="0"/>
                <w:sz w:val="18"/>
                <w:szCs w:val="18"/>
              </w:rPr>
            </w:pPr>
            <w:r w:rsidRPr="003B217A">
              <w:rPr>
                <w:rFonts w:cs="Arial"/>
                <w:snapToGrid w:val="0"/>
                <w:sz w:val="18"/>
                <w:szCs w:val="18"/>
              </w:rPr>
              <w:t>R</w:t>
            </w:r>
          </w:p>
          <w:p w:rsidR="00C22F2B" w:rsidRPr="003B217A" w:rsidRDefault="00C22F2B" w:rsidP="000C4D17">
            <w:pPr>
              <w:pStyle w:val="NoSpacing"/>
              <w:rPr>
                <w:rFonts w:cs="Arial"/>
                <w:snapToGrid w:val="0"/>
                <w:sz w:val="18"/>
                <w:szCs w:val="18"/>
              </w:rPr>
            </w:pPr>
            <w:r w:rsidRPr="003B217A">
              <w:rPr>
                <w:rFonts w:cs="Arial"/>
                <w:snapToGrid w:val="0"/>
                <w:sz w:val="18"/>
                <w:szCs w:val="18"/>
              </w:rPr>
              <w:t>current year</w:t>
            </w:r>
          </w:p>
        </w:tc>
        <w:tc>
          <w:tcPr>
            <w:tcW w:w="749" w:type="pct"/>
            <w:vMerge w:val="restart"/>
            <w:shd w:val="clear" w:color="auto" w:fill="BFBFBF" w:themeFill="background1" w:themeFillShade="BF"/>
          </w:tcPr>
          <w:p w:rsidR="00C22F2B" w:rsidRPr="003B217A" w:rsidRDefault="00C22F2B" w:rsidP="000C4D17">
            <w:pPr>
              <w:pStyle w:val="NoSpacing"/>
              <w:rPr>
                <w:rFonts w:cs="Arial"/>
                <w:snapToGrid w:val="0"/>
                <w:sz w:val="18"/>
                <w:szCs w:val="18"/>
              </w:rPr>
            </w:pPr>
            <w:r w:rsidRPr="003B217A">
              <w:rPr>
                <w:rFonts w:cs="Arial"/>
                <w:snapToGrid w:val="0"/>
                <w:sz w:val="18"/>
                <w:szCs w:val="18"/>
              </w:rPr>
              <w:t>Impact</w:t>
            </w:r>
          </w:p>
          <w:p w:rsidR="00C22F2B" w:rsidRPr="003B217A" w:rsidRDefault="00C22F2B" w:rsidP="000C4D17">
            <w:pPr>
              <w:pStyle w:val="NoSpacing"/>
              <w:rPr>
                <w:rFonts w:cs="Arial"/>
                <w:snapToGrid w:val="0"/>
                <w:sz w:val="18"/>
                <w:szCs w:val="18"/>
              </w:rPr>
            </w:pPr>
            <w:r w:rsidRPr="003B217A">
              <w:rPr>
                <w:rFonts w:cs="Arial"/>
                <w:snapToGrid w:val="0"/>
                <w:sz w:val="18"/>
                <w:szCs w:val="18"/>
              </w:rPr>
              <w:t>R</w:t>
            </w:r>
          </w:p>
          <w:p w:rsidR="00C22F2B" w:rsidRPr="003B217A" w:rsidRDefault="00C22F2B" w:rsidP="000C4D17">
            <w:pPr>
              <w:pStyle w:val="NoSpacing"/>
              <w:rPr>
                <w:rFonts w:cs="Arial"/>
                <w:snapToGrid w:val="0"/>
                <w:sz w:val="18"/>
                <w:szCs w:val="18"/>
              </w:rPr>
            </w:pPr>
            <w:r w:rsidRPr="003B217A">
              <w:rPr>
                <w:rFonts w:cs="Arial"/>
                <w:snapToGrid w:val="0"/>
                <w:sz w:val="18"/>
                <w:szCs w:val="18"/>
              </w:rPr>
              <w:t>prior year</w:t>
            </w:r>
          </w:p>
        </w:tc>
      </w:tr>
      <w:tr w:rsidR="00C22F2B" w:rsidRPr="003B217A" w:rsidTr="003B217A">
        <w:trPr>
          <w:trHeight w:val="185"/>
          <w:tblHeader/>
        </w:trPr>
        <w:tc>
          <w:tcPr>
            <w:tcW w:w="981" w:type="pct"/>
            <w:shd w:val="clear" w:color="auto" w:fill="BFBFBF" w:themeFill="background1" w:themeFillShade="BF"/>
          </w:tcPr>
          <w:p w:rsidR="00C22F2B" w:rsidRPr="003B217A" w:rsidRDefault="00C22F2B" w:rsidP="000C4D17">
            <w:pPr>
              <w:pStyle w:val="NoSpacing"/>
              <w:rPr>
                <w:rFonts w:cs="Arial"/>
                <w:snapToGrid w:val="0"/>
                <w:sz w:val="18"/>
                <w:szCs w:val="18"/>
              </w:rPr>
            </w:pPr>
            <w:r w:rsidRPr="003B217A">
              <w:rPr>
                <w:rFonts w:cs="Arial"/>
                <w:snapToGrid w:val="0"/>
                <w:sz w:val="18"/>
                <w:szCs w:val="18"/>
              </w:rPr>
              <w:t>Financial statement item</w:t>
            </w:r>
          </w:p>
        </w:tc>
        <w:tc>
          <w:tcPr>
            <w:tcW w:w="2090" w:type="pct"/>
            <w:shd w:val="clear" w:color="auto" w:fill="BFBFBF" w:themeFill="background1" w:themeFillShade="BF"/>
          </w:tcPr>
          <w:p w:rsidR="00C22F2B" w:rsidRPr="003B217A" w:rsidRDefault="00C22F2B" w:rsidP="000C4D17">
            <w:pPr>
              <w:pStyle w:val="NoSpacing"/>
              <w:rPr>
                <w:rFonts w:cs="Arial"/>
                <w:snapToGrid w:val="0"/>
                <w:sz w:val="18"/>
                <w:szCs w:val="18"/>
              </w:rPr>
            </w:pPr>
            <w:r w:rsidRPr="003B217A">
              <w:rPr>
                <w:rFonts w:cs="Arial"/>
                <w:snapToGrid w:val="0"/>
                <w:sz w:val="18"/>
                <w:szCs w:val="18"/>
              </w:rPr>
              <w:t xml:space="preserve">Finding </w:t>
            </w:r>
          </w:p>
          <w:p w:rsidR="00C22F2B" w:rsidRPr="003B217A" w:rsidRDefault="000C4D17">
            <w:pPr>
              <w:pStyle w:val="NoSpacing"/>
              <w:rPr>
                <w:rFonts w:cs="Arial"/>
                <w:snapToGrid w:val="0"/>
                <w:sz w:val="18"/>
                <w:szCs w:val="18"/>
              </w:rPr>
            </w:pPr>
            <w:r w:rsidRPr="003B217A">
              <w:rPr>
                <w:rFonts w:cs="Arial"/>
                <w:snapToGrid w:val="0"/>
                <w:sz w:val="18"/>
                <w:szCs w:val="18"/>
              </w:rPr>
              <w:t>[</w:t>
            </w:r>
            <w:r w:rsidR="00C22F2B" w:rsidRPr="003B217A">
              <w:rPr>
                <w:rFonts w:cs="Arial"/>
                <w:snapToGrid w:val="0"/>
                <w:sz w:val="18"/>
                <w:szCs w:val="18"/>
              </w:rPr>
              <w:t>Include a brief description of the misstatement as per the findings and the auditor’s report. Include the reasons for the auditee not correcting th</w:t>
            </w:r>
            <w:r w:rsidRPr="003B217A">
              <w:rPr>
                <w:rFonts w:cs="Arial"/>
                <w:snapToGrid w:val="0"/>
                <w:sz w:val="18"/>
                <w:szCs w:val="18"/>
              </w:rPr>
              <w:t xml:space="preserve">e misstatement </w:t>
            </w:r>
            <w:r w:rsidR="003108DB" w:rsidRPr="003B217A">
              <w:rPr>
                <w:rFonts w:cs="Arial"/>
                <w:snapToGrid w:val="0"/>
                <w:sz w:val="18"/>
                <w:szCs w:val="18"/>
              </w:rPr>
              <w:t xml:space="preserve">where </w:t>
            </w:r>
            <w:r w:rsidRPr="003B217A">
              <w:rPr>
                <w:rFonts w:cs="Arial"/>
                <w:snapToGrid w:val="0"/>
                <w:sz w:val="18"/>
                <w:szCs w:val="18"/>
              </w:rPr>
              <w:t>applicable.]</w:t>
            </w:r>
          </w:p>
        </w:tc>
        <w:tc>
          <w:tcPr>
            <w:tcW w:w="455" w:type="pct"/>
            <w:shd w:val="clear" w:color="auto" w:fill="BFBFBF" w:themeFill="background1" w:themeFillShade="BF"/>
          </w:tcPr>
          <w:p w:rsidR="00C22F2B" w:rsidRPr="003B217A" w:rsidRDefault="00C22F2B" w:rsidP="000C4D17">
            <w:pPr>
              <w:pStyle w:val="NoSpacing"/>
              <w:rPr>
                <w:rFonts w:cs="Arial"/>
                <w:snapToGrid w:val="0"/>
                <w:sz w:val="18"/>
                <w:szCs w:val="18"/>
              </w:rPr>
            </w:pPr>
            <w:r w:rsidRPr="003B217A">
              <w:rPr>
                <w:rFonts w:cs="Arial"/>
                <w:snapToGrid w:val="0"/>
                <w:sz w:val="18"/>
                <w:szCs w:val="18"/>
              </w:rPr>
              <w:t>Occurred in prior year</w:t>
            </w:r>
          </w:p>
          <w:p w:rsidR="00C22F2B" w:rsidRPr="003B217A" w:rsidRDefault="00C22F2B" w:rsidP="000C4D17">
            <w:pPr>
              <w:pStyle w:val="NoSpacing"/>
              <w:rPr>
                <w:rFonts w:cs="Arial"/>
                <w:snapToGrid w:val="0"/>
                <w:sz w:val="18"/>
                <w:szCs w:val="18"/>
              </w:rPr>
            </w:pPr>
          </w:p>
        </w:tc>
        <w:tc>
          <w:tcPr>
            <w:tcW w:w="725" w:type="pct"/>
            <w:vMerge/>
            <w:shd w:val="clear" w:color="auto" w:fill="BFBFBF" w:themeFill="background1" w:themeFillShade="BF"/>
          </w:tcPr>
          <w:p w:rsidR="00C22F2B" w:rsidRPr="003B217A" w:rsidRDefault="00C22F2B" w:rsidP="00C22F2B">
            <w:pPr>
              <w:spacing w:after="0" w:line="240" w:lineRule="auto"/>
              <w:jc w:val="center"/>
              <w:rPr>
                <w:rFonts w:eastAsia="Times New Roman" w:cs="Arial"/>
                <w:b/>
                <w:snapToGrid w:val="0"/>
                <w:sz w:val="18"/>
                <w:szCs w:val="18"/>
              </w:rPr>
            </w:pPr>
          </w:p>
        </w:tc>
        <w:tc>
          <w:tcPr>
            <w:tcW w:w="749" w:type="pct"/>
            <w:vMerge/>
            <w:shd w:val="clear" w:color="auto" w:fill="BFBFBF" w:themeFill="background1" w:themeFillShade="BF"/>
          </w:tcPr>
          <w:p w:rsidR="00C22F2B" w:rsidRPr="003B217A" w:rsidRDefault="00C22F2B" w:rsidP="00C22F2B">
            <w:pPr>
              <w:spacing w:after="0" w:line="240" w:lineRule="auto"/>
              <w:jc w:val="center"/>
              <w:rPr>
                <w:rFonts w:eastAsia="Times New Roman" w:cs="Arial"/>
                <w:b/>
                <w:snapToGrid w:val="0"/>
                <w:sz w:val="18"/>
                <w:szCs w:val="18"/>
              </w:rPr>
            </w:pPr>
          </w:p>
        </w:tc>
      </w:tr>
      <w:tr w:rsidR="00C22F2B" w:rsidRPr="003B217A" w:rsidTr="008028BA">
        <w:tc>
          <w:tcPr>
            <w:tcW w:w="5000" w:type="pct"/>
            <w:gridSpan w:val="5"/>
            <w:shd w:val="clear" w:color="auto" w:fill="D9D9D9" w:themeFill="background1" w:themeFillShade="D9"/>
          </w:tcPr>
          <w:p w:rsidR="00C22F2B" w:rsidRPr="003B217A" w:rsidRDefault="00C22F2B" w:rsidP="003B217A">
            <w:pPr>
              <w:pStyle w:val="NoSpacing"/>
              <w:jc w:val="left"/>
              <w:rPr>
                <w:rFonts w:cs="Arial"/>
                <w:snapToGrid w:val="0"/>
                <w:sz w:val="18"/>
                <w:szCs w:val="18"/>
              </w:rPr>
            </w:pPr>
            <w:bookmarkStart w:id="17" w:name="S2E1"/>
            <w:bookmarkEnd w:id="17"/>
            <w:r w:rsidRPr="003B217A">
              <w:rPr>
                <w:rFonts w:cs="Arial"/>
                <w:snapToGrid w:val="0"/>
                <w:sz w:val="18"/>
                <w:szCs w:val="18"/>
              </w:rPr>
              <w:t>Material misstatements not corrected</w:t>
            </w:r>
          </w:p>
        </w:tc>
      </w:tr>
      <w:tr w:rsidR="003B217A" w:rsidRPr="003B217A" w:rsidTr="003B217A">
        <w:tc>
          <w:tcPr>
            <w:tcW w:w="5000" w:type="pct"/>
            <w:gridSpan w:val="5"/>
          </w:tcPr>
          <w:p w:rsidR="003B217A" w:rsidRPr="003B217A" w:rsidRDefault="003B217A" w:rsidP="003B217A">
            <w:pPr>
              <w:pStyle w:val="Tabletext"/>
              <w:rPr>
                <w:rFonts w:cs="Arial"/>
                <w:snapToGrid w:val="0"/>
                <w:szCs w:val="18"/>
                <w:lang w:val="en-ZA"/>
              </w:rPr>
            </w:pPr>
            <w:r w:rsidRPr="003B217A">
              <w:rPr>
                <w:rFonts w:cs="Arial"/>
                <w:b/>
                <w:snapToGrid w:val="0"/>
                <w:szCs w:val="18"/>
                <w:lang w:val="en-ZA"/>
              </w:rPr>
              <w:t>Non-Current Assets</w:t>
            </w:r>
          </w:p>
        </w:tc>
      </w:tr>
      <w:tr w:rsidR="003B217A" w:rsidRPr="003B217A" w:rsidTr="003B217A">
        <w:tc>
          <w:tcPr>
            <w:tcW w:w="981" w:type="pct"/>
          </w:tcPr>
          <w:p w:rsidR="003B217A" w:rsidRPr="003B217A" w:rsidRDefault="003B217A" w:rsidP="003B217A">
            <w:pPr>
              <w:pStyle w:val="Tabletext"/>
              <w:rPr>
                <w:rFonts w:cs="Arial"/>
                <w:snapToGrid w:val="0"/>
                <w:szCs w:val="18"/>
              </w:rPr>
            </w:pPr>
            <w:r w:rsidRPr="003B217A">
              <w:rPr>
                <w:rFonts w:cs="Arial"/>
                <w:snapToGrid w:val="0"/>
                <w:szCs w:val="18"/>
              </w:rPr>
              <w:t xml:space="preserve">Property, plant and equipment </w:t>
            </w:r>
          </w:p>
          <w:p w:rsidR="003B217A" w:rsidRPr="003B217A" w:rsidRDefault="003B217A" w:rsidP="003B217A">
            <w:pPr>
              <w:pStyle w:val="Tabletext"/>
              <w:rPr>
                <w:rFonts w:cs="Arial"/>
                <w:snapToGrid w:val="0"/>
                <w:szCs w:val="18"/>
                <w:lang w:val="en-ZA"/>
              </w:rPr>
            </w:pPr>
            <w:r w:rsidRPr="003B217A">
              <w:rPr>
                <w:rFonts w:cs="Arial"/>
                <w:snapToGrid w:val="0"/>
                <w:szCs w:val="18"/>
              </w:rPr>
              <w:t>Depreciation and accumulated depreciation</w:t>
            </w:r>
          </w:p>
        </w:tc>
        <w:tc>
          <w:tcPr>
            <w:tcW w:w="2090" w:type="pct"/>
          </w:tcPr>
          <w:p w:rsidR="00127D31" w:rsidRDefault="00742CDA" w:rsidP="003B217A">
            <w:pPr>
              <w:pStyle w:val="Tabletext"/>
              <w:rPr>
                <w:rFonts w:eastAsia="Times New Roman" w:cs="Arial"/>
                <w:snapToGrid w:val="0"/>
                <w:szCs w:val="18"/>
              </w:rPr>
            </w:pPr>
            <w:r w:rsidRPr="00E36CEF">
              <w:rPr>
                <w:rFonts w:eastAsia="Times New Roman" w:cs="Arial"/>
                <w:snapToGrid w:val="0"/>
                <w:szCs w:val="18"/>
              </w:rPr>
              <w:t xml:space="preserve">In calculating deemed cost for </w:t>
            </w:r>
            <w:r>
              <w:rPr>
                <w:rFonts w:eastAsia="Times New Roman" w:cs="Arial"/>
                <w:snapToGrid w:val="0"/>
                <w:szCs w:val="18"/>
              </w:rPr>
              <w:t xml:space="preserve">immovable </w:t>
            </w:r>
            <w:r w:rsidRPr="00E36CEF">
              <w:rPr>
                <w:rFonts w:eastAsia="Times New Roman" w:cs="Arial"/>
                <w:snapToGrid w:val="0"/>
                <w:szCs w:val="18"/>
              </w:rPr>
              <w:t>assets, the area of the property in m² (extents) is multiplied by the rate for the spe</w:t>
            </w:r>
            <w:r>
              <w:rPr>
                <w:rFonts w:eastAsia="Times New Roman" w:cs="Arial"/>
                <w:snapToGrid w:val="0"/>
                <w:szCs w:val="18"/>
              </w:rPr>
              <w:t>cific type of asset.  M</w:t>
            </w:r>
            <w:r w:rsidRPr="00E36CEF">
              <w:rPr>
                <w:rFonts w:eastAsia="Times New Roman" w:cs="Arial"/>
                <w:snapToGrid w:val="0"/>
                <w:szCs w:val="18"/>
              </w:rPr>
              <w:t xml:space="preserve">isstatements were identified in the </w:t>
            </w:r>
            <w:r>
              <w:rPr>
                <w:rFonts w:eastAsia="Times New Roman" w:cs="Arial"/>
                <w:snapToGrid w:val="0"/>
                <w:szCs w:val="18"/>
              </w:rPr>
              <w:t>immovable assets register (</w:t>
            </w:r>
            <w:r w:rsidRPr="00E36CEF">
              <w:rPr>
                <w:rFonts w:eastAsia="Times New Roman" w:cs="Arial"/>
                <w:snapToGrid w:val="0"/>
                <w:szCs w:val="18"/>
              </w:rPr>
              <w:t>IAR</w:t>
            </w:r>
            <w:r>
              <w:rPr>
                <w:rFonts w:eastAsia="Times New Roman" w:cs="Arial"/>
                <w:snapToGrid w:val="0"/>
                <w:szCs w:val="18"/>
              </w:rPr>
              <w:t xml:space="preserve">) due to the incorrect application of AVL rates when calculating </w:t>
            </w:r>
            <w:r w:rsidR="00127D31">
              <w:rPr>
                <w:rFonts w:eastAsia="Times New Roman" w:cs="Arial"/>
                <w:snapToGrid w:val="0"/>
                <w:szCs w:val="18"/>
              </w:rPr>
              <w:t>property values. Furthermore, we noted instances were</w:t>
            </w:r>
            <w:r w:rsidR="00127D31" w:rsidRPr="00E36CEF">
              <w:rPr>
                <w:rFonts w:eastAsia="Times New Roman" w:cs="Arial"/>
                <w:snapToGrid w:val="0"/>
                <w:szCs w:val="18"/>
              </w:rPr>
              <w:t xml:space="preserve"> incorrect extents being utilised for properties being measured</w:t>
            </w:r>
            <w:r w:rsidR="00127D31">
              <w:rPr>
                <w:rFonts w:eastAsia="Times New Roman" w:cs="Arial"/>
                <w:snapToGrid w:val="0"/>
                <w:szCs w:val="18"/>
              </w:rPr>
              <w:t xml:space="preserve"> using measuring wheel.</w:t>
            </w:r>
          </w:p>
          <w:p w:rsidR="006503F9" w:rsidRDefault="006503F9" w:rsidP="003B217A">
            <w:pPr>
              <w:pStyle w:val="Tabletext"/>
              <w:rPr>
                <w:rFonts w:eastAsia="Times New Roman" w:cs="Arial"/>
                <w:snapToGrid w:val="0"/>
                <w:szCs w:val="18"/>
              </w:rPr>
            </w:pPr>
          </w:p>
          <w:p w:rsidR="00127D31" w:rsidRPr="003B217A" w:rsidRDefault="00D9601F" w:rsidP="00DC2E30">
            <w:pPr>
              <w:pStyle w:val="Tabletext"/>
              <w:rPr>
                <w:rFonts w:cs="Arial"/>
                <w:snapToGrid w:val="0"/>
                <w:szCs w:val="18"/>
                <w:lang w:val="en-ZA"/>
              </w:rPr>
            </w:pPr>
            <w:r>
              <w:rPr>
                <w:rFonts w:eastAsia="Times New Roman" w:cs="Arial"/>
                <w:snapToGrid w:val="0"/>
                <w:szCs w:val="18"/>
              </w:rPr>
              <w:t>Additionally</w:t>
            </w:r>
            <w:r w:rsidR="00127D31">
              <w:rPr>
                <w:rFonts w:eastAsia="Times New Roman" w:cs="Arial"/>
                <w:snapToGrid w:val="0"/>
                <w:szCs w:val="18"/>
              </w:rPr>
              <w:t xml:space="preserve">, we identified misstatements in the IAR due to assets included in the IAR for which </w:t>
            </w:r>
            <w:r w:rsidR="00DC2E30">
              <w:rPr>
                <w:rFonts w:eastAsia="Times New Roman" w:cs="Arial"/>
                <w:snapToGrid w:val="0"/>
                <w:szCs w:val="18"/>
              </w:rPr>
              <w:t xml:space="preserve">PMTE did not retain ownership. </w:t>
            </w:r>
            <w:r>
              <w:rPr>
                <w:rFonts w:eastAsia="Times New Roman" w:cs="Arial"/>
                <w:snapToGrid w:val="0"/>
                <w:szCs w:val="18"/>
              </w:rPr>
              <w:t>Furthermore</w:t>
            </w:r>
            <w:r w:rsidR="00DC2E30">
              <w:rPr>
                <w:rFonts w:eastAsia="Times New Roman" w:cs="Arial"/>
                <w:snapToGrid w:val="0"/>
                <w:szCs w:val="18"/>
              </w:rPr>
              <w:t xml:space="preserve">, we identified assets which are duplicated in the IAR. </w:t>
            </w:r>
          </w:p>
        </w:tc>
        <w:tc>
          <w:tcPr>
            <w:tcW w:w="455" w:type="pct"/>
          </w:tcPr>
          <w:p w:rsidR="003B217A" w:rsidRPr="003B217A" w:rsidRDefault="00DC2E30" w:rsidP="003B217A">
            <w:pPr>
              <w:pStyle w:val="Tabletext"/>
              <w:rPr>
                <w:rFonts w:cs="Arial"/>
                <w:snapToGrid w:val="0"/>
                <w:szCs w:val="18"/>
                <w:lang w:val="en-ZA"/>
              </w:rPr>
            </w:pPr>
            <w:r>
              <w:rPr>
                <w:rFonts w:cs="Arial"/>
                <w:snapToGrid w:val="0"/>
                <w:szCs w:val="18"/>
                <w:lang w:val="en-ZA"/>
              </w:rPr>
              <w:t>Yes</w:t>
            </w:r>
          </w:p>
        </w:tc>
        <w:tc>
          <w:tcPr>
            <w:tcW w:w="725" w:type="pct"/>
          </w:tcPr>
          <w:p w:rsidR="00DC2E30" w:rsidRDefault="00DC2E30" w:rsidP="003B217A">
            <w:pPr>
              <w:pStyle w:val="Tabletext"/>
              <w:rPr>
                <w:rFonts w:cs="Arial"/>
                <w:snapToGrid w:val="0"/>
                <w:szCs w:val="18"/>
                <w:lang w:val="en-ZA"/>
              </w:rPr>
            </w:pPr>
            <w:r>
              <w:rPr>
                <w:rFonts w:cs="Arial"/>
                <w:snapToGrid w:val="0"/>
                <w:szCs w:val="18"/>
                <w:lang w:val="en-ZA"/>
              </w:rPr>
              <w:t xml:space="preserve">Estimated understatement of </w:t>
            </w:r>
          </w:p>
          <w:p w:rsidR="003B217A" w:rsidRDefault="00DC2E30" w:rsidP="003B217A">
            <w:pPr>
              <w:pStyle w:val="Tabletext"/>
              <w:rPr>
                <w:rFonts w:cs="Arial"/>
                <w:snapToGrid w:val="0"/>
                <w:szCs w:val="18"/>
                <w:lang w:val="en-ZA"/>
              </w:rPr>
            </w:pPr>
            <w:r>
              <w:rPr>
                <w:rFonts w:cs="Arial"/>
                <w:snapToGrid w:val="0"/>
                <w:szCs w:val="18"/>
                <w:lang w:val="en-ZA"/>
              </w:rPr>
              <w:t>R1 214 843 369</w:t>
            </w:r>
          </w:p>
          <w:p w:rsidR="00DC2E30" w:rsidRDefault="00DC2E30" w:rsidP="003B217A">
            <w:pPr>
              <w:pStyle w:val="Tabletext"/>
              <w:rPr>
                <w:rFonts w:cs="Arial"/>
                <w:snapToGrid w:val="0"/>
                <w:szCs w:val="18"/>
                <w:lang w:val="en-ZA"/>
              </w:rPr>
            </w:pPr>
          </w:p>
          <w:p w:rsidR="006503F9" w:rsidRDefault="006503F9" w:rsidP="003B217A">
            <w:pPr>
              <w:pStyle w:val="Tabletext"/>
              <w:rPr>
                <w:rFonts w:cs="Arial"/>
                <w:snapToGrid w:val="0"/>
                <w:szCs w:val="18"/>
                <w:lang w:val="en-ZA"/>
              </w:rPr>
            </w:pPr>
          </w:p>
          <w:p w:rsidR="006503F9" w:rsidRDefault="006503F9" w:rsidP="003B217A">
            <w:pPr>
              <w:pStyle w:val="Tabletext"/>
              <w:rPr>
                <w:rFonts w:cs="Arial"/>
                <w:snapToGrid w:val="0"/>
                <w:szCs w:val="18"/>
                <w:lang w:val="en-ZA"/>
              </w:rPr>
            </w:pPr>
          </w:p>
          <w:p w:rsidR="00DC2E30" w:rsidRDefault="00DC2E30" w:rsidP="003B217A">
            <w:pPr>
              <w:pStyle w:val="Tabletext"/>
              <w:rPr>
                <w:rFonts w:cs="Arial"/>
                <w:snapToGrid w:val="0"/>
                <w:szCs w:val="18"/>
                <w:lang w:val="en-ZA"/>
              </w:rPr>
            </w:pPr>
            <w:r>
              <w:rPr>
                <w:rFonts w:cs="Arial"/>
                <w:snapToGrid w:val="0"/>
                <w:szCs w:val="18"/>
                <w:lang w:val="en-ZA"/>
              </w:rPr>
              <w:t xml:space="preserve">Actual overstatement of </w:t>
            </w:r>
          </w:p>
          <w:p w:rsidR="00DC2E30" w:rsidRPr="003B217A" w:rsidRDefault="00A169CA" w:rsidP="003B217A">
            <w:pPr>
              <w:pStyle w:val="Tabletext"/>
              <w:rPr>
                <w:rFonts w:cs="Arial"/>
                <w:snapToGrid w:val="0"/>
                <w:szCs w:val="18"/>
                <w:lang w:val="en-ZA"/>
              </w:rPr>
            </w:pPr>
            <w:r>
              <w:rPr>
                <w:rFonts w:cs="Arial"/>
                <w:snapToGrid w:val="0"/>
                <w:szCs w:val="18"/>
                <w:lang w:val="en-ZA"/>
              </w:rPr>
              <w:t>R2 349 306 036</w:t>
            </w:r>
          </w:p>
        </w:tc>
        <w:tc>
          <w:tcPr>
            <w:tcW w:w="749" w:type="pct"/>
          </w:tcPr>
          <w:p w:rsidR="00DC2E30" w:rsidRPr="00DC2E30" w:rsidRDefault="00DC2E30" w:rsidP="00DC2E30">
            <w:pPr>
              <w:pStyle w:val="Tabletext"/>
              <w:rPr>
                <w:rFonts w:cs="Arial"/>
                <w:snapToGrid w:val="0"/>
                <w:szCs w:val="18"/>
                <w:lang w:val="en-ZA"/>
              </w:rPr>
            </w:pPr>
            <w:r w:rsidRPr="00DC2E30">
              <w:rPr>
                <w:rFonts w:cs="Arial"/>
                <w:snapToGrid w:val="0"/>
                <w:szCs w:val="18"/>
                <w:lang w:val="en-ZA"/>
              </w:rPr>
              <w:t xml:space="preserve">Estimated understatement of </w:t>
            </w:r>
          </w:p>
          <w:p w:rsidR="003B217A" w:rsidRPr="003B217A" w:rsidRDefault="00DC2E30" w:rsidP="00DC2E30">
            <w:pPr>
              <w:pStyle w:val="Tabletext"/>
              <w:rPr>
                <w:rFonts w:cs="Arial"/>
                <w:snapToGrid w:val="0"/>
                <w:szCs w:val="18"/>
                <w:lang w:val="en-ZA"/>
              </w:rPr>
            </w:pPr>
            <w:r w:rsidRPr="00DC2E30">
              <w:rPr>
                <w:rFonts w:cs="Arial"/>
                <w:snapToGrid w:val="0"/>
                <w:szCs w:val="18"/>
                <w:lang w:val="en-ZA"/>
              </w:rPr>
              <w:t>R2 818 767 125</w:t>
            </w:r>
          </w:p>
        </w:tc>
      </w:tr>
      <w:tr w:rsidR="003B217A" w:rsidRPr="003B217A" w:rsidTr="003B217A">
        <w:tc>
          <w:tcPr>
            <w:tcW w:w="5000" w:type="pct"/>
            <w:gridSpan w:val="5"/>
          </w:tcPr>
          <w:p w:rsidR="003B217A" w:rsidRPr="003B217A" w:rsidRDefault="003B217A" w:rsidP="003B217A">
            <w:pPr>
              <w:pStyle w:val="Tabletext"/>
              <w:rPr>
                <w:rFonts w:cs="Arial"/>
                <w:snapToGrid w:val="0"/>
                <w:szCs w:val="18"/>
                <w:lang w:val="en-ZA"/>
              </w:rPr>
            </w:pPr>
            <w:r w:rsidRPr="003B217A">
              <w:rPr>
                <w:rFonts w:cs="Arial"/>
                <w:b/>
                <w:snapToGrid w:val="0"/>
                <w:szCs w:val="18"/>
                <w:lang w:val="en-ZA"/>
              </w:rPr>
              <w:t>Current Assets</w:t>
            </w:r>
          </w:p>
        </w:tc>
      </w:tr>
      <w:tr w:rsidR="003B217A" w:rsidRPr="003B217A" w:rsidTr="003B217A">
        <w:tc>
          <w:tcPr>
            <w:tcW w:w="981" w:type="pct"/>
          </w:tcPr>
          <w:p w:rsidR="003B217A" w:rsidRPr="003B217A" w:rsidRDefault="003B217A" w:rsidP="003B217A">
            <w:pPr>
              <w:pStyle w:val="Tabletext"/>
              <w:rPr>
                <w:rFonts w:cs="Arial"/>
                <w:snapToGrid w:val="0"/>
                <w:szCs w:val="18"/>
                <w:lang w:val="en-ZA"/>
              </w:rPr>
            </w:pPr>
            <w:r w:rsidRPr="003B217A">
              <w:rPr>
                <w:rFonts w:cs="Arial"/>
                <w:snapToGrid w:val="0"/>
                <w:szCs w:val="18"/>
                <w:lang w:val="en-ZA"/>
              </w:rPr>
              <w:lastRenderedPageBreak/>
              <w:t xml:space="preserve">Receivables from exchange transactions: </w:t>
            </w:r>
          </w:p>
        </w:tc>
        <w:tc>
          <w:tcPr>
            <w:tcW w:w="2090" w:type="pct"/>
          </w:tcPr>
          <w:p w:rsidR="003B217A" w:rsidRPr="003B217A" w:rsidRDefault="003B217A" w:rsidP="003B217A">
            <w:pPr>
              <w:pStyle w:val="Tabletext"/>
              <w:rPr>
                <w:rFonts w:cs="Arial"/>
                <w:snapToGrid w:val="0"/>
                <w:szCs w:val="18"/>
                <w:lang w:val="en-ZA"/>
              </w:rPr>
            </w:pPr>
            <w:r w:rsidRPr="003B217A">
              <w:rPr>
                <w:rFonts w:cs="Arial"/>
                <w:snapToGrid w:val="0"/>
                <w:szCs w:val="18"/>
                <w:lang w:val="en-ZA"/>
              </w:rPr>
              <w:t>Differences were identified between the amount disclosed on the AFS and the supporting schedules for municipal services.</w:t>
            </w:r>
          </w:p>
          <w:p w:rsidR="003B217A" w:rsidRPr="003B217A" w:rsidRDefault="003B217A" w:rsidP="003B217A">
            <w:pPr>
              <w:pStyle w:val="Tabletext"/>
              <w:rPr>
                <w:rFonts w:cs="Arial"/>
                <w:snapToGrid w:val="0"/>
                <w:szCs w:val="18"/>
                <w:lang w:val="en-ZA"/>
              </w:rPr>
            </w:pPr>
            <w:r w:rsidRPr="003B217A">
              <w:rPr>
                <w:rFonts w:cs="Arial"/>
                <w:snapToGrid w:val="0"/>
                <w:szCs w:val="18"/>
                <w:lang w:val="en-ZA"/>
              </w:rPr>
              <w:t>Furthermore, we identified differences between the recalculated lease prepayment balance and amount disclosed on the AFS.</w:t>
            </w:r>
          </w:p>
        </w:tc>
        <w:tc>
          <w:tcPr>
            <w:tcW w:w="455" w:type="pct"/>
          </w:tcPr>
          <w:p w:rsidR="003B217A" w:rsidRPr="003B217A" w:rsidRDefault="003B217A" w:rsidP="003B217A">
            <w:pPr>
              <w:pStyle w:val="Tabletext"/>
              <w:rPr>
                <w:rFonts w:cs="Arial"/>
                <w:snapToGrid w:val="0"/>
                <w:szCs w:val="18"/>
                <w:lang w:val="en-ZA"/>
              </w:rPr>
            </w:pPr>
            <w:r w:rsidRPr="003B217A">
              <w:rPr>
                <w:rFonts w:cs="Arial"/>
                <w:snapToGrid w:val="0"/>
                <w:szCs w:val="18"/>
                <w:lang w:val="en-ZA"/>
              </w:rPr>
              <w:t>No</w:t>
            </w:r>
          </w:p>
        </w:tc>
        <w:tc>
          <w:tcPr>
            <w:tcW w:w="725" w:type="pct"/>
          </w:tcPr>
          <w:p w:rsidR="003B217A" w:rsidRPr="003B217A" w:rsidRDefault="003B217A" w:rsidP="003B217A">
            <w:pPr>
              <w:pStyle w:val="Tabletext"/>
              <w:rPr>
                <w:rFonts w:cs="Arial"/>
                <w:snapToGrid w:val="0"/>
                <w:szCs w:val="18"/>
                <w:lang w:val="en-ZA"/>
              </w:rPr>
            </w:pPr>
            <w:r w:rsidRPr="003B217A">
              <w:rPr>
                <w:rFonts w:cs="Arial"/>
                <w:snapToGrid w:val="0"/>
                <w:szCs w:val="18"/>
                <w:lang w:val="en-ZA"/>
              </w:rPr>
              <w:t>Estimated overstatement of</w:t>
            </w:r>
          </w:p>
          <w:p w:rsidR="003B217A" w:rsidRPr="003B217A" w:rsidRDefault="003B217A" w:rsidP="003B217A">
            <w:pPr>
              <w:pStyle w:val="Tabletext"/>
              <w:rPr>
                <w:rFonts w:cs="Arial"/>
                <w:snapToGrid w:val="0"/>
                <w:szCs w:val="18"/>
                <w:lang w:val="en-ZA"/>
              </w:rPr>
            </w:pPr>
            <w:r w:rsidRPr="003B217A">
              <w:rPr>
                <w:rFonts w:cs="Arial"/>
                <w:snapToGrid w:val="0"/>
                <w:szCs w:val="18"/>
                <w:lang w:val="en-ZA"/>
              </w:rPr>
              <w:t>R429 766 447</w:t>
            </w:r>
          </w:p>
        </w:tc>
        <w:tc>
          <w:tcPr>
            <w:tcW w:w="749" w:type="pct"/>
          </w:tcPr>
          <w:p w:rsidR="003B217A" w:rsidRPr="003B217A" w:rsidRDefault="003B217A" w:rsidP="003B217A">
            <w:pPr>
              <w:pStyle w:val="Tabletext"/>
              <w:rPr>
                <w:rFonts w:cs="Arial"/>
                <w:snapToGrid w:val="0"/>
                <w:szCs w:val="18"/>
                <w:lang w:val="en-ZA"/>
              </w:rPr>
            </w:pPr>
            <w:r w:rsidRPr="003B217A">
              <w:rPr>
                <w:rFonts w:cs="Arial"/>
                <w:snapToGrid w:val="0"/>
                <w:szCs w:val="18"/>
                <w:lang w:val="en-ZA"/>
              </w:rPr>
              <w:t>0</w:t>
            </w:r>
          </w:p>
        </w:tc>
      </w:tr>
      <w:tr w:rsidR="003B217A" w:rsidRPr="003B217A" w:rsidTr="003B217A">
        <w:tc>
          <w:tcPr>
            <w:tcW w:w="5000" w:type="pct"/>
            <w:gridSpan w:val="5"/>
          </w:tcPr>
          <w:p w:rsidR="003B217A" w:rsidRPr="003B217A" w:rsidRDefault="003B217A" w:rsidP="003B217A">
            <w:pPr>
              <w:pStyle w:val="Tabletext"/>
              <w:rPr>
                <w:rFonts w:cs="Arial"/>
                <w:snapToGrid w:val="0"/>
                <w:szCs w:val="18"/>
                <w:lang w:val="en-ZA"/>
              </w:rPr>
            </w:pPr>
            <w:r w:rsidRPr="003B217A">
              <w:rPr>
                <w:rFonts w:cs="Arial"/>
                <w:b/>
                <w:snapToGrid w:val="0"/>
                <w:szCs w:val="18"/>
                <w:lang w:val="en-ZA"/>
              </w:rPr>
              <w:t>Current liabilities</w:t>
            </w:r>
          </w:p>
        </w:tc>
      </w:tr>
      <w:tr w:rsidR="003B217A" w:rsidRPr="003B217A" w:rsidTr="003B217A">
        <w:trPr>
          <w:trHeight w:val="714"/>
        </w:trPr>
        <w:tc>
          <w:tcPr>
            <w:tcW w:w="981" w:type="pct"/>
            <w:vAlign w:val="center"/>
          </w:tcPr>
          <w:p w:rsidR="003B217A" w:rsidRPr="003B217A" w:rsidRDefault="003B217A" w:rsidP="003B217A">
            <w:pPr>
              <w:pStyle w:val="Tabletext"/>
              <w:rPr>
                <w:rFonts w:cs="Arial"/>
                <w:snapToGrid w:val="0"/>
                <w:szCs w:val="18"/>
                <w:lang w:val="en-ZA"/>
              </w:rPr>
            </w:pPr>
            <w:r w:rsidRPr="003B217A">
              <w:rPr>
                <w:rFonts w:cs="Arial"/>
                <w:snapToGrid w:val="0"/>
                <w:szCs w:val="18"/>
                <w:lang w:val="en-ZA"/>
              </w:rPr>
              <w:t>Payables from exchange transactions</w:t>
            </w:r>
          </w:p>
        </w:tc>
        <w:tc>
          <w:tcPr>
            <w:tcW w:w="2090" w:type="pct"/>
          </w:tcPr>
          <w:p w:rsidR="003B217A" w:rsidRPr="003B217A" w:rsidRDefault="003B217A" w:rsidP="003B217A">
            <w:pPr>
              <w:pStyle w:val="Tabletext"/>
              <w:rPr>
                <w:rFonts w:cs="Arial"/>
                <w:snapToGrid w:val="0"/>
                <w:szCs w:val="18"/>
                <w:lang w:val="en-ZA"/>
              </w:rPr>
            </w:pPr>
            <w:r w:rsidRPr="003B217A">
              <w:rPr>
                <w:rFonts w:cs="Arial"/>
                <w:snapToGrid w:val="0"/>
                <w:szCs w:val="18"/>
                <w:lang w:val="en-ZA"/>
              </w:rPr>
              <w:t>Differences were identified between auditor’s recalculated amounts and the balance disclosed on the AFS relating to Accrued expenses</w:t>
            </w:r>
          </w:p>
        </w:tc>
        <w:tc>
          <w:tcPr>
            <w:tcW w:w="455" w:type="pct"/>
          </w:tcPr>
          <w:p w:rsidR="003B217A" w:rsidRPr="003B217A" w:rsidRDefault="003B217A" w:rsidP="003B217A">
            <w:pPr>
              <w:pStyle w:val="Tabletext"/>
              <w:rPr>
                <w:rFonts w:cs="Arial"/>
                <w:snapToGrid w:val="0"/>
                <w:szCs w:val="18"/>
                <w:lang w:val="en-ZA"/>
              </w:rPr>
            </w:pPr>
            <w:r w:rsidRPr="003B217A">
              <w:rPr>
                <w:rFonts w:cs="Arial"/>
                <w:snapToGrid w:val="0"/>
                <w:szCs w:val="18"/>
                <w:lang w:val="en-ZA"/>
              </w:rPr>
              <w:t>No</w:t>
            </w:r>
          </w:p>
        </w:tc>
        <w:tc>
          <w:tcPr>
            <w:tcW w:w="725" w:type="pct"/>
          </w:tcPr>
          <w:p w:rsidR="003B217A" w:rsidRPr="003B217A" w:rsidRDefault="003B217A" w:rsidP="003B217A">
            <w:pPr>
              <w:pStyle w:val="Tabletext"/>
              <w:rPr>
                <w:rFonts w:cs="Arial"/>
                <w:snapToGrid w:val="0"/>
                <w:szCs w:val="18"/>
                <w:lang w:val="en-ZA"/>
              </w:rPr>
            </w:pPr>
            <w:r w:rsidRPr="003B217A">
              <w:rPr>
                <w:rFonts w:cs="Arial"/>
                <w:snapToGrid w:val="0"/>
                <w:szCs w:val="18"/>
                <w:lang w:val="en-ZA"/>
              </w:rPr>
              <w:t>Estimated overstatement of</w:t>
            </w:r>
          </w:p>
          <w:p w:rsidR="003B217A" w:rsidRPr="003B217A" w:rsidRDefault="003B217A" w:rsidP="003B217A">
            <w:pPr>
              <w:pStyle w:val="Tabletext"/>
              <w:rPr>
                <w:rFonts w:cs="Arial"/>
                <w:snapToGrid w:val="0"/>
                <w:szCs w:val="18"/>
                <w:lang w:val="en-ZA"/>
              </w:rPr>
            </w:pPr>
            <w:r w:rsidRPr="003B217A">
              <w:rPr>
                <w:rFonts w:cs="Arial"/>
                <w:snapToGrid w:val="0"/>
                <w:szCs w:val="18"/>
                <w:lang w:val="en-ZA"/>
              </w:rPr>
              <w:t>R541 052 278</w:t>
            </w:r>
          </w:p>
        </w:tc>
        <w:tc>
          <w:tcPr>
            <w:tcW w:w="749" w:type="pct"/>
          </w:tcPr>
          <w:p w:rsidR="003B217A" w:rsidRPr="003B217A" w:rsidRDefault="003B217A" w:rsidP="003B217A">
            <w:pPr>
              <w:pStyle w:val="Tabletext"/>
              <w:rPr>
                <w:rFonts w:cs="Arial"/>
                <w:snapToGrid w:val="0"/>
                <w:szCs w:val="18"/>
                <w:lang w:val="en-ZA"/>
              </w:rPr>
            </w:pPr>
            <w:r w:rsidRPr="003B217A">
              <w:rPr>
                <w:rFonts w:cs="Arial"/>
                <w:snapToGrid w:val="0"/>
                <w:szCs w:val="18"/>
                <w:lang w:val="en-ZA"/>
              </w:rPr>
              <w:t>0</w:t>
            </w:r>
          </w:p>
        </w:tc>
      </w:tr>
      <w:tr w:rsidR="003B217A" w:rsidRPr="003B217A" w:rsidTr="003B217A">
        <w:tc>
          <w:tcPr>
            <w:tcW w:w="5000" w:type="pct"/>
            <w:gridSpan w:val="5"/>
          </w:tcPr>
          <w:p w:rsidR="003B217A" w:rsidRPr="003B217A" w:rsidRDefault="003B217A" w:rsidP="003B217A">
            <w:pPr>
              <w:pStyle w:val="Tabletext"/>
              <w:rPr>
                <w:rFonts w:cs="Arial"/>
                <w:snapToGrid w:val="0"/>
                <w:szCs w:val="18"/>
                <w:lang w:val="en-ZA"/>
              </w:rPr>
            </w:pPr>
            <w:r w:rsidRPr="003B217A">
              <w:rPr>
                <w:rFonts w:cs="Arial"/>
                <w:b/>
                <w:snapToGrid w:val="0"/>
                <w:szCs w:val="18"/>
                <w:lang w:val="en-ZA"/>
              </w:rPr>
              <w:t>Revenue</w:t>
            </w:r>
          </w:p>
        </w:tc>
      </w:tr>
      <w:tr w:rsidR="003B217A" w:rsidRPr="003B217A" w:rsidTr="007D271D">
        <w:trPr>
          <w:trHeight w:val="1286"/>
        </w:trPr>
        <w:tc>
          <w:tcPr>
            <w:tcW w:w="981" w:type="pct"/>
            <w:vAlign w:val="center"/>
          </w:tcPr>
          <w:p w:rsidR="003B217A" w:rsidRPr="003B217A" w:rsidRDefault="003B217A" w:rsidP="003B217A">
            <w:pPr>
              <w:pStyle w:val="Tabletext"/>
              <w:rPr>
                <w:rFonts w:cs="Arial"/>
                <w:snapToGrid w:val="0"/>
                <w:szCs w:val="18"/>
                <w:lang w:val="en-ZA"/>
              </w:rPr>
            </w:pPr>
            <w:r w:rsidRPr="003B217A">
              <w:rPr>
                <w:rFonts w:eastAsia="Times New Roman" w:cs="Arial"/>
                <w:snapToGrid w:val="0"/>
                <w:szCs w:val="18"/>
              </w:rPr>
              <w:t xml:space="preserve">Revenue from exchange transaction: Leasehold inter-governmental </w:t>
            </w:r>
          </w:p>
        </w:tc>
        <w:tc>
          <w:tcPr>
            <w:tcW w:w="2090" w:type="pct"/>
            <w:vAlign w:val="center"/>
          </w:tcPr>
          <w:p w:rsidR="003B217A" w:rsidRPr="003B217A" w:rsidRDefault="003B217A" w:rsidP="003B217A">
            <w:pPr>
              <w:pStyle w:val="Tabletext"/>
              <w:rPr>
                <w:rFonts w:cs="Arial"/>
                <w:snapToGrid w:val="0"/>
                <w:szCs w:val="18"/>
                <w:lang w:val="en-ZA"/>
              </w:rPr>
            </w:pPr>
            <w:r w:rsidRPr="003B217A">
              <w:rPr>
                <w:rFonts w:cs="Arial"/>
                <w:snapToGrid w:val="0"/>
                <w:szCs w:val="18"/>
                <w:lang w:val="en-ZA"/>
              </w:rPr>
              <w:t>Differences were identified between amounts calculated in the schedule supporting the annual financial statements (AFS) and the amount recalculated from the lease agreements</w:t>
            </w:r>
          </w:p>
        </w:tc>
        <w:tc>
          <w:tcPr>
            <w:tcW w:w="455" w:type="pct"/>
            <w:vAlign w:val="center"/>
          </w:tcPr>
          <w:p w:rsidR="003B217A" w:rsidRPr="003B217A" w:rsidRDefault="003B217A" w:rsidP="003B217A">
            <w:pPr>
              <w:pStyle w:val="Tabletext"/>
              <w:rPr>
                <w:rFonts w:cs="Arial"/>
                <w:snapToGrid w:val="0"/>
                <w:szCs w:val="18"/>
                <w:lang w:val="en-ZA"/>
              </w:rPr>
            </w:pPr>
            <w:r w:rsidRPr="003B217A">
              <w:rPr>
                <w:rFonts w:cs="Arial"/>
                <w:snapToGrid w:val="0"/>
                <w:szCs w:val="18"/>
                <w:lang w:val="en-ZA"/>
              </w:rPr>
              <w:t>Yes</w:t>
            </w:r>
          </w:p>
        </w:tc>
        <w:tc>
          <w:tcPr>
            <w:tcW w:w="725" w:type="pct"/>
            <w:vAlign w:val="center"/>
          </w:tcPr>
          <w:p w:rsidR="003B217A" w:rsidRPr="003B217A" w:rsidRDefault="006C4FFE" w:rsidP="003B217A">
            <w:pPr>
              <w:pStyle w:val="Tabletext"/>
              <w:rPr>
                <w:rFonts w:cs="Arial"/>
                <w:snapToGrid w:val="0"/>
                <w:szCs w:val="18"/>
                <w:lang w:val="en-ZA"/>
              </w:rPr>
            </w:pPr>
            <w:r>
              <w:rPr>
                <w:rFonts w:cs="Arial"/>
                <w:snapToGrid w:val="0"/>
                <w:szCs w:val="18"/>
                <w:lang w:val="en-ZA"/>
              </w:rPr>
              <w:t>Unquantifiable amount</w:t>
            </w:r>
          </w:p>
        </w:tc>
        <w:tc>
          <w:tcPr>
            <w:tcW w:w="749" w:type="pct"/>
            <w:vAlign w:val="center"/>
          </w:tcPr>
          <w:p w:rsidR="003B217A" w:rsidRPr="003B217A" w:rsidRDefault="003B217A" w:rsidP="003B217A">
            <w:pPr>
              <w:pStyle w:val="Tabletext"/>
              <w:rPr>
                <w:rFonts w:cs="Arial"/>
                <w:snapToGrid w:val="0"/>
                <w:szCs w:val="18"/>
                <w:lang w:val="en-ZA"/>
              </w:rPr>
            </w:pPr>
            <w:r w:rsidRPr="003B217A">
              <w:rPr>
                <w:rFonts w:cs="Arial"/>
                <w:snapToGrid w:val="0"/>
                <w:szCs w:val="18"/>
                <w:lang w:val="en-ZA"/>
              </w:rPr>
              <w:t>Estimated overstatement of</w:t>
            </w:r>
          </w:p>
          <w:p w:rsidR="003B217A" w:rsidRPr="003B217A" w:rsidRDefault="003B217A" w:rsidP="003B217A">
            <w:pPr>
              <w:pStyle w:val="Tabletext"/>
              <w:rPr>
                <w:rFonts w:cs="Arial"/>
                <w:snapToGrid w:val="0"/>
                <w:szCs w:val="18"/>
                <w:lang w:val="en-ZA"/>
              </w:rPr>
            </w:pPr>
            <w:r w:rsidRPr="003B217A">
              <w:rPr>
                <w:rFonts w:cs="Arial"/>
                <w:snapToGrid w:val="0"/>
                <w:szCs w:val="18"/>
                <w:lang w:val="en-ZA"/>
              </w:rPr>
              <w:t>R159 624 735</w:t>
            </w:r>
          </w:p>
        </w:tc>
      </w:tr>
      <w:tr w:rsidR="003B217A" w:rsidRPr="003B217A" w:rsidTr="007D271D">
        <w:trPr>
          <w:trHeight w:val="271"/>
        </w:trPr>
        <w:tc>
          <w:tcPr>
            <w:tcW w:w="5000" w:type="pct"/>
            <w:gridSpan w:val="5"/>
          </w:tcPr>
          <w:p w:rsidR="003B217A" w:rsidRPr="003B217A" w:rsidRDefault="003B217A" w:rsidP="003B217A">
            <w:pPr>
              <w:pStyle w:val="Tabletext"/>
              <w:rPr>
                <w:rFonts w:cs="Arial"/>
                <w:snapToGrid w:val="0"/>
                <w:szCs w:val="18"/>
                <w:lang w:val="en-ZA"/>
              </w:rPr>
            </w:pPr>
            <w:bookmarkStart w:id="18" w:name="S2E2"/>
            <w:bookmarkEnd w:id="18"/>
            <w:r w:rsidRPr="003B217A">
              <w:rPr>
                <w:rFonts w:cs="Arial"/>
                <w:b/>
                <w:snapToGrid w:val="0"/>
                <w:szCs w:val="18"/>
                <w:lang w:val="en-ZA"/>
              </w:rPr>
              <w:t>Expenditure</w:t>
            </w:r>
          </w:p>
        </w:tc>
      </w:tr>
      <w:tr w:rsidR="003B217A" w:rsidRPr="003B217A" w:rsidTr="003B217A">
        <w:tc>
          <w:tcPr>
            <w:tcW w:w="981" w:type="pct"/>
            <w:vAlign w:val="center"/>
          </w:tcPr>
          <w:p w:rsidR="003B217A" w:rsidRPr="003B217A" w:rsidRDefault="003B217A" w:rsidP="003B217A">
            <w:pPr>
              <w:rPr>
                <w:rFonts w:eastAsia="Calibri" w:cs="Arial"/>
                <w:snapToGrid w:val="0"/>
                <w:sz w:val="18"/>
                <w:szCs w:val="18"/>
              </w:rPr>
            </w:pPr>
            <w:r w:rsidRPr="003B217A">
              <w:rPr>
                <w:rFonts w:cs="Arial"/>
                <w:snapToGrid w:val="0"/>
                <w:sz w:val="18"/>
                <w:szCs w:val="18"/>
              </w:rPr>
              <w:t>Operating lease expenditure</w:t>
            </w:r>
          </w:p>
        </w:tc>
        <w:tc>
          <w:tcPr>
            <w:tcW w:w="2090" w:type="pct"/>
            <w:vAlign w:val="center"/>
          </w:tcPr>
          <w:p w:rsidR="003B217A" w:rsidRPr="003B217A" w:rsidRDefault="003B217A" w:rsidP="003B217A">
            <w:pPr>
              <w:rPr>
                <w:rFonts w:eastAsia="Calibri" w:cs="Arial"/>
                <w:snapToGrid w:val="0"/>
                <w:sz w:val="18"/>
                <w:szCs w:val="18"/>
              </w:rPr>
            </w:pPr>
            <w:r w:rsidRPr="003B217A">
              <w:rPr>
                <w:rFonts w:cs="Arial"/>
                <w:snapToGrid w:val="0"/>
                <w:sz w:val="18"/>
                <w:szCs w:val="18"/>
              </w:rPr>
              <w:t xml:space="preserve">Differences were identified between amounts calculated in the schedule supporting the annual financial statements (AFS) and the amount recalculated from the lease agreements. </w:t>
            </w:r>
          </w:p>
        </w:tc>
        <w:tc>
          <w:tcPr>
            <w:tcW w:w="455" w:type="pct"/>
            <w:vAlign w:val="center"/>
          </w:tcPr>
          <w:p w:rsidR="003B217A" w:rsidRPr="003B217A" w:rsidRDefault="003B217A" w:rsidP="003B217A">
            <w:pPr>
              <w:rPr>
                <w:rFonts w:eastAsia="Calibri" w:cs="Arial"/>
                <w:snapToGrid w:val="0"/>
                <w:sz w:val="18"/>
                <w:szCs w:val="18"/>
              </w:rPr>
            </w:pPr>
            <w:r w:rsidRPr="003B217A">
              <w:rPr>
                <w:rFonts w:cs="Arial"/>
                <w:snapToGrid w:val="0"/>
                <w:sz w:val="18"/>
                <w:szCs w:val="18"/>
              </w:rPr>
              <w:t xml:space="preserve"> Yes</w:t>
            </w:r>
          </w:p>
        </w:tc>
        <w:tc>
          <w:tcPr>
            <w:tcW w:w="725" w:type="pct"/>
            <w:vAlign w:val="center"/>
          </w:tcPr>
          <w:p w:rsidR="003B217A" w:rsidRPr="003B217A" w:rsidRDefault="006C4FFE" w:rsidP="003B217A">
            <w:pPr>
              <w:rPr>
                <w:rFonts w:eastAsia="Calibri" w:cs="Arial"/>
                <w:snapToGrid w:val="0"/>
                <w:sz w:val="18"/>
                <w:szCs w:val="18"/>
              </w:rPr>
            </w:pPr>
            <w:r w:rsidRPr="006C4FFE">
              <w:rPr>
                <w:rFonts w:eastAsia="Calibri" w:cs="Arial"/>
                <w:snapToGrid w:val="0"/>
                <w:sz w:val="18"/>
                <w:szCs w:val="18"/>
              </w:rPr>
              <w:t>Unquantifiable amount</w:t>
            </w:r>
          </w:p>
        </w:tc>
        <w:tc>
          <w:tcPr>
            <w:tcW w:w="749" w:type="pct"/>
            <w:vAlign w:val="center"/>
          </w:tcPr>
          <w:p w:rsidR="003B217A" w:rsidRPr="003B217A" w:rsidRDefault="003B217A" w:rsidP="003B217A">
            <w:pPr>
              <w:pStyle w:val="Tabletext"/>
              <w:rPr>
                <w:rFonts w:cs="Arial"/>
                <w:snapToGrid w:val="0"/>
                <w:szCs w:val="18"/>
                <w:lang w:val="en-ZA"/>
              </w:rPr>
            </w:pPr>
            <w:r w:rsidRPr="003B217A">
              <w:rPr>
                <w:rFonts w:cs="Arial"/>
                <w:snapToGrid w:val="0"/>
                <w:szCs w:val="18"/>
                <w:lang w:val="en-ZA"/>
              </w:rPr>
              <w:t>Estimated overstatement of</w:t>
            </w:r>
          </w:p>
          <w:p w:rsidR="003B217A" w:rsidRPr="003B217A" w:rsidRDefault="003B217A" w:rsidP="003B217A">
            <w:pPr>
              <w:rPr>
                <w:rFonts w:eastAsia="Calibri" w:cs="Arial"/>
                <w:snapToGrid w:val="0"/>
                <w:sz w:val="18"/>
                <w:szCs w:val="18"/>
              </w:rPr>
            </w:pPr>
            <w:r w:rsidRPr="003B217A">
              <w:rPr>
                <w:rFonts w:cs="Arial"/>
                <w:snapToGrid w:val="0"/>
                <w:sz w:val="18"/>
                <w:szCs w:val="18"/>
              </w:rPr>
              <w:t>R161 810 300</w:t>
            </w:r>
          </w:p>
        </w:tc>
      </w:tr>
      <w:tr w:rsidR="003B217A" w:rsidRPr="003B217A" w:rsidTr="009155A6">
        <w:tc>
          <w:tcPr>
            <w:tcW w:w="5000" w:type="pct"/>
            <w:gridSpan w:val="5"/>
          </w:tcPr>
          <w:p w:rsidR="003B217A" w:rsidRPr="003B217A" w:rsidRDefault="003B217A" w:rsidP="003B217A">
            <w:pPr>
              <w:rPr>
                <w:rFonts w:eastAsia="Calibri" w:cs="Arial"/>
                <w:b/>
                <w:snapToGrid w:val="0"/>
                <w:sz w:val="18"/>
                <w:szCs w:val="18"/>
              </w:rPr>
            </w:pPr>
            <w:r w:rsidRPr="003B217A">
              <w:rPr>
                <w:rFonts w:cs="Arial"/>
                <w:b/>
                <w:snapToGrid w:val="0"/>
                <w:sz w:val="18"/>
                <w:szCs w:val="18"/>
              </w:rPr>
              <w:t>Disclosure</w:t>
            </w:r>
          </w:p>
        </w:tc>
      </w:tr>
      <w:tr w:rsidR="006503F9" w:rsidRPr="003B217A" w:rsidTr="003B217A">
        <w:trPr>
          <w:trHeight w:val="469"/>
        </w:trPr>
        <w:tc>
          <w:tcPr>
            <w:tcW w:w="981" w:type="pct"/>
            <w:vAlign w:val="center"/>
          </w:tcPr>
          <w:p w:rsidR="006503F9" w:rsidRPr="003B217A" w:rsidRDefault="006503F9" w:rsidP="003B217A">
            <w:pPr>
              <w:rPr>
                <w:rFonts w:eastAsia="Calibri" w:cs="Arial"/>
                <w:snapToGrid w:val="0"/>
                <w:sz w:val="18"/>
                <w:szCs w:val="18"/>
              </w:rPr>
            </w:pPr>
            <w:r w:rsidRPr="003B217A">
              <w:rPr>
                <w:rFonts w:cs="Arial"/>
                <w:snapToGrid w:val="0"/>
                <w:sz w:val="18"/>
                <w:szCs w:val="18"/>
              </w:rPr>
              <w:t>Lease commitments: Lessee</w:t>
            </w:r>
          </w:p>
        </w:tc>
        <w:tc>
          <w:tcPr>
            <w:tcW w:w="2090" w:type="pct"/>
            <w:vMerge w:val="restart"/>
            <w:vAlign w:val="center"/>
          </w:tcPr>
          <w:p w:rsidR="006503F9" w:rsidRPr="003B217A" w:rsidRDefault="006503F9" w:rsidP="003B217A">
            <w:pPr>
              <w:rPr>
                <w:rFonts w:eastAsia="Calibri" w:cs="Arial"/>
                <w:snapToGrid w:val="0"/>
                <w:sz w:val="18"/>
                <w:szCs w:val="18"/>
              </w:rPr>
            </w:pPr>
            <w:r w:rsidRPr="003B217A">
              <w:rPr>
                <w:rFonts w:eastAsia="Calibri" w:cs="Arial"/>
                <w:snapToGrid w:val="0"/>
                <w:sz w:val="18"/>
                <w:szCs w:val="18"/>
              </w:rPr>
              <w:t>Differences were identified between the auditor’s recalculated amounts and amounts on the supporting schedules.</w:t>
            </w:r>
          </w:p>
        </w:tc>
        <w:tc>
          <w:tcPr>
            <w:tcW w:w="455" w:type="pct"/>
            <w:vAlign w:val="center"/>
          </w:tcPr>
          <w:p w:rsidR="006503F9" w:rsidRPr="003B217A" w:rsidRDefault="006503F9" w:rsidP="003B217A">
            <w:pPr>
              <w:rPr>
                <w:rFonts w:eastAsia="Calibri" w:cs="Arial"/>
                <w:snapToGrid w:val="0"/>
                <w:sz w:val="18"/>
                <w:szCs w:val="18"/>
              </w:rPr>
            </w:pPr>
            <w:r w:rsidRPr="003B217A">
              <w:rPr>
                <w:rFonts w:cs="Arial"/>
                <w:snapToGrid w:val="0"/>
                <w:sz w:val="18"/>
                <w:szCs w:val="18"/>
              </w:rPr>
              <w:t>No</w:t>
            </w:r>
          </w:p>
        </w:tc>
        <w:tc>
          <w:tcPr>
            <w:tcW w:w="725" w:type="pct"/>
          </w:tcPr>
          <w:p w:rsidR="006503F9" w:rsidRPr="006C4FFE" w:rsidRDefault="006C4FFE" w:rsidP="0056206B">
            <w:pPr>
              <w:pStyle w:val="Tabletext"/>
              <w:rPr>
                <w:rFonts w:cs="Arial"/>
                <w:snapToGrid w:val="0"/>
                <w:szCs w:val="18"/>
              </w:rPr>
            </w:pPr>
            <w:r>
              <w:rPr>
                <w:rFonts w:cs="Arial"/>
                <w:snapToGrid w:val="0"/>
                <w:szCs w:val="18"/>
                <w:lang w:val="en-ZA"/>
              </w:rPr>
              <w:t>Unquantifiable amount</w:t>
            </w:r>
          </w:p>
        </w:tc>
        <w:tc>
          <w:tcPr>
            <w:tcW w:w="749" w:type="pct"/>
            <w:vAlign w:val="center"/>
          </w:tcPr>
          <w:p w:rsidR="006503F9" w:rsidRPr="003B217A" w:rsidRDefault="006503F9" w:rsidP="003B217A">
            <w:pPr>
              <w:rPr>
                <w:rFonts w:eastAsia="Calibri" w:cs="Arial"/>
                <w:snapToGrid w:val="0"/>
                <w:sz w:val="18"/>
                <w:szCs w:val="18"/>
              </w:rPr>
            </w:pPr>
            <w:r w:rsidRPr="003B217A">
              <w:rPr>
                <w:rFonts w:cs="Arial"/>
                <w:snapToGrid w:val="0"/>
                <w:sz w:val="18"/>
                <w:szCs w:val="18"/>
              </w:rPr>
              <w:t>0</w:t>
            </w:r>
          </w:p>
        </w:tc>
      </w:tr>
      <w:tr w:rsidR="006503F9" w:rsidRPr="003B217A" w:rsidTr="003B217A">
        <w:tc>
          <w:tcPr>
            <w:tcW w:w="981" w:type="pct"/>
            <w:vAlign w:val="center"/>
          </w:tcPr>
          <w:p w:rsidR="006503F9" w:rsidRPr="003B217A" w:rsidRDefault="006503F9" w:rsidP="003B217A">
            <w:pPr>
              <w:rPr>
                <w:rFonts w:eastAsia="Calibri" w:cs="Arial"/>
                <w:snapToGrid w:val="0"/>
                <w:sz w:val="18"/>
                <w:szCs w:val="18"/>
              </w:rPr>
            </w:pPr>
            <w:r w:rsidRPr="003B217A">
              <w:rPr>
                <w:rFonts w:cs="Arial"/>
                <w:snapToGrid w:val="0"/>
                <w:sz w:val="18"/>
                <w:szCs w:val="18"/>
              </w:rPr>
              <w:t>Lease commitments: Lessor</w:t>
            </w:r>
          </w:p>
        </w:tc>
        <w:tc>
          <w:tcPr>
            <w:tcW w:w="2090" w:type="pct"/>
            <w:vMerge/>
          </w:tcPr>
          <w:p w:rsidR="006503F9" w:rsidRPr="003B217A" w:rsidRDefault="006503F9" w:rsidP="003B217A">
            <w:pPr>
              <w:jc w:val="both"/>
              <w:rPr>
                <w:rFonts w:eastAsia="Calibri" w:cs="Arial"/>
                <w:snapToGrid w:val="0"/>
                <w:sz w:val="18"/>
                <w:szCs w:val="18"/>
              </w:rPr>
            </w:pPr>
          </w:p>
        </w:tc>
        <w:tc>
          <w:tcPr>
            <w:tcW w:w="455" w:type="pct"/>
            <w:vAlign w:val="center"/>
          </w:tcPr>
          <w:p w:rsidR="006503F9" w:rsidRPr="003B217A" w:rsidRDefault="006503F9" w:rsidP="003B217A">
            <w:pPr>
              <w:rPr>
                <w:rFonts w:eastAsia="Calibri" w:cs="Arial"/>
                <w:snapToGrid w:val="0"/>
                <w:sz w:val="18"/>
                <w:szCs w:val="18"/>
              </w:rPr>
            </w:pPr>
            <w:r w:rsidRPr="003B217A">
              <w:rPr>
                <w:rFonts w:cs="Arial"/>
                <w:snapToGrid w:val="0"/>
                <w:sz w:val="18"/>
                <w:szCs w:val="18"/>
              </w:rPr>
              <w:t>No</w:t>
            </w:r>
          </w:p>
        </w:tc>
        <w:tc>
          <w:tcPr>
            <w:tcW w:w="725" w:type="pct"/>
          </w:tcPr>
          <w:p w:rsidR="006503F9" w:rsidRPr="006C4FFE" w:rsidRDefault="006C4FFE" w:rsidP="0056206B">
            <w:pPr>
              <w:pStyle w:val="Tabletext"/>
              <w:rPr>
                <w:rFonts w:cs="Arial"/>
                <w:snapToGrid w:val="0"/>
                <w:szCs w:val="18"/>
              </w:rPr>
            </w:pPr>
            <w:r>
              <w:rPr>
                <w:rFonts w:cs="Arial"/>
                <w:snapToGrid w:val="0"/>
                <w:szCs w:val="18"/>
                <w:lang w:val="en-ZA"/>
              </w:rPr>
              <w:t>Unquantifiable amount</w:t>
            </w:r>
          </w:p>
        </w:tc>
        <w:tc>
          <w:tcPr>
            <w:tcW w:w="749" w:type="pct"/>
            <w:vAlign w:val="center"/>
          </w:tcPr>
          <w:p w:rsidR="006503F9" w:rsidRPr="003B217A" w:rsidRDefault="006503F9" w:rsidP="003B217A">
            <w:pPr>
              <w:rPr>
                <w:rFonts w:eastAsia="Calibri" w:cs="Arial"/>
                <w:snapToGrid w:val="0"/>
                <w:sz w:val="18"/>
                <w:szCs w:val="18"/>
              </w:rPr>
            </w:pPr>
            <w:r w:rsidRPr="003B217A">
              <w:rPr>
                <w:rFonts w:cs="Arial"/>
                <w:snapToGrid w:val="0"/>
                <w:sz w:val="18"/>
                <w:szCs w:val="18"/>
              </w:rPr>
              <w:t>0</w:t>
            </w:r>
          </w:p>
        </w:tc>
      </w:tr>
      <w:tr w:rsidR="007D271D" w:rsidRPr="003B217A" w:rsidTr="003B217A">
        <w:tc>
          <w:tcPr>
            <w:tcW w:w="981" w:type="pct"/>
            <w:vAlign w:val="center"/>
          </w:tcPr>
          <w:p w:rsidR="007D271D" w:rsidRPr="003B217A" w:rsidRDefault="007D271D" w:rsidP="003B217A">
            <w:pPr>
              <w:rPr>
                <w:rFonts w:cs="Arial"/>
                <w:snapToGrid w:val="0"/>
                <w:sz w:val="18"/>
                <w:szCs w:val="18"/>
              </w:rPr>
            </w:pPr>
            <w:r>
              <w:rPr>
                <w:rFonts w:cs="Arial"/>
                <w:snapToGrid w:val="0"/>
                <w:sz w:val="18"/>
                <w:szCs w:val="18"/>
              </w:rPr>
              <w:lastRenderedPageBreak/>
              <w:t>Irregular expenditure</w:t>
            </w:r>
          </w:p>
        </w:tc>
        <w:tc>
          <w:tcPr>
            <w:tcW w:w="2090" w:type="pct"/>
          </w:tcPr>
          <w:p w:rsidR="007D271D" w:rsidRPr="003B217A" w:rsidRDefault="00897CD6" w:rsidP="00897CD6">
            <w:pPr>
              <w:rPr>
                <w:rFonts w:eastAsia="Calibri" w:cs="Arial"/>
                <w:snapToGrid w:val="0"/>
                <w:sz w:val="18"/>
                <w:szCs w:val="18"/>
              </w:rPr>
            </w:pPr>
            <w:r w:rsidRPr="00897CD6">
              <w:rPr>
                <w:rFonts w:eastAsia="Calibri" w:cs="Arial"/>
                <w:snapToGrid w:val="0"/>
                <w:sz w:val="18"/>
                <w:szCs w:val="18"/>
              </w:rPr>
              <w:t>Irregular expenditure disclosure note not complete</w:t>
            </w:r>
          </w:p>
        </w:tc>
        <w:tc>
          <w:tcPr>
            <w:tcW w:w="455" w:type="pct"/>
            <w:vAlign w:val="center"/>
          </w:tcPr>
          <w:p w:rsidR="007D271D" w:rsidRPr="003B217A" w:rsidRDefault="007D271D" w:rsidP="003B217A">
            <w:pPr>
              <w:rPr>
                <w:rFonts w:cs="Arial"/>
                <w:snapToGrid w:val="0"/>
                <w:sz w:val="18"/>
                <w:szCs w:val="18"/>
              </w:rPr>
            </w:pPr>
            <w:r w:rsidRPr="003B217A">
              <w:rPr>
                <w:rFonts w:cs="Arial"/>
                <w:snapToGrid w:val="0"/>
                <w:sz w:val="18"/>
                <w:szCs w:val="18"/>
              </w:rPr>
              <w:t>No</w:t>
            </w:r>
          </w:p>
        </w:tc>
        <w:tc>
          <w:tcPr>
            <w:tcW w:w="725" w:type="pct"/>
          </w:tcPr>
          <w:p w:rsidR="007D271D" w:rsidRPr="003B217A" w:rsidRDefault="007D271D" w:rsidP="003B217A">
            <w:pPr>
              <w:pStyle w:val="Tabletext"/>
              <w:rPr>
                <w:rFonts w:cs="Arial"/>
                <w:snapToGrid w:val="0"/>
                <w:szCs w:val="18"/>
                <w:lang w:val="en-ZA"/>
              </w:rPr>
            </w:pPr>
            <w:r>
              <w:rPr>
                <w:rFonts w:cs="Arial"/>
                <w:snapToGrid w:val="0"/>
                <w:szCs w:val="18"/>
                <w:lang w:val="en-ZA"/>
              </w:rPr>
              <w:t>Unquantifiable amount</w:t>
            </w:r>
          </w:p>
        </w:tc>
        <w:tc>
          <w:tcPr>
            <w:tcW w:w="749" w:type="pct"/>
            <w:vAlign w:val="center"/>
          </w:tcPr>
          <w:p w:rsidR="007D271D" w:rsidRPr="003B217A" w:rsidRDefault="007D271D" w:rsidP="003B217A">
            <w:pPr>
              <w:rPr>
                <w:rFonts w:cs="Arial"/>
                <w:snapToGrid w:val="0"/>
                <w:sz w:val="18"/>
                <w:szCs w:val="18"/>
              </w:rPr>
            </w:pPr>
            <w:r>
              <w:rPr>
                <w:rFonts w:cs="Arial"/>
                <w:snapToGrid w:val="0"/>
                <w:sz w:val="18"/>
                <w:szCs w:val="18"/>
              </w:rPr>
              <w:t>0</w:t>
            </w:r>
          </w:p>
        </w:tc>
      </w:tr>
      <w:tr w:rsidR="007D271D" w:rsidRPr="003B217A" w:rsidTr="007D271D">
        <w:tc>
          <w:tcPr>
            <w:tcW w:w="5000" w:type="pct"/>
            <w:gridSpan w:val="5"/>
            <w:shd w:val="clear" w:color="auto" w:fill="D9D9D9" w:themeFill="background1" w:themeFillShade="D9"/>
          </w:tcPr>
          <w:p w:rsidR="007D271D" w:rsidRPr="007D271D" w:rsidRDefault="007D271D" w:rsidP="007D271D">
            <w:pPr>
              <w:rPr>
                <w:rFonts w:cs="Arial"/>
                <w:b/>
                <w:snapToGrid w:val="0"/>
                <w:sz w:val="18"/>
                <w:szCs w:val="18"/>
              </w:rPr>
            </w:pPr>
            <w:r w:rsidRPr="007D271D">
              <w:rPr>
                <w:b/>
                <w:snapToGrid w:val="0"/>
                <w:sz w:val="18"/>
                <w:szCs w:val="18"/>
              </w:rPr>
              <w:t>Material misstatements corrected</w:t>
            </w:r>
          </w:p>
        </w:tc>
      </w:tr>
      <w:tr w:rsidR="007D271D" w:rsidRPr="003B217A" w:rsidTr="009155A6">
        <w:tc>
          <w:tcPr>
            <w:tcW w:w="981" w:type="pct"/>
          </w:tcPr>
          <w:p w:rsidR="007D271D" w:rsidRDefault="007D271D" w:rsidP="007D271D">
            <w:pPr>
              <w:rPr>
                <w:rFonts w:cs="Arial"/>
                <w:snapToGrid w:val="0"/>
                <w:sz w:val="18"/>
                <w:szCs w:val="18"/>
              </w:rPr>
            </w:pPr>
            <w:r>
              <w:rPr>
                <w:rFonts w:cs="Arial"/>
                <w:snapToGrid w:val="0"/>
                <w:sz w:val="18"/>
                <w:szCs w:val="18"/>
              </w:rPr>
              <w:t>No material misstatements were corrected.</w:t>
            </w:r>
          </w:p>
        </w:tc>
        <w:tc>
          <w:tcPr>
            <w:tcW w:w="2090" w:type="pct"/>
          </w:tcPr>
          <w:p w:rsidR="007D271D" w:rsidRPr="003B217A" w:rsidRDefault="007D271D" w:rsidP="007D271D">
            <w:pPr>
              <w:jc w:val="both"/>
              <w:rPr>
                <w:rFonts w:eastAsia="Calibri" w:cs="Arial"/>
                <w:snapToGrid w:val="0"/>
                <w:sz w:val="18"/>
                <w:szCs w:val="18"/>
              </w:rPr>
            </w:pPr>
          </w:p>
        </w:tc>
        <w:tc>
          <w:tcPr>
            <w:tcW w:w="455" w:type="pct"/>
          </w:tcPr>
          <w:p w:rsidR="007D271D" w:rsidRPr="003B217A" w:rsidRDefault="007D271D" w:rsidP="007D271D">
            <w:pPr>
              <w:rPr>
                <w:rFonts w:cs="Arial"/>
                <w:snapToGrid w:val="0"/>
                <w:sz w:val="18"/>
                <w:szCs w:val="18"/>
              </w:rPr>
            </w:pPr>
          </w:p>
        </w:tc>
        <w:tc>
          <w:tcPr>
            <w:tcW w:w="725" w:type="pct"/>
          </w:tcPr>
          <w:p w:rsidR="007D271D" w:rsidRDefault="007D271D" w:rsidP="007D271D">
            <w:pPr>
              <w:pStyle w:val="Tabletext"/>
              <w:rPr>
                <w:rFonts w:cs="Arial"/>
                <w:snapToGrid w:val="0"/>
                <w:szCs w:val="18"/>
                <w:lang w:val="en-ZA"/>
              </w:rPr>
            </w:pPr>
          </w:p>
        </w:tc>
        <w:tc>
          <w:tcPr>
            <w:tcW w:w="749" w:type="pct"/>
          </w:tcPr>
          <w:p w:rsidR="007D271D" w:rsidRDefault="007D271D" w:rsidP="007D271D">
            <w:pPr>
              <w:rPr>
                <w:rFonts w:cs="Arial"/>
                <w:snapToGrid w:val="0"/>
                <w:sz w:val="18"/>
                <w:szCs w:val="18"/>
              </w:rPr>
            </w:pPr>
          </w:p>
        </w:tc>
      </w:tr>
    </w:tbl>
    <w:p w:rsidR="00C22F2B" w:rsidRPr="0077659B" w:rsidRDefault="00C22F2B" w:rsidP="002004A3">
      <w:pPr>
        <w:shd w:val="clear" w:color="auto" w:fill="FFFFFF"/>
        <w:spacing w:after="0" w:line="240" w:lineRule="auto"/>
        <w:rPr>
          <w:rFonts w:ascii="Times New Roman" w:eastAsia="Times New Roman" w:hAnsi="Times New Roman" w:cs="Arial"/>
          <w:sz w:val="6"/>
          <w:szCs w:val="6"/>
        </w:rPr>
      </w:pPr>
    </w:p>
    <w:p w:rsidR="00153824" w:rsidRPr="0077659B" w:rsidRDefault="00153824" w:rsidP="002004A3">
      <w:pPr>
        <w:shd w:val="clear" w:color="auto" w:fill="FFFFFF"/>
        <w:spacing w:after="0" w:line="240" w:lineRule="auto"/>
        <w:rPr>
          <w:rFonts w:ascii="Times New Roman" w:eastAsia="Times New Roman" w:hAnsi="Times New Roman" w:cs="Arial"/>
          <w:sz w:val="6"/>
          <w:szCs w:val="6"/>
        </w:rPr>
        <w:sectPr w:rsidR="00153824" w:rsidRPr="0077659B" w:rsidSect="00BB6EEC">
          <w:headerReference w:type="default" r:id="rId27"/>
          <w:endnotePr>
            <w:numFmt w:val="decimal"/>
          </w:endnotePr>
          <w:pgSz w:w="16838" w:h="11906" w:orient="landscape" w:code="9"/>
          <w:pgMar w:top="1134" w:right="1245" w:bottom="1134" w:left="993" w:header="1134" w:footer="709" w:gutter="0"/>
          <w:cols w:space="708"/>
          <w:docGrid w:linePitch="360"/>
        </w:sectPr>
      </w:pPr>
    </w:p>
    <w:p w:rsidR="00C22F2B" w:rsidRPr="0077659B" w:rsidRDefault="00071AAC" w:rsidP="002A2820">
      <w:pPr>
        <w:pStyle w:val="Heading4"/>
        <w:jc w:val="both"/>
      </w:pPr>
      <w:bookmarkStart w:id="19" w:name="EO1"/>
      <w:bookmarkStart w:id="20" w:name="_Toc447106586"/>
      <w:bookmarkEnd w:id="19"/>
      <w:r w:rsidRPr="0077659B">
        <w:lastRenderedPageBreak/>
        <w:t>Emphasis of matter paragraphs</w:t>
      </w:r>
      <w:bookmarkEnd w:id="20"/>
    </w:p>
    <w:p w:rsidR="00C22F2B" w:rsidRPr="0077659B" w:rsidRDefault="00C22F2B" w:rsidP="00165C2D">
      <w:pPr>
        <w:pStyle w:val="Numbernormal"/>
        <w:numPr>
          <w:ilvl w:val="0"/>
          <w:numId w:val="14"/>
        </w:numPr>
        <w:ind w:left="426"/>
        <w:jc w:val="both"/>
      </w:pPr>
      <w:r w:rsidRPr="0077659B">
        <w:t>The following emphasis of matter paragraphs will be included in our auditor’s report to draw the users’ attention to matters presented or disclosed in the financial statements:</w:t>
      </w:r>
    </w:p>
    <w:p w:rsidR="00B35F12" w:rsidRPr="0077659B" w:rsidRDefault="00957083" w:rsidP="002A2820">
      <w:pPr>
        <w:pStyle w:val="Heading5"/>
        <w:jc w:val="both"/>
      </w:pPr>
      <w:r>
        <w:t xml:space="preserve">Restatement of corresponding figures </w:t>
      </w:r>
    </w:p>
    <w:p w:rsidR="00957083" w:rsidRPr="00957083" w:rsidRDefault="0025172D" w:rsidP="00165C2D">
      <w:pPr>
        <w:pStyle w:val="Default"/>
        <w:numPr>
          <w:ilvl w:val="0"/>
          <w:numId w:val="14"/>
        </w:numPr>
        <w:jc w:val="both"/>
        <w:rPr>
          <w:rFonts w:ascii="Arial" w:eastAsiaTheme="minorHAnsi" w:hAnsi="Arial" w:cs="Arial"/>
          <w:sz w:val="22"/>
          <w:szCs w:val="22"/>
          <w:lang w:val="en-ZA"/>
        </w:rPr>
      </w:pPr>
      <w:r>
        <w:rPr>
          <w:rFonts w:ascii="Arial" w:eastAsiaTheme="minorHAnsi" w:hAnsi="Arial" w:cs="Arial"/>
          <w:sz w:val="22"/>
          <w:szCs w:val="22"/>
          <w:lang w:val="en-ZA"/>
        </w:rPr>
        <w:t xml:space="preserve">As disclosed in note </w:t>
      </w:r>
      <w:r w:rsidR="00AA6A36">
        <w:rPr>
          <w:rFonts w:ascii="Arial" w:eastAsiaTheme="minorHAnsi" w:hAnsi="Arial" w:cs="Arial"/>
          <w:sz w:val="22"/>
          <w:szCs w:val="22"/>
          <w:lang w:val="en-ZA"/>
        </w:rPr>
        <w:t>37</w:t>
      </w:r>
      <w:r w:rsidR="00957083" w:rsidRPr="00957083">
        <w:rPr>
          <w:rFonts w:ascii="Arial" w:eastAsiaTheme="minorHAnsi" w:hAnsi="Arial" w:cs="Arial"/>
          <w:sz w:val="22"/>
          <w:szCs w:val="22"/>
          <w:lang w:val="en-ZA"/>
        </w:rPr>
        <w:t xml:space="preserve"> to the financial statements, the corresponding figures for</w:t>
      </w:r>
      <w:r w:rsidR="004E0060">
        <w:rPr>
          <w:rFonts w:ascii="Arial" w:eastAsiaTheme="minorHAnsi" w:hAnsi="Arial" w:cs="Arial"/>
          <w:sz w:val="22"/>
          <w:szCs w:val="22"/>
          <w:lang w:val="en-ZA"/>
        </w:rPr>
        <w:t xml:space="preserve"> </w:t>
      </w:r>
      <w:r>
        <w:rPr>
          <w:rFonts w:ascii="Arial" w:eastAsiaTheme="minorHAnsi" w:hAnsi="Arial" w:cs="Arial"/>
          <w:sz w:val="22"/>
          <w:szCs w:val="22"/>
          <w:lang w:val="en-ZA"/>
        </w:rPr>
        <w:t>31 March 2020</w:t>
      </w:r>
      <w:r w:rsidR="00957083" w:rsidRPr="00957083">
        <w:rPr>
          <w:rFonts w:ascii="Arial" w:eastAsiaTheme="minorHAnsi" w:hAnsi="Arial" w:cs="Arial"/>
          <w:sz w:val="22"/>
          <w:szCs w:val="22"/>
          <w:lang w:val="en-ZA"/>
        </w:rPr>
        <w:t xml:space="preserve"> were restated as a result of an error in the financial statements of the </w:t>
      </w:r>
      <w:r>
        <w:rPr>
          <w:rFonts w:ascii="Arial" w:eastAsiaTheme="minorHAnsi" w:hAnsi="Arial" w:cs="Arial"/>
          <w:sz w:val="22"/>
          <w:szCs w:val="22"/>
          <w:lang w:val="en-ZA"/>
        </w:rPr>
        <w:t xml:space="preserve">entity </w:t>
      </w:r>
      <w:r w:rsidR="00957083" w:rsidRPr="00957083">
        <w:rPr>
          <w:rFonts w:ascii="Arial" w:eastAsiaTheme="minorHAnsi" w:hAnsi="Arial" w:cs="Arial"/>
          <w:sz w:val="22"/>
          <w:szCs w:val="22"/>
          <w:lang w:val="en-ZA"/>
        </w:rPr>
        <w:t>at, and for the year end</w:t>
      </w:r>
      <w:r>
        <w:rPr>
          <w:rFonts w:ascii="Arial" w:eastAsiaTheme="minorHAnsi" w:hAnsi="Arial" w:cs="Arial"/>
          <w:sz w:val="22"/>
          <w:szCs w:val="22"/>
          <w:lang w:val="en-ZA"/>
        </w:rPr>
        <w:t>ed, 31 March 2021</w:t>
      </w:r>
      <w:r w:rsidR="00957083" w:rsidRPr="00957083">
        <w:rPr>
          <w:rFonts w:ascii="Arial" w:eastAsiaTheme="minorHAnsi" w:hAnsi="Arial" w:cs="Arial"/>
          <w:sz w:val="22"/>
          <w:szCs w:val="22"/>
          <w:lang w:val="en-ZA"/>
        </w:rPr>
        <w:t xml:space="preserve">. </w:t>
      </w:r>
    </w:p>
    <w:p w:rsidR="00957083" w:rsidRDefault="00957083" w:rsidP="002A2820">
      <w:pPr>
        <w:autoSpaceDE w:val="0"/>
        <w:autoSpaceDN w:val="0"/>
        <w:adjustRightInd w:val="0"/>
        <w:spacing w:after="0" w:line="240" w:lineRule="auto"/>
        <w:jc w:val="both"/>
        <w:rPr>
          <w:rFonts w:cs="Arial"/>
          <w:b/>
          <w:bCs/>
          <w:color w:val="000000"/>
        </w:rPr>
      </w:pPr>
    </w:p>
    <w:p w:rsidR="00957083" w:rsidRPr="00F06637" w:rsidRDefault="009D73FF" w:rsidP="002A2820">
      <w:pPr>
        <w:pStyle w:val="Heading5"/>
        <w:jc w:val="both"/>
      </w:pPr>
      <w:r>
        <w:t>Impairments – Receivables from exchange transactions</w:t>
      </w:r>
      <w:r w:rsidR="00957083" w:rsidRPr="00F06637">
        <w:t xml:space="preserve"> </w:t>
      </w:r>
    </w:p>
    <w:p w:rsidR="002A2820" w:rsidRPr="009D73FF" w:rsidRDefault="00A56DD3" w:rsidP="00165C2D">
      <w:pPr>
        <w:pStyle w:val="ListParagraph"/>
        <w:numPr>
          <w:ilvl w:val="0"/>
          <w:numId w:val="14"/>
        </w:numPr>
        <w:spacing w:after="0"/>
        <w:jc w:val="both"/>
        <w:rPr>
          <w:rFonts w:cs="Arial"/>
        </w:rPr>
      </w:pPr>
      <w:r w:rsidRPr="009D73FF">
        <w:rPr>
          <w:rFonts w:cs="Arial"/>
        </w:rPr>
        <w:t xml:space="preserve">As disclosed in note </w:t>
      </w:r>
      <w:r w:rsidR="001357F2" w:rsidRPr="009D73FF">
        <w:rPr>
          <w:rFonts w:cs="Arial"/>
        </w:rPr>
        <w:t>22 of</w:t>
      </w:r>
      <w:r w:rsidR="009D73FF" w:rsidRPr="009D73FF">
        <w:rPr>
          <w:rFonts w:cs="Arial"/>
        </w:rPr>
        <w:t xml:space="preserve"> the notes to the annual financial statements, material losses of R956 612 000 were incurred as a result of a lack of recoverability in long outstanding </w:t>
      </w:r>
      <w:r w:rsidR="001357F2" w:rsidRPr="009D73FF">
        <w:rPr>
          <w:rFonts w:cs="Arial"/>
        </w:rPr>
        <w:t>receivables</w:t>
      </w:r>
      <w:r w:rsidR="009D73FF" w:rsidRPr="009D73FF">
        <w:rPr>
          <w:rFonts w:cs="Arial"/>
        </w:rPr>
        <w:t>.</w:t>
      </w:r>
    </w:p>
    <w:p w:rsidR="00B35F12" w:rsidRPr="002A2820" w:rsidRDefault="002A2820" w:rsidP="002A2820">
      <w:pPr>
        <w:pStyle w:val="Heading5"/>
        <w:jc w:val="both"/>
      </w:pPr>
      <w:bookmarkStart w:id="21" w:name="GC1"/>
      <w:bookmarkStart w:id="22" w:name="S2E3"/>
      <w:bookmarkStart w:id="23" w:name="S2E4"/>
      <w:bookmarkStart w:id="24" w:name="S2E5"/>
      <w:bookmarkStart w:id="25" w:name="S2E6"/>
      <w:bookmarkStart w:id="26" w:name="S2E7"/>
      <w:bookmarkStart w:id="27" w:name="S2E8"/>
      <w:bookmarkStart w:id="28" w:name="S2E9"/>
      <w:bookmarkStart w:id="29" w:name="S2E10"/>
      <w:bookmarkStart w:id="30" w:name="AM"/>
      <w:bookmarkStart w:id="31" w:name="_Toc447106587"/>
      <w:bookmarkEnd w:id="21"/>
      <w:bookmarkEnd w:id="22"/>
      <w:bookmarkEnd w:id="23"/>
      <w:bookmarkEnd w:id="24"/>
      <w:bookmarkEnd w:id="25"/>
      <w:bookmarkEnd w:id="26"/>
      <w:bookmarkEnd w:id="27"/>
      <w:bookmarkEnd w:id="28"/>
      <w:bookmarkEnd w:id="29"/>
      <w:bookmarkEnd w:id="30"/>
      <w:r w:rsidRPr="002A2820">
        <w:t>Going concern</w:t>
      </w:r>
    </w:p>
    <w:p w:rsidR="0032790C" w:rsidRDefault="00D22588" w:rsidP="00165C2D">
      <w:pPr>
        <w:pStyle w:val="Numbernormal"/>
        <w:numPr>
          <w:ilvl w:val="0"/>
          <w:numId w:val="14"/>
        </w:numPr>
        <w:ind w:left="426"/>
        <w:jc w:val="both"/>
      </w:pPr>
      <w:r w:rsidRPr="0032790C">
        <w:t>We</w:t>
      </w:r>
      <w:r w:rsidR="005043D3" w:rsidRPr="0032790C">
        <w:t xml:space="preserve"> </w:t>
      </w:r>
      <w:r w:rsidR="001357F2" w:rsidRPr="0032790C">
        <w:t>draw attention</w:t>
      </w:r>
      <w:r w:rsidR="005043D3" w:rsidRPr="0032790C">
        <w:t xml:space="preserve"> to note 38 to the financial statements, which indi</w:t>
      </w:r>
      <w:r w:rsidR="00743F7C" w:rsidRPr="0032790C">
        <w:t xml:space="preserve">cates that the trading entity incurred a net loss of R905 </w:t>
      </w:r>
      <w:r w:rsidR="001357F2" w:rsidRPr="0032790C">
        <w:t>million during</w:t>
      </w:r>
      <w:r w:rsidR="00743F7C" w:rsidRPr="0032790C">
        <w:t xml:space="preserve"> the year ended 31 March 2021</w:t>
      </w:r>
      <w:r w:rsidR="005043D3" w:rsidRPr="0032790C">
        <w:t xml:space="preserve"> and, as of</w:t>
      </w:r>
      <w:r w:rsidR="00743F7C" w:rsidRPr="0032790C">
        <w:t xml:space="preserve"> that date the trading entity</w:t>
      </w:r>
      <w:r w:rsidR="005043D3" w:rsidRPr="0032790C">
        <w:t>’s current liabilities exceeded its total assets by R</w:t>
      </w:r>
      <w:r w:rsidR="00396EE0" w:rsidRPr="0032790C">
        <w:t xml:space="preserve"> 4.7 billion. </w:t>
      </w:r>
    </w:p>
    <w:p w:rsidR="003952E7" w:rsidRPr="003952E7" w:rsidRDefault="003952E7" w:rsidP="003952E7">
      <w:pPr>
        <w:pStyle w:val="Numbernormal"/>
        <w:ind w:left="567"/>
        <w:jc w:val="both"/>
      </w:pPr>
    </w:p>
    <w:p w:rsidR="008F6C98" w:rsidRPr="00BB6EEC" w:rsidRDefault="008516E0" w:rsidP="00A3735E">
      <w:pPr>
        <w:pStyle w:val="Heading3"/>
        <w:rPr>
          <w:lang w:val="en-ZA"/>
        </w:rPr>
      </w:pPr>
      <w:bookmarkStart w:id="32" w:name="_Toc79349486"/>
      <w:bookmarkStart w:id="33" w:name="_Toc447106588"/>
      <w:bookmarkEnd w:id="31"/>
      <w:r w:rsidRPr="00BB6EEC">
        <w:rPr>
          <w:lang w:val="en-ZA"/>
        </w:rPr>
        <w:t xml:space="preserve">AUDIT OF </w:t>
      </w:r>
      <w:r w:rsidR="00922655" w:rsidRPr="00BB6EEC">
        <w:rPr>
          <w:lang w:val="en-ZA"/>
        </w:rPr>
        <w:t>THE ANNUAL PERFORMANCE REPORT</w:t>
      </w:r>
      <w:bookmarkEnd w:id="32"/>
    </w:p>
    <w:p w:rsidR="00FB37DA" w:rsidRPr="0077659B" w:rsidRDefault="000C4D17" w:rsidP="00165C2D">
      <w:pPr>
        <w:pStyle w:val="Numbernormal"/>
        <w:numPr>
          <w:ilvl w:val="0"/>
          <w:numId w:val="14"/>
        </w:numPr>
        <w:ind w:left="426"/>
        <w:jc w:val="both"/>
      </w:pPr>
      <w:bookmarkStart w:id="34" w:name="E6back"/>
      <w:bookmarkEnd w:id="34"/>
      <w:r w:rsidRPr="0077659B">
        <w:t>In terms of the</w:t>
      </w:r>
      <w:r w:rsidR="009D2681" w:rsidRPr="0077659B">
        <w:t xml:space="preserve"> general notice issued in terms of the PAA</w:t>
      </w:r>
      <w:r w:rsidR="00453D1F" w:rsidRPr="0077659B">
        <w:t>,</w:t>
      </w:r>
      <w:r w:rsidR="008516E0" w:rsidRPr="0077659B">
        <w:t xml:space="preserve"> the opinion on the audit of reported </w:t>
      </w:r>
      <w:r w:rsidR="00371DFB">
        <w:t xml:space="preserve">performance </w:t>
      </w:r>
      <w:r w:rsidR="008516E0" w:rsidRPr="0077659B">
        <w:t>information will be included in the management report.  The report is included below to enable management and those charged with governance to see what the report will look like once it is published in the auditor’s report</w:t>
      </w:r>
      <w:r w:rsidR="00AF2986" w:rsidRPr="0077659B">
        <w:t>.</w:t>
      </w:r>
      <w:r w:rsidR="0068422E" w:rsidRPr="0077659B">
        <w:t xml:space="preserve"> </w:t>
      </w:r>
      <w:r w:rsidR="0009390C" w:rsidRPr="0077659B">
        <w:t xml:space="preserve">We </w:t>
      </w:r>
      <w:r w:rsidR="00E85458" w:rsidRPr="0077659B">
        <w:t xml:space="preserve">will report all the audit findings included under the basis for opinion and the </w:t>
      </w:r>
      <w:r w:rsidR="008B14CD" w:rsidRPr="0077659B">
        <w:t>other</w:t>
      </w:r>
      <w:r w:rsidR="00E85458" w:rsidRPr="0077659B">
        <w:t xml:space="preserve"> matter sections of this report in the auditor’s report</w:t>
      </w:r>
      <w:r w:rsidR="003C57C8" w:rsidRPr="0077659B">
        <w:t>.</w:t>
      </w:r>
      <w:r w:rsidR="00AF2986" w:rsidRPr="0077659B">
        <w:t xml:space="preserve"> </w:t>
      </w:r>
      <w:bookmarkStart w:id="35" w:name="E7back"/>
      <w:bookmarkStart w:id="36" w:name="E8back"/>
      <w:bookmarkStart w:id="37" w:name="E9back"/>
      <w:bookmarkEnd w:id="33"/>
      <w:bookmarkEnd w:id="35"/>
      <w:bookmarkEnd w:id="36"/>
      <w:bookmarkEnd w:id="37"/>
    </w:p>
    <w:p w:rsidR="00E67E23" w:rsidRDefault="00797FD9" w:rsidP="00165C2D">
      <w:pPr>
        <w:pStyle w:val="Numbernormal"/>
        <w:numPr>
          <w:ilvl w:val="0"/>
          <w:numId w:val="14"/>
        </w:numPr>
        <w:ind w:left="426"/>
        <w:jc w:val="both"/>
      </w:pPr>
      <w:bookmarkStart w:id="38" w:name="E10back"/>
      <w:bookmarkStart w:id="39" w:name="X7"/>
      <w:bookmarkStart w:id="40" w:name="Back30"/>
      <w:bookmarkStart w:id="41" w:name="MRLInsertprogramme"/>
      <w:bookmarkStart w:id="42" w:name="back17b"/>
      <w:bookmarkStart w:id="43" w:name="Back31"/>
      <w:bookmarkStart w:id="44" w:name="X8"/>
      <w:bookmarkStart w:id="45" w:name="MRLConclusion"/>
      <w:bookmarkStart w:id="46" w:name="Back32"/>
      <w:bookmarkStart w:id="47" w:name="ZZ4"/>
      <w:bookmarkStart w:id="48" w:name="E4a"/>
      <w:bookmarkStart w:id="49" w:name="X9"/>
      <w:bookmarkStart w:id="50" w:name="MRLBasis"/>
      <w:bookmarkStart w:id="51" w:name="MRLOthermatter"/>
      <w:bookmarkStart w:id="52" w:name="MRLResponsibilities"/>
      <w:bookmarkStart w:id="53" w:name="X10"/>
      <w:bookmarkStart w:id="54" w:name="MRLAGResponsibilities"/>
      <w:bookmarkStart w:id="55" w:name="NewAOPOSummary"/>
      <w:bookmarkStart w:id="56" w:name="Summary_audit_conclusion"/>
      <w:bookmarkStart w:id="57" w:name="Basis_for_qualified_adverse_disclaimer"/>
      <w:bookmarkStart w:id="58" w:name="AoPO1"/>
      <w:bookmarkStart w:id="59" w:name="AoPO2"/>
      <w:bookmarkStart w:id="60" w:name="Usefulness_of_APR"/>
      <w:bookmarkStart w:id="61" w:name="Presentation_2"/>
      <w:bookmarkStart w:id="62" w:name="AoPO3"/>
      <w:bookmarkStart w:id="63" w:name="Ch5_1"/>
      <w:bookmarkStart w:id="64" w:name="Consistency_3"/>
      <w:bookmarkStart w:id="65" w:name="NewBasis2"/>
      <w:bookmarkStart w:id="66" w:name="Ch5_2"/>
      <w:bookmarkStart w:id="67" w:name="Measurability_1"/>
      <w:bookmarkStart w:id="68" w:name="Ch5_3"/>
      <w:bookmarkStart w:id="69" w:name="Relevance"/>
      <w:bookmarkStart w:id="70" w:name="Ch5_4"/>
      <w:bookmarkStart w:id="71" w:name="AOPO4"/>
      <w:bookmarkStart w:id="72" w:name="Ch5_5"/>
      <w:bookmarkStart w:id="73" w:name="AoPO5"/>
      <w:bookmarkStart w:id="74" w:name="AoPO6"/>
      <w:bookmarkStart w:id="75" w:name="Ch5_6"/>
      <w:bookmarkStart w:id="76" w:name="Reliability"/>
      <w:bookmarkStart w:id="77" w:name="Validity"/>
      <w:bookmarkStart w:id="78" w:name="Accuracy_1"/>
      <w:bookmarkStart w:id="79" w:name="Completeness_2"/>
      <w:bookmarkStart w:id="80" w:name="Reliability1"/>
      <w:bookmarkStart w:id="81" w:name="Ch5_7"/>
      <w:bookmarkStart w:id="82" w:name="Adverse_conclusion_1"/>
      <w:bookmarkStart w:id="83" w:name="AoPO7"/>
      <w:bookmarkStart w:id="84" w:name="Material_adjustments_1"/>
      <w:bookmarkStart w:id="85" w:name="Ch5_8"/>
      <w:bookmarkStart w:id="86" w:name="Ch5_9"/>
      <w:bookmarkStart w:id="87" w:name="back15"/>
      <w:bookmarkStart w:id="88" w:name="_Toc44710659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t>Section 40(3</w:t>
      </w:r>
      <w:r w:rsidR="001357F2">
        <w:t>) (</w:t>
      </w:r>
      <w:r>
        <w:t xml:space="preserve">a) of the PFMA </w:t>
      </w:r>
      <w:r w:rsidRPr="0077659B">
        <w:t>for trad</w:t>
      </w:r>
      <w:r w:rsidR="008372E7">
        <w:t>ing entities</w:t>
      </w:r>
      <w:r w:rsidRPr="0077659B">
        <w:t xml:space="preserve"> require</w:t>
      </w:r>
      <w:r>
        <w:t xml:space="preserve">s </w:t>
      </w:r>
      <w:r w:rsidRPr="0077659B">
        <w:t xml:space="preserve">the </w:t>
      </w:r>
      <w:r>
        <w:t xml:space="preserve">trading </w:t>
      </w:r>
      <w:r w:rsidR="001357F2">
        <w:t xml:space="preserve">entity </w:t>
      </w:r>
      <w:r w:rsidR="001357F2" w:rsidRPr="0077659B">
        <w:t>to</w:t>
      </w:r>
      <w:r w:rsidRPr="0077659B">
        <w:t xml:space="preserve"> prepare an annual performance report. The </w:t>
      </w:r>
      <w:r>
        <w:t xml:space="preserve">trading entity’s </w:t>
      </w:r>
      <w:r w:rsidRPr="0077659B">
        <w:t xml:space="preserve">performance information was reported in the annual performance report of </w:t>
      </w:r>
      <w:r>
        <w:t xml:space="preserve">Department of Public Works and Infrastructure. </w:t>
      </w:r>
      <w:r w:rsidRPr="0077659B">
        <w:t>The usefulness and reliability of the reported performance information w</w:t>
      </w:r>
      <w:r>
        <w:t>as</w:t>
      </w:r>
      <w:r w:rsidRPr="0077659B">
        <w:t xml:space="preserve"> tested as part of the audit of </w:t>
      </w:r>
      <w:r>
        <w:t>Department of Public Works and Infrastructure</w:t>
      </w:r>
      <w:r w:rsidRPr="0077659B">
        <w:t xml:space="preserve"> and any audit findings are included in the management and auditor’s report of </w:t>
      </w:r>
      <w:r>
        <w:t>Department of Public Works and Infrastructure.</w:t>
      </w:r>
    </w:p>
    <w:p w:rsidR="003952E7" w:rsidRPr="003952E7" w:rsidRDefault="003952E7" w:rsidP="003952E7">
      <w:pPr>
        <w:pStyle w:val="Numbernormal"/>
        <w:ind w:left="426"/>
        <w:jc w:val="both"/>
      </w:pPr>
    </w:p>
    <w:p w:rsidR="00C22F2B" w:rsidRPr="00BB6EEC" w:rsidRDefault="00BA71FA" w:rsidP="003952E7">
      <w:pPr>
        <w:pStyle w:val="Heading3"/>
        <w:jc w:val="both"/>
        <w:rPr>
          <w:lang w:val="en-ZA"/>
        </w:rPr>
      </w:pPr>
      <w:bookmarkStart w:id="89" w:name="_Toc79349487"/>
      <w:r w:rsidRPr="00BB6EEC">
        <w:rPr>
          <w:lang w:val="en-ZA"/>
        </w:rPr>
        <w:t xml:space="preserve">AUDIT OF </w:t>
      </w:r>
      <w:r w:rsidR="00C22F2B" w:rsidRPr="00BB6EEC">
        <w:rPr>
          <w:lang w:val="en-ZA"/>
        </w:rPr>
        <w:t>COMPLIANCE WITH LEGISLATION</w:t>
      </w:r>
      <w:bookmarkEnd w:id="88"/>
      <w:bookmarkEnd w:id="89"/>
    </w:p>
    <w:p w:rsidR="00C22F2B" w:rsidRPr="0077659B" w:rsidRDefault="00C22F2B" w:rsidP="00165C2D">
      <w:pPr>
        <w:pStyle w:val="Numbernormal"/>
        <w:numPr>
          <w:ilvl w:val="0"/>
          <w:numId w:val="14"/>
        </w:numPr>
        <w:ind w:left="426"/>
        <w:jc w:val="both"/>
      </w:pPr>
      <w:r w:rsidRPr="0077659B">
        <w:t>Included below are material findings on compliance with selected specific requirements of applicable legislation, as set out in the general notice issued in terms of the PAA.</w:t>
      </w:r>
    </w:p>
    <w:p w:rsidR="00C22F2B" w:rsidRPr="0077659B" w:rsidRDefault="009330F2" w:rsidP="008341AC">
      <w:pPr>
        <w:pStyle w:val="Heading4"/>
      </w:pPr>
      <w:r>
        <w:t xml:space="preserve">Procurement and contract management </w:t>
      </w:r>
    </w:p>
    <w:p w:rsidR="007D56F3" w:rsidRDefault="007D56F3" w:rsidP="00165C2D">
      <w:pPr>
        <w:pStyle w:val="Numbernormal"/>
        <w:numPr>
          <w:ilvl w:val="0"/>
          <w:numId w:val="14"/>
        </w:numPr>
        <w:jc w:val="both"/>
      </w:pPr>
      <w:r>
        <w:t>Some of the contracts and quotations</w:t>
      </w:r>
      <w:r w:rsidRPr="007D56F3">
        <w:t xml:space="preserve"> were awarded to bidders based </w:t>
      </w:r>
      <w:r w:rsidRPr="0056206B">
        <w:rPr>
          <w:b/>
        </w:rPr>
        <w:t>on pre-qualification criteria</w:t>
      </w:r>
      <w:r w:rsidRPr="007D56F3">
        <w:t xml:space="preserve"> </w:t>
      </w:r>
      <w:r>
        <w:t>that differed from those stipulated</w:t>
      </w:r>
      <w:r w:rsidRPr="007D56F3">
        <w:t xml:space="preserve"> in the original invitation for bidding </w:t>
      </w:r>
      <w:r>
        <w:t>and quotations</w:t>
      </w:r>
      <w:r w:rsidRPr="007D56F3">
        <w:t>, in contravention of the 2017 Preferential Procurement Regulation 4(1) and 4(2).</w:t>
      </w:r>
    </w:p>
    <w:p w:rsidR="004B394C" w:rsidRDefault="007D56F3" w:rsidP="00165C2D">
      <w:pPr>
        <w:pStyle w:val="Numbernormal"/>
        <w:numPr>
          <w:ilvl w:val="0"/>
          <w:numId w:val="14"/>
        </w:numPr>
        <w:jc w:val="both"/>
      </w:pPr>
      <w:r>
        <w:lastRenderedPageBreak/>
        <w:t xml:space="preserve">Some of the bid documentation for procurement of commodities designated </w:t>
      </w:r>
      <w:r w:rsidRPr="0056206B">
        <w:rPr>
          <w:b/>
        </w:rPr>
        <w:t>for local content and production</w:t>
      </w:r>
      <w:r>
        <w:t xml:space="preserve">, did not stipulated the minimum threshold for local production and content as required by the 2017 Procurement Procurement Regulation  8(2). </w:t>
      </w:r>
    </w:p>
    <w:p w:rsidR="00916159" w:rsidRDefault="007D56F3" w:rsidP="00165C2D">
      <w:pPr>
        <w:pStyle w:val="Numbernormal"/>
        <w:numPr>
          <w:ilvl w:val="0"/>
          <w:numId w:val="14"/>
        </w:numPr>
        <w:jc w:val="both"/>
      </w:pPr>
      <w:r>
        <w:t>Some of the</w:t>
      </w:r>
      <w:r w:rsidRPr="007D56F3">
        <w:t xml:space="preserve"> commodities designated for </w:t>
      </w:r>
      <w:r w:rsidRPr="0056206B">
        <w:rPr>
          <w:b/>
        </w:rPr>
        <w:t>local content and production</w:t>
      </w:r>
      <w:r w:rsidRPr="007D56F3">
        <w:t>, were procured from suppliers who did not submit a declaration on local production and content in accordance with paragraph 3.4 of NationalTreasury Instruction Note 4 of 2015/2016.</w:t>
      </w:r>
      <w:r w:rsidRPr="007D56F3" w:rsidDel="009330F2">
        <w:t xml:space="preserve"> </w:t>
      </w:r>
      <w:bookmarkStart w:id="90" w:name="Back16"/>
      <w:bookmarkEnd w:id="90"/>
    </w:p>
    <w:p w:rsidR="009330F2" w:rsidRDefault="00916159" w:rsidP="00165C2D">
      <w:pPr>
        <w:pStyle w:val="Numbernormal"/>
        <w:numPr>
          <w:ilvl w:val="0"/>
          <w:numId w:val="14"/>
        </w:numPr>
        <w:jc w:val="both"/>
      </w:pPr>
      <w:r>
        <w:t>Some of the</w:t>
      </w:r>
      <w:r w:rsidRPr="00916159">
        <w:t xml:space="preserve"> commodities designated for </w:t>
      </w:r>
      <w:r w:rsidRPr="0056206B">
        <w:rPr>
          <w:b/>
        </w:rPr>
        <w:t>local content and production</w:t>
      </w:r>
      <w:r w:rsidRPr="00916159">
        <w:t>, were procured from suppliers who did not meet the prescribed minimum threshold for local production and content, as required by the 2017 Preferential Procurement Regulation 8(5)</w:t>
      </w:r>
      <w:r w:rsidR="003952E7">
        <w:t>.</w:t>
      </w:r>
    </w:p>
    <w:p w:rsidR="004B394C" w:rsidRPr="00DD409F" w:rsidRDefault="004B394C" w:rsidP="00DD409F">
      <w:pPr>
        <w:pStyle w:val="Numbernormal"/>
        <w:rPr>
          <w:rFonts w:eastAsiaTheme="minorHAnsi"/>
          <w:b/>
          <w:bCs/>
        </w:rPr>
      </w:pPr>
      <w:r w:rsidRPr="00DD409F">
        <w:rPr>
          <w:rFonts w:eastAsiaTheme="minorHAnsi"/>
          <w:b/>
          <w:bCs/>
          <w:color w:val="4F81BD"/>
        </w:rPr>
        <w:t xml:space="preserve">Annual financial Statements </w:t>
      </w:r>
    </w:p>
    <w:p w:rsidR="00330A21" w:rsidRPr="001003BD" w:rsidRDefault="004B394C" w:rsidP="00165C2D">
      <w:pPr>
        <w:pStyle w:val="Numbernormal"/>
        <w:numPr>
          <w:ilvl w:val="0"/>
          <w:numId w:val="14"/>
        </w:numPr>
        <w:rPr>
          <w:rFonts w:eastAsiaTheme="minorHAnsi"/>
          <w:bCs/>
        </w:rPr>
      </w:pPr>
      <w:r w:rsidRPr="004B394C">
        <w:t>The financial statements submitted for auditing were not prepared in accordance with the prescribed financial reporting framework as required by section 40(1)(a) of the PFMA. Material misstatements identified by the auditors in the submitted financial statements were not adequately corrected, which resulted in the f</w:t>
      </w:r>
      <w:r w:rsidR="000F2642">
        <w:t xml:space="preserve">inancial statements receiving </w:t>
      </w:r>
      <w:r w:rsidR="001357F2">
        <w:t>an</w:t>
      </w:r>
      <w:r w:rsidR="000F2642">
        <w:t xml:space="preserve"> adverse </w:t>
      </w:r>
      <w:r w:rsidRPr="004B394C">
        <w:t>opinion.</w:t>
      </w:r>
    </w:p>
    <w:p w:rsidR="00330A21" w:rsidRDefault="00330A21" w:rsidP="00DD409F">
      <w:pPr>
        <w:pStyle w:val="Numbernormal"/>
        <w:rPr>
          <w:rFonts w:eastAsiaTheme="minorHAnsi"/>
          <w:bCs/>
        </w:rPr>
      </w:pPr>
      <w:r w:rsidRPr="00DD409F">
        <w:rPr>
          <w:rFonts w:eastAsiaTheme="minorHAnsi"/>
          <w:b/>
          <w:bCs/>
          <w:color w:val="4F81BD"/>
        </w:rPr>
        <w:t xml:space="preserve">Expenditure Management </w:t>
      </w:r>
    </w:p>
    <w:p w:rsidR="00330A21" w:rsidRDefault="00330A21" w:rsidP="00165C2D">
      <w:pPr>
        <w:pStyle w:val="Numbernormal"/>
        <w:numPr>
          <w:ilvl w:val="0"/>
          <w:numId w:val="14"/>
        </w:numPr>
        <w:jc w:val="both"/>
        <w:rPr>
          <w:rFonts w:eastAsiaTheme="minorHAnsi"/>
          <w:bCs/>
          <w:color w:val="FF0000"/>
        </w:rPr>
      </w:pPr>
      <w:r w:rsidRPr="00F60B7F">
        <w:rPr>
          <w:rFonts w:eastAsiaTheme="minorHAnsi"/>
          <w:bCs/>
        </w:rPr>
        <w:t>Effective and appropriate steps were not taken to prevent irregular expenditure, as required by section 38(1</w:t>
      </w:r>
      <w:r w:rsidR="001357F2" w:rsidRPr="00F60B7F">
        <w:rPr>
          <w:rFonts w:eastAsiaTheme="minorHAnsi"/>
          <w:bCs/>
        </w:rPr>
        <w:t>) (</w:t>
      </w:r>
      <w:r w:rsidRPr="00F60B7F">
        <w:rPr>
          <w:rFonts w:eastAsiaTheme="minorHAnsi"/>
          <w:bCs/>
        </w:rPr>
        <w:t>c</w:t>
      </w:r>
      <w:r w:rsidR="001357F2" w:rsidRPr="00F60B7F">
        <w:rPr>
          <w:rFonts w:eastAsiaTheme="minorHAnsi"/>
          <w:bCs/>
        </w:rPr>
        <w:t>) (</w:t>
      </w:r>
      <w:r w:rsidRPr="00F60B7F">
        <w:rPr>
          <w:rFonts w:eastAsiaTheme="minorHAnsi"/>
          <w:bCs/>
        </w:rPr>
        <w:t>ii) of the PFMA</w:t>
      </w:r>
      <w:r w:rsidR="006332DB" w:rsidRPr="00F60B7F">
        <w:rPr>
          <w:rFonts w:eastAsiaTheme="minorHAnsi"/>
          <w:bCs/>
        </w:rPr>
        <w:t xml:space="preserve"> and treasury regulation </w:t>
      </w:r>
      <w:r w:rsidR="001357F2" w:rsidRPr="00F60B7F">
        <w:rPr>
          <w:rFonts w:eastAsiaTheme="minorHAnsi"/>
          <w:bCs/>
        </w:rPr>
        <w:t xml:space="preserve">9.1.1. </w:t>
      </w:r>
      <w:r w:rsidRPr="00F60B7F">
        <w:rPr>
          <w:rFonts w:eastAsiaTheme="minorHAnsi"/>
          <w:bCs/>
        </w:rPr>
        <w:t xml:space="preserve">As </w:t>
      </w:r>
      <w:r w:rsidR="001357F2" w:rsidRPr="00F60B7F">
        <w:rPr>
          <w:rFonts w:eastAsiaTheme="minorHAnsi"/>
          <w:bCs/>
        </w:rPr>
        <w:t>reported in</w:t>
      </w:r>
      <w:r w:rsidRPr="00F60B7F">
        <w:rPr>
          <w:rFonts w:eastAsiaTheme="minorHAnsi"/>
          <w:bCs/>
        </w:rPr>
        <w:t xml:space="preserve"> the basis for qualified opinion </w:t>
      </w:r>
      <w:r w:rsidR="001357F2" w:rsidRPr="00F60B7F">
        <w:rPr>
          <w:rFonts w:eastAsiaTheme="minorHAnsi"/>
          <w:bCs/>
        </w:rPr>
        <w:t>the value</w:t>
      </w:r>
      <w:r w:rsidRPr="00F60B7F">
        <w:rPr>
          <w:rFonts w:eastAsiaTheme="minorHAnsi"/>
          <w:bCs/>
        </w:rPr>
        <w:t xml:space="preserve"> as </w:t>
      </w:r>
      <w:r w:rsidR="001357F2" w:rsidRPr="00F60B7F">
        <w:rPr>
          <w:rFonts w:eastAsiaTheme="minorHAnsi"/>
          <w:bCs/>
        </w:rPr>
        <w:t>disclosed in</w:t>
      </w:r>
      <w:r w:rsidRPr="00F60B7F">
        <w:rPr>
          <w:rFonts w:eastAsiaTheme="minorHAnsi"/>
          <w:bCs/>
        </w:rPr>
        <w:t xml:space="preserve"> note 32 of the financial statements does not reflect the full extent of the </w:t>
      </w:r>
      <w:r w:rsidR="000634EA" w:rsidRPr="00F60B7F">
        <w:rPr>
          <w:rFonts w:eastAsiaTheme="minorHAnsi"/>
          <w:bCs/>
        </w:rPr>
        <w:t>irregular expenditure incurred</w:t>
      </w:r>
      <w:r w:rsidR="000F168A" w:rsidRPr="00F60B7F">
        <w:rPr>
          <w:rFonts w:eastAsiaTheme="minorHAnsi"/>
          <w:bCs/>
        </w:rPr>
        <w:t>. The majority of the irregular expenditure disclosed in the financial statements was caused</w:t>
      </w:r>
      <w:r w:rsidR="000F168A" w:rsidRPr="000F168A">
        <w:rPr>
          <w:rFonts w:eastAsiaTheme="minorHAnsi"/>
          <w:bCs/>
        </w:rPr>
        <w:t xml:space="preserve"> </w:t>
      </w:r>
      <w:r w:rsidR="000F168A" w:rsidRPr="00D16425">
        <w:rPr>
          <w:rFonts w:eastAsiaTheme="minorHAnsi"/>
          <w:bCs/>
        </w:rPr>
        <w:t xml:space="preserve">by </w:t>
      </w:r>
      <w:r w:rsidR="00D16425" w:rsidRPr="00D16425">
        <w:rPr>
          <w:rFonts w:eastAsiaTheme="minorHAnsi"/>
          <w:bCs/>
        </w:rPr>
        <w:t>appropriate approval not obtained from a deligated authority.</w:t>
      </w:r>
    </w:p>
    <w:p w:rsidR="00BD77FF" w:rsidRDefault="00BD77FF" w:rsidP="00165C2D">
      <w:pPr>
        <w:pStyle w:val="Numbernormal"/>
        <w:numPr>
          <w:ilvl w:val="0"/>
          <w:numId w:val="14"/>
        </w:numPr>
        <w:jc w:val="both"/>
        <w:rPr>
          <w:rFonts w:eastAsiaTheme="minorHAnsi"/>
          <w:bCs/>
        </w:rPr>
      </w:pPr>
      <w:r w:rsidRPr="00DD409F">
        <w:rPr>
          <w:rFonts w:eastAsiaTheme="minorHAnsi"/>
          <w:bCs/>
        </w:rPr>
        <w:t>Effective internal controls were not in place for approval and processing of payments, as required by treasury regulation 8.1.1.</w:t>
      </w:r>
    </w:p>
    <w:p w:rsidR="001003BD" w:rsidRDefault="001003BD" w:rsidP="00B25CA7">
      <w:pPr>
        <w:pStyle w:val="Numbernormal"/>
        <w:jc w:val="both"/>
        <w:rPr>
          <w:rFonts w:eastAsiaTheme="minorHAnsi"/>
          <w:b/>
          <w:bCs/>
          <w:color w:val="4F81BD"/>
        </w:rPr>
      </w:pPr>
      <w:r w:rsidRPr="001003BD">
        <w:rPr>
          <w:rFonts w:eastAsiaTheme="minorHAnsi"/>
          <w:b/>
          <w:bCs/>
          <w:color w:val="4F81BD"/>
        </w:rPr>
        <w:t>Assets Management</w:t>
      </w:r>
    </w:p>
    <w:p w:rsidR="001003BD" w:rsidRPr="001003BD" w:rsidRDefault="001003BD" w:rsidP="00165C2D">
      <w:pPr>
        <w:pStyle w:val="Numbernormal"/>
        <w:numPr>
          <w:ilvl w:val="0"/>
          <w:numId w:val="14"/>
        </w:numPr>
        <w:jc w:val="both"/>
      </w:pPr>
      <w:r w:rsidRPr="003952E7">
        <w:t>Proper control systems were not i</w:t>
      </w:r>
      <w:r>
        <w:t>n place at the trading entity to ensure the safeguarding</w:t>
      </w:r>
      <w:r w:rsidRPr="003952E7">
        <w:t xml:space="preserve"> of assets, as required by treasury regulation 10.1.1(a).</w:t>
      </w:r>
    </w:p>
    <w:p w:rsidR="00B26226" w:rsidRDefault="00B26226" w:rsidP="00B25CA7">
      <w:pPr>
        <w:pStyle w:val="Numbernormal"/>
        <w:jc w:val="both"/>
        <w:rPr>
          <w:rFonts w:eastAsiaTheme="minorHAnsi"/>
          <w:bCs/>
        </w:rPr>
      </w:pPr>
      <w:r w:rsidRPr="00DD409F">
        <w:rPr>
          <w:rFonts w:eastAsiaTheme="minorHAnsi"/>
          <w:b/>
          <w:bCs/>
          <w:color w:val="4F81BD"/>
        </w:rPr>
        <w:t>Consequence Management</w:t>
      </w:r>
    </w:p>
    <w:p w:rsidR="004B394C" w:rsidRPr="00B25CA7" w:rsidRDefault="00AA1209" w:rsidP="00165C2D">
      <w:pPr>
        <w:pStyle w:val="Numbernormal"/>
        <w:numPr>
          <w:ilvl w:val="0"/>
          <w:numId w:val="14"/>
        </w:numPr>
        <w:jc w:val="both"/>
        <w:rPr>
          <w:rFonts w:eastAsiaTheme="minorHAnsi"/>
          <w:bCs/>
        </w:rPr>
      </w:pPr>
      <w:r w:rsidRPr="00B25CA7">
        <w:rPr>
          <w:rFonts w:eastAsiaTheme="minorHAnsi"/>
          <w:bCs/>
        </w:rPr>
        <w:t>I was unable to obtain sufficient appropriate audit evidence that investigations were conducted into all allegations of financial misconduct committed by officials, as required by treasury regulation 4.1.1.</w:t>
      </w:r>
    </w:p>
    <w:p w:rsidR="00B25CA7" w:rsidRPr="00B25CA7" w:rsidRDefault="00B25CA7" w:rsidP="00B25CA7">
      <w:pPr>
        <w:pStyle w:val="Numbernormal"/>
        <w:ind w:left="360"/>
        <w:jc w:val="both"/>
        <w:rPr>
          <w:rFonts w:eastAsiaTheme="minorHAnsi"/>
          <w:b/>
          <w:bCs/>
        </w:rPr>
      </w:pPr>
    </w:p>
    <w:p w:rsidR="00A266A2" w:rsidRPr="00F91864" w:rsidRDefault="0043232E" w:rsidP="00DD409F">
      <w:pPr>
        <w:pStyle w:val="Numbernormal"/>
      </w:pPr>
      <w:r w:rsidRPr="00DD409F">
        <w:rPr>
          <w:rFonts w:eastAsiaTheme="minorHAnsi"/>
          <w:b/>
          <w:bCs/>
          <w:color w:val="4F81BD"/>
          <w:sz w:val="24"/>
        </w:rPr>
        <w:t>OTHER INFORMATION</w:t>
      </w:r>
    </w:p>
    <w:p w:rsidR="00A266A2" w:rsidRPr="0077659B" w:rsidRDefault="00904D91" w:rsidP="00165C2D">
      <w:pPr>
        <w:pStyle w:val="Numbernormal"/>
        <w:numPr>
          <w:ilvl w:val="0"/>
          <w:numId w:val="14"/>
        </w:numPr>
        <w:ind w:left="567"/>
        <w:jc w:val="both"/>
      </w:pPr>
      <w:r w:rsidRPr="0077659B">
        <w:t xml:space="preserve">The accounting </w:t>
      </w:r>
      <w:r w:rsidR="00A266A2" w:rsidRPr="0077659B">
        <w:t xml:space="preserve">officer is responsible for the other information. The other information comprises the information included in the annual report </w:t>
      </w:r>
      <w:bookmarkStart w:id="91" w:name="Companies_Act"/>
      <w:bookmarkEnd w:id="91"/>
      <w:r w:rsidR="00A266A2" w:rsidRPr="0077659B">
        <w:t>which includes the director’s report, the audit committee’s report and the company secretary’s certificate as required by the Companies Act</w:t>
      </w:r>
      <w:r w:rsidR="00325162" w:rsidRPr="0077659B">
        <w:t xml:space="preserve"> of</w:t>
      </w:r>
      <w:r w:rsidR="00934A8F" w:rsidRPr="0077659B">
        <w:t xml:space="preserve"> 2008(Act No. 71 of 2008)</w:t>
      </w:r>
      <w:r w:rsidR="00A266A2" w:rsidRPr="0077659B">
        <w:t xml:space="preserve">. The other information does not include the financial statements, the auditor’s report and those selected programmes presented in the annual performance report that have been specifically reported on in the auditor’s report. </w:t>
      </w:r>
    </w:p>
    <w:p w:rsidR="00A266A2" w:rsidRPr="0077659B" w:rsidRDefault="000809AC" w:rsidP="00165C2D">
      <w:pPr>
        <w:pStyle w:val="Numbernormal"/>
        <w:numPr>
          <w:ilvl w:val="0"/>
          <w:numId w:val="14"/>
        </w:numPr>
        <w:ind w:left="567"/>
        <w:jc w:val="both"/>
      </w:pPr>
      <w:r w:rsidRPr="0077659B">
        <w:lastRenderedPageBreak/>
        <w:t>Our</w:t>
      </w:r>
      <w:r w:rsidR="00A266A2" w:rsidRPr="0077659B">
        <w:t xml:space="preserve"> opinion on the financial statements and findings on the reported performance information</w:t>
      </w:r>
      <w:r w:rsidR="00B25CA7">
        <w:t xml:space="preserve"> </w:t>
      </w:r>
      <w:r w:rsidR="00A266A2" w:rsidRPr="0077659B">
        <w:t xml:space="preserve">and compliance with legislation do not cover the other information and </w:t>
      </w:r>
      <w:r w:rsidR="00934A8F" w:rsidRPr="0077659B">
        <w:t>we</w:t>
      </w:r>
      <w:r w:rsidR="007045E3" w:rsidRPr="0077659B">
        <w:t xml:space="preserve"> </w:t>
      </w:r>
      <w:r w:rsidR="00A266A2" w:rsidRPr="0077659B">
        <w:t>do not express an audit opinion or any form of assurance conclusion thereon.</w:t>
      </w:r>
    </w:p>
    <w:p w:rsidR="00A266A2" w:rsidRPr="0077659B" w:rsidRDefault="00A266A2" w:rsidP="00165C2D">
      <w:pPr>
        <w:pStyle w:val="Numbernormal"/>
        <w:numPr>
          <w:ilvl w:val="0"/>
          <w:numId w:val="14"/>
        </w:numPr>
        <w:ind w:left="567"/>
        <w:jc w:val="both"/>
      </w:pPr>
      <w:r w:rsidRPr="0077659B">
        <w:t xml:space="preserve">In connection with </w:t>
      </w:r>
      <w:r w:rsidR="00934A8F" w:rsidRPr="0077659B">
        <w:t xml:space="preserve">our </w:t>
      </w:r>
      <w:r w:rsidRPr="0077659B">
        <w:t xml:space="preserve">audit, </w:t>
      </w:r>
      <w:r w:rsidR="00934A8F" w:rsidRPr="0077659B">
        <w:t xml:space="preserve">our </w:t>
      </w:r>
      <w:r w:rsidRPr="0077659B">
        <w:t>responsibility is to read the other information and, in doing so, consider whether the other information is materially inconsistent with the  financial statements and the selected programmes presented in the annual performance report</w:t>
      </w:r>
      <w:r w:rsidR="00325162" w:rsidRPr="0077659B">
        <w:t>,</w:t>
      </w:r>
      <w:r w:rsidRPr="0077659B">
        <w:t xml:space="preserve"> or </w:t>
      </w:r>
      <w:r w:rsidR="00934A8F" w:rsidRPr="0077659B">
        <w:t xml:space="preserve">our </w:t>
      </w:r>
      <w:r w:rsidRPr="0077659B">
        <w:t xml:space="preserve">knowledge obtained </w:t>
      </w:r>
      <w:r w:rsidR="00325162" w:rsidRPr="0077659B">
        <w:t xml:space="preserve">during </w:t>
      </w:r>
      <w:r w:rsidRPr="0077659B">
        <w:t xml:space="preserve">the audit or otherwise appears to be materially misstated. </w:t>
      </w:r>
      <w:bookmarkStart w:id="92" w:name="Other_information"/>
      <w:bookmarkEnd w:id="92"/>
    </w:p>
    <w:p w:rsidR="00E572B2" w:rsidRPr="0077659B" w:rsidRDefault="001603BD" w:rsidP="00165C2D">
      <w:pPr>
        <w:pStyle w:val="Numbernormal"/>
        <w:numPr>
          <w:ilvl w:val="0"/>
          <w:numId w:val="14"/>
        </w:numPr>
        <w:ind w:left="567"/>
        <w:jc w:val="both"/>
      </w:pPr>
      <w:bookmarkStart w:id="93" w:name="OI1"/>
      <w:bookmarkEnd w:id="93"/>
      <w:r w:rsidRPr="0077659B">
        <w:t>The following paragraphs will be included in the auditor’s report to highlight to the users whether any inconsistencies in the other information exist</w:t>
      </w:r>
      <w:r w:rsidR="00325162" w:rsidRPr="0077659B">
        <w:t>:</w:t>
      </w:r>
    </w:p>
    <w:p w:rsidR="00B25CA7" w:rsidRDefault="00E572B2" w:rsidP="00165C2D">
      <w:pPr>
        <w:pStyle w:val="Numbernormal"/>
        <w:numPr>
          <w:ilvl w:val="0"/>
          <w:numId w:val="14"/>
        </w:numPr>
        <w:ind w:left="567"/>
        <w:jc w:val="both"/>
      </w:pPr>
      <w:r>
        <w:t xml:space="preserve">I did not receive </w:t>
      </w:r>
      <w:r w:rsidR="00E24E9A">
        <w:t xml:space="preserve">I did not receive the other information prior to the date of this auditor’s report. When I do receive and read this information, if I conclude that there is a material misstatement therein, I am required to communicate the matter to those charged with governance and request that the other information be corrected. If the other information is not corrected, I may have to retract this auditor’s report and re-issue an amended report as appropriate. However, if it is corrected this will not be necessary. </w:t>
      </w:r>
    </w:p>
    <w:p w:rsidR="00934A8F" w:rsidRPr="0077659B" w:rsidRDefault="00E24E9A" w:rsidP="00B25CA7">
      <w:pPr>
        <w:pStyle w:val="Numbernormal"/>
        <w:ind w:left="567"/>
        <w:jc w:val="both"/>
      </w:pPr>
      <w:r w:rsidRPr="0077659B" w:rsidDel="008364A3">
        <w:t xml:space="preserve"> </w:t>
      </w:r>
    </w:p>
    <w:p w:rsidR="00C22F2B" w:rsidRPr="00BB6EEC" w:rsidRDefault="00C22F2B" w:rsidP="00A3735E">
      <w:pPr>
        <w:pStyle w:val="Heading3"/>
        <w:rPr>
          <w:lang w:val="en-ZA"/>
        </w:rPr>
      </w:pPr>
      <w:bookmarkStart w:id="94" w:name="_Toc447106599"/>
      <w:bookmarkStart w:id="95" w:name="_Toc79349488"/>
      <w:r w:rsidRPr="00BB6EEC">
        <w:rPr>
          <w:lang w:val="en-ZA"/>
        </w:rPr>
        <w:t>INTERNAL CONTROL</w:t>
      </w:r>
      <w:r w:rsidR="008E1830" w:rsidRPr="00BB6EEC">
        <w:rPr>
          <w:lang w:val="en-ZA"/>
        </w:rPr>
        <w:t>S</w:t>
      </w:r>
      <w:bookmarkEnd w:id="94"/>
      <w:bookmarkEnd w:id="95"/>
    </w:p>
    <w:p w:rsidR="00C22F2B" w:rsidRPr="0077659B" w:rsidRDefault="00B130D0" w:rsidP="00165C2D">
      <w:pPr>
        <w:pStyle w:val="Numbernormal"/>
        <w:numPr>
          <w:ilvl w:val="0"/>
          <w:numId w:val="14"/>
        </w:numPr>
        <w:jc w:val="both"/>
      </w:pPr>
      <w:bookmarkStart w:id="96" w:name="S2E16"/>
      <w:bookmarkStart w:id="97" w:name="S5E17"/>
      <w:bookmarkStart w:id="98" w:name="Controlfigure"/>
      <w:bookmarkEnd w:id="96"/>
      <w:bookmarkEnd w:id="97"/>
      <w:bookmarkEnd w:id="98"/>
      <w:r w:rsidRPr="0077659B">
        <w:t>T</w:t>
      </w:r>
      <w:r w:rsidR="00631ADF" w:rsidRPr="0077659B">
        <w:t xml:space="preserve">he significant deficiencies in internal control which led to </w:t>
      </w:r>
      <w:r w:rsidR="0072104B" w:rsidRPr="0077659B">
        <w:t>our</w:t>
      </w:r>
      <w:r w:rsidR="00C22F2B" w:rsidRPr="0077659B">
        <w:t xml:space="preserve"> overall</w:t>
      </w:r>
      <w:r w:rsidR="0072104B" w:rsidRPr="0077659B">
        <w:t xml:space="preserve"> assessment of the</w:t>
      </w:r>
      <w:r w:rsidR="00C22F2B" w:rsidRPr="0077659B">
        <w:t xml:space="preserve"> status of the drivers of key controls</w:t>
      </w:r>
      <w:r w:rsidR="00631ADF" w:rsidRPr="0077659B">
        <w:t xml:space="preserve">, </w:t>
      </w:r>
      <w:r w:rsidR="0072104B" w:rsidRPr="0077659B">
        <w:t xml:space="preserve">as included in </w:t>
      </w:r>
      <w:r w:rsidR="00631ADF" w:rsidRPr="0077659B">
        <w:t xml:space="preserve">the figure in </w:t>
      </w:r>
      <w:r w:rsidRPr="0077659B">
        <w:t xml:space="preserve">paragraph x, </w:t>
      </w:r>
      <w:r w:rsidR="000262C0" w:rsidRPr="0077659B">
        <w:t xml:space="preserve">are </w:t>
      </w:r>
      <w:r w:rsidRPr="0077659B">
        <w:t>described below</w:t>
      </w:r>
      <w:r w:rsidR="00C22F2B" w:rsidRPr="0077659B">
        <w:t xml:space="preserve">. </w:t>
      </w:r>
      <w:r w:rsidRPr="0077659B">
        <w:t>The d</w:t>
      </w:r>
      <w:r w:rsidR="005657E9" w:rsidRPr="0077659B">
        <w:t xml:space="preserve">etailed assessment of </w:t>
      </w:r>
      <w:r w:rsidRPr="0077659B">
        <w:t xml:space="preserve">the </w:t>
      </w:r>
      <w:r w:rsidR="005657E9" w:rsidRPr="0077659B">
        <w:t>implement</w:t>
      </w:r>
      <w:r w:rsidRPr="0077659B">
        <w:t xml:space="preserve">ation of </w:t>
      </w:r>
      <w:r w:rsidR="005657E9" w:rsidRPr="0077659B">
        <w:t xml:space="preserve">the drivers of internal control </w:t>
      </w:r>
      <w:r w:rsidRPr="0077659B">
        <w:t xml:space="preserve">in the areas of financial statements, performance reporting and compliance with legislation </w:t>
      </w:r>
      <w:r w:rsidR="006E6EE7" w:rsidRPr="0077659B">
        <w:t>is</w:t>
      </w:r>
      <w:r w:rsidRPr="0077659B">
        <w:t xml:space="preserve"> included </w:t>
      </w:r>
      <w:r w:rsidR="006E6EE7" w:rsidRPr="0077659B">
        <w:t xml:space="preserve">in </w:t>
      </w:r>
      <w:r w:rsidR="000262C0" w:rsidRPr="0077659B">
        <w:t>a</w:t>
      </w:r>
      <w:r w:rsidR="00DB2251" w:rsidRPr="0077659B">
        <w:t>nnexure F</w:t>
      </w:r>
      <w:r w:rsidR="005657E9" w:rsidRPr="0077659B">
        <w:t>.</w:t>
      </w:r>
    </w:p>
    <w:p w:rsidR="001F4789" w:rsidRPr="0077659B" w:rsidRDefault="001F4789" w:rsidP="000142F4">
      <w:pPr>
        <w:pStyle w:val="Heading4"/>
      </w:pPr>
      <w:bookmarkStart w:id="99" w:name="IC1"/>
      <w:bookmarkEnd w:id="99"/>
      <w:r w:rsidRPr="0077659B">
        <w:t>Leadership</w:t>
      </w:r>
    </w:p>
    <w:p w:rsidR="00B25CA7" w:rsidRPr="00B25CA7" w:rsidRDefault="00FC16A3" w:rsidP="00B25CA7">
      <w:pPr>
        <w:pStyle w:val="Heading5"/>
        <w:rPr>
          <w:rFonts w:eastAsia="MS Mincho"/>
        </w:rPr>
      </w:pPr>
      <w:r w:rsidRPr="0077659B">
        <w:rPr>
          <w:rFonts w:eastAsia="MS Mincho"/>
        </w:rPr>
        <w:t>Effective leadership culture</w:t>
      </w:r>
    </w:p>
    <w:p w:rsidR="006C4FFE" w:rsidRPr="0056206B" w:rsidRDefault="006C4FFE" w:rsidP="0056206B">
      <w:pPr>
        <w:pStyle w:val="ListParagraph"/>
        <w:numPr>
          <w:ilvl w:val="0"/>
          <w:numId w:val="14"/>
        </w:numPr>
        <w:jc w:val="both"/>
        <w:rPr>
          <w:rFonts w:ascii="Arial" w:eastAsia="Calibri" w:hAnsi="Arial" w:cs="Arial"/>
        </w:rPr>
      </w:pPr>
      <w:r>
        <w:t>W</w:t>
      </w:r>
      <w:r w:rsidR="00B25CA7">
        <w:t>e commend leadership on their role in develo</w:t>
      </w:r>
      <w:r w:rsidR="00F60B7F">
        <w:t xml:space="preserve">pment of appropriate </w:t>
      </w:r>
      <w:r w:rsidR="00B25CA7">
        <w:t xml:space="preserve">action plans to </w:t>
      </w:r>
      <w:r w:rsidR="00F60B7F">
        <w:t xml:space="preserve">address the Beitbrdge material irregularity raised in the </w:t>
      </w:r>
      <w:r>
        <w:t xml:space="preserve">prior period. </w:t>
      </w:r>
      <w:r w:rsidR="00F60B7F">
        <w:t xml:space="preserve">The entity is currently implementing action plans and the progress is monitored. The leadership has continued to engage auditors for guidance in relation to the PAA </w:t>
      </w:r>
      <w:r w:rsidR="001357F2">
        <w:t>amendments</w:t>
      </w:r>
      <w:r w:rsidR="00F60B7F">
        <w:t xml:space="preserve"> </w:t>
      </w:r>
      <w:r w:rsidR="008A1005">
        <w:t>implementation.</w:t>
      </w:r>
      <w:r>
        <w:t xml:space="preserve"> </w:t>
      </w:r>
      <w:r w:rsidRPr="0056206B">
        <w:rPr>
          <w:rFonts w:ascii="Arial" w:eastAsia="Calibri" w:hAnsi="Arial" w:cs="Arial"/>
        </w:rPr>
        <w:t xml:space="preserve">In light of consequence management, the entity is implementing the recommendations of the investigation reports on the irregularities on Public Services Commission (PSC) report on the irregular appointment of officials. Although management could not complete the implementation of these recommendations due to delays such as the court interdicts lodged by the implicated officials </w:t>
      </w:r>
      <w:r w:rsidR="001357F2" w:rsidRPr="0056206B">
        <w:rPr>
          <w:rFonts w:ascii="Arial" w:eastAsia="Calibri" w:hAnsi="Arial" w:cs="Arial"/>
        </w:rPr>
        <w:t>etc.</w:t>
      </w:r>
      <w:r w:rsidRPr="0056206B">
        <w:rPr>
          <w:rFonts w:ascii="Arial" w:eastAsia="Calibri" w:hAnsi="Arial" w:cs="Arial"/>
        </w:rPr>
        <w:t xml:space="preserve">, the implementation of consequence management is emphasising that non-compliance with legislation will not be tolerable. </w:t>
      </w:r>
    </w:p>
    <w:p w:rsidR="00B25CA7" w:rsidRPr="00B25CA7" w:rsidRDefault="006C4FFE" w:rsidP="0056206B">
      <w:pPr>
        <w:pStyle w:val="ListParagraph"/>
        <w:numPr>
          <w:ilvl w:val="0"/>
          <w:numId w:val="14"/>
        </w:numPr>
        <w:jc w:val="both"/>
      </w:pPr>
      <w:r>
        <w:t xml:space="preserve">We have noted a slow response by leadership to address the lease overpayments raised in the previous financial period.  Overpayments continued in the current year as the trading </w:t>
      </w:r>
      <w:r w:rsidR="001357F2">
        <w:t>entity did</w:t>
      </w:r>
      <w:r>
        <w:t xml:space="preserve"> not timeously update and capture lease agreements concluded by REMS on Archibus system.</w:t>
      </w:r>
    </w:p>
    <w:p w:rsidR="00FC16A3" w:rsidRDefault="00F565B0" w:rsidP="00165C2D">
      <w:pPr>
        <w:pStyle w:val="ListParagraph"/>
        <w:numPr>
          <w:ilvl w:val="0"/>
          <w:numId w:val="14"/>
        </w:numPr>
        <w:spacing w:line="276" w:lineRule="auto"/>
        <w:ind w:left="567" w:hanging="567"/>
        <w:jc w:val="both"/>
      </w:pPr>
      <w:r>
        <w:t>However,</w:t>
      </w:r>
      <w:r w:rsidR="006C4FFE">
        <w:t xml:space="preserve"> </w:t>
      </w:r>
      <w:r>
        <w:t>t</w:t>
      </w:r>
      <w:r w:rsidR="00431708" w:rsidRPr="008E3E1C">
        <w:t>here w</w:t>
      </w:r>
      <w:r>
        <w:t>ere</w:t>
      </w:r>
      <w:r w:rsidR="00431708" w:rsidRPr="008E3E1C">
        <w:t xml:space="preserve"> inadequate oversight of the monitoring of the implementation of internal controls during the year, resulting in material misstateme</w:t>
      </w:r>
      <w:r w:rsidR="00431708">
        <w:t>nts in the financial statements</w:t>
      </w:r>
      <w:r w:rsidR="00431708" w:rsidRPr="008E3E1C">
        <w:t xml:space="preserve"> as well as instances of irregular expenditure.</w:t>
      </w:r>
      <w:r w:rsidR="006C4FFE">
        <w:t xml:space="preserve"> </w:t>
      </w:r>
      <w:r w:rsidR="008A1005">
        <w:t xml:space="preserve">This shows that the entity has not prioritised the implementation of </w:t>
      </w:r>
      <w:r w:rsidR="001357F2">
        <w:t>preventative</w:t>
      </w:r>
      <w:r w:rsidR="008A1005">
        <w:t xml:space="preserve"> controls.</w:t>
      </w:r>
    </w:p>
    <w:p w:rsidR="00FC16A3" w:rsidRPr="0077659B" w:rsidRDefault="00B02276" w:rsidP="000142F4">
      <w:pPr>
        <w:pStyle w:val="Heading5"/>
        <w:rPr>
          <w:rFonts w:eastAsia="MS Mincho"/>
        </w:rPr>
      </w:pPr>
      <w:r w:rsidRPr="0077659B">
        <w:rPr>
          <w:rFonts w:eastAsia="MS Mincho"/>
        </w:rPr>
        <w:lastRenderedPageBreak/>
        <w:t>Oversight responsibility</w:t>
      </w:r>
    </w:p>
    <w:p w:rsidR="008A1005" w:rsidRDefault="008A1005" w:rsidP="00165C2D">
      <w:pPr>
        <w:pStyle w:val="Numbernormal"/>
        <w:numPr>
          <w:ilvl w:val="0"/>
          <w:numId w:val="14"/>
        </w:numPr>
        <w:jc w:val="both"/>
        <w:rPr>
          <w:rFonts w:eastAsia="Times New Roman"/>
        </w:rPr>
      </w:pPr>
      <w:r>
        <w:rPr>
          <w:rFonts w:eastAsia="Times New Roman"/>
        </w:rPr>
        <w:t xml:space="preserve">The </w:t>
      </w:r>
      <w:r w:rsidRPr="008A1005">
        <w:rPr>
          <w:rFonts w:eastAsia="Times New Roman"/>
        </w:rPr>
        <w:t>governance, risk and compliance (GRC) unit</w:t>
      </w:r>
      <w:r>
        <w:rPr>
          <w:rFonts w:eastAsia="Times New Roman"/>
        </w:rPr>
        <w:t xml:space="preserve"> has continued to play </w:t>
      </w:r>
      <w:r w:rsidRPr="008A1005">
        <w:rPr>
          <w:rFonts w:eastAsia="Times New Roman"/>
        </w:rPr>
        <w:t xml:space="preserve">a key role in oversight for the </w:t>
      </w:r>
      <w:r>
        <w:rPr>
          <w:rFonts w:eastAsia="Times New Roman"/>
        </w:rPr>
        <w:t xml:space="preserve">trading entity. </w:t>
      </w:r>
      <w:r w:rsidR="001357F2">
        <w:rPr>
          <w:rFonts w:eastAsia="Times New Roman"/>
        </w:rPr>
        <w:t>Numerous</w:t>
      </w:r>
      <w:r>
        <w:rPr>
          <w:rFonts w:eastAsia="Times New Roman"/>
        </w:rPr>
        <w:t xml:space="preserve"> investigations were conducted and concluded in the current year which </w:t>
      </w:r>
      <w:r w:rsidR="001357F2">
        <w:rPr>
          <w:rFonts w:eastAsia="Times New Roman"/>
        </w:rPr>
        <w:t>identified</w:t>
      </w:r>
      <w:r>
        <w:rPr>
          <w:rFonts w:eastAsia="Times New Roman"/>
        </w:rPr>
        <w:t xml:space="preserve"> non-compliances with laws and regulations to be reported on the annual financial statement. We have noted that management have failed to implement recommendations suggested by GRC in relation to irregular expenditure identified from non-compliances reported. </w:t>
      </w:r>
    </w:p>
    <w:p w:rsidR="0091351F" w:rsidRPr="00C61117" w:rsidRDefault="008A1005" w:rsidP="00165C2D">
      <w:pPr>
        <w:pStyle w:val="Numbernormal"/>
        <w:numPr>
          <w:ilvl w:val="0"/>
          <w:numId w:val="14"/>
        </w:numPr>
        <w:jc w:val="both"/>
        <w:rPr>
          <w:rFonts w:eastAsia="Times New Roman"/>
        </w:rPr>
      </w:pPr>
      <w:r>
        <w:rPr>
          <w:rFonts w:eastAsia="Times New Roman"/>
        </w:rPr>
        <w:t xml:space="preserve">Senior management’s </w:t>
      </w:r>
      <w:r w:rsidR="001357F2">
        <w:rPr>
          <w:rFonts w:eastAsia="Times New Roman"/>
        </w:rPr>
        <w:t>attitude towards</w:t>
      </w:r>
      <w:r>
        <w:rPr>
          <w:rFonts w:eastAsia="Times New Roman"/>
        </w:rPr>
        <w:t xml:space="preserve"> implementing action plans developed has not yield </w:t>
      </w:r>
      <w:r w:rsidR="001357F2">
        <w:rPr>
          <w:rFonts w:eastAsia="Times New Roman"/>
        </w:rPr>
        <w:t>fruitful</w:t>
      </w:r>
      <w:r>
        <w:rPr>
          <w:rFonts w:eastAsia="Times New Roman"/>
        </w:rPr>
        <w:t xml:space="preserve"> results. </w:t>
      </w:r>
      <w:r w:rsidR="00C61117">
        <w:rPr>
          <w:rFonts w:eastAsia="Times New Roman"/>
        </w:rPr>
        <w:t xml:space="preserve">We have noted </w:t>
      </w:r>
      <w:r>
        <w:rPr>
          <w:rFonts w:eastAsia="Times New Roman"/>
        </w:rPr>
        <w:t>non-</w:t>
      </w:r>
      <w:r w:rsidR="001357F2">
        <w:rPr>
          <w:rFonts w:eastAsia="Times New Roman"/>
        </w:rPr>
        <w:t>compliance</w:t>
      </w:r>
      <w:r w:rsidR="00C61117">
        <w:rPr>
          <w:rFonts w:eastAsia="Times New Roman"/>
        </w:rPr>
        <w:t xml:space="preserve"> findings on procurement and contract management which are </w:t>
      </w:r>
      <w:r w:rsidR="001357F2">
        <w:rPr>
          <w:rFonts w:eastAsia="Times New Roman"/>
        </w:rPr>
        <w:t>similar to</w:t>
      </w:r>
      <w:r w:rsidR="00C61117">
        <w:rPr>
          <w:rFonts w:eastAsia="Times New Roman"/>
        </w:rPr>
        <w:t xml:space="preserve"> the issues raised in the previous years. Furthermore, components (Immovable assets &amp; Leases) which were qualified in the previous financial year have continued to have issues in the current year. This indicate slow response by management to address issues raised. In addition, we noted that issues that were resolved have re-occurred in the current financial year e.g. Ownership of assets.</w:t>
      </w:r>
    </w:p>
    <w:p w:rsidR="00FC16A3" w:rsidRPr="0077659B" w:rsidRDefault="00FC16A3" w:rsidP="000142F4">
      <w:pPr>
        <w:pStyle w:val="Heading5"/>
        <w:rPr>
          <w:rFonts w:eastAsia="MS Mincho"/>
        </w:rPr>
      </w:pPr>
      <w:r w:rsidRPr="0077659B">
        <w:rPr>
          <w:rFonts w:eastAsia="MS Mincho"/>
        </w:rPr>
        <w:t>Human resource management</w:t>
      </w:r>
    </w:p>
    <w:p w:rsidR="002453F2" w:rsidRPr="002453F2" w:rsidRDefault="006C4FFE" w:rsidP="0056206B">
      <w:pPr>
        <w:pStyle w:val="Numbernormal"/>
        <w:numPr>
          <w:ilvl w:val="0"/>
          <w:numId w:val="14"/>
        </w:numPr>
        <w:jc w:val="both"/>
      </w:pPr>
      <w:r w:rsidRPr="007C0082">
        <w:t xml:space="preserve">A slight regression was noted with the overall vacancy increasing from 9% </w:t>
      </w:r>
      <w:r>
        <w:t xml:space="preserve">in the prior period to 12% </w:t>
      </w:r>
      <w:r w:rsidRPr="007C0082">
        <w:t>at the time of performing this assessment. However, the most concern is on the Senior Management vacancy rate which</w:t>
      </w:r>
      <w:r w:rsidRPr="006C4FFE">
        <w:t xml:space="preserve"> </w:t>
      </w:r>
      <w:r w:rsidRPr="00F50414">
        <w:t>regressed from 23% in the prior year to 57% in the current year</w:t>
      </w:r>
      <w:r w:rsidR="00F50414" w:rsidRPr="00F50414">
        <w:t>.</w:t>
      </w:r>
      <w:r w:rsidR="00F50414" w:rsidRPr="00BE3417">
        <w:t xml:space="preserve"> </w:t>
      </w:r>
    </w:p>
    <w:p w:rsidR="00F50414" w:rsidRDefault="00F50414" w:rsidP="00F50414">
      <w:pPr>
        <w:pStyle w:val="ListParagraph"/>
        <w:numPr>
          <w:ilvl w:val="0"/>
          <w:numId w:val="14"/>
        </w:numPr>
        <w:jc w:val="both"/>
        <w:rPr>
          <w:rFonts w:cs="Arial"/>
        </w:rPr>
      </w:pPr>
      <w:r w:rsidRPr="00F50414">
        <w:rPr>
          <w:rFonts w:cs="Arial"/>
        </w:rPr>
        <w:t>Finance division and the Supply Chain Management (SCM) division vacancy rate’s remains a concern with a reported vacancy rate of 16%.</w:t>
      </w:r>
      <w:r w:rsidR="002453F2">
        <w:rPr>
          <w:rFonts w:cs="Arial"/>
        </w:rPr>
        <w:t>A number of material misstatements were identified in the annual financial statements and significant issues were also identified on Supply Chain Management which then proves that the positions that are vacant have an impact.</w:t>
      </w:r>
    </w:p>
    <w:p w:rsidR="00FC16A3" w:rsidRPr="0077659B" w:rsidRDefault="00FC16A3" w:rsidP="00F127CA">
      <w:pPr>
        <w:pStyle w:val="Numbernormal"/>
        <w:ind w:left="426"/>
      </w:pPr>
    </w:p>
    <w:p w:rsidR="00FC16A3" w:rsidRPr="0077659B" w:rsidRDefault="00FC16A3" w:rsidP="00C43D84">
      <w:pPr>
        <w:pStyle w:val="Heading5"/>
        <w:jc w:val="both"/>
        <w:rPr>
          <w:rFonts w:eastAsia="MS Mincho"/>
        </w:rPr>
      </w:pPr>
      <w:r w:rsidRPr="0077659B">
        <w:rPr>
          <w:rFonts w:eastAsia="MS Mincho"/>
        </w:rPr>
        <w:t>Policies and procedures</w:t>
      </w:r>
    </w:p>
    <w:p w:rsidR="00DF6BF7" w:rsidRPr="0056206B" w:rsidRDefault="00DF6BF7" w:rsidP="00165C2D">
      <w:pPr>
        <w:pStyle w:val="ListParagraph"/>
        <w:numPr>
          <w:ilvl w:val="0"/>
          <w:numId w:val="14"/>
        </w:numPr>
        <w:jc w:val="both"/>
        <w:rPr>
          <w:rFonts w:ascii="Arial" w:eastAsia="Calibri" w:hAnsi="Arial" w:cs="Times New Roman"/>
          <w:szCs w:val="20"/>
          <w:lang w:eastAsia="ja-JP"/>
        </w:rPr>
      </w:pPr>
      <w:r w:rsidRPr="00D4578E">
        <w:t xml:space="preserve">Although internal policies and procedures of the </w:t>
      </w:r>
      <w:r>
        <w:t>trading entity</w:t>
      </w:r>
      <w:r w:rsidRPr="00D4578E">
        <w:t xml:space="preserve"> have been established,</w:t>
      </w:r>
      <w:r w:rsidRPr="00221D7E">
        <w:t xml:space="preserve"> </w:t>
      </w:r>
      <w:r>
        <w:t>it</w:t>
      </w:r>
      <w:r w:rsidRPr="00221D7E">
        <w:t xml:space="preserve"> did not adequately address </w:t>
      </w:r>
      <w:r>
        <w:t xml:space="preserve">compliance with key </w:t>
      </w:r>
      <w:r w:rsidR="001357F2">
        <w:t>legislation</w:t>
      </w:r>
      <w:r w:rsidR="001357F2" w:rsidRPr="00221D7E">
        <w:t>.</w:t>
      </w:r>
      <w:r w:rsidR="001357F2">
        <w:t xml:space="preserve"> This</w:t>
      </w:r>
      <w:r w:rsidR="00C43D84">
        <w:t xml:space="preserve"> is evidenced by numerous </w:t>
      </w:r>
      <w:r w:rsidR="006358BA">
        <w:t xml:space="preserve">non-compliance findings raised on </w:t>
      </w:r>
      <w:r w:rsidR="006358BA" w:rsidRPr="006358BA">
        <w:rPr>
          <w:rFonts w:ascii="Arial" w:eastAsia="Calibri" w:hAnsi="Arial" w:cs="Times New Roman"/>
          <w:szCs w:val="20"/>
          <w:lang w:eastAsia="ja-JP"/>
        </w:rPr>
        <w:t xml:space="preserve">procurement and contract management findings which proves that there are weakened control environment of the trading entity. </w:t>
      </w:r>
      <w:r w:rsidR="00C43D84">
        <w:t xml:space="preserve">Management should focus on developing procedures and policies which </w:t>
      </w:r>
      <w:r w:rsidR="006358BA">
        <w:t xml:space="preserve">promote </w:t>
      </w:r>
      <w:r w:rsidR="001357F2">
        <w:t>preventative</w:t>
      </w:r>
      <w:r w:rsidR="006358BA">
        <w:t xml:space="preserve"> controls.</w:t>
      </w:r>
    </w:p>
    <w:p w:rsidR="00FC16A3" w:rsidRPr="0077659B" w:rsidRDefault="00F376C1" w:rsidP="0056206B">
      <w:pPr>
        <w:pStyle w:val="ListParagraph"/>
        <w:numPr>
          <w:ilvl w:val="0"/>
          <w:numId w:val="14"/>
        </w:numPr>
        <w:jc w:val="both"/>
      </w:pPr>
      <w:r>
        <w:t xml:space="preserve">The policies and procedures of the trading entity are not addressing the issues of </w:t>
      </w:r>
      <w:r w:rsidR="006C4FFE">
        <w:t xml:space="preserve">overpayments as control environment is weak on capturing correct lease agreements. </w:t>
      </w:r>
      <w:r w:rsidR="006358BA">
        <w:t>The procedure manual sho</w:t>
      </w:r>
      <w:r w:rsidR="002B240B">
        <w:t>u</w:t>
      </w:r>
      <w:r w:rsidR="006358BA">
        <w:t xml:space="preserve">ld address the overpayment issues which has been a problem for the entity. Furthemore, </w:t>
      </w:r>
      <w:r w:rsidR="006C4FFE">
        <w:t xml:space="preserve">the trading entity used incorrect rates in calculating the value of land. </w:t>
      </w:r>
      <w:r w:rsidR="001357F2">
        <w:t>The</w:t>
      </w:r>
      <w:r w:rsidR="006C4FFE">
        <w:t xml:space="preserve"> </w:t>
      </w:r>
      <w:r w:rsidR="006358BA">
        <w:t xml:space="preserve">application of immovable assets deemed cost position paper was not </w:t>
      </w:r>
      <w:r w:rsidR="006C4FFE">
        <w:t xml:space="preserve">properly followed resulting in the material findings raised. </w:t>
      </w:r>
    </w:p>
    <w:p w:rsidR="006358BA" w:rsidRPr="006358BA" w:rsidRDefault="00FC16A3" w:rsidP="006358BA">
      <w:pPr>
        <w:pStyle w:val="Heading5"/>
        <w:rPr>
          <w:rFonts w:eastAsia="MS Mincho"/>
        </w:rPr>
      </w:pPr>
      <w:r w:rsidRPr="0077659B">
        <w:rPr>
          <w:rFonts w:eastAsia="MS Mincho"/>
        </w:rPr>
        <w:t>Action plans to address internal control deficiencies</w:t>
      </w:r>
    </w:p>
    <w:p w:rsidR="006358BA" w:rsidRPr="006358BA" w:rsidRDefault="006358BA" w:rsidP="00165C2D">
      <w:pPr>
        <w:pStyle w:val="Numbernormal"/>
        <w:numPr>
          <w:ilvl w:val="0"/>
          <w:numId w:val="14"/>
        </w:numPr>
        <w:jc w:val="both"/>
        <w:rPr>
          <w:rFonts w:ascii="ArialMT" w:eastAsia="Times New Roman" w:hAnsi="ArialMT"/>
        </w:rPr>
      </w:pPr>
      <w:r w:rsidRPr="006358BA">
        <w:rPr>
          <w:rFonts w:ascii="ArialMT" w:eastAsia="Times New Roman" w:hAnsi="ArialMT"/>
        </w:rPr>
        <w:t xml:space="preserve">The trading entity developed a plan to address internal and external audit findings, but the appropriate level of management did not monitor adherence to the plan in a timely </w:t>
      </w:r>
      <w:r w:rsidR="001357F2" w:rsidRPr="006358BA">
        <w:rPr>
          <w:rFonts w:ascii="ArialMT" w:eastAsia="Times New Roman" w:hAnsi="ArialMT"/>
        </w:rPr>
        <w:t>manner. This</w:t>
      </w:r>
      <w:r w:rsidRPr="006358BA">
        <w:rPr>
          <w:rFonts w:ascii="ArialMT" w:eastAsia="Times New Roman" w:hAnsi="ArialMT"/>
        </w:rPr>
        <w:t xml:space="preserve"> </w:t>
      </w:r>
      <w:r w:rsidR="001357F2" w:rsidRPr="006358BA">
        <w:rPr>
          <w:rFonts w:ascii="ArialMT" w:eastAsia="Times New Roman" w:hAnsi="ArialMT"/>
        </w:rPr>
        <w:t>is evident</w:t>
      </w:r>
      <w:r w:rsidRPr="006358BA">
        <w:rPr>
          <w:rFonts w:ascii="ArialMT" w:eastAsia="Times New Roman" w:hAnsi="ArialMT"/>
        </w:rPr>
        <w:t xml:space="preserve"> by the repeat material misstatements and non-compliance findings identified during the audit.</w:t>
      </w:r>
    </w:p>
    <w:p w:rsidR="006358BA" w:rsidRPr="006358BA" w:rsidRDefault="006358BA" w:rsidP="00165C2D">
      <w:pPr>
        <w:pStyle w:val="Numbernormal"/>
        <w:numPr>
          <w:ilvl w:val="0"/>
          <w:numId w:val="14"/>
        </w:numPr>
        <w:jc w:val="both"/>
        <w:rPr>
          <w:rFonts w:ascii="ArialMT" w:eastAsia="Times New Roman" w:hAnsi="ArialMT"/>
        </w:rPr>
      </w:pPr>
      <w:r w:rsidRPr="006358BA">
        <w:rPr>
          <w:rFonts w:ascii="ArialMT" w:eastAsia="Times New Roman" w:hAnsi="ArialMT"/>
        </w:rPr>
        <w:t xml:space="preserve">We take note of management’s efforts to implement proper controls for the capturing and review of all leases loaded onto the Archibus system. Furthermore, a three-day training on capturing </w:t>
      </w:r>
      <w:r w:rsidRPr="006358BA">
        <w:rPr>
          <w:rFonts w:ascii="ArialMT" w:eastAsia="Times New Roman" w:hAnsi="ArialMT"/>
        </w:rPr>
        <w:lastRenderedPageBreak/>
        <w:t xml:space="preserve">and review of lease agreements on Archibus for existing and new officials was attended. However, the actions plans were not effective as material misstatements have been reported in the current year. This indicates that portfolio managers did not take responsibility for incorrectly captured information and actions are not taken against transgressions that may result in financial losses.  </w:t>
      </w:r>
    </w:p>
    <w:p w:rsidR="00394F9E" w:rsidRDefault="003612D4" w:rsidP="00165C2D">
      <w:pPr>
        <w:pStyle w:val="Numbernormal"/>
        <w:numPr>
          <w:ilvl w:val="0"/>
          <w:numId w:val="14"/>
        </w:numPr>
        <w:ind w:left="426"/>
        <w:jc w:val="both"/>
      </w:pPr>
      <w:r>
        <w:t>The action plans developed</w:t>
      </w:r>
      <w:r w:rsidR="00394F9E">
        <w:t xml:space="preserve"> to address </w:t>
      </w:r>
      <w:r>
        <w:t xml:space="preserve">immovable </w:t>
      </w:r>
      <w:r w:rsidR="001357F2">
        <w:t>assets</w:t>
      </w:r>
      <w:r>
        <w:t xml:space="preserve"> </w:t>
      </w:r>
      <w:r w:rsidR="00394F9E">
        <w:t xml:space="preserve">issued raised in the previous year were partially achieved. The entity was able to clear the classification issue on assets under </w:t>
      </w:r>
      <w:r w:rsidR="001357F2">
        <w:t>construction, which</w:t>
      </w:r>
      <w:r w:rsidR="00394F9E">
        <w:t xml:space="preserve"> </w:t>
      </w:r>
      <w:r w:rsidR="001357F2">
        <w:t>contributed</w:t>
      </w:r>
      <w:r w:rsidR="00394F9E">
        <w:t xml:space="preserve"> the qualification raised in the previous period. This indicate that the action plans developed to address the specific finding was sufficient. However, it should be noted that </w:t>
      </w:r>
      <w:r w:rsidR="001357F2">
        <w:t>management</w:t>
      </w:r>
      <w:r w:rsidR="00394F9E">
        <w:t xml:space="preserve"> did not adequately address findings on valuation. </w:t>
      </w:r>
      <w:r w:rsidR="001357F2">
        <w:t>Furthermore</w:t>
      </w:r>
      <w:r w:rsidR="00394F9E">
        <w:t xml:space="preserve">, the entity fail to sustain good work done in relation to recognition of  ownership of assets disclosed on the IAR </w:t>
      </w:r>
    </w:p>
    <w:p w:rsidR="00275C69" w:rsidRDefault="00275C69" w:rsidP="00165C2D">
      <w:pPr>
        <w:pStyle w:val="Numbernormal"/>
        <w:numPr>
          <w:ilvl w:val="0"/>
          <w:numId w:val="14"/>
        </w:numPr>
        <w:ind w:left="426"/>
        <w:jc w:val="both"/>
      </w:pPr>
      <w:r>
        <w:t xml:space="preserve">Action plan was developed to address issues on </w:t>
      </w:r>
      <w:r w:rsidR="00D70DAD">
        <w:t xml:space="preserve">Supply Chain Management </w:t>
      </w:r>
      <w:r>
        <w:t xml:space="preserve">that were raised in the previous year was not achieved. A </w:t>
      </w:r>
      <w:r w:rsidR="00D70DAD">
        <w:t xml:space="preserve">number of Supply Chain </w:t>
      </w:r>
      <w:r w:rsidR="001357F2">
        <w:t>Management findings</w:t>
      </w:r>
      <w:r>
        <w:t xml:space="preserve"> were raised in the current which were also raised in the current year</w:t>
      </w:r>
      <w:r w:rsidR="00973B5E">
        <w:t xml:space="preserve"> which resulted irregular expenditure</w:t>
      </w:r>
      <w:r>
        <w:t xml:space="preserve">. Our report </w:t>
      </w:r>
      <w:r w:rsidR="00D70DAD">
        <w:t xml:space="preserve">has increased number of non- compliance </w:t>
      </w:r>
    </w:p>
    <w:p w:rsidR="00F86988" w:rsidRPr="00394F9E" w:rsidRDefault="00FC16A3" w:rsidP="00394F9E">
      <w:pPr>
        <w:pStyle w:val="Heading5"/>
        <w:rPr>
          <w:rFonts w:eastAsia="MS Mincho"/>
        </w:rPr>
      </w:pPr>
      <w:r w:rsidRPr="0077659B">
        <w:rPr>
          <w:rFonts w:eastAsia="MS Mincho"/>
        </w:rPr>
        <w:t>Information technology governance framework</w:t>
      </w:r>
    </w:p>
    <w:p w:rsidR="00F86988" w:rsidRPr="00F86988" w:rsidRDefault="00F86988" w:rsidP="00165C2D">
      <w:pPr>
        <w:pStyle w:val="ListParagraph"/>
        <w:numPr>
          <w:ilvl w:val="0"/>
          <w:numId w:val="14"/>
        </w:numPr>
        <w:shd w:val="clear" w:color="auto" w:fill="FFFFFF"/>
        <w:jc w:val="both"/>
        <w:rPr>
          <w:rFonts w:cs="Arial"/>
        </w:rPr>
      </w:pPr>
      <w:r w:rsidRPr="0056206B">
        <w:rPr>
          <w:rFonts w:cs="Arial"/>
          <w:b/>
        </w:rPr>
        <w:t>Information technology governance</w:t>
      </w:r>
      <w:r w:rsidRPr="00F86988">
        <w:rPr>
          <w:rFonts w:cs="Arial"/>
        </w:rPr>
        <w:t xml:space="preserve"> was found to be inadequately designed and implemented with the following internal control deficiencies </w:t>
      </w:r>
      <w:r>
        <w:rPr>
          <w:rFonts w:cs="Arial"/>
        </w:rPr>
        <w:t>to be considered by management</w:t>
      </w:r>
    </w:p>
    <w:p w:rsidR="00F86988" w:rsidRPr="00F86988" w:rsidRDefault="00F86988" w:rsidP="00165C2D">
      <w:pPr>
        <w:pStyle w:val="ListParagraph"/>
        <w:numPr>
          <w:ilvl w:val="0"/>
          <w:numId w:val="14"/>
        </w:numPr>
        <w:shd w:val="clear" w:color="auto" w:fill="FFFFFF"/>
        <w:jc w:val="both"/>
        <w:rPr>
          <w:rFonts w:cs="Arial"/>
        </w:rPr>
      </w:pPr>
      <w:r w:rsidRPr="00F86988">
        <w:rPr>
          <w:rFonts w:cs="Arial"/>
        </w:rPr>
        <w:t xml:space="preserve">The ICT structure was approved on 30 September 2016; the Minister requested a re-configuration of the ICT structure to be align to the new mandate of DPWI. Following the re-evaluation of the organisational structure, ICT has started advertising the key positions. Two (2) key ICT vacancies were still not filled at the end of March 2021. If the ICT function is not fully capacitated, some ICT resources may be overloaded with more responsibilities. This may result in lack of ability by other ICT resources to perform critical ICT activities leading to an increase in the number and impact of incidents caused by unavailability of essential skills. </w:t>
      </w:r>
    </w:p>
    <w:p w:rsidR="008E3C0F" w:rsidRPr="008E3C0F" w:rsidRDefault="008E3C0F" w:rsidP="008E3C0F">
      <w:pPr>
        <w:pStyle w:val="ListParagraph"/>
        <w:numPr>
          <w:ilvl w:val="0"/>
          <w:numId w:val="0"/>
        </w:numPr>
        <w:shd w:val="clear" w:color="auto" w:fill="FFFFFF"/>
        <w:ind w:left="360"/>
        <w:jc w:val="both"/>
        <w:rPr>
          <w:rFonts w:cs="Arial"/>
        </w:rPr>
      </w:pPr>
      <w:bookmarkStart w:id="100" w:name="_Toc447106600"/>
    </w:p>
    <w:p w:rsidR="001F4789" w:rsidRPr="0077659B" w:rsidRDefault="001F4789" w:rsidP="000142F4">
      <w:pPr>
        <w:pStyle w:val="Heading4"/>
      </w:pPr>
      <w:r w:rsidRPr="0077659B">
        <w:t xml:space="preserve">Financial and performance management </w:t>
      </w:r>
    </w:p>
    <w:p w:rsidR="00FC16A3" w:rsidRDefault="00FC16A3" w:rsidP="00DD409F">
      <w:pPr>
        <w:pStyle w:val="Heading5"/>
      </w:pPr>
      <w:r w:rsidRPr="0077659B">
        <w:rPr>
          <w:rFonts w:eastAsia="MS Mincho"/>
        </w:rPr>
        <w:t>Proper record keeping</w:t>
      </w:r>
    </w:p>
    <w:p w:rsidR="008E3C0F" w:rsidRDefault="008E3C0F" w:rsidP="00165C2D">
      <w:pPr>
        <w:pStyle w:val="Heading5"/>
        <w:numPr>
          <w:ilvl w:val="0"/>
          <w:numId w:val="14"/>
        </w:numPr>
        <w:jc w:val="both"/>
        <w:rPr>
          <w:rFonts w:eastAsia="Calibri"/>
          <w:bCs w:val="0"/>
          <w:color w:val="auto"/>
          <w:sz w:val="22"/>
        </w:rPr>
      </w:pPr>
      <w:r w:rsidRPr="008E3C0F">
        <w:rPr>
          <w:rFonts w:eastAsia="Calibri"/>
          <w:bCs w:val="0"/>
          <w:color w:val="auto"/>
          <w:sz w:val="22"/>
        </w:rPr>
        <w:t xml:space="preserve">The trading entity has not yet fully implemented the new record management system. We experienced significant delays and limitations where supporting documentation were provided late, especially with respect to the regional audit. </w:t>
      </w:r>
      <w:r w:rsidR="001357F2">
        <w:rPr>
          <w:rFonts w:eastAsia="Calibri"/>
          <w:bCs w:val="0"/>
          <w:color w:val="auto"/>
          <w:sz w:val="22"/>
        </w:rPr>
        <w:t>Furthermore</w:t>
      </w:r>
      <w:r>
        <w:rPr>
          <w:rFonts w:eastAsia="Calibri"/>
          <w:bCs w:val="0"/>
          <w:color w:val="auto"/>
          <w:sz w:val="22"/>
        </w:rPr>
        <w:t xml:space="preserve">, we noted that management did not review immovable assets register (IAR) to ensure that the deemed cost position paper was correctly applied when valuing properties. </w:t>
      </w:r>
      <w:r w:rsidR="001357F2">
        <w:rPr>
          <w:rFonts w:eastAsia="Calibri"/>
          <w:bCs w:val="0"/>
          <w:color w:val="auto"/>
          <w:sz w:val="22"/>
        </w:rPr>
        <w:t>Management</w:t>
      </w:r>
      <w:r w:rsidR="00E36241">
        <w:rPr>
          <w:rFonts w:eastAsia="Calibri"/>
          <w:bCs w:val="0"/>
          <w:color w:val="auto"/>
          <w:sz w:val="22"/>
        </w:rPr>
        <w:t xml:space="preserve"> did not keep a record of supporting documents to confirm ownership of some assets disclosed on the </w:t>
      </w:r>
      <w:r w:rsidR="001357F2">
        <w:rPr>
          <w:rFonts w:eastAsia="Calibri"/>
          <w:bCs w:val="0"/>
          <w:color w:val="auto"/>
          <w:sz w:val="22"/>
        </w:rPr>
        <w:t>annual</w:t>
      </w:r>
      <w:r w:rsidR="00E36241">
        <w:rPr>
          <w:rFonts w:eastAsia="Calibri"/>
          <w:bCs w:val="0"/>
          <w:color w:val="auto"/>
          <w:sz w:val="22"/>
        </w:rPr>
        <w:t xml:space="preserve"> financial statement. </w:t>
      </w:r>
    </w:p>
    <w:p w:rsidR="004A5358" w:rsidRPr="00E36241" w:rsidRDefault="008E3C0F" w:rsidP="00165C2D">
      <w:pPr>
        <w:pStyle w:val="Heading5"/>
        <w:numPr>
          <w:ilvl w:val="0"/>
          <w:numId w:val="14"/>
        </w:numPr>
        <w:jc w:val="both"/>
        <w:rPr>
          <w:rFonts w:eastAsia="Calibri"/>
          <w:bCs w:val="0"/>
          <w:color w:val="auto"/>
          <w:sz w:val="22"/>
        </w:rPr>
      </w:pPr>
      <w:r w:rsidRPr="008E3C0F">
        <w:rPr>
          <w:rFonts w:eastAsia="Calibri"/>
          <w:bCs w:val="0"/>
          <w:color w:val="auto"/>
          <w:sz w:val="22"/>
        </w:rPr>
        <w:t xml:space="preserve">Management did not properly review the details of the leases that were recorded on ARCHIBUS, as a result significant differences were identified on the leases disclosed in the annual financial statements and the details of the lease as per the lease contract. This was exacerbated by the fact that lease information is decentralised, and regional officials were not provided with recent </w:t>
      </w:r>
      <w:r w:rsidRPr="008E3C0F">
        <w:rPr>
          <w:rFonts w:eastAsia="Calibri"/>
          <w:bCs w:val="0"/>
          <w:color w:val="auto"/>
          <w:sz w:val="22"/>
        </w:rPr>
        <w:lastRenderedPageBreak/>
        <w:t xml:space="preserve">lease agreements concluded by REMS </w:t>
      </w:r>
      <w:r w:rsidR="00A7635F" w:rsidRPr="008E3C0F">
        <w:rPr>
          <w:rFonts w:eastAsia="Calibri"/>
          <w:bCs w:val="0"/>
          <w:color w:val="auto"/>
          <w:sz w:val="22"/>
        </w:rPr>
        <w:t>timely, as</w:t>
      </w:r>
      <w:r w:rsidRPr="008E3C0F">
        <w:rPr>
          <w:rFonts w:eastAsia="Calibri"/>
          <w:bCs w:val="0"/>
          <w:color w:val="auto"/>
          <w:sz w:val="22"/>
        </w:rPr>
        <w:t xml:space="preserve"> a result latest lease agreements were not captured on Archibus system. </w:t>
      </w:r>
    </w:p>
    <w:p w:rsidR="00FC16A3" w:rsidRDefault="00FC16A3" w:rsidP="000142F4">
      <w:pPr>
        <w:pStyle w:val="Heading5"/>
        <w:rPr>
          <w:rFonts w:eastAsia="MS Mincho"/>
        </w:rPr>
      </w:pPr>
      <w:r w:rsidRPr="0077659B">
        <w:rPr>
          <w:rFonts w:eastAsia="MS Mincho"/>
        </w:rPr>
        <w:t>Daily and monthly processing and reconciling of transactions</w:t>
      </w:r>
    </w:p>
    <w:p w:rsidR="00E36241" w:rsidRPr="00E36241" w:rsidRDefault="00E36241" w:rsidP="00165C2D">
      <w:pPr>
        <w:pStyle w:val="ListParagraph"/>
        <w:numPr>
          <w:ilvl w:val="0"/>
          <w:numId w:val="14"/>
        </w:numPr>
        <w:jc w:val="both"/>
        <w:rPr>
          <w:rFonts w:eastAsia="MS Mincho"/>
        </w:rPr>
      </w:pPr>
      <w:r w:rsidRPr="00E36241">
        <w:t>Management did not fully implement the daily and monthly reconciliation as duplicates of immovable assets register (IAR). The process of initially accounting for the immovable assets acquired through the transfer of function was not adequately completed prior to the date of this report.</w:t>
      </w:r>
      <w:r>
        <w:t xml:space="preserve"> Management did not reconcile the assets recorded on their immovable assets register against the deeds office to confirm the ownership those assets before disclosing them on the IAR. </w:t>
      </w:r>
    </w:p>
    <w:p w:rsidR="000552B5" w:rsidRDefault="000552B5" w:rsidP="0056206B">
      <w:pPr>
        <w:pStyle w:val="Heading5"/>
        <w:numPr>
          <w:ilvl w:val="0"/>
          <w:numId w:val="14"/>
        </w:numPr>
        <w:jc w:val="both"/>
        <w:rPr>
          <w:rFonts w:ascii="ArialMT" w:hAnsi="ArialMT" w:cs="ArialMT"/>
          <w:bCs w:val="0"/>
          <w:color w:val="auto"/>
          <w:sz w:val="22"/>
        </w:rPr>
      </w:pPr>
      <w:r w:rsidRPr="0056206B">
        <w:rPr>
          <w:rFonts w:ascii="ArialMT" w:hAnsi="ArialMT" w:cs="ArialMT"/>
          <w:bCs w:val="0"/>
          <w:color w:val="auto"/>
          <w:sz w:val="22"/>
        </w:rPr>
        <w:t xml:space="preserve">Management did not perform adequate reconciliations of the financial information prior to submission for audit to ensure that the financials are free from </w:t>
      </w:r>
      <w:r w:rsidR="00A7635F" w:rsidRPr="0056206B">
        <w:rPr>
          <w:rFonts w:ascii="ArialMT" w:hAnsi="ArialMT" w:cs="ArialMT"/>
          <w:bCs w:val="0"/>
          <w:color w:val="auto"/>
          <w:sz w:val="22"/>
        </w:rPr>
        <w:t>error. Receivables</w:t>
      </w:r>
      <w:r w:rsidRPr="0056206B">
        <w:rPr>
          <w:rFonts w:ascii="ArialMT" w:hAnsi="ArialMT" w:cs="ArialMT"/>
          <w:bCs w:val="0"/>
          <w:color w:val="auto"/>
          <w:sz w:val="22"/>
        </w:rPr>
        <w:t xml:space="preserve"> from exchange transactions with respect to municipal services did not reconcile with the supporting schedules. The root causes of such regression was due to system technical issues related to the SAGE system. </w:t>
      </w:r>
    </w:p>
    <w:p w:rsidR="00E36241" w:rsidRPr="00E36241" w:rsidRDefault="00E36241">
      <w:pPr>
        <w:pStyle w:val="Heading5"/>
        <w:numPr>
          <w:ilvl w:val="0"/>
          <w:numId w:val="14"/>
        </w:numPr>
        <w:jc w:val="both"/>
        <w:rPr>
          <w:rFonts w:ascii="ArialMT" w:hAnsi="ArialMT"/>
          <w:bCs w:val="0"/>
          <w:color w:val="auto"/>
          <w:sz w:val="22"/>
        </w:rPr>
      </w:pPr>
      <w:r w:rsidRPr="00E36241">
        <w:rPr>
          <w:rFonts w:ascii="ArialMT" w:hAnsi="ArialMT"/>
          <w:bCs w:val="0"/>
          <w:color w:val="auto"/>
          <w:sz w:val="22"/>
        </w:rPr>
        <w:t>Management implemented the contract, tender and quotation registers, however, the registers were not complete at all times and sometimes were in accurate i.e. quotations for the trading entity  were recorded as if they were procured by the department and vice versa thus resulting into audit efficiencies</w:t>
      </w:r>
    </w:p>
    <w:p w:rsidR="00E36241" w:rsidRPr="00E36241" w:rsidRDefault="00E36241" w:rsidP="00165C2D">
      <w:pPr>
        <w:pStyle w:val="Heading5"/>
        <w:numPr>
          <w:ilvl w:val="0"/>
          <w:numId w:val="14"/>
        </w:numPr>
        <w:jc w:val="both"/>
        <w:rPr>
          <w:rFonts w:eastAsia="MS Mincho"/>
        </w:rPr>
      </w:pPr>
      <w:r w:rsidRPr="00E36241">
        <w:rPr>
          <w:bCs w:val="0"/>
          <w:color w:val="auto"/>
          <w:sz w:val="22"/>
        </w:rPr>
        <w:t>Ove</w:t>
      </w:r>
      <w:r w:rsidRPr="00E36241">
        <w:rPr>
          <w:rFonts w:ascii="ArialMT" w:hAnsi="ArialMT"/>
          <w:bCs w:val="0"/>
          <w:color w:val="auto"/>
          <w:sz w:val="22"/>
        </w:rPr>
        <w:t xml:space="preserve">rpayments made to landlords in terms of private leased properties continued in the current year as management made payments on old lease </w:t>
      </w:r>
      <w:r w:rsidR="00A7635F" w:rsidRPr="00E36241">
        <w:rPr>
          <w:rFonts w:ascii="ArialMT" w:hAnsi="ArialMT"/>
          <w:bCs w:val="0"/>
          <w:color w:val="auto"/>
          <w:sz w:val="22"/>
        </w:rPr>
        <w:t>agreements that</w:t>
      </w:r>
      <w:r w:rsidRPr="00E36241">
        <w:rPr>
          <w:rFonts w:ascii="ArialMT" w:hAnsi="ArialMT"/>
          <w:bCs w:val="0"/>
          <w:color w:val="auto"/>
          <w:sz w:val="22"/>
        </w:rPr>
        <w:t xml:space="preserve"> were at a higher rental fees. The process put into place to verify payment amounts before they are made, have not yet made a significant difference as the overpayments have continued to occur</w:t>
      </w:r>
      <w:r>
        <w:rPr>
          <w:rFonts w:ascii="ArialMT" w:hAnsi="ArialMT"/>
          <w:bCs w:val="0"/>
          <w:color w:val="auto"/>
          <w:sz w:val="22"/>
        </w:rPr>
        <w:t>.</w:t>
      </w:r>
    </w:p>
    <w:p w:rsidR="00B60EC6" w:rsidRPr="00B60EC6" w:rsidRDefault="00FC16A3" w:rsidP="00B60EC6">
      <w:pPr>
        <w:pStyle w:val="Heading5"/>
        <w:rPr>
          <w:rFonts w:eastAsia="MS Mincho"/>
        </w:rPr>
      </w:pPr>
      <w:r w:rsidRPr="0077659B">
        <w:rPr>
          <w:rFonts w:eastAsia="MS Mincho"/>
        </w:rPr>
        <w:t>Regular, accurate and complete financial and performance reports</w:t>
      </w:r>
    </w:p>
    <w:p w:rsidR="0087455E" w:rsidRDefault="0087455E" w:rsidP="00165C2D">
      <w:pPr>
        <w:pStyle w:val="NumberedARs"/>
        <w:numPr>
          <w:ilvl w:val="0"/>
          <w:numId w:val="14"/>
        </w:numPr>
        <w:spacing w:line="288" w:lineRule="auto"/>
        <w:ind w:left="426"/>
        <w:jc w:val="both"/>
      </w:pPr>
      <w:r w:rsidRPr="009E0634">
        <w:t>Recording, review</w:t>
      </w:r>
      <w:r w:rsidRPr="008C5147">
        <w:t xml:space="preserve">ing and reporting processes and controls over </w:t>
      </w:r>
      <w:r w:rsidR="002A7D48">
        <w:t xml:space="preserve">Immovable </w:t>
      </w:r>
      <w:r w:rsidR="00A7635F">
        <w:t>assets,</w:t>
      </w:r>
      <w:r w:rsidRPr="008C5147">
        <w:t xml:space="preserve"> </w:t>
      </w:r>
      <w:r w:rsidR="002A7D48">
        <w:t xml:space="preserve">operating leases, </w:t>
      </w:r>
      <w:r w:rsidR="003B79E1">
        <w:t>revenue from exchange transactions, trade payables</w:t>
      </w:r>
      <w:r w:rsidR="002A7D48">
        <w:t xml:space="preserve"> </w:t>
      </w:r>
      <w:r w:rsidRPr="008C5147">
        <w:t>and disclosure notes</w:t>
      </w:r>
      <w:r w:rsidRPr="009E0634">
        <w:t xml:space="preserve"> in the financial statements were not adequate.</w:t>
      </w:r>
    </w:p>
    <w:p w:rsidR="00E9707E" w:rsidRDefault="0087455E" w:rsidP="00165C2D">
      <w:pPr>
        <w:pStyle w:val="NumberedARs"/>
        <w:numPr>
          <w:ilvl w:val="0"/>
          <w:numId w:val="14"/>
        </w:numPr>
        <w:spacing w:line="288" w:lineRule="auto"/>
        <w:ind w:left="454" w:hanging="454"/>
        <w:jc w:val="both"/>
      </w:pPr>
      <w:r w:rsidRPr="00221D7E">
        <w:t>As indicated in section 2.1, the financial statements contained misstatements. This was mainly due to the inadequate review and reconciliation of the annual financial statements to the underlying accounting records</w:t>
      </w:r>
      <w:r>
        <w:t xml:space="preserve"> and in</w:t>
      </w:r>
      <w:r w:rsidRPr="009A7B28">
        <w:t xml:space="preserve">adequate controls to prevent and detect irregular expenditure to ensure that all irregular expenditure was disclosed in accordance with section </w:t>
      </w:r>
      <w:r w:rsidR="00C80A63">
        <w:t>40(3) (i) of the P</w:t>
      </w:r>
      <w:r w:rsidRPr="009A7B28">
        <w:t>FMA.</w:t>
      </w:r>
    </w:p>
    <w:p w:rsidR="00B60EC6" w:rsidRPr="00B60EC6" w:rsidRDefault="00B60EC6" w:rsidP="00165C2D">
      <w:pPr>
        <w:pStyle w:val="ListParagraph"/>
        <w:numPr>
          <w:ilvl w:val="0"/>
          <w:numId w:val="14"/>
        </w:numPr>
        <w:spacing w:line="276" w:lineRule="auto"/>
        <w:jc w:val="both"/>
        <w:rPr>
          <w:rFonts w:ascii="Arial" w:eastAsia="Calibri" w:hAnsi="Arial" w:cs="Times New Roman"/>
          <w:szCs w:val="20"/>
          <w:lang w:eastAsia="ja-JP"/>
        </w:rPr>
      </w:pPr>
      <w:r w:rsidRPr="00B60EC6">
        <w:rPr>
          <w:rFonts w:ascii="Arial" w:eastAsia="Calibri" w:hAnsi="Arial" w:cs="Times New Roman"/>
          <w:szCs w:val="20"/>
          <w:lang w:eastAsia="ja-JP"/>
        </w:rPr>
        <w:t xml:space="preserve">There is a lack of full implementation of the financial accounting system which results in the process of preparing financial statements being lengthy. This is evident by the fact that the supporting schedules to the annual financial statement submitted by management did not agree to the information disclosed on the AFS as a results, material misstatements were identified. Completeness issues was also identified as tenders relating to lease agreements awarded in the current year where not included on the amounts disclosed in the annual financial statements. </w:t>
      </w:r>
    </w:p>
    <w:p w:rsidR="002C54F0" w:rsidRPr="00DA51FF" w:rsidRDefault="00FC16A3" w:rsidP="00DA51FF">
      <w:pPr>
        <w:pStyle w:val="Heading5"/>
        <w:rPr>
          <w:rFonts w:eastAsia="MS Mincho"/>
        </w:rPr>
      </w:pPr>
      <w:r w:rsidRPr="0077659B">
        <w:rPr>
          <w:rFonts w:eastAsia="MS Mincho"/>
        </w:rPr>
        <w:t>Compliance monitoring</w:t>
      </w:r>
    </w:p>
    <w:p w:rsidR="00106B4A" w:rsidRPr="00261826" w:rsidRDefault="00106B4A" w:rsidP="00165C2D">
      <w:pPr>
        <w:pStyle w:val="NumberedARs"/>
        <w:numPr>
          <w:ilvl w:val="0"/>
          <w:numId w:val="14"/>
        </w:numPr>
        <w:spacing w:line="288" w:lineRule="auto"/>
        <w:ind w:left="454" w:hanging="454"/>
        <w:jc w:val="both"/>
      </w:pPr>
      <w:r w:rsidRPr="001C1FF3">
        <w:t>There</w:t>
      </w:r>
      <w:r w:rsidRPr="00106B4A">
        <w:t xml:space="preserve"> is an increased in the number of issues of non-compliance with legislation. Non-compliance with legislation could have been prevented had compliance been properly reviewed </w:t>
      </w:r>
      <w:r w:rsidRPr="00106B4A">
        <w:lastRenderedPageBreak/>
        <w:t>and monitored.</w:t>
      </w:r>
      <w:r w:rsidRPr="00106B4A">
        <w:rPr>
          <w:color w:val="FF0000"/>
        </w:rPr>
        <w:t xml:space="preserve"> </w:t>
      </w:r>
      <w:r w:rsidRPr="00261826">
        <w:t xml:space="preserve">Findings raised in procurement and contract management were similar to the issues raised in the prior year in certain </w:t>
      </w:r>
      <w:r w:rsidR="00A7635F" w:rsidRPr="00261826">
        <w:t>instances, which</w:t>
      </w:r>
      <w:r w:rsidRPr="00261826">
        <w:t xml:space="preserve"> resulted to irregular </w:t>
      </w:r>
      <w:r w:rsidR="00A7635F" w:rsidRPr="00261826">
        <w:t xml:space="preserve">expenditure. </w:t>
      </w:r>
      <w:r w:rsidRPr="00261826">
        <w:t>This indicates a lack of consequence management by leadership</w:t>
      </w:r>
    </w:p>
    <w:p w:rsidR="00FC16A3" w:rsidRPr="00261826" w:rsidRDefault="00BF0884" w:rsidP="00165C2D">
      <w:pPr>
        <w:pStyle w:val="Numbernormal"/>
        <w:numPr>
          <w:ilvl w:val="0"/>
          <w:numId w:val="14"/>
        </w:numPr>
        <w:ind w:left="426"/>
        <w:jc w:val="both"/>
      </w:pPr>
      <w:r w:rsidRPr="00261826">
        <w:t>Internal controls in relation to expenditure management have not been adequately implemented which resulted in the entity failing to have effective and appropriate steps to prevent irregular</w:t>
      </w:r>
      <w:r w:rsidR="00106B4A" w:rsidRPr="00261826">
        <w:t xml:space="preserve"> </w:t>
      </w:r>
      <w:r w:rsidR="00A7635F" w:rsidRPr="00261826">
        <w:t xml:space="preserve">expenditure. </w:t>
      </w:r>
      <w:r w:rsidRPr="00261826">
        <w:t xml:space="preserve">In certain instances, we identified that </w:t>
      </w:r>
      <w:r w:rsidR="00261826" w:rsidRPr="00261826">
        <w:t>Effective internal controls were not in place for approval and processing of payments</w:t>
      </w:r>
      <w:r w:rsidRPr="00261826">
        <w:t>.</w:t>
      </w:r>
    </w:p>
    <w:p w:rsidR="00FC16A3" w:rsidRPr="0077659B" w:rsidRDefault="00FC16A3" w:rsidP="000142F4">
      <w:pPr>
        <w:pStyle w:val="Heading5"/>
        <w:rPr>
          <w:rFonts w:eastAsia="MS Mincho"/>
        </w:rPr>
      </w:pPr>
      <w:r w:rsidRPr="0077659B">
        <w:rPr>
          <w:rFonts w:eastAsia="MS Mincho"/>
        </w:rPr>
        <w:t>Information technology systems</w:t>
      </w:r>
    </w:p>
    <w:p w:rsidR="00964681" w:rsidRDefault="00466621" w:rsidP="0068620E">
      <w:pPr>
        <w:pStyle w:val="ListParagraph"/>
        <w:numPr>
          <w:ilvl w:val="0"/>
          <w:numId w:val="0"/>
        </w:numPr>
        <w:jc w:val="both"/>
        <w:rPr>
          <w:rFonts w:ascii="Arial" w:hAnsi="Arial" w:cs="Arial"/>
          <w:szCs w:val="36"/>
        </w:rPr>
      </w:pPr>
      <w:r>
        <w:t xml:space="preserve">67. </w:t>
      </w:r>
      <w:r w:rsidR="00964681" w:rsidRPr="009F1540">
        <w:rPr>
          <w:rFonts w:ascii="Arial" w:hAnsi="Arial" w:cs="Arial"/>
          <w:szCs w:val="36"/>
        </w:rPr>
        <w:t>IT controls pertaining to</w:t>
      </w:r>
      <w:r w:rsidR="00964681">
        <w:rPr>
          <w:rFonts w:ascii="Arial" w:hAnsi="Arial" w:cs="Arial"/>
          <w:szCs w:val="36"/>
        </w:rPr>
        <w:t xml:space="preserve"> </w:t>
      </w:r>
      <w:r w:rsidR="00964681" w:rsidRPr="009F1540">
        <w:rPr>
          <w:rFonts w:ascii="Arial" w:hAnsi="Arial" w:cs="Arial"/>
          <w:szCs w:val="36"/>
        </w:rPr>
        <w:t>service continuity</w:t>
      </w:r>
      <w:r w:rsidR="00964681">
        <w:rPr>
          <w:rFonts w:ascii="Arial" w:hAnsi="Arial" w:cs="Arial"/>
          <w:szCs w:val="36"/>
        </w:rPr>
        <w:t>,</w:t>
      </w:r>
      <w:r w:rsidR="00964681" w:rsidRPr="009F1540">
        <w:rPr>
          <w:rFonts w:ascii="Arial" w:hAnsi="Arial" w:cs="Arial"/>
          <w:szCs w:val="36"/>
        </w:rPr>
        <w:t xml:space="preserve"> security management</w:t>
      </w:r>
      <w:r w:rsidR="00964681">
        <w:rPr>
          <w:rFonts w:ascii="Arial" w:hAnsi="Arial" w:cs="Arial"/>
          <w:szCs w:val="36"/>
        </w:rPr>
        <w:t xml:space="preserve">, </w:t>
      </w:r>
      <w:r w:rsidR="00964681" w:rsidRPr="009F1540">
        <w:rPr>
          <w:rFonts w:ascii="Arial" w:hAnsi="Arial" w:cs="Arial"/>
          <w:szCs w:val="36"/>
        </w:rPr>
        <w:t>user access management and change control management were not effectively designed and implemented due to the following key internal control deficiencies:</w:t>
      </w:r>
    </w:p>
    <w:p w:rsidR="00964681"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2B5AA7">
        <w:rPr>
          <w:rFonts w:ascii="Arial" w:hAnsi="Arial" w:cs="Arial"/>
          <w:lang w:val="en-US"/>
        </w:rPr>
        <w:t xml:space="preserve">IT controls pertaining to </w:t>
      </w:r>
      <w:r>
        <w:rPr>
          <w:rFonts w:ascii="Arial" w:hAnsi="Arial" w:cs="Arial"/>
          <w:lang w:val="en-US"/>
        </w:rPr>
        <w:t xml:space="preserve">User Access Management, </w:t>
      </w:r>
      <w:r w:rsidRPr="002B5AA7">
        <w:rPr>
          <w:rFonts w:ascii="Arial" w:hAnsi="Arial" w:cs="Arial"/>
          <w:lang w:val="en-US"/>
        </w:rPr>
        <w:t>Change control management</w:t>
      </w:r>
      <w:r>
        <w:rPr>
          <w:rFonts w:ascii="Arial" w:hAnsi="Arial" w:cs="Arial"/>
          <w:lang w:val="en-US"/>
        </w:rPr>
        <w:t xml:space="preserve"> and </w:t>
      </w:r>
      <w:r w:rsidRPr="002B5AA7">
        <w:rPr>
          <w:rFonts w:ascii="Arial" w:hAnsi="Arial" w:cs="Arial"/>
          <w:lang w:val="en-US"/>
        </w:rPr>
        <w:t>Servic</w:t>
      </w:r>
      <w:r>
        <w:rPr>
          <w:rFonts w:ascii="Arial" w:hAnsi="Arial" w:cs="Arial"/>
          <w:lang w:val="en-US"/>
        </w:rPr>
        <w:t>e Continuity</w:t>
      </w:r>
      <w:r w:rsidRPr="002B5AA7">
        <w:rPr>
          <w:rFonts w:ascii="Arial" w:hAnsi="Arial" w:cs="Arial"/>
          <w:lang w:val="en-US"/>
        </w:rPr>
        <w:t xml:space="preserve"> were not effectively designed and implemented due to the following key internal control deficiencies.</w:t>
      </w:r>
    </w:p>
    <w:p w:rsidR="00964681" w:rsidRPr="00DE3EF7"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DE3EF7">
        <w:rPr>
          <w:rFonts w:ascii="Arial" w:hAnsi="Arial" w:cs="Arial"/>
          <w:color w:val="000000" w:themeColor="text1"/>
        </w:rPr>
        <w:t>System generated list of users who had their access modified, password reset, audit trail which details activities performed by system controller and failed logon violations</w:t>
      </w:r>
      <w:r>
        <w:rPr>
          <w:rFonts w:ascii="Arial" w:hAnsi="Arial" w:cs="Arial"/>
          <w:color w:val="000000" w:themeColor="text1"/>
        </w:rPr>
        <w:t xml:space="preserve"> on GIS system</w:t>
      </w:r>
      <w:r w:rsidRPr="00DE3EF7">
        <w:rPr>
          <w:rFonts w:ascii="Arial" w:hAnsi="Arial" w:cs="Arial"/>
          <w:color w:val="000000" w:themeColor="text1"/>
        </w:rPr>
        <w:t xml:space="preserve"> could not be obtained due to system limitation</w:t>
      </w:r>
    </w:p>
    <w:p w:rsidR="00964681" w:rsidRPr="00DE3EF7"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Pr>
          <w:rFonts w:ascii="Arial" w:hAnsi="Arial" w:cs="Arial"/>
          <w:color w:val="000000" w:themeColor="text1"/>
        </w:rPr>
        <w:t xml:space="preserve">Management have not resolved the 2019/2020 findings on </w:t>
      </w:r>
      <w:r w:rsidR="00A7635F">
        <w:rPr>
          <w:rFonts w:ascii="Arial" w:hAnsi="Arial" w:cs="Arial"/>
          <w:color w:val="000000" w:themeColor="text1"/>
        </w:rPr>
        <w:t xml:space="preserve">the </w:t>
      </w:r>
      <w:r w:rsidR="00A7635F" w:rsidRPr="00DE3EF7">
        <w:rPr>
          <w:rFonts w:ascii="Arial" w:hAnsi="Arial" w:cs="Arial"/>
          <w:color w:val="000000" w:themeColor="text1"/>
        </w:rPr>
        <w:t>GIS</w:t>
      </w:r>
      <w:r w:rsidRPr="00DE3EF7">
        <w:rPr>
          <w:rFonts w:ascii="Arial" w:hAnsi="Arial" w:cs="Arial"/>
          <w:color w:val="000000" w:themeColor="text1"/>
        </w:rPr>
        <w:t xml:space="preserve"> system</w:t>
      </w:r>
      <w:r>
        <w:rPr>
          <w:rFonts w:ascii="Arial" w:hAnsi="Arial" w:cs="Arial"/>
          <w:color w:val="000000" w:themeColor="text1"/>
        </w:rPr>
        <w:t xml:space="preserve">. </w:t>
      </w:r>
      <w:r w:rsidRPr="00DE3EF7">
        <w:rPr>
          <w:rFonts w:ascii="Arial" w:hAnsi="Arial" w:cs="Arial"/>
          <w:color w:val="000000" w:themeColor="text1"/>
        </w:rPr>
        <w:t>The department is in the process of strengthening the controls and processes on the system to ensure that the weaknesses are eradicated.</w:t>
      </w:r>
    </w:p>
    <w:p w:rsidR="00964681" w:rsidRPr="00DE3EF7"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DE3EF7">
        <w:rPr>
          <w:rFonts w:ascii="Arial" w:hAnsi="Arial" w:cs="Arial"/>
          <w:color w:val="000000" w:themeColor="text1"/>
        </w:rPr>
        <w:t>Users who had left the department were not timely communicated</w:t>
      </w:r>
      <w:r>
        <w:rPr>
          <w:rFonts w:ascii="Arial" w:hAnsi="Arial" w:cs="Arial"/>
          <w:color w:val="000000" w:themeColor="text1"/>
        </w:rPr>
        <w:t xml:space="preserve"> </w:t>
      </w:r>
      <w:r w:rsidRPr="00DE3EF7">
        <w:rPr>
          <w:rFonts w:ascii="Arial" w:hAnsi="Arial" w:cs="Arial"/>
          <w:color w:val="000000" w:themeColor="text1"/>
        </w:rPr>
        <w:t>and removed on the system</w:t>
      </w:r>
      <w:r>
        <w:rPr>
          <w:rFonts w:ascii="Arial" w:hAnsi="Arial" w:cs="Arial"/>
          <w:color w:val="000000" w:themeColor="text1"/>
        </w:rPr>
        <w:t>s</w:t>
      </w:r>
      <w:r w:rsidRPr="00DE3EF7">
        <w:rPr>
          <w:rFonts w:ascii="Arial" w:hAnsi="Arial" w:cs="Arial"/>
          <w:color w:val="000000" w:themeColor="text1"/>
        </w:rPr>
        <w:t>.</w:t>
      </w:r>
    </w:p>
    <w:p w:rsidR="00964681" w:rsidRPr="00DE3EF7"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DE3EF7">
        <w:rPr>
          <w:rFonts w:ascii="Arial" w:hAnsi="Arial" w:cs="Arial"/>
          <w:color w:val="000000" w:themeColor="text1"/>
        </w:rPr>
        <w:t>Management did not comply with their own process of removing of terminated users prescribe on page 10, par 8.4 of the</w:t>
      </w:r>
      <w:r>
        <w:rPr>
          <w:rFonts w:ascii="Arial" w:hAnsi="Arial" w:cs="Arial"/>
          <w:color w:val="000000" w:themeColor="text1"/>
        </w:rPr>
        <w:t xml:space="preserve"> user management</w:t>
      </w:r>
      <w:r w:rsidRPr="00DE3EF7">
        <w:rPr>
          <w:rFonts w:ascii="Arial" w:hAnsi="Arial" w:cs="Arial"/>
          <w:color w:val="000000" w:themeColor="text1"/>
        </w:rPr>
        <w:t xml:space="preserve"> policy.</w:t>
      </w:r>
    </w:p>
    <w:p w:rsidR="00964681" w:rsidRPr="00DE3EF7"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DE3EF7">
        <w:rPr>
          <w:rFonts w:ascii="Arial" w:hAnsi="Arial" w:cs="Arial"/>
          <w:color w:val="000000" w:themeColor="text1"/>
        </w:rPr>
        <w:t xml:space="preserve">Management did not in all instances implement proper record keeping in a timely manner to ensure that complete, relevant and accurate information is accessible and available to </w:t>
      </w:r>
      <w:r w:rsidRPr="00DE3EF7">
        <w:rPr>
          <w:rFonts w:ascii="Arial" w:hAnsi="Arial" w:cs="Arial"/>
        </w:rPr>
        <w:t>support Information Systems Audit reporting.</w:t>
      </w:r>
    </w:p>
    <w:p w:rsidR="00964681" w:rsidRPr="00DE3EF7"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DE3EF7">
        <w:rPr>
          <w:rFonts w:ascii="Arial" w:hAnsi="Arial" w:cs="Arial"/>
          <w:color w:val="000000" w:themeColor="text1"/>
        </w:rPr>
        <w:t>Management oversight in determining the adequacy and level of detail</w:t>
      </w:r>
      <w:r>
        <w:rPr>
          <w:rFonts w:ascii="Arial" w:hAnsi="Arial" w:cs="Arial"/>
          <w:color w:val="000000" w:themeColor="text1"/>
        </w:rPr>
        <w:t>’s</w:t>
      </w:r>
      <w:r w:rsidRPr="00DE3EF7">
        <w:rPr>
          <w:rFonts w:ascii="Arial" w:hAnsi="Arial" w:cs="Arial"/>
          <w:color w:val="000000" w:themeColor="text1"/>
        </w:rPr>
        <w:t xml:space="preserve"> required in the documentation of the reports used to review system controller’s activities and failed login violation </w:t>
      </w:r>
    </w:p>
    <w:p w:rsidR="00964681" w:rsidRPr="00FE63B8"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FE63B8">
        <w:rPr>
          <w:rFonts w:ascii="Arial" w:hAnsi="Arial" w:cs="Arial"/>
          <w:lang w:val="en-US"/>
        </w:rPr>
        <w:t>Failure by management to ensure that reports used to review system controller’s activities and failed login violation adequately detail activities performed by the system controller and failed logon violations on system.</w:t>
      </w:r>
    </w:p>
    <w:p w:rsidR="00964681" w:rsidRPr="00FE63B8"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FE63B8">
        <w:rPr>
          <w:rFonts w:ascii="Arial" w:hAnsi="Arial" w:cs="Arial"/>
          <w:lang w:val="en-US"/>
        </w:rPr>
        <w:t xml:space="preserve">The PMIS system does not record password reset and access violations due to infrastructure related issues. </w:t>
      </w:r>
    </w:p>
    <w:p w:rsidR="00964681" w:rsidRPr="00B0362B"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B0362B">
        <w:rPr>
          <w:rFonts w:ascii="Arial" w:hAnsi="Arial" w:cs="Arial"/>
          <w:lang w:val="en-US"/>
        </w:rPr>
        <w:t>Management oversight to include the key program change management procedures on the approved policy.</w:t>
      </w:r>
    </w:p>
    <w:p w:rsidR="00964681" w:rsidRPr="00B0362B"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B0362B">
        <w:rPr>
          <w:rFonts w:ascii="Arial" w:hAnsi="Arial" w:cs="Arial"/>
          <w:lang w:val="en-US"/>
        </w:rPr>
        <w:t>System limitations on GIS, SAGE, PMIS, WORX4U and WCS resulted in the inability to obtain a system generated list of changes.</w:t>
      </w:r>
    </w:p>
    <w:p w:rsidR="00964681" w:rsidRPr="00FE63B8"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FE63B8">
        <w:rPr>
          <w:rFonts w:ascii="Arial" w:hAnsi="Arial" w:cs="Arial"/>
          <w:lang w:val="en-US"/>
        </w:rPr>
        <w:t>Lack of consequence management for not resolving prior audit findings.</w:t>
      </w:r>
    </w:p>
    <w:p w:rsidR="00964681" w:rsidRPr="00FE63B8"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FE63B8">
        <w:rPr>
          <w:rFonts w:ascii="Arial" w:hAnsi="Arial" w:cs="Arial"/>
          <w:lang w:val="en-US"/>
        </w:rPr>
        <w:t>There was no space on the drive for backups.</w:t>
      </w:r>
    </w:p>
    <w:p w:rsidR="00964681"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2B5AA7">
        <w:rPr>
          <w:rFonts w:ascii="Arial" w:hAnsi="Arial" w:cs="Arial"/>
          <w:lang w:val="en-US"/>
        </w:rPr>
        <w:t xml:space="preserve">There was lack of consequence management for not resolving prior audit findings on IT Service Continuity, as there were not controls around backup management due to the department </w:t>
      </w:r>
      <w:r w:rsidRPr="002B5AA7">
        <w:rPr>
          <w:rFonts w:ascii="Arial" w:hAnsi="Arial" w:cs="Arial"/>
          <w:lang w:val="en-US"/>
        </w:rPr>
        <w:lastRenderedPageBreak/>
        <w:t>running out of space on the drive for backups due to the expired backup tool. The department has now finalized and signed off a DRP plan and is in the process of implementing it.</w:t>
      </w:r>
    </w:p>
    <w:p w:rsidR="00964681" w:rsidRPr="003E0DDB" w:rsidRDefault="00964681" w:rsidP="00165C2D">
      <w:pPr>
        <w:pStyle w:val="ListParagraph"/>
        <w:numPr>
          <w:ilvl w:val="0"/>
          <w:numId w:val="19"/>
        </w:numPr>
        <w:autoSpaceDE/>
        <w:autoSpaceDN/>
        <w:adjustRightInd/>
        <w:spacing w:line="276" w:lineRule="auto"/>
        <w:contextualSpacing/>
        <w:jc w:val="both"/>
        <w:rPr>
          <w:rFonts w:ascii="Arial" w:eastAsia="Calibri" w:hAnsi="Arial" w:cs="Arial"/>
          <w:bCs/>
          <w:lang w:val="en-US"/>
        </w:rPr>
      </w:pPr>
      <w:r w:rsidRPr="003E0DDB">
        <w:rPr>
          <w:rFonts w:ascii="Arial" w:eastAsia="Calibri" w:hAnsi="Arial" w:cs="Arial"/>
          <w:bCs/>
          <w:lang w:val="en-US"/>
        </w:rPr>
        <w:t>Inadequate patch management could be attributed to lack of regular system monitoring and non-compliance to patch management processes.</w:t>
      </w:r>
    </w:p>
    <w:p w:rsidR="00964681" w:rsidRPr="003E0DDB" w:rsidRDefault="00964681" w:rsidP="00165C2D">
      <w:pPr>
        <w:pStyle w:val="ListParagraph"/>
        <w:numPr>
          <w:ilvl w:val="0"/>
          <w:numId w:val="19"/>
        </w:numPr>
        <w:autoSpaceDE/>
        <w:autoSpaceDN/>
        <w:adjustRightInd/>
        <w:spacing w:line="276" w:lineRule="auto"/>
        <w:contextualSpacing/>
        <w:jc w:val="both"/>
        <w:rPr>
          <w:rFonts w:ascii="Arial" w:eastAsia="Calibri" w:hAnsi="Arial" w:cs="Arial"/>
          <w:bCs/>
          <w:lang w:val="en-US"/>
        </w:rPr>
      </w:pPr>
      <w:r w:rsidRPr="003E0DDB">
        <w:rPr>
          <w:rFonts w:ascii="Arial" w:eastAsia="Calibri" w:hAnsi="Arial" w:cs="Arial"/>
          <w:bCs/>
          <w:lang w:val="en-US"/>
        </w:rPr>
        <w:t>Weaknesses identified could be attributed to lack of system monitoring, which might have resulted in management not being aware when system are misconfigured.</w:t>
      </w:r>
    </w:p>
    <w:p w:rsidR="00964681" w:rsidRPr="00382DD0" w:rsidRDefault="00964681" w:rsidP="00165C2D">
      <w:pPr>
        <w:pStyle w:val="ListParagraph"/>
        <w:numPr>
          <w:ilvl w:val="0"/>
          <w:numId w:val="19"/>
        </w:numPr>
        <w:spacing w:after="200" w:line="276" w:lineRule="auto"/>
        <w:contextualSpacing/>
        <w:jc w:val="both"/>
        <w:rPr>
          <w:rFonts w:ascii="Arial" w:eastAsia="Calibri" w:hAnsi="Arial" w:cs="Arial"/>
          <w:bCs/>
          <w:lang w:val="en-US"/>
        </w:rPr>
      </w:pPr>
      <w:r w:rsidRPr="00382DD0">
        <w:rPr>
          <w:rFonts w:ascii="Arial" w:eastAsia="Calibri" w:hAnsi="Arial" w:cs="Arial"/>
          <w:bCs/>
          <w:lang w:val="en-US"/>
        </w:rPr>
        <w:t xml:space="preserve">Inadequate implementation or configuration of the Windows operating system could be attributed to the non-compliance to, or lack therefore of, the Configuration Standard for Operating System Security.  </w:t>
      </w:r>
    </w:p>
    <w:p w:rsidR="003A540B" w:rsidRPr="0068620E" w:rsidRDefault="00964681" w:rsidP="00165C2D">
      <w:pPr>
        <w:pStyle w:val="ListParagraph"/>
        <w:numPr>
          <w:ilvl w:val="0"/>
          <w:numId w:val="19"/>
        </w:numPr>
        <w:autoSpaceDE/>
        <w:autoSpaceDN/>
        <w:adjustRightInd/>
        <w:spacing w:after="200" w:line="276" w:lineRule="auto"/>
        <w:contextualSpacing/>
        <w:jc w:val="both"/>
        <w:rPr>
          <w:rFonts w:ascii="Arial" w:hAnsi="Arial" w:cs="Arial"/>
          <w:lang w:val="en-US"/>
        </w:rPr>
      </w:pPr>
      <w:r w:rsidRPr="00382DD0">
        <w:rPr>
          <w:rFonts w:ascii="Arial" w:eastAsia="Calibri" w:hAnsi="Arial" w:cs="Arial"/>
          <w:bCs/>
          <w:lang w:val="en-US"/>
        </w:rPr>
        <w:t>Weaknesses identified on SAGE SQL database server could be attributed to non-conformance to, or lack therefore of, the Configuration Standard for Database Security</w:t>
      </w:r>
    </w:p>
    <w:p w:rsidR="00214936" w:rsidRPr="00654745" w:rsidRDefault="001F4789" w:rsidP="00654745">
      <w:pPr>
        <w:pStyle w:val="Heading4"/>
      </w:pPr>
      <w:r w:rsidRPr="0077659B">
        <w:t>Governance</w:t>
      </w:r>
      <w:r w:rsidR="00214936" w:rsidRPr="0077659B">
        <w:rPr>
          <w:rFonts w:eastAsia="Calibri"/>
        </w:rPr>
        <w:t xml:space="preserve"> </w:t>
      </w:r>
    </w:p>
    <w:p w:rsidR="003B79E1" w:rsidRPr="000657EB" w:rsidRDefault="00FC16A3" w:rsidP="000657EB">
      <w:pPr>
        <w:pStyle w:val="Heading5"/>
        <w:rPr>
          <w:rFonts w:eastAsia="MS Mincho"/>
        </w:rPr>
      </w:pPr>
      <w:r w:rsidRPr="0077659B">
        <w:rPr>
          <w:rFonts w:eastAsia="MS Mincho"/>
        </w:rPr>
        <w:t>Risk management activities and risk strategy</w:t>
      </w:r>
    </w:p>
    <w:p w:rsidR="003B79E1" w:rsidRPr="000657EB" w:rsidRDefault="00D97A45" w:rsidP="003B79E1">
      <w:pPr>
        <w:pStyle w:val="ListParagraph"/>
        <w:numPr>
          <w:ilvl w:val="0"/>
          <w:numId w:val="14"/>
        </w:numPr>
        <w:spacing w:after="0"/>
        <w:rPr>
          <w:rFonts w:cs="Arial"/>
          <w:color w:val="000000"/>
          <w:sz w:val="24"/>
          <w:szCs w:val="24"/>
        </w:rPr>
      </w:pPr>
      <w:r w:rsidRPr="003B79E1">
        <w:rPr>
          <w:rFonts w:cs="Arial"/>
          <w:color w:val="000000"/>
        </w:rPr>
        <w:t xml:space="preserve">The </w:t>
      </w:r>
      <w:r w:rsidR="00240E6F" w:rsidRPr="003B79E1">
        <w:rPr>
          <w:rFonts w:cs="Arial"/>
          <w:color w:val="000000"/>
        </w:rPr>
        <w:t>trading entity</w:t>
      </w:r>
      <w:r w:rsidRPr="003B79E1">
        <w:rPr>
          <w:rFonts w:cs="Arial"/>
          <w:color w:val="000000"/>
        </w:rPr>
        <w:t xml:space="preserve"> conducted a risk assessment, as required by the PFMA. However, some of the investigations that were in progress of being finalised in the prior year have </w:t>
      </w:r>
      <w:r w:rsidR="003B79E1" w:rsidRPr="003B79E1">
        <w:rPr>
          <w:rFonts w:cs="Arial"/>
          <w:color w:val="000000"/>
        </w:rPr>
        <w:t>have still not yet been finalised</w:t>
      </w:r>
      <w:r w:rsidR="003B79E1">
        <w:rPr>
          <w:rFonts w:cs="Arial"/>
          <w:color w:val="000000"/>
        </w:rPr>
        <w:t xml:space="preserve">. </w:t>
      </w:r>
    </w:p>
    <w:p w:rsidR="000657EB" w:rsidRPr="000657EB" w:rsidRDefault="000657EB" w:rsidP="000657EB">
      <w:pPr>
        <w:autoSpaceDE w:val="0"/>
        <w:autoSpaceDN w:val="0"/>
        <w:adjustRightInd w:val="0"/>
        <w:spacing w:after="0" w:line="240" w:lineRule="auto"/>
        <w:rPr>
          <w:rFonts w:cs="Arial"/>
          <w:color w:val="000000"/>
          <w:sz w:val="24"/>
          <w:szCs w:val="24"/>
        </w:rPr>
      </w:pPr>
    </w:p>
    <w:p w:rsidR="000657EB" w:rsidRPr="000657EB" w:rsidRDefault="000657EB" w:rsidP="000657EB">
      <w:pPr>
        <w:pStyle w:val="ListParagraph"/>
        <w:numPr>
          <w:ilvl w:val="0"/>
          <w:numId w:val="14"/>
        </w:numPr>
        <w:spacing w:after="0"/>
        <w:rPr>
          <w:rFonts w:cs="Arial"/>
          <w:color w:val="000000"/>
        </w:rPr>
      </w:pPr>
      <w:r w:rsidRPr="000657EB">
        <w:rPr>
          <w:rFonts w:cs="Arial"/>
          <w:color w:val="000000"/>
        </w:rPr>
        <w:t xml:space="preserve">Some of the cases relating to corruption were referred to special investigation unit due to its complexity and management is still waiting for outcomes of those cases. Where follow up actions are required from the entity as a result of findings from investigations (e.g. disciplinary hearings, etc.), these are not taking place on time in some instances. In addition, we have noted that leadership has been slow to implement some of the recommendations in these reports, especially in relation to holding people accountable for causing the entity to incur irregular, and fruitless and wasteful expenditure. Inadequate consequence management increases the likelihood of similar transgressions recurring, and the entity not receiving value for the high costs incurred in conducting these investigations. </w:t>
      </w:r>
    </w:p>
    <w:p w:rsidR="00FC16A3" w:rsidRPr="00654745" w:rsidRDefault="00FC16A3" w:rsidP="00BA523C">
      <w:pPr>
        <w:pStyle w:val="Numbernormal"/>
        <w:ind w:left="284"/>
        <w:rPr>
          <w:highlight w:val="yellow"/>
        </w:rPr>
      </w:pPr>
    </w:p>
    <w:p w:rsidR="00FC16A3" w:rsidRPr="0077659B" w:rsidRDefault="00FC16A3" w:rsidP="000142F4">
      <w:pPr>
        <w:pStyle w:val="Heading5"/>
        <w:rPr>
          <w:rFonts w:eastAsia="MS Mincho"/>
        </w:rPr>
      </w:pPr>
      <w:r w:rsidRPr="0077659B">
        <w:rPr>
          <w:rFonts w:eastAsia="MS Mincho"/>
        </w:rPr>
        <w:t>Internal audit</w:t>
      </w:r>
    </w:p>
    <w:p w:rsidR="00654745" w:rsidRPr="0077659B" w:rsidRDefault="00533E40" w:rsidP="00165C2D">
      <w:pPr>
        <w:pStyle w:val="Numbernormal"/>
        <w:numPr>
          <w:ilvl w:val="0"/>
          <w:numId w:val="14"/>
        </w:numPr>
        <w:jc w:val="both"/>
      </w:pPr>
      <w:r w:rsidRPr="00654745">
        <w:t>The internal audit performed a number of audits throughout the financial period (relating to, inter alia, quarterly performance information and contract management controls) and thu</w:t>
      </w:r>
      <w:r w:rsidR="00312D76" w:rsidRPr="00654745">
        <w:t>s effectively discharged its duties</w:t>
      </w:r>
      <w:r w:rsidRPr="00654745">
        <w:t xml:space="preserve">, while senior management has a responsibility to design and implement preventative controls, internal audit function can also play a fundamental role in identifying areas of vulnerability where there are no preventative controls i.e. the regression in the financial audit opinion to enable oversight responsibility by other role players such as the audit committee and the accounting officer. </w:t>
      </w:r>
    </w:p>
    <w:p w:rsidR="00567014" w:rsidRPr="00567014" w:rsidRDefault="00FC16A3" w:rsidP="00567014">
      <w:pPr>
        <w:pStyle w:val="Heading5"/>
        <w:rPr>
          <w:rFonts w:eastAsia="MS Mincho"/>
        </w:rPr>
      </w:pPr>
      <w:r w:rsidRPr="0077659B">
        <w:rPr>
          <w:rFonts w:eastAsia="MS Mincho"/>
        </w:rPr>
        <w:t>Audit committee</w:t>
      </w:r>
    </w:p>
    <w:p w:rsidR="00567014" w:rsidRPr="00567014" w:rsidRDefault="00567014" w:rsidP="00567014">
      <w:pPr>
        <w:pStyle w:val="ListParagraph"/>
        <w:numPr>
          <w:ilvl w:val="0"/>
          <w:numId w:val="14"/>
        </w:numPr>
        <w:spacing w:after="0"/>
        <w:rPr>
          <w:rFonts w:cs="Arial"/>
          <w:color w:val="000000"/>
        </w:rPr>
      </w:pPr>
      <w:r w:rsidRPr="00567014">
        <w:rPr>
          <w:rFonts w:cs="Arial"/>
          <w:color w:val="000000"/>
        </w:rPr>
        <w:t xml:space="preserve">The audit committee was in place, fully functional for the financial period, and complied with relevant legislation. </w:t>
      </w:r>
    </w:p>
    <w:p w:rsidR="0057702B" w:rsidRPr="0057702B" w:rsidRDefault="0057702B" w:rsidP="0057702B">
      <w:pPr>
        <w:pStyle w:val="ListParagraph"/>
        <w:numPr>
          <w:ilvl w:val="0"/>
          <w:numId w:val="0"/>
        </w:numPr>
        <w:spacing w:after="0"/>
        <w:ind w:left="360"/>
        <w:rPr>
          <w:rFonts w:cs="Arial"/>
          <w:color w:val="000000"/>
          <w:sz w:val="24"/>
          <w:szCs w:val="24"/>
        </w:rPr>
      </w:pPr>
    </w:p>
    <w:p w:rsidR="0057702B" w:rsidRPr="0057702B" w:rsidRDefault="0057702B" w:rsidP="0056206B">
      <w:pPr>
        <w:pStyle w:val="ListParagraph"/>
        <w:numPr>
          <w:ilvl w:val="0"/>
          <w:numId w:val="14"/>
        </w:numPr>
        <w:spacing w:after="0"/>
        <w:jc w:val="both"/>
        <w:rPr>
          <w:rFonts w:cs="Arial"/>
          <w:color w:val="000000"/>
        </w:rPr>
      </w:pPr>
      <w:r w:rsidRPr="0057702B">
        <w:rPr>
          <w:rFonts w:cs="Arial"/>
          <w:color w:val="000000"/>
        </w:rPr>
        <w:t xml:space="preserve">Audit committee vigorously interrogated the audit action plans that were designed to address audit findings from both internal and external auditors and consistently monitored the implementation thereof. The audit committee members are highly skilled and experienced which enables the robustness in the environment and the committee holds the executive as well as the </w:t>
      </w:r>
      <w:r w:rsidRPr="0057702B">
        <w:rPr>
          <w:rFonts w:cs="Arial"/>
          <w:color w:val="000000"/>
        </w:rPr>
        <w:lastRenderedPageBreak/>
        <w:t xml:space="preserve">accounting officer accountable for their actions that may hinder the department from obtaining the desired audit outcome </w:t>
      </w:r>
    </w:p>
    <w:p w:rsidR="00FC16A3" w:rsidRPr="00654745" w:rsidRDefault="00FC16A3" w:rsidP="003271FD">
      <w:pPr>
        <w:pStyle w:val="Numbernormal"/>
        <w:ind w:left="567"/>
        <w:rPr>
          <w:highlight w:val="yellow"/>
        </w:rPr>
      </w:pPr>
    </w:p>
    <w:p w:rsidR="00C22F2B" w:rsidRPr="0077659B" w:rsidRDefault="00C22F2B" w:rsidP="000142F4">
      <w:pPr>
        <w:pStyle w:val="Heading4"/>
      </w:pPr>
      <w:bookmarkStart w:id="101" w:name="NewSummary"/>
      <w:bookmarkStart w:id="102" w:name="_Toc447106603"/>
      <w:bookmarkEnd w:id="100"/>
      <w:bookmarkEnd w:id="101"/>
      <w:r w:rsidRPr="0077659B">
        <w:t>Summary</w:t>
      </w:r>
      <w:bookmarkEnd w:id="102"/>
    </w:p>
    <w:p w:rsidR="00BE3AB9" w:rsidRPr="00BE3AB9" w:rsidRDefault="00BE3AB9" w:rsidP="00165C2D">
      <w:pPr>
        <w:pStyle w:val="ListParagraph"/>
        <w:numPr>
          <w:ilvl w:val="0"/>
          <w:numId w:val="14"/>
        </w:numPr>
        <w:ind w:left="567"/>
        <w:rPr>
          <w:rFonts w:ascii="Arial" w:eastAsia="Calibri" w:hAnsi="Arial" w:cs="Arial"/>
        </w:rPr>
      </w:pPr>
      <w:r w:rsidRPr="00BE3AB9">
        <w:rPr>
          <w:rFonts w:ascii="Arial" w:eastAsia="Calibri" w:hAnsi="Arial" w:cs="Arial"/>
        </w:rPr>
        <w:t>The matters above, as they relat</w:t>
      </w:r>
      <w:r>
        <w:rPr>
          <w:rFonts w:ascii="Arial" w:eastAsia="Calibri" w:hAnsi="Arial" w:cs="Arial"/>
        </w:rPr>
        <w:t>e to the basis for the adverse</w:t>
      </w:r>
      <w:r w:rsidRPr="00BE3AB9">
        <w:rPr>
          <w:rFonts w:ascii="Arial" w:eastAsia="Calibri" w:hAnsi="Arial" w:cs="Arial"/>
        </w:rPr>
        <w:t xml:space="preserve"> opinion, find</w:t>
      </w:r>
      <w:r>
        <w:rPr>
          <w:rFonts w:ascii="Arial" w:eastAsia="Calibri" w:hAnsi="Arial" w:cs="Arial"/>
        </w:rPr>
        <w:t xml:space="preserve">ings on </w:t>
      </w:r>
      <w:r w:rsidRPr="00BE3AB9">
        <w:rPr>
          <w:rFonts w:ascii="Arial" w:eastAsia="Calibri" w:hAnsi="Arial" w:cs="Arial"/>
        </w:rPr>
        <w:t>financial statement and compliance with legislation, will be summarised in the auditor’s report as follows:</w:t>
      </w:r>
    </w:p>
    <w:p w:rsidR="00BE3AB9" w:rsidRDefault="00BE3AB9" w:rsidP="00165C2D">
      <w:pPr>
        <w:pStyle w:val="NumberedARs"/>
        <w:numPr>
          <w:ilvl w:val="0"/>
          <w:numId w:val="14"/>
        </w:numPr>
        <w:spacing w:line="288" w:lineRule="auto"/>
        <w:ind w:left="567"/>
        <w:jc w:val="both"/>
      </w:pPr>
      <w:r w:rsidRPr="00BE3AB9">
        <w:t xml:space="preserve">In some instances, leadership did not exercise oversight to ensure effective implementation of the audit action plans. </w:t>
      </w:r>
      <w:r>
        <w:t>This is evidenced by findings noted on the property, plant and equipment assets which contributed to the negative outcome reported. Even though an improvement was noted in relation to classification of assets under construction, the IAR included assets</w:t>
      </w:r>
      <w:r w:rsidRPr="00BE3AB9">
        <w:t xml:space="preserve"> for which the entity did not retain proof of ownership</w:t>
      </w:r>
      <w:r>
        <w:t xml:space="preserve"> as well as duplicated assets. Furth</w:t>
      </w:r>
      <w:r w:rsidR="00A7635F">
        <w:t>er</w:t>
      </w:r>
      <w:r>
        <w:t xml:space="preserve">more, valuation issues were noted due to incorrect application of deemed cost position paper. The entity did not adequately implement action plans to clear all assets findings. </w:t>
      </w:r>
    </w:p>
    <w:p w:rsidR="007D2593" w:rsidRDefault="007D2593" w:rsidP="00165C2D">
      <w:pPr>
        <w:pStyle w:val="NumberedARs"/>
        <w:numPr>
          <w:ilvl w:val="0"/>
          <w:numId w:val="14"/>
        </w:numPr>
        <w:spacing w:line="288" w:lineRule="auto"/>
        <w:ind w:left="567"/>
        <w:jc w:val="both"/>
      </w:pPr>
      <w:r w:rsidRPr="007D2593">
        <w:t xml:space="preserve">Management did not properly review the details of the leases that were recorded on ARCHIBUS, as a result significant differences were identified on the leases disclosed in the annual financial statements and the details of the lease as per the lease contract. This was exacerbated by the fact that lease information is decentralised, and regional officials were not provided with recent lease agreements concluded by REMS </w:t>
      </w:r>
      <w:r w:rsidR="00A7635F" w:rsidRPr="007D2593">
        <w:t>timely, as</w:t>
      </w:r>
      <w:r w:rsidRPr="007D2593">
        <w:t xml:space="preserve"> a result latest lease agreements were not captured on Archibus system</w:t>
      </w:r>
      <w:r>
        <w:t>.</w:t>
      </w:r>
    </w:p>
    <w:p w:rsidR="000552B5" w:rsidRPr="000552B5" w:rsidRDefault="000552B5" w:rsidP="0056206B">
      <w:pPr>
        <w:pStyle w:val="ListParagraph"/>
        <w:numPr>
          <w:ilvl w:val="0"/>
          <w:numId w:val="14"/>
        </w:numPr>
        <w:ind w:left="567"/>
        <w:jc w:val="both"/>
      </w:pPr>
      <w:r w:rsidRPr="000552B5">
        <w:rPr>
          <w:rFonts w:ascii="Arial" w:eastAsia="Calibri" w:hAnsi="Arial" w:cs="Times New Roman"/>
          <w:szCs w:val="20"/>
          <w:lang w:eastAsia="ja-JP"/>
        </w:rPr>
        <w:t xml:space="preserve">Management did not perform adequate reconciliations of the financial information prior to submission for audit to ensure that the financials are free from </w:t>
      </w:r>
      <w:r w:rsidR="00A7635F" w:rsidRPr="000552B5">
        <w:rPr>
          <w:rFonts w:ascii="Arial" w:eastAsia="Calibri" w:hAnsi="Arial" w:cs="Times New Roman"/>
          <w:szCs w:val="20"/>
          <w:lang w:eastAsia="ja-JP"/>
        </w:rPr>
        <w:t>error. Receivables</w:t>
      </w:r>
      <w:r w:rsidRPr="000552B5">
        <w:rPr>
          <w:rFonts w:ascii="Arial" w:eastAsia="Calibri" w:hAnsi="Arial" w:cs="Times New Roman"/>
          <w:szCs w:val="20"/>
          <w:lang w:eastAsia="ja-JP"/>
        </w:rPr>
        <w:t xml:space="preserve"> from exchange transactions with respect to municipal services did not reconcile with the supporting schedules. The root causes of such regression was due to system technical issues related to the SAGE system. </w:t>
      </w:r>
    </w:p>
    <w:p w:rsidR="007D2593" w:rsidRPr="007D2593" w:rsidRDefault="007D2593" w:rsidP="00165C2D">
      <w:pPr>
        <w:pStyle w:val="ListParagraph"/>
        <w:numPr>
          <w:ilvl w:val="0"/>
          <w:numId w:val="14"/>
        </w:numPr>
        <w:spacing w:line="276" w:lineRule="auto"/>
        <w:ind w:left="567"/>
        <w:jc w:val="both"/>
        <w:rPr>
          <w:rFonts w:ascii="Arial" w:eastAsia="Calibri" w:hAnsi="Arial" w:cs="Times New Roman"/>
          <w:szCs w:val="20"/>
          <w:lang w:eastAsia="ja-JP"/>
        </w:rPr>
      </w:pPr>
      <w:r w:rsidRPr="007D2593">
        <w:rPr>
          <w:rFonts w:eastAsia="Calibri" w:cs="Times New Roman"/>
          <w:szCs w:val="20"/>
          <w:lang w:eastAsia="ja-JP"/>
        </w:rPr>
        <w:t>Management’s review and monitoring of compliance with applicable laws and regulations was ineffective, which resulted in material non-compliance findings on expenditure, procurement and contract management.</w:t>
      </w:r>
      <w:r w:rsidRPr="007D2593">
        <w:t xml:space="preserve"> </w:t>
      </w:r>
      <w:r w:rsidRPr="007D2593">
        <w:rPr>
          <w:rFonts w:ascii="Arial" w:eastAsia="Calibri" w:hAnsi="Arial" w:cs="Times New Roman"/>
          <w:szCs w:val="20"/>
          <w:lang w:eastAsia="ja-JP"/>
        </w:rPr>
        <w:t>Non-compliance with legislation could have been prevented had compliance been properly reviewed and monitored</w:t>
      </w:r>
      <w:r>
        <w:rPr>
          <w:rFonts w:ascii="Arial" w:eastAsia="Calibri" w:hAnsi="Arial" w:cs="Times New Roman"/>
          <w:szCs w:val="20"/>
          <w:lang w:eastAsia="ja-JP"/>
        </w:rPr>
        <w:t xml:space="preserve">. </w:t>
      </w:r>
      <w:r w:rsidR="00A7635F">
        <w:rPr>
          <w:rFonts w:ascii="Arial" w:eastAsia="Calibri" w:hAnsi="Arial" w:cs="Times New Roman"/>
          <w:szCs w:val="20"/>
          <w:lang w:eastAsia="ja-JP"/>
        </w:rPr>
        <w:t>Furthermore</w:t>
      </w:r>
      <w:r>
        <w:rPr>
          <w:rFonts w:ascii="Arial" w:eastAsia="Calibri" w:hAnsi="Arial" w:cs="Times New Roman"/>
          <w:szCs w:val="20"/>
          <w:lang w:eastAsia="ja-JP"/>
        </w:rPr>
        <w:t xml:space="preserve">, management did not take effective steps to asses, evaluate and disclose all irregular expenditure in the annual financial statement. </w:t>
      </w:r>
    </w:p>
    <w:p w:rsidR="00AD6C24" w:rsidRPr="0077659B" w:rsidRDefault="0036018B" w:rsidP="00BB6EEC">
      <w:pPr>
        <w:pStyle w:val="Heading3"/>
        <w:rPr>
          <w:color w:val="365F91" w:themeColor="accent1" w:themeShade="BF"/>
          <w:szCs w:val="26"/>
        </w:rPr>
      </w:pPr>
      <w:bookmarkStart w:id="103" w:name="_Toc79349489"/>
      <w:r>
        <w:rPr>
          <w:lang w:val="en-ZA"/>
        </w:rPr>
        <w:t>MATERIAL IRREGULARITIES</w:t>
      </w:r>
      <w:bookmarkStart w:id="104" w:name="OR1"/>
      <w:bookmarkStart w:id="105" w:name="_Toc447106611"/>
      <w:bookmarkEnd w:id="103"/>
      <w:bookmarkEnd w:id="104"/>
    </w:p>
    <w:p w:rsidR="0053300F" w:rsidRDefault="0053300F" w:rsidP="00165C2D">
      <w:pPr>
        <w:pStyle w:val="Numbernormal"/>
        <w:numPr>
          <w:ilvl w:val="0"/>
          <w:numId w:val="14"/>
        </w:numPr>
        <w:ind w:left="567"/>
        <w:jc w:val="both"/>
      </w:pPr>
      <w:r>
        <w:t>In accordance with the PAA and the material irregularity regulations, we have a responsibility to report on material irregularit</w:t>
      </w:r>
      <w:r w:rsidR="009155A6">
        <w:t xml:space="preserve">ies identified during an audit </w:t>
      </w:r>
      <w:r>
        <w:t xml:space="preserve">and on the status of material irregularities </w:t>
      </w:r>
      <w:r w:rsidR="009155A6">
        <w:t>reported in the previous year.</w:t>
      </w:r>
    </w:p>
    <w:p w:rsidR="0053300F" w:rsidRDefault="009155A6" w:rsidP="00165C2D">
      <w:pPr>
        <w:pStyle w:val="Numbernormal"/>
        <w:numPr>
          <w:ilvl w:val="0"/>
          <w:numId w:val="14"/>
        </w:numPr>
        <w:ind w:left="567"/>
        <w:jc w:val="both"/>
      </w:pPr>
      <w:r>
        <w:t xml:space="preserve">We have notified the accounting officer of </w:t>
      </w:r>
      <w:r w:rsidR="0053300F">
        <w:t>material irregulari</w:t>
      </w:r>
      <w:r>
        <w:t>ties</w:t>
      </w:r>
      <w:r w:rsidR="003616F3">
        <w:t xml:space="preserve"> (MI)</w:t>
      </w:r>
      <w:r>
        <w:t xml:space="preserve"> identified </w:t>
      </w:r>
      <w:r w:rsidR="00A81954">
        <w:t xml:space="preserve">during the year </w:t>
      </w:r>
      <w:r w:rsidR="0053300F">
        <w:t>and the actions the</w:t>
      </w:r>
      <w:r>
        <w:t xml:space="preserve"> AGSA will take with regard to </w:t>
      </w:r>
      <w:r w:rsidR="0053300F">
        <w:t xml:space="preserve">these material </w:t>
      </w:r>
      <w:r w:rsidR="00926E1E" w:rsidRPr="0077659B">
        <w:t>irregularities</w:t>
      </w:r>
      <w:r>
        <w:t xml:space="preserve">. </w:t>
      </w:r>
      <w:r w:rsidR="0053300F">
        <w:t>We also assessed the progress made in resolving the material irregularities</w:t>
      </w:r>
      <w:r>
        <w:t xml:space="preserve"> reported in the previous year.</w:t>
      </w:r>
    </w:p>
    <w:p w:rsidR="00AD6C24" w:rsidRPr="0077659B" w:rsidRDefault="00AD6C24" w:rsidP="00165C2D">
      <w:pPr>
        <w:pStyle w:val="Numbernormal"/>
        <w:numPr>
          <w:ilvl w:val="0"/>
          <w:numId w:val="14"/>
        </w:numPr>
        <w:ind w:left="567"/>
        <w:jc w:val="both"/>
      </w:pPr>
      <w:r w:rsidRPr="0077659B">
        <w:t>The auditor’s report will include the following summarised information</w:t>
      </w:r>
      <w:r w:rsidRPr="00BB6EEC">
        <w:t>:</w:t>
      </w:r>
    </w:p>
    <w:p w:rsidR="00C07FA6" w:rsidRDefault="00C07FA6" w:rsidP="00C07FA6">
      <w:pPr>
        <w:pStyle w:val="Heading4"/>
        <w:rPr>
          <w:sz w:val="22"/>
        </w:rPr>
      </w:pPr>
      <w:r w:rsidRPr="0077659B">
        <w:rPr>
          <w:sz w:val="22"/>
        </w:rPr>
        <w:lastRenderedPageBreak/>
        <w:t>Status of previously repo</w:t>
      </w:r>
      <w:r w:rsidR="00A81954">
        <w:rPr>
          <w:sz w:val="22"/>
        </w:rPr>
        <w:t>rted material irregularities</w:t>
      </w:r>
    </w:p>
    <w:p w:rsidR="003616F3" w:rsidRDefault="003616F3" w:rsidP="003616F3">
      <w:pPr>
        <w:pStyle w:val="Heading4"/>
        <w:rPr>
          <w:b w:val="0"/>
          <w:bCs w:val="0"/>
          <w:sz w:val="22"/>
        </w:rPr>
      </w:pPr>
      <w:r w:rsidRPr="003616F3">
        <w:rPr>
          <w:b w:val="0"/>
          <w:bCs w:val="0"/>
          <w:sz w:val="22"/>
        </w:rPr>
        <w:t xml:space="preserve">Unfair Procurement Process For The </w:t>
      </w:r>
      <w:r>
        <w:rPr>
          <w:b w:val="0"/>
          <w:bCs w:val="0"/>
          <w:sz w:val="22"/>
        </w:rPr>
        <w:t xml:space="preserve">Beitbridge Borderline </w:t>
      </w:r>
      <w:r w:rsidRPr="003616F3">
        <w:rPr>
          <w:b w:val="0"/>
          <w:bCs w:val="0"/>
          <w:sz w:val="22"/>
        </w:rPr>
        <w:t>Infrastructure Project</w:t>
      </w:r>
    </w:p>
    <w:p w:rsidR="003616F3" w:rsidRPr="003616F3" w:rsidRDefault="003616F3" w:rsidP="00165C2D">
      <w:pPr>
        <w:pStyle w:val="Numbernormal"/>
        <w:numPr>
          <w:ilvl w:val="0"/>
          <w:numId w:val="14"/>
        </w:numPr>
        <w:ind w:left="426"/>
        <w:jc w:val="both"/>
        <w:rPr>
          <w:rFonts w:ascii="ArialMT" w:hAnsi="ArialMT" w:cs="ArialMT"/>
        </w:rPr>
      </w:pPr>
      <w:r w:rsidRPr="003616F3">
        <w:rPr>
          <w:rFonts w:ascii="ArialMT" w:hAnsi="ArialMT" w:cs="ArialMT"/>
        </w:rPr>
        <w:t>The accounting officer did not ensure that appropriate supply chain management process that is fair,</w:t>
      </w:r>
      <w:r>
        <w:t xml:space="preserve"> </w:t>
      </w:r>
      <w:r w:rsidRPr="003616F3">
        <w:rPr>
          <w:rFonts w:ascii="ArialMT" w:hAnsi="ArialMT" w:cs="ArialMT"/>
        </w:rPr>
        <w:t>equitable, transparent, competitive and cost effective is followed in the appointment of the contractor</w:t>
      </w:r>
      <w:r>
        <w:t xml:space="preserve"> </w:t>
      </w:r>
      <w:r w:rsidRPr="003616F3">
        <w:rPr>
          <w:rFonts w:ascii="ArialMT" w:hAnsi="ArialMT" w:cs="ArialMT"/>
        </w:rPr>
        <w:t>Mangwa Constructions and the consultant Profteam CC in order to prevent amounts charged to the</w:t>
      </w:r>
      <w:r>
        <w:t xml:space="preserve"> </w:t>
      </w:r>
      <w:r w:rsidRPr="003616F3">
        <w:rPr>
          <w:rFonts w:ascii="ArialMT" w:hAnsi="ArialMT" w:cs="ArialMT"/>
        </w:rPr>
        <w:t>trading entity for Beitbridge Borderline Infrastructure project being overpriced. This was in</w:t>
      </w:r>
      <w:r>
        <w:t xml:space="preserve"> contravention with National Treasury Regulation (TR) </w:t>
      </w:r>
      <w:r w:rsidR="00A7635F">
        <w:t>16A3.2 (</w:t>
      </w:r>
      <w:r>
        <w:t xml:space="preserve">a). </w:t>
      </w:r>
      <w:r w:rsidRPr="003616F3">
        <w:t>The Accounting Officer</w:t>
      </w:r>
      <w:r>
        <w:t xml:space="preserve"> was notified of the MI on 13 November 2020. The Response was received on the 10 December 2020 detailing the actions already taken and the planned actions to address the MI. </w:t>
      </w:r>
    </w:p>
    <w:p w:rsidR="005543F9" w:rsidRDefault="003616F3" w:rsidP="00165C2D">
      <w:pPr>
        <w:pStyle w:val="Numbernormal"/>
        <w:numPr>
          <w:ilvl w:val="0"/>
          <w:numId w:val="14"/>
        </w:numPr>
        <w:jc w:val="both"/>
      </w:pPr>
      <w:r>
        <w:t xml:space="preserve">The investigation on the beitbridge project was initiated and 25 April 2020 </w:t>
      </w:r>
      <w:r w:rsidR="007001AA">
        <w:t>on the Minister of DPWI request.  The investigation was conducted by the GRC unit with the assistance of the ISU who were seconded on the investigation. The investigation was finalised on the 27 July 2020. The entity is currently implementing the recommendations stated on t</w:t>
      </w:r>
      <w:r w:rsidR="00066F84">
        <w:t xml:space="preserve">he investigation report. </w:t>
      </w:r>
      <w:r w:rsidR="007001AA" w:rsidRPr="007001AA">
        <w:t xml:space="preserve">The SIU launched an application on 23 September 2020 to freeze the service providers’ bank accounts. The Tribunal made an order by agreement that the service providers would not make any further claims </w:t>
      </w:r>
      <w:r w:rsidR="007001AA">
        <w:t xml:space="preserve">for payment from the Department. </w:t>
      </w:r>
      <w:r w:rsidR="007001AA" w:rsidRPr="007001AA">
        <w:t>On 17 November 2020, the SIU instituted legal action against Caledon River Properties (Pty) Ltd t/a Magwa and Profteam CC with the Special Tribunal under case number GP17/2020.</w:t>
      </w:r>
      <w:r w:rsidR="007001AA">
        <w:t xml:space="preserve"> The case is still in progress. T</w:t>
      </w:r>
      <w:r w:rsidR="007001AA" w:rsidRPr="007001AA">
        <w:t>he Department has since initiated disciplinary actions against the employees of the Department for their role in the project. The disciplinar</w:t>
      </w:r>
      <w:r w:rsidR="007001AA">
        <w:t xml:space="preserve">y proceedings are still in progress. </w:t>
      </w:r>
      <w:r w:rsidR="007001AA" w:rsidRPr="007001AA">
        <w:t xml:space="preserve">I will follow up on the implementation of the planned actions during my next audit. </w:t>
      </w:r>
    </w:p>
    <w:p w:rsidR="007001AA" w:rsidRDefault="007001AA" w:rsidP="007001AA">
      <w:pPr>
        <w:pStyle w:val="Heading4"/>
        <w:rPr>
          <w:b w:val="0"/>
          <w:sz w:val="22"/>
        </w:rPr>
      </w:pPr>
      <w:r w:rsidRPr="007001AA">
        <w:rPr>
          <w:b w:val="0"/>
          <w:sz w:val="22"/>
        </w:rPr>
        <w:t>Beitbridge Borderline Infrastructure Project Establishment Cost</w:t>
      </w:r>
    </w:p>
    <w:p w:rsidR="00C47096" w:rsidRPr="00C47096" w:rsidRDefault="00C47096" w:rsidP="00165C2D">
      <w:pPr>
        <w:pStyle w:val="ListParagraph"/>
        <w:numPr>
          <w:ilvl w:val="0"/>
          <w:numId w:val="14"/>
        </w:numPr>
        <w:spacing w:line="276" w:lineRule="auto"/>
        <w:jc w:val="both"/>
      </w:pPr>
      <w:r w:rsidRPr="00C47096">
        <w:t>The accounting officer did not ensure that internal control measures and procedures are in place to ensure that there are controls that will be able to detect that the establishment cost is not included in the BOQ and therefore that it will not be paid. This was in contravention with National Treasury Regulation (TR) 8.1.1.</w:t>
      </w:r>
      <w:r>
        <w:t xml:space="preserve"> </w:t>
      </w:r>
      <w:r w:rsidRPr="003616F3">
        <w:rPr>
          <w:rFonts w:eastAsia="Calibri" w:cs="Arial"/>
        </w:rPr>
        <w:t>The Accounting Officer</w:t>
      </w:r>
      <w:r>
        <w:t xml:space="preserve"> was notified of the MI on 13 November 2020. The Response was received on the 10 December 2020 detailing the actions already taken and the planned actions to address the MI.</w:t>
      </w:r>
    </w:p>
    <w:p w:rsidR="00C47096" w:rsidRPr="007001AA" w:rsidRDefault="00C47096" w:rsidP="00165C2D">
      <w:pPr>
        <w:pStyle w:val="Numbernormal"/>
        <w:numPr>
          <w:ilvl w:val="0"/>
          <w:numId w:val="14"/>
        </w:numPr>
        <w:jc w:val="both"/>
      </w:pPr>
      <w:r>
        <w:t>The investigation on the beitbridge project was initiated and 25 April 2020 on the Minister of DPWI request.  The investigation was conducted by the GRC unit with the assistance of the ISU who were seconded on the investigation. The investigation was finalised on the 27 July 2020. The entity is currently implementing the recommendations stated on t</w:t>
      </w:r>
      <w:r w:rsidR="00D613D8">
        <w:t xml:space="preserve">he investigation report. </w:t>
      </w:r>
      <w:r w:rsidRPr="007001AA">
        <w:t xml:space="preserve">The SIU launched an application on 23 September 2020 to freeze the service providers’ bank accounts. The Tribunal made an order by agreement that the service providers would not make any further claims </w:t>
      </w:r>
      <w:r>
        <w:t xml:space="preserve">for payment from the Department. </w:t>
      </w:r>
      <w:r w:rsidRPr="007001AA">
        <w:t>On 17 November 2020, the SIU instituted legal action against Caledon River Properties (Pty) Ltd t/a Magwa and Profteam CC with the Special Tribunal under case number GP17/2020.</w:t>
      </w:r>
      <w:r>
        <w:t xml:space="preserve"> The case is still in progress. T</w:t>
      </w:r>
      <w:r w:rsidRPr="007001AA">
        <w:t>he Department has since initiated disciplinary actions against the employees of the Department for their role in the project. The disciplinar</w:t>
      </w:r>
      <w:r>
        <w:t xml:space="preserve">y proceedings are still in progress. </w:t>
      </w:r>
      <w:r w:rsidRPr="007001AA">
        <w:t xml:space="preserve">I will follow up on the implementation of the planned actions during my next audit. </w:t>
      </w:r>
    </w:p>
    <w:p w:rsidR="004523B1" w:rsidRPr="00BB6EEC" w:rsidRDefault="004523B1" w:rsidP="00A3735E">
      <w:pPr>
        <w:pStyle w:val="Heading3"/>
        <w:rPr>
          <w:lang w:val="en-ZA"/>
        </w:rPr>
      </w:pPr>
      <w:bookmarkStart w:id="106" w:name="_Toc79349490"/>
      <w:r w:rsidRPr="00BB6EEC">
        <w:rPr>
          <w:lang w:val="en-ZA"/>
        </w:rPr>
        <w:lastRenderedPageBreak/>
        <w:t>OTHER REPORTS</w:t>
      </w:r>
      <w:bookmarkEnd w:id="105"/>
      <w:bookmarkEnd w:id="106"/>
    </w:p>
    <w:p w:rsidR="006C7CE4" w:rsidRPr="000E6FE3" w:rsidRDefault="00307DE0" w:rsidP="006C7CE4">
      <w:pPr>
        <w:pStyle w:val="Numbernormal"/>
        <w:numPr>
          <w:ilvl w:val="0"/>
          <w:numId w:val="14"/>
        </w:numPr>
        <w:ind w:left="567"/>
        <w:jc w:val="both"/>
      </w:pPr>
      <w:r w:rsidRPr="0077659B">
        <w:t>We</w:t>
      </w:r>
      <w:r w:rsidR="004523B1" w:rsidRPr="0077659B">
        <w:t xml:space="preserve"> draw attention to the following engagements conducted by various parties that have or could potential</w:t>
      </w:r>
      <w:r w:rsidR="00C47096">
        <w:t>ly have an impact on the trading entity</w:t>
      </w:r>
      <w:r w:rsidR="004523B1" w:rsidRPr="0077659B">
        <w:t xml:space="preserve">’s financial statements, reported performance information and compliance with applicable legislation and other related matters. The reports noted do not form part of my opinion on the financial statements or my findings on the reported performance information or compliance with legislation. </w:t>
      </w:r>
      <w:r w:rsidR="00775734" w:rsidRPr="0077659B">
        <w:t>The summarised other reports will be included in the auditor’s report as follows:</w:t>
      </w:r>
    </w:p>
    <w:p w:rsidR="006C7CE4" w:rsidRPr="006C7CE4" w:rsidRDefault="006C7CE4" w:rsidP="006C7CE4">
      <w:pPr>
        <w:pStyle w:val="ListParagraph"/>
        <w:numPr>
          <w:ilvl w:val="0"/>
          <w:numId w:val="14"/>
        </w:numPr>
        <w:spacing w:after="0"/>
        <w:rPr>
          <w:rFonts w:cs="Arial"/>
          <w:color w:val="000000"/>
        </w:rPr>
      </w:pPr>
      <w:r w:rsidRPr="006C7CE4">
        <w:rPr>
          <w:rFonts w:cs="Arial"/>
          <w:color w:val="000000"/>
        </w:rPr>
        <w:t xml:space="preserve">Numerous allegations, mainly relating to alleged transgressions with regard to supply chain management, potential fraud and financial misconduct, are still being investigated on an ongoing basis by Special Investigation Unit. </w:t>
      </w:r>
    </w:p>
    <w:p w:rsidR="004523B1" w:rsidRPr="0077659B" w:rsidRDefault="004523B1" w:rsidP="006C7CE4">
      <w:pPr>
        <w:pStyle w:val="Numbernormal"/>
        <w:ind w:left="567"/>
        <w:jc w:val="both"/>
      </w:pPr>
    </w:p>
    <w:p w:rsidR="000142F4" w:rsidRPr="0077659B" w:rsidRDefault="000142F4" w:rsidP="000142F4">
      <w:pPr>
        <w:pStyle w:val="Heading2"/>
      </w:pPr>
      <w:bookmarkStart w:id="107" w:name="_Toc79349491"/>
      <w:r w:rsidRPr="0077659B">
        <w:t>SECTION 3: Assurance providers and status of implementation of commitments and recommendations</w:t>
      </w:r>
      <w:bookmarkEnd w:id="107"/>
    </w:p>
    <w:p w:rsidR="00C47242" w:rsidRPr="00BB6EEC" w:rsidRDefault="006C0DAE" w:rsidP="00A3735E">
      <w:pPr>
        <w:pStyle w:val="Heading3"/>
        <w:rPr>
          <w:lang w:val="en-ZA"/>
        </w:rPr>
      </w:pPr>
      <w:bookmarkStart w:id="108" w:name="NewPartF"/>
      <w:bookmarkStart w:id="109" w:name="E2_6"/>
      <w:bookmarkStart w:id="110" w:name="_Toc79349492"/>
      <w:bookmarkEnd w:id="108"/>
      <w:bookmarkEnd w:id="109"/>
      <w:r w:rsidRPr="00BB6EEC">
        <w:rPr>
          <w:lang w:val="en-ZA"/>
        </w:rPr>
        <w:t>ASSESSMENT OF ASSURANCE PROVIDERS</w:t>
      </w:r>
      <w:bookmarkEnd w:id="110"/>
    </w:p>
    <w:p w:rsidR="00C22F2B" w:rsidRPr="0077659B" w:rsidRDefault="00C22F2B" w:rsidP="00165C2D">
      <w:pPr>
        <w:pStyle w:val="Numbernormal"/>
        <w:numPr>
          <w:ilvl w:val="0"/>
          <w:numId w:val="14"/>
        </w:numPr>
        <w:ind w:left="567"/>
        <w:jc w:val="both"/>
      </w:pPr>
      <w:r w:rsidRPr="0077659B">
        <w:t>The annual report is used to report on the financial position of auditees, their performance against predetermined objectives</w:t>
      </w:r>
      <w:r w:rsidRPr="00871C3E">
        <w:rPr>
          <w:rStyle w:val="EndnoteReference"/>
        </w:rPr>
        <w:t xml:space="preserve"> </w:t>
      </w:r>
      <w:r w:rsidRPr="0077659B">
        <w:t>and overall governance. One of the important oversight functions of Parliament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w:t>
      </w:r>
      <w:r w:rsidR="006C52DC" w:rsidRPr="0077659B">
        <w:t>,</w:t>
      </w:r>
      <w:r w:rsidRPr="0077659B">
        <w:t xml:space="preserve"> as well as on the auditee’s compliance with legislation. </w:t>
      </w:r>
    </w:p>
    <w:p w:rsidR="00C22F2B" w:rsidRPr="0077659B" w:rsidRDefault="00C22F2B" w:rsidP="00165C2D">
      <w:pPr>
        <w:pStyle w:val="Numbernormal"/>
        <w:numPr>
          <w:ilvl w:val="0"/>
          <w:numId w:val="14"/>
        </w:numPr>
        <w:ind w:left="567"/>
        <w:jc w:val="both"/>
      </w:pPr>
      <w:r w:rsidRPr="0077659B">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rsidR="00381C53" w:rsidRPr="0077659B" w:rsidRDefault="00C22F2B" w:rsidP="00165C2D">
      <w:pPr>
        <w:pStyle w:val="Numbernormal"/>
        <w:numPr>
          <w:ilvl w:val="0"/>
          <w:numId w:val="14"/>
        </w:numPr>
        <w:ind w:left="567"/>
        <w:jc w:val="both"/>
      </w:pPr>
      <w:r w:rsidRPr="0077659B">
        <w:t>We assess the level of assurance provided by these assurance providers based on the status of internal controls (as reported in section</w:t>
      </w:r>
      <w:r w:rsidR="00F52458" w:rsidRPr="0077659B">
        <w:t xml:space="preserve"> 2.6</w:t>
      </w:r>
      <w:r w:rsidRPr="0077659B">
        <w:t>) and the impact of the different role players on these controls. We provide our assessment for this audit cycle below.</w:t>
      </w:r>
      <w:bookmarkStart w:id="111" w:name="_Toc447106605"/>
    </w:p>
    <w:p w:rsidR="00722F26" w:rsidRPr="0077659B" w:rsidRDefault="00722F26" w:rsidP="000142F4">
      <w:pPr>
        <w:pStyle w:val="Heading5"/>
        <w:rPr>
          <w:rFonts w:eastAsia="Calibri"/>
        </w:rPr>
      </w:pPr>
      <w:r w:rsidRPr="0077659B">
        <w:t>Senior management</w:t>
      </w:r>
      <w:bookmarkEnd w:id="111"/>
      <w:r w:rsidR="00FE6B42" w:rsidRPr="0077659B">
        <w:t xml:space="preserve">: </w:t>
      </w:r>
      <w:r w:rsidR="00381C53" w:rsidRPr="0077659B">
        <w:t>p</w:t>
      </w:r>
      <w:r w:rsidRPr="0077659B">
        <w:t xml:space="preserve">rovides </w:t>
      </w:r>
      <w:r w:rsidRPr="0077659B">
        <w:rPr>
          <w:color w:val="C0504D"/>
        </w:rPr>
        <w:t>limited assurance</w:t>
      </w:r>
    </w:p>
    <w:p w:rsidR="0002402C" w:rsidRDefault="001216B0" w:rsidP="00165C2D">
      <w:pPr>
        <w:pStyle w:val="Heading5"/>
        <w:numPr>
          <w:ilvl w:val="0"/>
          <w:numId w:val="17"/>
        </w:numPr>
        <w:jc w:val="both"/>
        <w:rPr>
          <w:rFonts w:eastAsia="Calibri"/>
          <w:bCs w:val="0"/>
          <w:color w:val="auto"/>
          <w:sz w:val="22"/>
        </w:rPr>
      </w:pPr>
      <w:r w:rsidRPr="001216B0">
        <w:rPr>
          <w:rFonts w:eastAsia="Calibri"/>
          <w:bCs w:val="0"/>
          <w:color w:val="auto"/>
          <w:sz w:val="22"/>
        </w:rPr>
        <w:t xml:space="preserve">Although senior management is dedicated to achieving the goals of the remedial audit action plan and to the ongoing improvement of the internal control environment, an increased emphasis should be placed on the review and reconciliation of information that supports the </w:t>
      </w:r>
      <w:r w:rsidR="0002402C">
        <w:rPr>
          <w:rFonts w:eastAsia="Calibri"/>
          <w:bCs w:val="0"/>
          <w:color w:val="auto"/>
          <w:sz w:val="22"/>
        </w:rPr>
        <w:t xml:space="preserve">financial statement. Management should focus on promoting </w:t>
      </w:r>
      <w:r w:rsidR="00A7635F">
        <w:rPr>
          <w:rFonts w:eastAsia="Calibri"/>
          <w:bCs w:val="0"/>
          <w:color w:val="auto"/>
          <w:sz w:val="22"/>
        </w:rPr>
        <w:t>preventative</w:t>
      </w:r>
      <w:r w:rsidR="0002402C">
        <w:rPr>
          <w:rFonts w:eastAsia="Calibri"/>
          <w:bCs w:val="0"/>
          <w:color w:val="auto"/>
          <w:sz w:val="22"/>
        </w:rPr>
        <w:t xml:space="preserve"> controls to avoid non-compliances with laws and regulations.</w:t>
      </w:r>
    </w:p>
    <w:p w:rsidR="0002402C" w:rsidRDefault="0002402C" w:rsidP="00165C2D">
      <w:pPr>
        <w:pStyle w:val="Heading5"/>
        <w:numPr>
          <w:ilvl w:val="0"/>
          <w:numId w:val="17"/>
        </w:numPr>
        <w:jc w:val="both"/>
        <w:rPr>
          <w:rFonts w:eastAsia="Calibri"/>
          <w:bCs w:val="0"/>
          <w:color w:val="auto"/>
          <w:sz w:val="22"/>
        </w:rPr>
      </w:pPr>
      <w:r>
        <w:rPr>
          <w:rFonts w:eastAsia="Calibri"/>
          <w:bCs w:val="0"/>
          <w:color w:val="auto"/>
          <w:sz w:val="22"/>
        </w:rPr>
        <w:t xml:space="preserve">Senior management did not review the immovable assets register (IAR) submitted to ensure that the deemed cost position paper was applied accordingly. The reconciliation between IAR </w:t>
      </w:r>
      <w:r>
        <w:rPr>
          <w:rFonts w:eastAsia="Calibri"/>
          <w:bCs w:val="0"/>
          <w:color w:val="auto"/>
          <w:sz w:val="22"/>
        </w:rPr>
        <w:lastRenderedPageBreak/>
        <w:t>with the deeds office and/or provincial registers was noted conducted to confirm ownership of assets disclosed.</w:t>
      </w:r>
    </w:p>
    <w:p w:rsidR="0002402C" w:rsidRDefault="0002402C">
      <w:pPr>
        <w:pStyle w:val="ListParagraph"/>
        <w:numPr>
          <w:ilvl w:val="0"/>
          <w:numId w:val="17"/>
        </w:numPr>
        <w:jc w:val="both"/>
        <w:rPr>
          <w:rFonts w:eastAsia="Calibri"/>
        </w:rPr>
      </w:pPr>
      <w:r w:rsidRPr="0002402C">
        <w:rPr>
          <w:rFonts w:eastAsia="Calibri"/>
        </w:rPr>
        <w:t>The controls around proper record keeping, processing and reconciling of transactio</w:t>
      </w:r>
      <w:r>
        <w:rPr>
          <w:rFonts w:eastAsia="Calibri"/>
        </w:rPr>
        <w:t xml:space="preserve">n </w:t>
      </w:r>
      <w:r w:rsidRPr="0002402C">
        <w:rPr>
          <w:rFonts w:eastAsia="Calibri"/>
        </w:rPr>
        <w:t>still required major intervention, to ensure that overpayment on leases</w:t>
      </w:r>
      <w:r>
        <w:rPr>
          <w:rFonts w:eastAsia="Calibri"/>
        </w:rPr>
        <w:t xml:space="preserve"> does not continue. The review of supporting documents against the information</w:t>
      </w:r>
      <w:r w:rsidR="00315C25">
        <w:rPr>
          <w:rFonts w:eastAsia="Calibri"/>
        </w:rPr>
        <w:t xml:space="preserve"> captured on ARCHIBUS conducted on a regular basis before payments are processed.</w:t>
      </w:r>
    </w:p>
    <w:p w:rsidR="001D426B" w:rsidRPr="0056206B" w:rsidRDefault="001D426B" w:rsidP="0056206B">
      <w:pPr>
        <w:pStyle w:val="Numbernormal"/>
        <w:numPr>
          <w:ilvl w:val="0"/>
          <w:numId w:val="17"/>
        </w:numPr>
        <w:jc w:val="both"/>
      </w:pPr>
      <w:r w:rsidRPr="00D55037">
        <w:t xml:space="preserve">The implementation of action plans by senior management were in certain instances not effective as it resulted in the </w:t>
      </w:r>
      <w:r>
        <w:t>t</w:t>
      </w:r>
      <w:r w:rsidR="007238D5">
        <w:t>rading entity</w:t>
      </w:r>
      <w:r w:rsidRPr="00D55037">
        <w:t xml:space="preserve"> financial audit opinion regressing</w:t>
      </w:r>
      <w:r>
        <w:t>.</w:t>
      </w:r>
      <w:r w:rsidRPr="00D55037">
        <w:t xml:space="preserve"> </w:t>
      </w:r>
      <w:r>
        <w:t>There is an increase on procurement and contract management findings w</w:t>
      </w:r>
      <w:r w:rsidR="00A7635F">
        <w:t>hich resulted in increased number</w:t>
      </w:r>
      <w:r>
        <w:t xml:space="preserve"> of non- compliance paragraphs also material </w:t>
      </w:r>
      <w:r w:rsidR="00A7635F">
        <w:t>misstatements</w:t>
      </w:r>
      <w:r>
        <w:t xml:space="preserve"> on irregular </w:t>
      </w:r>
      <w:r w:rsidR="00A7635F">
        <w:t>expenditure,</w:t>
      </w:r>
      <w:r>
        <w:t xml:space="preserve"> as not all transactions have not been included in the irregular expenditure disclosure.</w:t>
      </w:r>
    </w:p>
    <w:p w:rsidR="00722F26" w:rsidRDefault="00722F26" w:rsidP="0056206B">
      <w:pPr>
        <w:pStyle w:val="Heading5"/>
        <w:jc w:val="both"/>
        <w:rPr>
          <w:color w:val="C0504D"/>
        </w:rPr>
      </w:pPr>
      <w:bookmarkStart w:id="112" w:name="_Toc447106606"/>
      <w:r w:rsidRPr="0077659B">
        <w:t xml:space="preserve">Accounting </w:t>
      </w:r>
      <w:bookmarkEnd w:id="112"/>
      <w:r w:rsidR="00A7635F" w:rsidRPr="0077659B">
        <w:t>office</w:t>
      </w:r>
      <w:r w:rsidR="00A7635F">
        <w:t xml:space="preserve">r </w:t>
      </w:r>
      <w:r w:rsidR="00A7635F" w:rsidRPr="0077659B">
        <w:t>provides</w:t>
      </w:r>
      <w:r w:rsidRPr="0077659B">
        <w:t xml:space="preserve"> </w:t>
      </w:r>
      <w:r w:rsidRPr="00871C3E">
        <w:rPr>
          <w:color w:val="C0504D"/>
        </w:rPr>
        <w:t>limited assurance</w:t>
      </w:r>
    </w:p>
    <w:p w:rsidR="000552B5" w:rsidRPr="000552B5" w:rsidRDefault="000552B5" w:rsidP="0056206B">
      <w:pPr>
        <w:pStyle w:val="ListParagraph"/>
        <w:numPr>
          <w:ilvl w:val="0"/>
          <w:numId w:val="29"/>
        </w:numPr>
        <w:jc w:val="both"/>
      </w:pPr>
      <w:r>
        <w:t xml:space="preserve">We commend accounting officer on his role in development of appropriate action plans to address the Beitbrdge material irregularity raised in the prior period. The entity is currently implementing action plans and the progress is monitored. The leadership has continued to engage auditors for guidance in relation to the PAA </w:t>
      </w:r>
      <w:r w:rsidR="00A7635F">
        <w:t>amendments</w:t>
      </w:r>
      <w:r>
        <w:t xml:space="preserve"> implementation</w:t>
      </w:r>
    </w:p>
    <w:p w:rsidR="001216B0" w:rsidRDefault="001216B0">
      <w:pPr>
        <w:pStyle w:val="Heading5"/>
        <w:numPr>
          <w:ilvl w:val="0"/>
          <w:numId w:val="17"/>
        </w:numPr>
        <w:jc w:val="both"/>
        <w:rPr>
          <w:rFonts w:eastAsia="Calibri"/>
          <w:bCs w:val="0"/>
          <w:color w:val="auto"/>
          <w:sz w:val="22"/>
        </w:rPr>
      </w:pPr>
      <w:r w:rsidRPr="001216B0">
        <w:rPr>
          <w:rFonts w:eastAsia="Calibri"/>
          <w:bCs w:val="0"/>
          <w:color w:val="auto"/>
          <w:sz w:val="22"/>
        </w:rPr>
        <w:t>Though the acting accounting officers during the year under review attempted to implement the audit action plan, the efforts applied were not adequate towards ach</w:t>
      </w:r>
      <w:r w:rsidR="00315C25">
        <w:rPr>
          <w:rFonts w:eastAsia="Calibri"/>
          <w:bCs w:val="0"/>
          <w:color w:val="auto"/>
          <w:sz w:val="22"/>
        </w:rPr>
        <w:t>ieving good governance</w:t>
      </w:r>
      <w:r w:rsidRPr="001216B0">
        <w:rPr>
          <w:rFonts w:eastAsia="Calibri"/>
          <w:bCs w:val="0"/>
          <w:color w:val="auto"/>
          <w:sz w:val="22"/>
        </w:rPr>
        <w:t xml:space="preserve"> based on the audit findings identified during the audit which include amongst other things t</w:t>
      </w:r>
      <w:r w:rsidR="00315C25">
        <w:rPr>
          <w:rFonts w:eastAsia="Calibri"/>
          <w:bCs w:val="0"/>
          <w:color w:val="auto"/>
          <w:sz w:val="22"/>
        </w:rPr>
        <w:t>he duplicate payments on leases and misstatement on immovable assets.</w:t>
      </w:r>
    </w:p>
    <w:p w:rsidR="00315C25" w:rsidRDefault="001216B0" w:rsidP="0056206B">
      <w:pPr>
        <w:pStyle w:val="Heading5"/>
        <w:numPr>
          <w:ilvl w:val="0"/>
          <w:numId w:val="17"/>
        </w:numPr>
        <w:jc w:val="both"/>
        <w:rPr>
          <w:rFonts w:eastAsia="Calibri"/>
          <w:bCs w:val="0"/>
          <w:color w:val="auto"/>
          <w:sz w:val="22"/>
        </w:rPr>
      </w:pPr>
      <w:r w:rsidRPr="000523F5">
        <w:rPr>
          <w:rFonts w:eastAsia="Calibri"/>
          <w:bCs w:val="0"/>
          <w:color w:val="auto"/>
          <w:sz w:val="22"/>
        </w:rPr>
        <w:t>The accounting officer has put initiatives in place to provide assurance. The focus should be</w:t>
      </w:r>
      <w:r>
        <w:rPr>
          <w:rFonts w:eastAsia="Calibri"/>
          <w:bCs w:val="0"/>
          <w:color w:val="auto"/>
          <w:sz w:val="22"/>
        </w:rPr>
        <w:t xml:space="preserve"> </w:t>
      </w:r>
      <w:r w:rsidRPr="000523F5">
        <w:rPr>
          <w:rFonts w:eastAsia="Calibri"/>
          <w:bCs w:val="0"/>
          <w:color w:val="auto"/>
          <w:sz w:val="22"/>
        </w:rPr>
        <w:t>placed on ensuring that these initiatives are monitored regularly and management is held</w:t>
      </w:r>
      <w:r>
        <w:rPr>
          <w:rFonts w:eastAsia="Calibri"/>
          <w:bCs w:val="0"/>
          <w:color w:val="auto"/>
          <w:sz w:val="22"/>
        </w:rPr>
        <w:t xml:space="preserve"> </w:t>
      </w:r>
      <w:r w:rsidRPr="000523F5">
        <w:rPr>
          <w:rFonts w:eastAsia="Calibri"/>
          <w:bCs w:val="0"/>
          <w:color w:val="auto"/>
          <w:sz w:val="22"/>
        </w:rPr>
        <w:t>accountable where weaknesses are identified. Some of the interventions did not take place</w:t>
      </w:r>
      <w:r>
        <w:rPr>
          <w:rFonts w:eastAsia="Calibri"/>
          <w:bCs w:val="0"/>
          <w:color w:val="auto"/>
          <w:sz w:val="22"/>
        </w:rPr>
        <w:t xml:space="preserve"> </w:t>
      </w:r>
      <w:r w:rsidRPr="000523F5">
        <w:rPr>
          <w:rFonts w:eastAsia="Calibri"/>
          <w:bCs w:val="0"/>
          <w:color w:val="auto"/>
          <w:sz w:val="22"/>
        </w:rPr>
        <w:t xml:space="preserve">timeously, which contributed to the recurrence of </w:t>
      </w:r>
      <w:r w:rsidR="00315C25">
        <w:rPr>
          <w:rFonts w:eastAsia="Calibri"/>
          <w:bCs w:val="0"/>
          <w:color w:val="auto"/>
          <w:sz w:val="22"/>
        </w:rPr>
        <w:t xml:space="preserve">non-compliances </w:t>
      </w:r>
      <w:r w:rsidR="00A7635F">
        <w:rPr>
          <w:rFonts w:eastAsia="Calibri"/>
          <w:bCs w:val="0"/>
          <w:color w:val="auto"/>
          <w:sz w:val="22"/>
        </w:rPr>
        <w:t>identified</w:t>
      </w:r>
      <w:r w:rsidR="00315C25">
        <w:rPr>
          <w:rFonts w:eastAsia="Calibri"/>
          <w:bCs w:val="0"/>
          <w:color w:val="auto"/>
          <w:sz w:val="22"/>
        </w:rPr>
        <w:t xml:space="preserve"> on the procurement and contract management.</w:t>
      </w:r>
    </w:p>
    <w:p w:rsidR="00722F26" w:rsidRPr="0077659B" w:rsidRDefault="00722F26" w:rsidP="0056206B">
      <w:pPr>
        <w:pStyle w:val="Heading5"/>
        <w:jc w:val="both"/>
      </w:pPr>
      <w:r w:rsidRPr="0077659B">
        <w:t>Executive authority</w:t>
      </w:r>
      <w:r w:rsidR="00FE6B42" w:rsidRPr="0077659B">
        <w:t xml:space="preserve"> </w:t>
      </w:r>
      <w:r w:rsidR="000142F4" w:rsidRPr="0077659B">
        <w:t>p</w:t>
      </w:r>
      <w:r w:rsidRPr="0077659B">
        <w:t xml:space="preserve">rovides </w:t>
      </w:r>
      <w:r w:rsidRPr="0077659B">
        <w:rPr>
          <w:color w:val="00B050"/>
        </w:rPr>
        <w:t>assurance</w:t>
      </w:r>
    </w:p>
    <w:p w:rsidR="00722F26" w:rsidRPr="004141C8" w:rsidRDefault="004141C8">
      <w:pPr>
        <w:pStyle w:val="Heading5"/>
        <w:numPr>
          <w:ilvl w:val="0"/>
          <w:numId w:val="18"/>
        </w:numPr>
        <w:jc w:val="both"/>
      </w:pPr>
      <w:r w:rsidRPr="004141C8">
        <w:rPr>
          <w:rFonts w:eastAsia="Calibri"/>
          <w:bCs w:val="0"/>
          <w:color w:val="auto"/>
          <w:sz w:val="22"/>
        </w:rPr>
        <w:t>The executive authority has been receptive to recommendations from the auditors, and the</w:t>
      </w:r>
      <w:r>
        <w:rPr>
          <w:rFonts w:eastAsia="Calibri"/>
          <w:bCs w:val="0"/>
          <w:color w:val="auto"/>
          <w:sz w:val="22"/>
        </w:rPr>
        <w:t xml:space="preserve"> </w:t>
      </w:r>
      <w:r w:rsidRPr="004141C8">
        <w:rPr>
          <w:rFonts w:eastAsia="Calibri"/>
          <w:bCs w:val="0"/>
          <w:color w:val="auto"/>
          <w:sz w:val="22"/>
        </w:rPr>
        <w:t>Minister should continue to engage with the different assur</w:t>
      </w:r>
      <w:r w:rsidR="00315C25">
        <w:rPr>
          <w:rFonts w:eastAsia="Calibri"/>
          <w:bCs w:val="0"/>
          <w:color w:val="auto"/>
          <w:sz w:val="22"/>
        </w:rPr>
        <w:t>ance providers of the trading entity</w:t>
      </w:r>
      <w:r w:rsidRPr="004141C8">
        <w:rPr>
          <w:rFonts w:eastAsia="Calibri"/>
          <w:bCs w:val="0"/>
          <w:color w:val="auto"/>
          <w:sz w:val="22"/>
        </w:rPr>
        <w:t xml:space="preserve"> for</w:t>
      </w:r>
      <w:r>
        <w:rPr>
          <w:rFonts w:eastAsia="Calibri"/>
          <w:bCs w:val="0"/>
          <w:color w:val="auto"/>
          <w:sz w:val="22"/>
        </w:rPr>
        <w:t xml:space="preserve"> </w:t>
      </w:r>
      <w:r w:rsidRPr="004141C8">
        <w:rPr>
          <w:rFonts w:eastAsia="Calibri"/>
          <w:bCs w:val="0"/>
          <w:color w:val="auto"/>
          <w:sz w:val="22"/>
        </w:rPr>
        <w:t>continuous monitoring of commitments made toward improving audit outcomes of the</w:t>
      </w:r>
      <w:r>
        <w:rPr>
          <w:rFonts w:eastAsia="Calibri"/>
          <w:bCs w:val="0"/>
          <w:color w:val="auto"/>
          <w:sz w:val="22"/>
        </w:rPr>
        <w:t xml:space="preserve"> </w:t>
      </w:r>
      <w:r w:rsidR="00315C25">
        <w:rPr>
          <w:rFonts w:eastAsia="Calibri"/>
          <w:bCs w:val="0"/>
          <w:color w:val="auto"/>
          <w:sz w:val="22"/>
        </w:rPr>
        <w:t>entity</w:t>
      </w:r>
      <w:r w:rsidRPr="004141C8">
        <w:rPr>
          <w:rFonts w:eastAsia="Calibri"/>
          <w:bCs w:val="0"/>
          <w:color w:val="auto"/>
          <w:sz w:val="22"/>
        </w:rPr>
        <w:t>. The minister was receptive to the issues communicated on special audit report 1</w:t>
      </w:r>
      <w:r>
        <w:rPr>
          <w:rFonts w:eastAsia="Calibri"/>
          <w:bCs w:val="0"/>
          <w:color w:val="auto"/>
          <w:sz w:val="22"/>
        </w:rPr>
        <w:t xml:space="preserve"> </w:t>
      </w:r>
      <w:r w:rsidRPr="004141C8">
        <w:rPr>
          <w:rFonts w:eastAsia="Calibri"/>
          <w:bCs w:val="0"/>
          <w:color w:val="auto"/>
          <w:sz w:val="22"/>
        </w:rPr>
        <w:t>and 2, took a compliance approach to speedily resolve audit issues and hold responsible officials</w:t>
      </w:r>
      <w:r>
        <w:rPr>
          <w:rFonts w:eastAsia="Calibri"/>
          <w:bCs w:val="0"/>
          <w:color w:val="auto"/>
          <w:sz w:val="22"/>
        </w:rPr>
        <w:t xml:space="preserve"> </w:t>
      </w:r>
      <w:r w:rsidRPr="004141C8">
        <w:rPr>
          <w:rFonts w:eastAsia="Calibri"/>
          <w:bCs w:val="0"/>
          <w:color w:val="auto"/>
          <w:sz w:val="22"/>
        </w:rPr>
        <w:t>accountable. She also initiated compulsory training on the PAA amendments for all the</w:t>
      </w:r>
      <w:r>
        <w:rPr>
          <w:rFonts w:eastAsia="Calibri"/>
          <w:bCs w:val="0"/>
          <w:color w:val="auto"/>
          <w:sz w:val="22"/>
        </w:rPr>
        <w:t xml:space="preserve"> </w:t>
      </w:r>
      <w:r w:rsidRPr="004141C8">
        <w:rPr>
          <w:rFonts w:eastAsia="Calibri"/>
          <w:bCs w:val="0"/>
          <w:color w:val="auto"/>
          <w:sz w:val="22"/>
        </w:rPr>
        <w:t>executives to enforce the culture of performance with the understanding of the repercussions of</w:t>
      </w:r>
      <w:r>
        <w:rPr>
          <w:rFonts w:eastAsia="Calibri"/>
          <w:bCs w:val="0"/>
          <w:color w:val="auto"/>
          <w:sz w:val="22"/>
        </w:rPr>
        <w:t xml:space="preserve"> </w:t>
      </w:r>
      <w:r w:rsidRPr="004141C8">
        <w:rPr>
          <w:rFonts w:eastAsia="Calibri"/>
          <w:color w:val="auto"/>
          <w:sz w:val="22"/>
        </w:rPr>
        <w:t>non- compliance.</w:t>
      </w:r>
      <w:r w:rsidRPr="004141C8" w:rsidDel="004141C8">
        <w:rPr>
          <w:rFonts w:eastAsia="Calibri"/>
          <w:color w:val="auto"/>
          <w:sz w:val="22"/>
        </w:rPr>
        <w:t xml:space="preserve"> </w:t>
      </w:r>
    </w:p>
    <w:p w:rsidR="00722F26" w:rsidRPr="0077659B" w:rsidRDefault="00722F26" w:rsidP="000142F4">
      <w:pPr>
        <w:pStyle w:val="Heading5"/>
      </w:pPr>
      <w:bookmarkStart w:id="113" w:name="_Toc447106608"/>
      <w:r w:rsidRPr="0077659B">
        <w:t>Internal audit</w:t>
      </w:r>
      <w:bookmarkEnd w:id="113"/>
      <w:r w:rsidR="00FE6B42" w:rsidRPr="0077659B">
        <w:t xml:space="preserve"> provides</w:t>
      </w:r>
      <w:r w:rsidR="00FE6B42" w:rsidRPr="0077659B">
        <w:rPr>
          <w:color w:val="00B050"/>
        </w:rPr>
        <w:t xml:space="preserve"> assurance</w:t>
      </w:r>
    </w:p>
    <w:p w:rsidR="00722F26" w:rsidRPr="0077659B" w:rsidRDefault="00722F26" w:rsidP="00315C25">
      <w:pPr>
        <w:pStyle w:val="Bulletedlist"/>
        <w:ind w:left="567" w:hanging="284"/>
        <w:jc w:val="both"/>
      </w:pPr>
      <w:r w:rsidRPr="0077659B">
        <w:t xml:space="preserve">Legislation in South Africa requires the establishment, roles and responsibilities of internal audit units. Internal audit units form part of the internal control and governance structures of the </w:t>
      </w:r>
      <w:r w:rsidR="00245375">
        <w:t xml:space="preserve">trading entity </w:t>
      </w:r>
      <w:r w:rsidRPr="0077659B">
        <w:t>and play an important role in its monitoring activities. Internal audit provides an independe</w:t>
      </w:r>
      <w:r w:rsidR="00315C25">
        <w:t>nt assessment of the trading entity</w:t>
      </w:r>
      <w:r w:rsidR="006B1D3E" w:rsidRPr="0077659B">
        <w:t>’s</w:t>
      </w:r>
      <w:r w:rsidRPr="0077659B">
        <w:t xml:space="preserve"> governance, risk management and internal control processes.</w:t>
      </w:r>
    </w:p>
    <w:p w:rsidR="00A1398A" w:rsidRPr="00A1398A" w:rsidRDefault="00722F26" w:rsidP="00315C25">
      <w:pPr>
        <w:pStyle w:val="Bulletedlist"/>
        <w:ind w:left="567" w:hanging="284"/>
        <w:jc w:val="both"/>
      </w:pPr>
      <w:r w:rsidRPr="0077659B">
        <w:lastRenderedPageBreak/>
        <w:t xml:space="preserve">The internal audit unit of </w:t>
      </w:r>
      <w:r w:rsidR="006B1D3E" w:rsidRPr="0077659B">
        <w:t xml:space="preserve">the </w:t>
      </w:r>
      <w:r w:rsidR="00A7635F">
        <w:t>trading entity</w:t>
      </w:r>
      <w:r w:rsidRPr="0077659B">
        <w:t xml:space="preserve"> must prepare a risk-based audit plan and internal audit programme for each financial year. It must advise the </w:t>
      </w:r>
      <w:r w:rsidR="00881F76">
        <w:t>accounting officer</w:t>
      </w:r>
      <w:r w:rsidRPr="0077659B">
        <w:t xml:space="preserve"> and report to the audit committee on </w:t>
      </w:r>
      <w:r w:rsidR="000262C0" w:rsidRPr="0077659B">
        <w:t xml:space="preserve">the implementation of </w:t>
      </w:r>
      <w:r w:rsidRPr="0077659B">
        <w:t>the internal audit plan and matters relating to internal audit</w:t>
      </w:r>
      <w:r w:rsidR="000262C0" w:rsidRPr="0077659B">
        <w:t>,</w:t>
      </w:r>
      <w:r w:rsidRPr="0077659B">
        <w:t xml:space="preserve"> internal controls</w:t>
      </w:r>
      <w:r w:rsidR="000262C0" w:rsidRPr="0077659B">
        <w:t>,</w:t>
      </w:r>
      <w:r w:rsidRPr="0077659B">
        <w:t xml:space="preserve"> accounting procedures and practices</w:t>
      </w:r>
      <w:r w:rsidR="000262C0" w:rsidRPr="0077659B">
        <w:t>,</w:t>
      </w:r>
      <w:r w:rsidRPr="0077659B">
        <w:t xml:space="preserve"> risk and risk management</w:t>
      </w:r>
      <w:r w:rsidR="000262C0" w:rsidRPr="0077659B">
        <w:t>,</w:t>
      </w:r>
      <w:r w:rsidRPr="0077659B">
        <w:t xml:space="preserve"> performance management</w:t>
      </w:r>
      <w:r w:rsidR="000262C0" w:rsidRPr="0077659B">
        <w:t>,</w:t>
      </w:r>
      <w:r w:rsidRPr="0077659B">
        <w:t xml:space="preserve"> loss con</w:t>
      </w:r>
      <w:r w:rsidR="00D505CC" w:rsidRPr="0077659B">
        <w:t>trol and compliance with the P</w:t>
      </w:r>
      <w:r w:rsidRPr="0077659B">
        <w:t xml:space="preserve">FMA. The internal audit unit must also perform such other duties as may be assigned by the </w:t>
      </w:r>
      <w:r w:rsidR="00881F76">
        <w:t>accounting officer</w:t>
      </w:r>
      <w:r w:rsidRPr="0077659B">
        <w:t>.</w:t>
      </w:r>
    </w:p>
    <w:p w:rsidR="00722F26" w:rsidRPr="0077659B" w:rsidRDefault="00A1398A" w:rsidP="00165C2D">
      <w:pPr>
        <w:pStyle w:val="Bulletedlist"/>
        <w:ind w:left="567"/>
        <w:jc w:val="both"/>
      </w:pPr>
      <w:r w:rsidRPr="00A1398A">
        <w:t xml:space="preserve">The internal audit unit effectively discharges its duties and responsibilities, however, the full extent or benefit will be realised once management effectively and timeously implements the recommendations from the outcomes of these audits. </w:t>
      </w:r>
    </w:p>
    <w:p w:rsidR="00722F26" w:rsidRPr="0077659B" w:rsidRDefault="00722F26" w:rsidP="000142F4">
      <w:pPr>
        <w:pStyle w:val="Heading5"/>
      </w:pPr>
      <w:bookmarkStart w:id="114" w:name="_Toc447106609"/>
      <w:r w:rsidRPr="0077659B">
        <w:t>Audit committee</w:t>
      </w:r>
      <w:bookmarkEnd w:id="114"/>
      <w:r w:rsidR="00FE6B42" w:rsidRPr="0077659B">
        <w:t>: pr</w:t>
      </w:r>
      <w:r w:rsidRPr="0077659B">
        <w:t xml:space="preserve">ovides </w:t>
      </w:r>
      <w:r w:rsidRPr="00871C3E">
        <w:rPr>
          <w:color w:val="00B050"/>
        </w:rPr>
        <w:t>assurance</w:t>
      </w:r>
    </w:p>
    <w:p w:rsidR="00632F29" w:rsidRDefault="00632F29" w:rsidP="00632F29">
      <w:pPr>
        <w:pStyle w:val="Default"/>
      </w:pPr>
    </w:p>
    <w:p w:rsidR="00632F29" w:rsidRDefault="00632F29" w:rsidP="0056206B">
      <w:pPr>
        <w:pStyle w:val="Bulletedlist"/>
        <w:ind w:left="567"/>
        <w:jc w:val="both"/>
      </w:pPr>
      <w:r>
        <w:t xml:space="preserve">The audit committee was in place, fully functional for the financial period, and complied with relevant legislation. </w:t>
      </w:r>
    </w:p>
    <w:p w:rsidR="00632F29" w:rsidRDefault="00632F29" w:rsidP="0056206B">
      <w:pPr>
        <w:pStyle w:val="Bulletedlist"/>
        <w:ind w:left="567"/>
        <w:jc w:val="both"/>
      </w:pPr>
      <w:r>
        <w:t xml:space="preserve">Audit committee vigorously interrogated the audit action plans that were designed to address audit findings from both internal and external auditors and consistently monitored the implementation thereof. The audit committee members are highly skilled and experienced which enables the robustness in the environment and the committee holds the executive as well as the accounting officer accountable for their actions that may hinder the department from obtaining the desired audit outcome </w:t>
      </w:r>
    </w:p>
    <w:p w:rsidR="00F12DBB" w:rsidRPr="00F12DBB" w:rsidRDefault="00632F29" w:rsidP="00DD409F">
      <w:pPr>
        <w:pStyle w:val="Bulletedlist"/>
        <w:numPr>
          <w:ilvl w:val="0"/>
          <w:numId w:val="0"/>
        </w:numPr>
      </w:pPr>
      <w:r w:rsidRPr="0077659B" w:rsidDel="00632F29">
        <w:t xml:space="preserve"> </w:t>
      </w:r>
    </w:p>
    <w:p w:rsidR="00FE4ED4" w:rsidRDefault="00FE4ED4" w:rsidP="00A3735E">
      <w:pPr>
        <w:pStyle w:val="Heading3"/>
        <w:rPr>
          <w:lang w:val="en-ZA"/>
        </w:rPr>
      </w:pPr>
      <w:bookmarkStart w:id="115" w:name="Back33"/>
      <w:bookmarkStart w:id="116" w:name="_Toc447106610"/>
      <w:bookmarkStart w:id="117" w:name="_Toc79349493"/>
      <w:bookmarkEnd w:id="115"/>
    </w:p>
    <w:p w:rsidR="00FE4ED4" w:rsidRDefault="00FE4ED4" w:rsidP="00A3735E">
      <w:pPr>
        <w:pStyle w:val="Heading3"/>
        <w:rPr>
          <w:lang w:val="en-ZA"/>
        </w:rPr>
      </w:pPr>
    </w:p>
    <w:p w:rsidR="00FE4ED4" w:rsidRDefault="00FE4ED4" w:rsidP="00A3735E">
      <w:pPr>
        <w:pStyle w:val="Heading3"/>
        <w:rPr>
          <w:lang w:val="en-ZA"/>
        </w:rPr>
      </w:pPr>
    </w:p>
    <w:p w:rsidR="00C22F2B" w:rsidRPr="00BB6EEC" w:rsidRDefault="006C0DAE" w:rsidP="00A3735E">
      <w:pPr>
        <w:pStyle w:val="Heading3"/>
        <w:rPr>
          <w:lang w:val="en-ZA"/>
        </w:rPr>
      </w:pPr>
      <w:r w:rsidRPr="00BB6EEC">
        <w:rPr>
          <w:lang w:val="en-ZA"/>
        </w:rPr>
        <w:t>STATUS OF IMPLEMENTING COMMITMENTS AND RECOMMENDATIONS</w:t>
      </w:r>
      <w:bookmarkEnd w:id="116"/>
      <w:bookmarkEnd w:id="117"/>
    </w:p>
    <w:p w:rsidR="00C22F2B" w:rsidRDefault="00C22F2B" w:rsidP="00165C2D">
      <w:pPr>
        <w:pStyle w:val="Numbernormal"/>
        <w:numPr>
          <w:ilvl w:val="0"/>
          <w:numId w:val="14"/>
        </w:numPr>
        <w:ind w:left="567"/>
        <w:jc w:val="both"/>
      </w:pPr>
      <w:r w:rsidRPr="0077659B">
        <w:t xml:space="preserve">Below is our assessment of the progress in implementing the commitments made by the </w:t>
      </w:r>
      <w:r w:rsidR="00922E51">
        <w:t>trading entity</w:t>
      </w:r>
      <w:r w:rsidRPr="0077659B">
        <w:t xml:space="preserve"> to address the prior and current year’s audit findings.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3128"/>
        <w:gridCol w:w="1213"/>
        <w:gridCol w:w="1406"/>
        <w:gridCol w:w="1629"/>
        <w:gridCol w:w="1591"/>
      </w:tblGrid>
      <w:tr w:rsidR="00C83E8D" w:rsidRPr="00345F61" w:rsidTr="00345F61">
        <w:tc>
          <w:tcPr>
            <w:tcW w:w="343" w:type="pct"/>
            <w:shd w:val="clear" w:color="auto" w:fill="A6A6A6" w:themeFill="background1" w:themeFillShade="A6"/>
          </w:tcPr>
          <w:p w:rsidR="00C83E8D" w:rsidRPr="00345F61" w:rsidRDefault="00C83E8D" w:rsidP="00C83E8D">
            <w:pPr>
              <w:spacing w:before="120"/>
              <w:jc w:val="center"/>
              <w:rPr>
                <w:rFonts w:eastAsia="Times New Roman" w:cs="Times New Roman"/>
                <w:b/>
                <w:sz w:val="18"/>
                <w:szCs w:val="18"/>
              </w:rPr>
            </w:pPr>
            <w:r w:rsidRPr="00345F61">
              <w:rPr>
                <w:rFonts w:eastAsia="Times New Roman" w:cs="Times New Roman"/>
                <w:b/>
                <w:sz w:val="18"/>
                <w:szCs w:val="18"/>
              </w:rPr>
              <w:t>No.</w:t>
            </w:r>
          </w:p>
        </w:tc>
        <w:tc>
          <w:tcPr>
            <w:tcW w:w="1624" w:type="pct"/>
            <w:shd w:val="clear" w:color="auto" w:fill="A6A6A6" w:themeFill="background1" w:themeFillShade="A6"/>
          </w:tcPr>
          <w:p w:rsidR="00C83E8D" w:rsidRPr="00345F61" w:rsidRDefault="00C83E8D" w:rsidP="00C83E8D">
            <w:pPr>
              <w:spacing w:before="120"/>
              <w:jc w:val="center"/>
              <w:rPr>
                <w:rFonts w:eastAsia="Times New Roman" w:cs="Times New Roman"/>
                <w:b/>
                <w:sz w:val="18"/>
                <w:szCs w:val="18"/>
              </w:rPr>
            </w:pPr>
            <w:r w:rsidRPr="00345F61">
              <w:rPr>
                <w:rFonts w:eastAsia="Times New Roman" w:cs="Times New Roman"/>
                <w:b/>
                <w:sz w:val="18"/>
                <w:szCs w:val="18"/>
              </w:rPr>
              <w:t>Commitment</w:t>
            </w:r>
          </w:p>
        </w:tc>
        <w:tc>
          <w:tcPr>
            <w:tcW w:w="630" w:type="pct"/>
            <w:shd w:val="clear" w:color="auto" w:fill="A6A6A6" w:themeFill="background1" w:themeFillShade="A6"/>
          </w:tcPr>
          <w:p w:rsidR="00C83E8D" w:rsidRPr="00345F61" w:rsidRDefault="00C83E8D" w:rsidP="00C83E8D">
            <w:pPr>
              <w:spacing w:before="120"/>
              <w:jc w:val="center"/>
              <w:rPr>
                <w:rFonts w:eastAsia="Times New Roman" w:cs="Times New Roman"/>
                <w:b/>
                <w:sz w:val="18"/>
                <w:szCs w:val="18"/>
              </w:rPr>
            </w:pPr>
            <w:r w:rsidRPr="00345F61">
              <w:rPr>
                <w:rFonts w:eastAsia="Times New Roman" w:cs="Times New Roman"/>
                <w:b/>
                <w:sz w:val="18"/>
                <w:szCs w:val="18"/>
              </w:rPr>
              <w:t>Made by</w:t>
            </w:r>
          </w:p>
        </w:tc>
        <w:tc>
          <w:tcPr>
            <w:tcW w:w="730" w:type="pct"/>
            <w:shd w:val="clear" w:color="auto" w:fill="A6A6A6" w:themeFill="background1" w:themeFillShade="A6"/>
          </w:tcPr>
          <w:p w:rsidR="00C83E8D" w:rsidRPr="00345F61" w:rsidRDefault="00F63249" w:rsidP="00C83E8D">
            <w:pPr>
              <w:spacing w:before="120"/>
              <w:jc w:val="center"/>
              <w:rPr>
                <w:rFonts w:eastAsia="Times New Roman" w:cs="Times New Roman"/>
                <w:b/>
                <w:sz w:val="18"/>
                <w:szCs w:val="18"/>
              </w:rPr>
            </w:pPr>
            <w:r w:rsidRPr="00345F61">
              <w:rPr>
                <w:rFonts w:eastAsia="Times New Roman" w:cs="Times New Roman"/>
                <w:b/>
                <w:sz w:val="18"/>
                <w:szCs w:val="18"/>
              </w:rPr>
              <w:t>Origin of commitment</w:t>
            </w:r>
          </w:p>
        </w:tc>
        <w:tc>
          <w:tcPr>
            <w:tcW w:w="846" w:type="pct"/>
            <w:shd w:val="clear" w:color="auto" w:fill="A6A6A6" w:themeFill="background1" w:themeFillShade="A6"/>
          </w:tcPr>
          <w:p w:rsidR="00C83E8D" w:rsidRPr="00345F61" w:rsidRDefault="00F63249" w:rsidP="00C83E8D">
            <w:pPr>
              <w:spacing w:before="120"/>
              <w:jc w:val="center"/>
              <w:rPr>
                <w:rFonts w:eastAsia="Times New Roman" w:cs="Times New Roman"/>
                <w:b/>
                <w:sz w:val="18"/>
                <w:szCs w:val="18"/>
              </w:rPr>
            </w:pPr>
            <w:r w:rsidRPr="00345F61">
              <w:rPr>
                <w:rFonts w:eastAsia="Times New Roman" w:cs="Times New Roman"/>
                <w:b/>
                <w:sz w:val="18"/>
                <w:szCs w:val="18"/>
              </w:rPr>
              <w:t xml:space="preserve">Auditors comment </w:t>
            </w:r>
          </w:p>
        </w:tc>
        <w:tc>
          <w:tcPr>
            <w:tcW w:w="826" w:type="pct"/>
            <w:shd w:val="clear" w:color="auto" w:fill="A6A6A6" w:themeFill="background1" w:themeFillShade="A6"/>
          </w:tcPr>
          <w:p w:rsidR="00C83E8D" w:rsidRPr="00345F61" w:rsidRDefault="00C83E8D" w:rsidP="00C83E8D">
            <w:pPr>
              <w:spacing w:before="120"/>
              <w:jc w:val="center"/>
              <w:rPr>
                <w:rFonts w:eastAsia="Times New Roman" w:cs="Times New Roman"/>
                <w:b/>
                <w:sz w:val="18"/>
                <w:szCs w:val="18"/>
              </w:rPr>
            </w:pPr>
            <w:r w:rsidRPr="00345F61">
              <w:rPr>
                <w:rFonts w:eastAsia="Times New Roman" w:cs="Times New Roman"/>
                <w:b/>
                <w:sz w:val="18"/>
                <w:szCs w:val="18"/>
              </w:rPr>
              <w:t>Status</w:t>
            </w:r>
          </w:p>
        </w:tc>
      </w:tr>
      <w:tr w:rsidR="00C83E8D" w:rsidRPr="00345F61" w:rsidTr="00345F61">
        <w:tc>
          <w:tcPr>
            <w:tcW w:w="343" w:type="pct"/>
          </w:tcPr>
          <w:p w:rsidR="00C83E8D" w:rsidRPr="00345F61" w:rsidRDefault="000C1766" w:rsidP="00C83E8D">
            <w:pPr>
              <w:spacing w:before="60" w:after="60"/>
              <w:rPr>
                <w:rFonts w:eastAsia="Calibri" w:cs="Times New Roman"/>
                <w:sz w:val="18"/>
                <w:szCs w:val="18"/>
              </w:rPr>
            </w:pPr>
            <w:r>
              <w:rPr>
                <w:rFonts w:eastAsia="Calibri" w:cs="Times New Roman"/>
                <w:sz w:val="18"/>
                <w:szCs w:val="18"/>
              </w:rPr>
              <w:t>1</w:t>
            </w:r>
          </w:p>
        </w:tc>
        <w:tc>
          <w:tcPr>
            <w:tcW w:w="1624" w:type="pct"/>
          </w:tcPr>
          <w:p w:rsidR="00DB40F2" w:rsidRPr="00345F61" w:rsidRDefault="00DB40F2" w:rsidP="00DB40F2">
            <w:pPr>
              <w:spacing w:before="60" w:after="60"/>
              <w:rPr>
                <w:rFonts w:eastAsia="Calibri" w:cs="Times New Roman"/>
                <w:sz w:val="18"/>
                <w:szCs w:val="18"/>
              </w:rPr>
            </w:pPr>
            <w:r w:rsidRPr="00345F61">
              <w:rPr>
                <w:rFonts w:eastAsia="Calibri" w:cs="Times New Roman"/>
                <w:sz w:val="18"/>
                <w:szCs w:val="18"/>
              </w:rPr>
              <w:t>Non-compliance to SCM prescripts that resulted in Irregular Expenditure:</w:t>
            </w:r>
          </w:p>
          <w:p w:rsidR="00DB40F2" w:rsidRPr="00345F61" w:rsidRDefault="00DB40F2" w:rsidP="00DB40F2">
            <w:pPr>
              <w:spacing w:before="60" w:after="60"/>
              <w:rPr>
                <w:rFonts w:eastAsia="Calibri" w:cs="Times New Roman"/>
                <w:sz w:val="18"/>
                <w:szCs w:val="18"/>
              </w:rPr>
            </w:pPr>
            <w:r w:rsidRPr="00345F61">
              <w:rPr>
                <w:rFonts w:eastAsia="Calibri" w:cs="Times New Roman"/>
                <w:sz w:val="18"/>
                <w:szCs w:val="18"/>
              </w:rPr>
              <w:t>- Incorrect procurement process followed</w:t>
            </w:r>
          </w:p>
          <w:p w:rsidR="00DB40F2" w:rsidRPr="00345F61" w:rsidRDefault="00DB40F2" w:rsidP="00DB40F2">
            <w:pPr>
              <w:spacing w:before="60" w:after="60"/>
              <w:rPr>
                <w:rFonts w:eastAsia="Calibri" w:cs="Times New Roman"/>
                <w:sz w:val="18"/>
                <w:szCs w:val="18"/>
              </w:rPr>
            </w:pPr>
            <w:r w:rsidRPr="00345F61">
              <w:rPr>
                <w:rFonts w:eastAsia="Calibri" w:cs="Times New Roman"/>
                <w:sz w:val="18"/>
                <w:szCs w:val="18"/>
              </w:rPr>
              <w:t>- Extension of time with financial impact COFF 7 PTA</w:t>
            </w:r>
          </w:p>
          <w:p w:rsidR="00DB40F2" w:rsidRPr="00345F61" w:rsidRDefault="00DB40F2" w:rsidP="00DB40F2">
            <w:pPr>
              <w:spacing w:before="60" w:after="60"/>
              <w:rPr>
                <w:rFonts w:eastAsia="Calibri" w:cs="Times New Roman"/>
                <w:sz w:val="18"/>
                <w:szCs w:val="18"/>
              </w:rPr>
            </w:pPr>
            <w:r w:rsidRPr="00345F61">
              <w:rPr>
                <w:rFonts w:eastAsia="Calibri" w:cs="Times New Roman"/>
                <w:sz w:val="18"/>
                <w:szCs w:val="18"/>
              </w:rPr>
              <w:t>- Grading not suitable for the value of the contract</w:t>
            </w:r>
          </w:p>
          <w:p w:rsidR="00DB40F2" w:rsidRPr="00345F61" w:rsidRDefault="00DB40F2" w:rsidP="00DB40F2">
            <w:pPr>
              <w:spacing w:before="60" w:after="60"/>
              <w:rPr>
                <w:rFonts w:eastAsia="Calibri" w:cs="Times New Roman"/>
                <w:sz w:val="18"/>
                <w:szCs w:val="18"/>
              </w:rPr>
            </w:pPr>
            <w:r w:rsidRPr="00345F61">
              <w:rPr>
                <w:rFonts w:eastAsia="Calibri" w:cs="Times New Roman"/>
                <w:sz w:val="18"/>
                <w:szCs w:val="18"/>
              </w:rPr>
              <w:t>- Pre-qualifying criteria not met</w:t>
            </w:r>
          </w:p>
          <w:p w:rsidR="00DB40F2" w:rsidRPr="00345F61" w:rsidRDefault="00DB40F2" w:rsidP="00DB40F2">
            <w:pPr>
              <w:spacing w:before="60" w:after="60"/>
              <w:rPr>
                <w:rFonts w:eastAsia="Calibri" w:cs="Times New Roman"/>
                <w:sz w:val="18"/>
                <w:szCs w:val="18"/>
              </w:rPr>
            </w:pPr>
            <w:r w:rsidRPr="00345F61">
              <w:rPr>
                <w:rFonts w:eastAsia="Calibri" w:cs="Times New Roman"/>
                <w:sz w:val="18"/>
                <w:szCs w:val="18"/>
              </w:rPr>
              <w:t>- Splitting of quotations</w:t>
            </w:r>
          </w:p>
          <w:p w:rsidR="00C83E8D" w:rsidRPr="00345F61" w:rsidRDefault="00DB40F2" w:rsidP="00DB40F2">
            <w:pPr>
              <w:spacing w:before="60" w:after="60"/>
              <w:rPr>
                <w:rFonts w:eastAsia="Calibri" w:cs="Times New Roman"/>
                <w:sz w:val="18"/>
                <w:szCs w:val="18"/>
              </w:rPr>
            </w:pPr>
            <w:r w:rsidRPr="00345F61">
              <w:rPr>
                <w:rFonts w:eastAsia="Calibri" w:cs="Times New Roman"/>
                <w:sz w:val="18"/>
                <w:szCs w:val="18"/>
              </w:rPr>
              <w:t>- Deviation not justifiable</w:t>
            </w:r>
          </w:p>
        </w:tc>
        <w:tc>
          <w:tcPr>
            <w:tcW w:w="630" w:type="pct"/>
          </w:tcPr>
          <w:p w:rsidR="00C83E8D" w:rsidRPr="00345F61" w:rsidRDefault="00515D5F" w:rsidP="00C83E8D">
            <w:pPr>
              <w:spacing w:before="60" w:after="60"/>
              <w:rPr>
                <w:rFonts w:eastAsia="Calibri" w:cs="Times New Roman"/>
                <w:sz w:val="18"/>
                <w:szCs w:val="18"/>
              </w:rPr>
            </w:pPr>
            <w:r w:rsidRPr="00345F61">
              <w:rPr>
                <w:rFonts w:eastAsia="Calibri" w:cs="Times New Roman"/>
                <w:sz w:val="18"/>
                <w:szCs w:val="18"/>
              </w:rPr>
              <w:t>Henry Isaacs</w:t>
            </w:r>
          </w:p>
        </w:tc>
        <w:tc>
          <w:tcPr>
            <w:tcW w:w="730" w:type="pct"/>
          </w:tcPr>
          <w:p w:rsidR="00C83E8D" w:rsidRPr="00345F61" w:rsidRDefault="00F63249" w:rsidP="00C83E8D">
            <w:pPr>
              <w:spacing w:before="60" w:after="60"/>
              <w:rPr>
                <w:rFonts w:eastAsia="Calibri" w:cs="Times New Roman"/>
                <w:sz w:val="18"/>
                <w:szCs w:val="18"/>
              </w:rPr>
            </w:pPr>
            <w:r w:rsidRPr="00345F61">
              <w:rPr>
                <w:rFonts w:eastAsia="Times New Roman"/>
                <w:sz w:val="18"/>
                <w:szCs w:val="18"/>
              </w:rPr>
              <w:t>2019-120 management report</w:t>
            </w:r>
          </w:p>
        </w:tc>
        <w:tc>
          <w:tcPr>
            <w:tcW w:w="846" w:type="pct"/>
          </w:tcPr>
          <w:p w:rsidR="00C83E8D" w:rsidRPr="00345F61" w:rsidRDefault="00F63249" w:rsidP="006E3031">
            <w:pPr>
              <w:spacing w:before="60" w:after="60"/>
              <w:rPr>
                <w:rFonts w:eastAsia="Calibri" w:cs="Times New Roman"/>
                <w:sz w:val="18"/>
                <w:szCs w:val="18"/>
              </w:rPr>
            </w:pPr>
            <w:r w:rsidRPr="00345F61">
              <w:rPr>
                <w:rFonts w:eastAsia="Times New Roman"/>
                <w:sz w:val="18"/>
                <w:szCs w:val="18"/>
              </w:rPr>
              <w:t xml:space="preserve">Similar non-compliance issues were identified during the audit </w:t>
            </w:r>
          </w:p>
        </w:tc>
        <w:tc>
          <w:tcPr>
            <w:tcW w:w="826" w:type="pct"/>
          </w:tcPr>
          <w:p w:rsidR="00C83E8D" w:rsidRPr="00345F61" w:rsidRDefault="00F63249" w:rsidP="00C83E8D">
            <w:pPr>
              <w:spacing w:before="60" w:after="60"/>
              <w:rPr>
                <w:rFonts w:eastAsia="Calibri" w:cs="Times New Roman"/>
                <w:sz w:val="18"/>
                <w:szCs w:val="18"/>
              </w:rPr>
            </w:pPr>
            <w:r w:rsidRPr="00345F61">
              <w:rPr>
                <w:rFonts w:eastAsia="Calibri" w:cs="Times New Roman"/>
                <w:sz w:val="18"/>
                <w:szCs w:val="18"/>
              </w:rPr>
              <w:t xml:space="preserve">In progress </w:t>
            </w:r>
          </w:p>
        </w:tc>
      </w:tr>
      <w:tr w:rsidR="00C83E8D" w:rsidRPr="00345F61" w:rsidTr="00345F61">
        <w:tc>
          <w:tcPr>
            <w:tcW w:w="343" w:type="pct"/>
          </w:tcPr>
          <w:p w:rsidR="00C83E8D" w:rsidRPr="00345F61" w:rsidRDefault="000C1766" w:rsidP="00C83E8D">
            <w:pPr>
              <w:spacing w:before="60" w:after="60"/>
              <w:rPr>
                <w:rFonts w:eastAsia="Calibri" w:cs="Times New Roman"/>
                <w:sz w:val="18"/>
                <w:szCs w:val="18"/>
              </w:rPr>
            </w:pPr>
            <w:r>
              <w:rPr>
                <w:rFonts w:eastAsia="Calibri" w:cs="Times New Roman"/>
                <w:sz w:val="18"/>
                <w:szCs w:val="18"/>
              </w:rPr>
              <w:lastRenderedPageBreak/>
              <w:t>2</w:t>
            </w:r>
          </w:p>
        </w:tc>
        <w:tc>
          <w:tcPr>
            <w:tcW w:w="1624" w:type="pct"/>
          </w:tcPr>
          <w:p w:rsidR="00A656AD" w:rsidRDefault="00C05D97" w:rsidP="00A656AD">
            <w:pPr>
              <w:spacing w:before="60" w:after="60"/>
              <w:rPr>
                <w:rFonts w:eastAsia="Calibri" w:cs="Times New Roman"/>
                <w:sz w:val="18"/>
                <w:szCs w:val="18"/>
              </w:rPr>
            </w:pPr>
            <w:r>
              <w:rPr>
                <w:rFonts w:eastAsia="Calibri" w:cs="Times New Roman"/>
                <w:sz w:val="18"/>
                <w:szCs w:val="18"/>
              </w:rPr>
              <w:t>Management commitments to address the immovable assets findings raised.</w:t>
            </w:r>
          </w:p>
          <w:p w:rsidR="00A656AD" w:rsidRPr="00C05D97" w:rsidRDefault="00A656AD" w:rsidP="00C05D97">
            <w:pPr>
              <w:spacing w:before="60" w:after="60"/>
              <w:rPr>
                <w:rFonts w:eastAsia="Calibri" w:cs="Times New Roman"/>
                <w:sz w:val="18"/>
                <w:szCs w:val="18"/>
              </w:rPr>
            </w:pPr>
            <w:r w:rsidRPr="00C05D97">
              <w:rPr>
                <w:rFonts w:eastAsia="Calibri" w:cs="Times New Roman"/>
                <w:sz w:val="18"/>
                <w:szCs w:val="18"/>
              </w:rPr>
              <w:t>Review of entire population on a 1 by 1 basis.</w:t>
            </w:r>
          </w:p>
          <w:p w:rsidR="00C05D97" w:rsidRDefault="00A656AD" w:rsidP="00C05D97">
            <w:pPr>
              <w:spacing w:before="60" w:after="60"/>
              <w:rPr>
                <w:rFonts w:eastAsia="Calibri" w:cs="Times New Roman"/>
                <w:sz w:val="18"/>
                <w:szCs w:val="18"/>
              </w:rPr>
            </w:pPr>
            <w:r w:rsidRPr="00C05D97">
              <w:rPr>
                <w:rFonts w:eastAsia="Calibri" w:cs="Times New Roman"/>
                <w:sz w:val="18"/>
                <w:szCs w:val="18"/>
              </w:rPr>
              <w:t>Digitise the buildings that move from the BI and AVL method due to the MVR being unreasonable</w:t>
            </w:r>
          </w:p>
          <w:p w:rsidR="00C05D97" w:rsidRDefault="00A656AD" w:rsidP="00C05D97">
            <w:pPr>
              <w:spacing w:before="60" w:after="60"/>
              <w:rPr>
                <w:rFonts w:eastAsia="Calibri" w:cs="Times New Roman"/>
                <w:sz w:val="18"/>
                <w:szCs w:val="18"/>
              </w:rPr>
            </w:pPr>
            <w:r w:rsidRPr="00C05D97">
              <w:rPr>
                <w:rFonts w:eastAsia="Calibri" w:cs="Times New Roman"/>
                <w:sz w:val="18"/>
                <w:szCs w:val="18"/>
              </w:rPr>
              <w:t>Update position paper to include how land extents are determined as this is part of deemed cost calculation.</w:t>
            </w:r>
          </w:p>
          <w:p w:rsidR="00C05D97" w:rsidRDefault="00A656AD" w:rsidP="00C05D97">
            <w:pPr>
              <w:spacing w:before="60" w:after="60"/>
              <w:rPr>
                <w:rFonts w:eastAsia="Calibri" w:cs="Times New Roman"/>
                <w:sz w:val="18"/>
                <w:szCs w:val="18"/>
              </w:rPr>
            </w:pPr>
            <w:r w:rsidRPr="00C05D97">
              <w:rPr>
                <w:rFonts w:eastAsia="Calibri" w:cs="Times New Roman"/>
                <w:sz w:val="18"/>
                <w:szCs w:val="18"/>
              </w:rPr>
              <w:t>Implement position paper in choosing the extent to be used</w:t>
            </w:r>
          </w:p>
          <w:p w:rsidR="00C05D97" w:rsidRPr="00C05D97" w:rsidRDefault="00C05D97" w:rsidP="00C05D97">
            <w:pPr>
              <w:spacing w:before="60" w:after="60"/>
              <w:rPr>
                <w:rFonts w:eastAsia="Calibri" w:cs="Times New Roman"/>
                <w:sz w:val="18"/>
                <w:szCs w:val="18"/>
              </w:rPr>
            </w:pPr>
            <w:r w:rsidRPr="00C05D97">
              <w:rPr>
                <w:rFonts w:eastAsia="Calibri" w:cs="Times New Roman"/>
                <w:sz w:val="18"/>
                <w:szCs w:val="18"/>
              </w:rPr>
              <w:t>Identified population of buildings measured in 2018/19 to be remeasured.</w:t>
            </w:r>
          </w:p>
          <w:p w:rsidR="00C05D97" w:rsidRPr="00C05D97" w:rsidRDefault="00C05D97" w:rsidP="00C05D97">
            <w:pPr>
              <w:spacing w:before="60" w:after="60"/>
              <w:rPr>
                <w:rFonts w:eastAsia="Calibri" w:cs="Times New Roman"/>
                <w:sz w:val="18"/>
                <w:szCs w:val="18"/>
              </w:rPr>
            </w:pPr>
            <w:r w:rsidRPr="00C05D97">
              <w:rPr>
                <w:rFonts w:eastAsia="Calibri" w:cs="Times New Roman"/>
                <w:sz w:val="18"/>
                <w:szCs w:val="18"/>
              </w:rPr>
              <w:t>Service provider and Management are reviewing the entire population</w:t>
            </w:r>
          </w:p>
          <w:p w:rsidR="00C05D97" w:rsidRPr="00C05D97" w:rsidRDefault="00C05D97" w:rsidP="00C05D97">
            <w:pPr>
              <w:spacing w:before="60" w:after="60"/>
              <w:rPr>
                <w:rFonts w:eastAsia="Calibri" w:cs="Times New Roman"/>
                <w:sz w:val="18"/>
                <w:szCs w:val="18"/>
              </w:rPr>
            </w:pPr>
            <w:r w:rsidRPr="00C05D97">
              <w:rPr>
                <w:rFonts w:eastAsia="Calibri" w:cs="Times New Roman"/>
                <w:sz w:val="18"/>
                <w:szCs w:val="18"/>
              </w:rPr>
              <w:t>Review the classification of WCS projects</w:t>
            </w:r>
          </w:p>
          <w:p w:rsidR="00345F61" w:rsidRPr="00345F61" w:rsidRDefault="00345F61" w:rsidP="00C83E8D">
            <w:pPr>
              <w:spacing w:before="60" w:after="60"/>
              <w:rPr>
                <w:rFonts w:eastAsia="Calibri" w:cs="Times New Roman"/>
                <w:sz w:val="18"/>
                <w:szCs w:val="18"/>
              </w:rPr>
            </w:pPr>
          </w:p>
          <w:p w:rsidR="00345F61" w:rsidRPr="00345F61" w:rsidRDefault="00345F61" w:rsidP="00C83E8D">
            <w:pPr>
              <w:spacing w:before="60" w:after="60"/>
              <w:rPr>
                <w:rFonts w:eastAsia="Calibri" w:cs="Times New Roman"/>
                <w:sz w:val="18"/>
                <w:szCs w:val="18"/>
              </w:rPr>
            </w:pPr>
          </w:p>
          <w:p w:rsidR="00345F61" w:rsidRPr="00345F61" w:rsidRDefault="00345F61" w:rsidP="00C83E8D">
            <w:pPr>
              <w:spacing w:before="60" w:after="60"/>
              <w:rPr>
                <w:rFonts w:eastAsia="Calibri" w:cs="Times New Roman"/>
                <w:sz w:val="18"/>
                <w:szCs w:val="18"/>
              </w:rPr>
            </w:pPr>
          </w:p>
          <w:p w:rsidR="00345F61" w:rsidRPr="00345F61" w:rsidRDefault="00345F61" w:rsidP="00C83E8D">
            <w:pPr>
              <w:spacing w:before="60" w:after="60"/>
              <w:rPr>
                <w:rFonts w:eastAsia="Calibri" w:cs="Times New Roman"/>
                <w:sz w:val="18"/>
                <w:szCs w:val="18"/>
              </w:rPr>
            </w:pPr>
          </w:p>
          <w:p w:rsidR="00345F61" w:rsidRPr="00345F61" w:rsidRDefault="00345F61" w:rsidP="00C83E8D">
            <w:pPr>
              <w:spacing w:before="60" w:after="60"/>
              <w:rPr>
                <w:rFonts w:eastAsia="Calibri" w:cs="Times New Roman"/>
                <w:sz w:val="18"/>
                <w:szCs w:val="18"/>
              </w:rPr>
            </w:pPr>
          </w:p>
        </w:tc>
        <w:tc>
          <w:tcPr>
            <w:tcW w:w="630" w:type="pct"/>
          </w:tcPr>
          <w:p w:rsidR="00C83E8D" w:rsidRPr="00345F61" w:rsidRDefault="00C05D97" w:rsidP="00C83E8D">
            <w:pPr>
              <w:spacing w:before="60" w:after="60"/>
              <w:rPr>
                <w:rFonts w:eastAsia="Calibri" w:cs="Times New Roman"/>
                <w:sz w:val="18"/>
                <w:szCs w:val="18"/>
              </w:rPr>
            </w:pPr>
            <w:r w:rsidRPr="00C05D97">
              <w:rPr>
                <w:rFonts w:eastAsia="Calibri" w:cs="Times New Roman"/>
                <w:sz w:val="18"/>
                <w:szCs w:val="18"/>
              </w:rPr>
              <w:t>Ms. Sasa Subban</w:t>
            </w:r>
          </w:p>
        </w:tc>
        <w:tc>
          <w:tcPr>
            <w:tcW w:w="730" w:type="pct"/>
          </w:tcPr>
          <w:p w:rsidR="00C83E8D" w:rsidRPr="00345F61" w:rsidRDefault="00C05D97" w:rsidP="00C83E8D">
            <w:pPr>
              <w:spacing w:before="60" w:after="60"/>
              <w:rPr>
                <w:rFonts w:eastAsia="Calibri" w:cs="Times New Roman"/>
                <w:sz w:val="18"/>
                <w:szCs w:val="18"/>
              </w:rPr>
            </w:pPr>
            <w:r w:rsidRPr="00345F61">
              <w:rPr>
                <w:rFonts w:eastAsia="Times New Roman"/>
                <w:sz w:val="18"/>
                <w:szCs w:val="18"/>
              </w:rPr>
              <w:t>2019-120 management report</w:t>
            </w:r>
          </w:p>
        </w:tc>
        <w:tc>
          <w:tcPr>
            <w:tcW w:w="846" w:type="pct"/>
          </w:tcPr>
          <w:p w:rsidR="00C83E8D" w:rsidRDefault="00C05D97" w:rsidP="00C05D97">
            <w:pPr>
              <w:spacing w:before="60" w:after="60"/>
              <w:rPr>
                <w:rFonts w:eastAsia="Calibri" w:cs="Times New Roman"/>
                <w:sz w:val="18"/>
                <w:szCs w:val="18"/>
              </w:rPr>
            </w:pPr>
            <w:r>
              <w:rPr>
                <w:rFonts w:eastAsia="Calibri" w:cs="Times New Roman"/>
                <w:sz w:val="18"/>
                <w:szCs w:val="18"/>
              </w:rPr>
              <w:t xml:space="preserve">The entity managed to resolve the AUC classification findings raised in the previous audit. </w:t>
            </w:r>
          </w:p>
          <w:p w:rsidR="00C05D97" w:rsidRDefault="00C05D97" w:rsidP="00C05D97">
            <w:pPr>
              <w:spacing w:before="60" w:after="60"/>
              <w:rPr>
                <w:rFonts w:eastAsia="Calibri" w:cs="Times New Roman"/>
                <w:sz w:val="18"/>
                <w:szCs w:val="18"/>
              </w:rPr>
            </w:pPr>
            <w:r>
              <w:rPr>
                <w:rFonts w:eastAsia="Calibri" w:cs="Times New Roman"/>
                <w:sz w:val="18"/>
                <w:szCs w:val="18"/>
              </w:rPr>
              <w:t>Improvements were noted on the extent recorded on the IAR as few findings were raised in relation to extents.</w:t>
            </w:r>
          </w:p>
          <w:p w:rsidR="00C05D97" w:rsidRDefault="00C05D97" w:rsidP="00C05D97">
            <w:pPr>
              <w:spacing w:before="60" w:after="60"/>
              <w:rPr>
                <w:rFonts w:eastAsia="Calibri" w:cs="Times New Roman"/>
                <w:sz w:val="18"/>
                <w:szCs w:val="18"/>
              </w:rPr>
            </w:pPr>
          </w:p>
          <w:p w:rsidR="00C05D97" w:rsidRDefault="00C05D97" w:rsidP="00C05D97">
            <w:pPr>
              <w:spacing w:before="60" w:after="60"/>
              <w:rPr>
                <w:rFonts w:eastAsia="Calibri" w:cs="Times New Roman"/>
                <w:sz w:val="18"/>
                <w:szCs w:val="18"/>
              </w:rPr>
            </w:pPr>
            <w:r>
              <w:rPr>
                <w:rFonts w:eastAsia="Calibri" w:cs="Times New Roman"/>
                <w:sz w:val="18"/>
                <w:szCs w:val="18"/>
              </w:rPr>
              <w:t>However, findings raised in r</w:t>
            </w:r>
            <w:r w:rsidR="009E24C8">
              <w:rPr>
                <w:rFonts w:eastAsia="Calibri" w:cs="Times New Roman"/>
                <w:sz w:val="18"/>
                <w:szCs w:val="18"/>
              </w:rPr>
              <w:t>e</w:t>
            </w:r>
            <w:r>
              <w:rPr>
                <w:rFonts w:eastAsia="Calibri" w:cs="Times New Roman"/>
                <w:sz w:val="18"/>
                <w:szCs w:val="18"/>
              </w:rPr>
              <w:t>lation to the deemed cost application on properties valued using AVL rates.</w:t>
            </w:r>
          </w:p>
          <w:p w:rsidR="00C05D97" w:rsidRPr="00345F61" w:rsidRDefault="00C05D97" w:rsidP="00C05D97">
            <w:pPr>
              <w:spacing w:before="60" w:after="60"/>
              <w:rPr>
                <w:rFonts w:eastAsia="Calibri" w:cs="Times New Roman"/>
                <w:sz w:val="18"/>
                <w:szCs w:val="18"/>
              </w:rPr>
            </w:pPr>
            <w:r>
              <w:rPr>
                <w:rFonts w:eastAsia="Calibri" w:cs="Times New Roman"/>
                <w:sz w:val="18"/>
                <w:szCs w:val="18"/>
              </w:rPr>
              <w:t xml:space="preserve">Findings were also raised in relation to ownership of assets disclosed on the IAR. </w:t>
            </w:r>
            <w:r w:rsidR="00A7635F">
              <w:rPr>
                <w:rFonts w:eastAsia="Calibri" w:cs="Times New Roman"/>
                <w:sz w:val="18"/>
                <w:szCs w:val="18"/>
              </w:rPr>
              <w:t>Furthermore,</w:t>
            </w:r>
            <w:r>
              <w:rPr>
                <w:rFonts w:eastAsia="Calibri" w:cs="Times New Roman"/>
                <w:sz w:val="18"/>
                <w:szCs w:val="18"/>
              </w:rPr>
              <w:t xml:space="preserve"> duplicate assets were </w:t>
            </w:r>
            <w:r w:rsidR="00A7635F">
              <w:rPr>
                <w:rFonts w:eastAsia="Calibri" w:cs="Times New Roman"/>
                <w:sz w:val="18"/>
                <w:szCs w:val="18"/>
              </w:rPr>
              <w:t>identified</w:t>
            </w:r>
            <w:r>
              <w:rPr>
                <w:rFonts w:eastAsia="Calibri" w:cs="Times New Roman"/>
                <w:sz w:val="18"/>
                <w:szCs w:val="18"/>
              </w:rPr>
              <w:t xml:space="preserve"> on the IAR.</w:t>
            </w:r>
          </w:p>
        </w:tc>
        <w:tc>
          <w:tcPr>
            <w:tcW w:w="826" w:type="pct"/>
          </w:tcPr>
          <w:p w:rsidR="00C83E8D" w:rsidRPr="00345F61" w:rsidRDefault="00C05D97" w:rsidP="00C83E8D">
            <w:pPr>
              <w:spacing w:before="60" w:after="60"/>
              <w:rPr>
                <w:rFonts w:eastAsia="Calibri" w:cs="Times New Roman"/>
                <w:sz w:val="18"/>
                <w:szCs w:val="18"/>
              </w:rPr>
            </w:pPr>
            <w:r w:rsidRPr="00345F61">
              <w:rPr>
                <w:rFonts w:eastAsia="Calibri" w:cs="Times New Roman"/>
                <w:sz w:val="18"/>
                <w:szCs w:val="18"/>
              </w:rPr>
              <w:t>In progress</w:t>
            </w:r>
          </w:p>
        </w:tc>
      </w:tr>
    </w:tbl>
    <w:p w:rsidR="00C83E8D" w:rsidRPr="0077659B" w:rsidRDefault="00C83E8D" w:rsidP="00345F61">
      <w:pPr>
        <w:pStyle w:val="Numbernormal"/>
        <w:ind w:left="567"/>
        <w:jc w:val="both"/>
      </w:pPr>
    </w:p>
    <w:p w:rsidR="00C22F2B" w:rsidRPr="0077659B" w:rsidRDefault="00A7635F" w:rsidP="00345F61">
      <w:pPr>
        <w:pStyle w:val="Bulletedlist"/>
        <w:ind w:left="567" w:hanging="284"/>
        <w:jc w:val="both"/>
      </w:pPr>
      <w:r w:rsidRPr="00B14AEA">
        <w:t>One</w:t>
      </w:r>
      <w:r>
        <w:t xml:space="preserve"> </w:t>
      </w:r>
      <w:r w:rsidRPr="0077659B">
        <w:t>audit</w:t>
      </w:r>
      <w:r w:rsidR="00C22F2B" w:rsidRPr="0077659B">
        <w:t xml:space="preserve"> recommendations accepted by management in the prior year on matters included in the auditor’s report and other important matters were implemented, or alternative actions were taken to resolve the finding.</w:t>
      </w:r>
    </w:p>
    <w:p w:rsidR="00C22F2B" w:rsidRPr="0077659B" w:rsidRDefault="001D3DFD" w:rsidP="00345F61">
      <w:pPr>
        <w:pStyle w:val="Bulletedlist"/>
        <w:ind w:left="567" w:hanging="284"/>
        <w:jc w:val="both"/>
      </w:pPr>
      <w:r w:rsidRPr="00B14AEA">
        <w:t>Five</w:t>
      </w:r>
      <w:r w:rsidR="00C22F2B" w:rsidRPr="0077659B">
        <w:t xml:space="preserve"> recommendations are still being implemented and </w:t>
      </w:r>
      <w:r w:rsidRPr="00B14AEA">
        <w:t>one</w:t>
      </w:r>
      <w:r w:rsidR="00C22F2B" w:rsidRPr="0077659B">
        <w:t xml:space="preserve"> have not been addressed, or very limited progress has been made. </w:t>
      </w:r>
    </w:p>
    <w:p w:rsidR="00F124FE" w:rsidRPr="0077659B" w:rsidRDefault="00C22F2B" w:rsidP="00345F61">
      <w:pPr>
        <w:pStyle w:val="Bulletedlist"/>
        <w:ind w:left="567" w:hanging="284"/>
        <w:jc w:val="both"/>
      </w:pPr>
      <w:r w:rsidRPr="0077659B">
        <w:t>Details on the status of implementing the</w:t>
      </w:r>
      <w:r w:rsidR="00AA3B58" w:rsidRPr="0077659B">
        <w:t xml:space="preserve"> recommendations made in the</w:t>
      </w:r>
      <w:r w:rsidRPr="0077659B">
        <w:t xml:space="preserve"> previous year(s) </w:t>
      </w:r>
      <w:r w:rsidR="00972A1C" w:rsidRPr="0077659B">
        <w:t>are provided in section</w:t>
      </w:r>
      <w:r w:rsidR="00C140A3" w:rsidRPr="0077659B">
        <w:t xml:space="preserve"> 10</w:t>
      </w:r>
      <w:r w:rsidRPr="0077659B">
        <w:t xml:space="preserve">, which summarises the detailed audit findings. </w:t>
      </w:r>
      <w:bookmarkStart w:id="118" w:name="NewPartG"/>
      <w:bookmarkStart w:id="119" w:name="S5E39"/>
      <w:bookmarkStart w:id="120" w:name="Para59"/>
      <w:bookmarkStart w:id="121" w:name="S5E40"/>
      <w:bookmarkStart w:id="122" w:name="Para62"/>
      <w:bookmarkStart w:id="123" w:name="SEC3"/>
      <w:bookmarkStart w:id="124" w:name="_Toc447106615"/>
      <w:bookmarkEnd w:id="118"/>
      <w:bookmarkEnd w:id="119"/>
      <w:bookmarkEnd w:id="120"/>
      <w:bookmarkEnd w:id="121"/>
      <w:bookmarkEnd w:id="122"/>
      <w:bookmarkEnd w:id="123"/>
    </w:p>
    <w:p w:rsidR="00A908D3" w:rsidRPr="0077659B" w:rsidRDefault="00A908D3">
      <w:pPr>
        <w:pStyle w:val="Numbernormal"/>
      </w:pPr>
    </w:p>
    <w:p w:rsidR="006B1D3E" w:rsidRPr="0077659B" w:rsidRDefault="006B1D3E" w:rsidP="006B1D3E">
      <w:pPr>
        <w:pStyle w:val="Heading2"/>
        <w:rPr>
          <w:rFonts w:eastAsia="Times New Roman"/>
        </w:rPr>
      </w:pPr>
      <w:bookmarkStart w:id="125" w:name="_Toc79349494"/>
      <w:r w:rsidRPr="0077659B">
        <w:t>SECTION 4: Specific focus areas</w:t>
      </w:r>
      <w:bookmarkEnd w:id="125"/>
    </w:p>
    <w:p w:rsidR="009F2DC4" w:rsidRPr="00BB6EEC" w:rsidRDefault="009F2DC4" w:rsidP="00A3735E">
      <w:pPr>
        <w:pStyle w:val="Heading3"/>
        <w:rPr>
          <w:lang w:val="en-ZA"/>
        </w:rPr>
      </w:pPr>
      <w:bookmarkStart w:id="126" w:name="FH"/>
      <w:bookmarkStart w:id="127" w:name="S4E17"/>
      <w:bookmarkStart w:id="128" w:name="_Toc79349495"/>
      <w:bookmarkEnd w:id="124"/>
      <w:bookmarkEnd w:id="126"/>
      <w:bookmarkEnd w:id="127"/>
      <w:r w:rsidRPr="00BB6EEC">
        <w:rPr>
          <w:lang w:val="en-ZA"/>
        </w:rPr>
        <w:t>FINANCIAL VIABILITY</w:t>
      </w:r>
      <w:bookmarkEnd w:id="128"/>
    </w:p>
    <w:p w:rsidR="006431C0" w:rsidRPr="0077659B" w:rsidRDefault="009F2DC4" w:rsidP="00165C2D">
      <w:pPr>
        <w:pStyle w:val="Numbernormal"/>
        <w:numPr>
          <w:ilvl w:val="0"/>
          <w:numId w:val="14"/>
        </w:numPr>
        <w:ind w:left="567"/>
        <w:jc w:val="both"/>
      </w:pPr>
      <w:r w:rsidRPr="0077659B">
        <w:t xml:space="preserve">Our audit included a high-level overview of the </w:t>
      </w:r>
      <w:r w:rsidR="002877D2">
        <w:t>Entity</w:t>
      </w:r>
      <w:r w:rsidRPr="0077659B">
        <w:t>’s financial viability as at year-end. The financial viability assessment provides useful information for accountability and decision-</w:t>
      </w:r>
      <w:r w:rsidRPr="0077659B">
        <w:lastRenderedPageBreak/>
        <w:t>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23"/>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564"/>
        <w:gridCol w:w="4804"/>
        <w:gridCol w:w="2120"/>
        <w:gridCol w:w="2120"/>
      </w:tblGrid>
      <w:tr w:rsidR="000845C2" w:rsidRPr="0077659B" w:rsidTr="00345F61">
        <w:trPr>
          <w:trHeight w:val="340"/>
          <w:tblHeader/>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rsidR="000845C2" w:rsidRPr="0077659B" w:rsidRDefault="000845C2" w:rsidP="00F97DB0">
            <w:pPr>
              <w:spacing w:before="60" w:after="60"/>
              <w:jc w:val="center"/>
              <w:rPr>
                <w:rFonts w:cs="Arial"/>
                <w:b/>
                <w:color w:val="000000"/>
              </w:rPr>
            </w:pPr>
            <w:r w:rsidRPr="0077659B">
              <w:rPr>
                <w:rFonts w:cs="Arial"/>
                <w:b/>
                <w:color w:val="000000"/>
              </w:rPr>
              <w:t>FINANCIAL VIABILITY ASSESSMENT</w:t>
            </w:r>
          </w:p>
        </w:tc>
      </w:tr>
      <w:tr w:rsidR="000845C2" w:rsidRPr="0077659B" w:rsidTr="00345F61">
        <w:trPr>
          <w:trHeight w:val="340"/>
          <w:tblHeader/>
        </w:trPr>
        <w:tc>
          <w:tcPr>
            <w:tcW w:w="2794" w:type="pct"/>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rsidR="000845C2" w:rsidRPr="0077659B" w:rsidRDefault="000845C2" w:rsidP="00F97DB0">
            <w:pPr>
              <w:autoSpaceDE w:val="0"/>
              <w:autoSpaceDN w:val="0"/>
              <w:adjustRightInd w:val="0"/>
              <w:spacing w:before="60" w:after="60"/>
              <w:ind w:left="1452" w:hanging="1276"/>
              <w:rPr>
                <w:rFonts w:cs="Arial"/>
                <w:b/>
                <w:color w:val="000000"/>
              </w:rPr>
            </w:pPr>
          </w:p>
        </w:tc>
        <w:tc>
          <w:tcPr>
            <w:tcW w:w="1103" w:type="pct"/>
            <w:tcBorders>
              <w:top w:val="single" w:sz="12" w:space="0" w:color="000000"/>
              <w:left w:val="single" w:sz="12" w:space="0" w:color="000000"/>
              <w:bottom w:val="single" w:sz="12" w:space="0" w:color="000000"/>
              <w:right w:val="single" w:sz="12" w:space="0" w:color="000000"/>
            </w:tcBorders>
            <w:shd w:val="clear" w:color="auto" w:fill="BFBFBF"/>
            <w:vAlign w:val="center"/>
          </w:tcPr>
          <w:p w:rsidR="000845C2" w:rsidRPr="0077659B" w:rsidRDefault="000845C2" w:rsidP="00F97DB0">
            <w:pPr>
              <w:autoSpaceDE w:val="0"/>
              <w:autoSpaceDN w:val="0"/>
              <w:adjustRightInd w:val="0"/>
              <w:spacing w:before="60" w:after="60"/>
              <w:ind w:left="33"/>
              <w:jc w:val="center"/>
              <w:rPr>
                <w:rFonts w:cs="Arial"/>
                <w:b/>
                <w:color w:val="000000"/>
              </w:rPr>
            </w:pPr>
            <w:r w:rsidRPr="0077659B">
              <w:rPr>
                <w:rFonts w:cs="Arial"/>
                <w:b/>
                <w:color w:val="000000"/>
              </w:rPr>
              <w:t>AS AT 31 MARCH 20</w:t>
            </w:r>
            <w:r>
              <w:rPr>
                <w:rFonts w:cs="Arial"/>
                <w:b/>
                <w:color w:val="000000"/>
              </w:rPr>
              <w:t>21</w:t>
            </w:r>
          </w:p>
        </w:tc>
        <w:tc>
          <w:tcPr>
            <w:tcW w:w="1103" w:type="pct"/>
            <w:tcBorders>
              <w:top w:val="single" w:sz="12" w:space="0" w:color="000000"/>
              <w:left w:val="single" w:sz="12" w:space="0" w:color="000000"/>
              <w:bottom w:val="single" w:sz="12" w:space="0" w:color="000000"/>
              <w:right w:val="single" w:sz="12" w:space="0" w:color="000000"/>
            </w:tcBorders>
            <w:shd w:val="clear" w:color="auto" w:fill="BFBFBF"/>
            <w:vAlign w:val="center"/>
          </w:tcPr>
          <w:p w:rsidR="000845C2" w:rsidRPr="0077659B" w:rsidRDefault="000845C2" w:rsidP="00F97DB0">
            <w:pPr>
              <w:autoSpaceDE w:val="0"/>
              <w:autoSpaceDN w:val="0"/>
              <w:adjustRightInd w:val="0"/>
              <w:spacing w:before="60" w:after="60"/>
              <w:ind w:left="33"/>
              <w:jc w:val="center"/>
              <w:rPr>
                <w:rFonts w:cs="Arial"/>
                <w:b/>
                <w:color w:val="000000"/>
              </w:rPr>
            </w:pPr>
            <w:r w:rsidRPr="0077659B">
              <w:rPr>
                <w:rFonts w:cs="Arial"/>
                <w:b/>
                <w:color w:val="000000"/>
              </w:rPr>
              <w:t>AS AT 31 MARCH 20</w:t>
            </w:r>
            <w:r>
              <w:rPr>
                <w:rFonts w:cs="Arial"/>
                <w:b/>
                <w:color w:val="000000"/>
              </w:rPr>
              <w:t>20</w:t>
            </w:r>
          </w:p>
        </w:tc>
      </w:tr>
      <w:tr w:rsidR="000845C2" w:rsidRPr="0077659B" w:rsidTr="00345F61">
        <w:trPr>
          <w:trHeight w:val="340"/>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rsidR="000845C2" w:rsidRPr="0077659B" w:rsidRDefault="000845C2" w:rsidP="00F97DB0">
            <w:pPr>
              <w:tabs>
                <w:tab w:val="left" w:pos="2405"/>
              </w:tabs>
              <w:spacing w:before="60" w:after="60"/>
              <w:jc w:val="center"/>
              <w:rPr>
                <w:rFonts w:cs="Arial"/>
                <w:b/>
                <w:color w:val="000000"/>
              </w:rPr>
            </w:pPr>
            <w:r w:rsidRPr="0077659B">
              <w:rPr>
                <w:rFonts w:cs="Arial"/>
                <w:b/>
                <w:color w:val="000000"/>
              </w:rPr>
              <w:t>EXPENDITURE MANAGEMENT</w:t>
            </w:r>
          </w:p>
        </w:tc>
      </w:tr>
      <w:tr w:rsidR="000845C2" w:rsidRPr="0077659B" w:rsidTr="00345F61">
        <w:trPr>
          <w:trHeight w:val="340"/>
        </w:trPr>
        <w:tc>
          <w:tcPr>
            <w:tcW w:w="294" w:type="pct"/>
            <w:tcBorders>
              <w:top w:val="single" w:sz="12" w:space="0" w:color="000000"/>
              <w:left w:val="single" w:sz="12" w:space="0" w:color="000000"/>
              <w:bottom w:val="single" w:sz="12" w:space="0" w:color="000000"/>
            </w:tcBorders>
            <w:tcMar>
              <w:left w:w="57" w:type="dxa"/>
              <w:right w:w="28" w:type="dxa"/>
            </w:tcMar>
            <w:vAlign w:val="center"/>
          </w:tcPr>
          <w:p w:rsidR="000845C2" w:rsidRPr="0077659B" w:rsidRDefault="000845C2" w:rsidP="00F97DB0">
            <w:pPr>
              <w:spacing w:before="60" w:after="60"/>
              <w:rPr>
                <w:rFonts w:cs="Arial"/>
              </w:rPr>
            </w:pPr>
            <w:r w:rsidRPr="0077659B">
              <w:rPr>
                <w:rFonts w:cs="Arial"/>
              </w:rPr>
              <w:t>1.1</w:t>
            </w:r>
          </w:p>
        </w:tc>
        <w:tc>
          <w:tcPr>
            <w:tcW w:w="2500" w:type="pct"/>
            <w:tcBorders>
              <w:top w:val="single" w:sz="12" w:space="0" w:color="000000"/>
              <w:bottom w:val="single" w:sz="12" w:space="0" w:color="000000"/>
              <w:right w:val="single" w:sz="4" w:space="0" w:color="000000"/>
            </w:tcBorders>
            <w:tcMar>
              <w:left w:w="108" w:type="dxa"/>
              <w:right w:w="108" w:type="dxa"/>
            </w:tcMar>
            <w:vAlign w:val="center"/>
          </w:tcPr>
          <w:p w:rsidR="000845C2" w:rsidRPr="0077659B" w:rsidRDefault="000845C2" w:rsidP="00F97DB0">
            <w:pPr>
              <w:spacing w:before="60" w:after="60"/>
              <w:rPr>
                <w:rFonts w:cs="Arial"/>
              </w:rPr>
            </w:pPr>
            <w:r w:rsidRPr="0077659B">
              <w:rPr>
                <w:rFonts w:cs="Arial"/>
              </w:rPr>
              <w:t>Creditor payment period</w:t>
            </w:r>
          </w:p>
        </w:tc>
        <w:tc>
          <w:tcPr>
            <w:tcW w:w="1103" w:type="pct"/>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124 </w:t>
            </w:r>
            <w:r w:rsidRPr="0077659B">
              <w:rPr>
                <w:rFonts w:cs="Arial"/>
                <w:b/>
              </w:rPr>
              <w:t>Days</w:t>
            </w:r>
          </w:p>
        </w:tc>
        <w:tc>
          <w:tcPr>
            <w:tcW w:w="1103" w:type="pct"/>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111 </w:t>
            </w:r>
            <w:r w:rsidRPr="0077659B">
              <w:rPr>
                <w:rFonts w:cs="Arial"/>
                <w:b/>
              </w:rPr>
              <w:t>Days</w:t>
            </w:r>
          </w:p>
        </w:tc>
      </w:tr>
      <w:tr w:rsidR="000845C2" w:rsidRPr="0077659B" w:rsidTr="00345F61">
        <w:trPr>
          <w:trHeight w:val="340"/>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rsidR="000845C2" w:rsidRPr="0077659B" w:rsidRDefault="000845C2" w:rsidP="00F97DB0">
            <w:pPr>
              <w:spacing w:before="60" w:after="60"/>
              <w:jc w:val="center"/>
              <w:rPr>
                <w:rFonts w:cs="Arial"/>
                <w:b/>
                <w:color w:val="000000"/>
              </w:rPr>
            </w:pPr>
            <w:r w:rsidRPr="0077659B">
              <w:rPr>
                <w:rFonts w:cs="Arial"/>
                <w:b/>
                <w:color w:val="000000"/>
              </w:rPr>
              <w:t>REVENUE MANAGEMENT</w:t>
            </w:r>
          </w:p>
        </w:tc>
      </w:tr>
      <w:tr w:rsidR="000845C2" w:rsidRPr="0077659B" w:rsidTr="00345F61">
        <w:trPr>
          <w:trHeight w:val="340"/>
        </w:trPr>
        <w:tc>
          <w:tcPr>
            <w:tcW w:w="294" w:type="pct"/>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r w:rsidRPr="0077659B">
              <w:rPr>
                <w:rFonts w:cs="Arial"/>
              </w:rPr>
              <w:t>2.1</w:t>
            </w:r>
          </w:p>
        </w:tc>
        <w:tc>
          <w:tcPr>
            <w:tcW w:w="2500" w:type="pct"/>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0845C2" w:rsidRPr="0077659B" w:rsidRDefault="000845C2" w:rsidP="00F97DB0">
            <w:pPr>
              <w:spacing w:before="60" w:after="60"/>
              <w:rPr>
                <w:rFonts w:cs="Arial"/>
              </w:rPr>
            </w:pPr>
            <w:r w:rsidRPr="0077659B">
              <w:rPr>
                <w:rFonts w:cs="Arial"/>
              </w:rPr>
              <w:t>Debtor-collection period (after impairment)</w:t>
            </w:r>
          </w:p>
        </w:tc>
        <w:tc>
          <w:tcPr>
            <w:tcW w:w="1103" w:type="pct"/>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112 </w:t>
            </w:r>
            <w:r w:rsidRPr="0077659B">
              <w:rPr>
                <w:rFonts w:cs="Arial"/>
                <w:b/>
              </w:rPr>
              <w:t>Days</w:t>
            </w:r>
          </w:p>
        </w:tc>
        <w:tc>
          <w:tcPr>
            <w:tcW w:w="1103" w:type="pct"/>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94 </w:t>
            </w:r>
            <w:r w:rsidRPr="0077659B">
              <w:rPr>
                <w:rFonts w:cs="Arial"/>
                <w:b/>
              </w:rPr>
              <w:t>Days</w:t>
            </w:r>
          </w:p>
        </w:tc>
      </w:tr>
      <w:tr w:rsidR="000845C2" w:rsidRPr="0077659B" w:rsidTr="00345F61">
        <w:trPr>
          <w:trHeight w:val="340"/>
        </w:trPr>
        <w:tc>
          <w:tcPr>
            <w:tcW w:w="294" w:type="pct"/>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r w:rsidRPr="0077659B">
              <w:rPr>
                <w:rFonts w:cs="Arial"/>
              </w:rPr>
              <w:t>2.2</w:t>
            </w:r>
          </w:p>
        </w:tc>
        <w:tc>
          <w:tcPr>
            <w:tcW w:w="2500" w:type="pct"/>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0845C2" w:rsidRPr="0077659B" w:rsidRDefault="000845C2" w:rsidP="00F97DB0">
            <w:pPr>
              <w:spacing w:before="60" w:after="60"/>
              <w:rPr>
                <w:rFonts w:cs="Arial"/>
              </w:rPr>
            </w:pPr>
            <w:r w:rsidRPr="0077659B">
              <w:rPr>
                <w:rFonts w:cs="Arial"/>
              </w:rPr>
              <w:t>Debtors’ impairment provision as a percentage of accounts receivable</w:t>
            </w:r>
          </w:p>
        </w:tc>
        <w:tc>
          <w:tcPr>
            <w:tcW w:w="1103" w:type="pct"/>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15.1 </w:t>
            </w:r>
            <w:r w:rsidRPr="0077659B">
              <w:rPr>
                <w:rFonts w:cs="Arial"/>
                <w:b/>
              </w:rPr>
              <w:t>%</w:t>
            </w:r>
          </w:p>
        </w:tc>
        <w:tc>
          <w:tcPr>
            <w:tcW w:w="1103" w:type="pct"/>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28 </w:t>
            </w:r>
            <w:r w:rsidRPr="0077659B">
              <w:rPr>
                <w:rFonts w:cs="Arial"/>
                <w:b/>
              </w:rPr>
              <w:t>%</w:t>
            </w:r>
          </w:p>
        </w:tc>
      </w:tr>
      <w:tr w:rsidR="000845C2" w:rsidRPr="0077659B" w:rsidTr="00345F61">
        <w:trPr>
          <w:trHeight w:val="70"/>
        </w:trPr>
        <w:tc>
          <w:tcPr>
            <w:tcW w:w="294" w:type="pct"/>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p>
        </w:tc>
        <w:tc>
          <w:tcPr>
            <w:tcW w:w="2500" w:type="pct"/>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0845C2" w:rsidRPr="0077659B" w:rsidRDefault="000845C2" w:rsidP="00165C2D">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debtors’ impairment provision</w:t>
            </w:r>
          </w:p>
          <w:p w:rsidR="000845C2" w:rsidRPr="0077659B" w:rsidRDefault="000845C2" w:rsidP="00165C2D">
            <w:pPr>
              <w:numPr>
                <w:ilvl w:val="0"/>
                <w:numId w:val="7"/>
              </w:numPr>
              <w:spacing w:before="60" w:after="60"/>
              <w:ind w:left="284" w:hanging="284"/>
              <w:rPr>
                <w:rFonts w:cs="Arial"/>
              </w:rPr>
            </w:pPr>
            <w:r w:rsidRPr="0077659B">
              <w:rPr>
                <w:rFonts w:cs="Arial"/>
              </w:rPr>
              <w:t>Amount of accounts receivable</w:t>
            </w:r>
          </w:p>
        </w:tc>
        <w:tc>
          <w:tcPr>
            <w:tcW w:w="1103" w:type="pct"/>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R956 612 000</w:t>
            </w:r>
          </w:p>
          <w:p w:rsidR="000845C2" w:rsidRPr="0077659B" w:rsidRDefault="000845C2" w:rsidP="00F97DB0">
            <w:pPr>
              <w:spacing w:before="60" w:after="60"/>
              <w:jc w:val="center"/>
              <w:rPr>
                <w:rFonts w:cs="Arial"/>
                <w:b/>
              </w:rPr>
            </w:pPr>
            <w:r>
              <w:rPr>
                <w:rFonts w:cs="Arial"/>
                <w:b/>
              </w:rPr>
              <w:t>R6 324 524 000</w:t>
            </w:r>
          </w:p>
        </w:tc>
        <w:tc>
          <w:tcPr>
            <w:tcW w:w="1103" w:type="pct"/>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R 1 535 509 000</w:t>
            </w:r>
          </w:p>
          <w:p w:rsidR="000845C2" w:rsidRPr="0077659B" w:rsidRDefault="000845C2" w:rsidP="00F97DB0">
            <w:pPr>
              <w:spacing w:before="60" w:after="60"/>
              <w:jc w:val="center"/>
              <w:rPr>
                <w:rFonts w:cs="Arial"/>
                <w:b/>
              </w:rPr>
            </w:pPr>
            <w:r>
              <w:rPr>
                <w:rFonts w:cs="Arial"/>
                <w:b/>
              </w:rPr>
              <w:t>R5 419 917 000</w:t>
            </w:r>
          </w:p>
        </w:tc>
      </w:tr>
      <w:tr w:rsidR="000845C2" w:rsidRPr="0077659B" w:rsidTr="00345F61">
        <w:trPr>
          <w:trHeight w:val="340"/>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rsidR="000845C2" w:rsidRPr="0077659B" w:rsidRDefault="000845C2" w:rsidP="00F97DB0">
            <w:pPr>
              <w:spacing w:before="60" w:after="60"/>
              <w:jc w:val="center"/>
              <w:rPr>
                <w:rFonts w:cs="Arial"/>
                <w:b/>
                <w:color w:val="000000"/>
              </w:rPr>
            </w:pPr>
            <w:r w:rsidRPr="0077659B">
              <w:rPr>
                <w:rFonts w:cs="Arial"/>
                <w:b/>
                <w:color w:val="000000"/>
              </w:rPr>
              <w:t>ASSET AND LIABILITY MANAGEMENT</w:t>
            </w:r>
          </w:p>
        </w:tc>
      </w:tr>
      <w:tr w:rsidR="000845C2" w:rsidRPr="0077659B" w:rsidTr="00345F61">
        <w:trPr>
          <w:trHeight w:val="340"/>
        </w:trPr>
        <w:tc>
          <w:tcPr>
            <w:tcW w:w="294" w:type="pct"/>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r w:rsidRPr="0077659B">
              <w:rPr>
                <w:rFonts w:cs="Arial"/>
              </w:rPr>
              <w:t>3.1</w:t>
            </w:r>
          </w:p>
        </w:tc>
        <w:tc>
          <w:tcPr>
            <w:tcW w:w="2500" w:type="pct"/>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0845C2" w:rsidRPr="0077659B" w:rsidRDefault="000845C2" w:rsidP="00F97DB0">
            <w:pPr>
              <w:spacing w:before="60" w:after="60"/>
              <w:rPr>
                <w:rFonts w:cs="Arial"/>
              </w:rPr>
            </w:pPr>
            <w:r w:rsidRPr="0077659B">
              <w:rPr>
                <w:rFonts w:cs="Arial"/>
              </w:rPr>
              <w:t>A deficit for the year was realised (total expenditure exceeded total revenue)</w:t>
            </w:r>
          </w:p>
        </w:tc>
        <w:tc>
          <w:tcPr>
            <w:tcW w:w="1103" w:type="pct"/>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No </w:t>
            </w:r>
          </w:p>
        </w:tc>
        <w:tc>
          <w:tcPr>
            <w:tcW w:w="1103" w:type="pct"/>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No </w:t>
            </w:r>
          </w:p>
        </w:tc>
      </w:tr>
      <w:tr w:rsidR="000845C2" w:rsidRPr="0077659B" w:rsidTr="00345F61">
        <w:trPr>
          <w:trHeight w:val="50"/>
        </w:trPr>
        <w:tc>
          <w:tcPr>
            <w:tcW w:w="294" w:type="pct"/>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p>
        </w:tc>
        <w:tc>
          <w:tcPr>
            <w:tcW w:w="2500" w:type="pct"/>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0845C2" w:rsidRPr="0077659B" w:rsidRDefault="000845C2" w:rsidP="00165C2D">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the surplus/(deficit) for the year</w:t>
            </w:r>
          </w:p>
        </w:tc>
        <w:tc>
          <w:tcPr>
            <w:tcW w:w="1103" w:type="pct"/>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R1 287 432 000</w:t>
            </w:r>
          </w:p>
        </w:tc>
        <w:tc>
          <w:tcPr>
            <w:tcW w:w="1103" w:type="pct"/>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R2 372 075 000</w:t>
            </w:r>
          </w:p>
        </w:tc>
      </w:tr>
      <w:tr w:rsidR="000845C2" w:rsidRPr="0077659B" w:rsidTr="00345F61">
        <w:trPr>
          <w:trHeight w:val="340"/>
        </w:trPr>
        <w:tc>
          <w:tcPr>
            <w:tcW w:w="294" w:type="pct"/>
            <w:vMerge w:val="restart"/>
            <w:tcBorders>
              <w:top w:val="single" w:sz="12" w:space="0" w:color="000000"/>
              <w:left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r w:rsidRPr="0077659B">
              <w:rPr>
                <w:rFonts w:cs="Arial"/>
              </w:rPr>
              <w:t>3.2</w:t>
            </w:r>
          </w:p>
        </w:tc>
        <w:tc>
          <w:tcPr>
            <w:tcW w:w="2500" w:type="pct"/>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0845C2" w:rsidRPr="0077659B" w:rsidRDefault="000845C2" w:rsidP="00F97DB0">
            <w:pPr>
              <w:spacing w:before="60" w:after="60"/>
              <w:rPr>
                <w:rFonts w:cs="Arial"/>
              </w:rPr>
            </w:pPr>
            <w:r w:rsidRPr="0077659B">
              <w:rPr>
                <w:rFonts w:cs="Arial"/>
              </w:rPr>
              <w:t>A net current liability position was realised (total current liabilities exceeded total current assets)</w:t>
            </w:r>
          </w:p>
        </w:tc>
        <w:tc>
          <w:tcPr>
            <w:tcW w:w="1103" w:type="pct"/>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sidRPr="0077659B">
              <w:rPr>
                <w:rFonts w:cs="Arial"/>
                <w:b/>
              </w:rPr>
              <w:t>Yes</w:t>
            </w:r>
          </w:p>
        </w:tc>
        <w:tc>
          <w:tcPr>
            <w:tcW w:w="1103" w:type="pct"/>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sidRPr="0077659B">
              <w:rPr>
                <w:rFonts w:cs="Arial"/>
                <w:b/>
              </w:rPr>
              <w:t>Yes</w:t>
            </w:r>
          </w:p>
        </w:tc>
      </w:tr>
      <w:tr w:rsidR="000845C2" w:rsidRPr="0077659B" w:rsidTr="00345F61">
        <w:trPr>
          <w:trHeight w:val="70"/>
        </w:trPr>
        <w:tc>
          <w:tcPr>
            <w:tcW w:w="294" w:type="pct"/>
            <w:vMerge/>
            <w:tcBorders>
              <w:left w:val="single" w:sz="12" w:space="0" w:color="000000"/>
              <w:bottom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p>
        </w:tc>
        <w:tc>
          <w:tcPr>
            <w:tcW w:w="2500" w:type="pct"/>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0845C2" w:rsidRPr="0077659B" w:rsidRDefault="000845C2" w:rsidP="00165C2D">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the net current assets/(liability) position</w:t>
            </w:r>
          </w:p>
        </w:tc>
        <w:tc>
          <w:tcPr>
            <w:tcW w:w="1103" w:type="pct"/>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(R4 767 426 000)</w:t>
            </w:r>
          </w:p>
        </w:tc>
        <w:tc>
          <w:tcPr>
            <w:tcW w:w="1103" w:type="pct"/>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(R9 130 140 000)</w:t>
            </w:r>
          </w:p>
        </w:tc>
      </w:tr>
      <w:tr w:rsidR="000845C2" w:rsidRPr="0077659B" w:rsidTr="00345F61">
        <w:trPr>
          <w:trHeight w:val="340"/>
        </w:trPr>
        <w:tc>
          <w:tcPr>
            <w:tcW w:w="294" w:type="pct"/>
            <w:vMerge w:val="restart"/>
            <w:tcBorders>
              <w:top w:val="single" w:sz="12" w:space="0" w:color="000000"/>
              <w:left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r w:rsidRPr="0077659B">
              <w:rPr>
                <w:rFonts w:cs="Arial"/>
              </w:rPr>
              <w:t>3.3</w:t>
            </w:r>
          </w:p>
        </w:tc>
        <w:tc>
          <w:tcPr>
            <w:tcW w:w="2500" w:type="pct"/>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0845C2" w:rsidRPr="0077659B" w:rsidRDefault="000845C2" w:rsidP="00F97DB0">
            <w:pPr>
              <w:spacing w:before="60" w:after="60"/>
              <w:rPr>
                <w:rFonts w:cs="Arial"/>
              </w:rPr>
            </w:pPr>
            <w:r w:rsidRPr="0077659B">
              <w:rPr>
                <w:rFonts w:cs="Arial"/>
              </w:rPr>
              <w:t>A net liability position was realised (total liabilities exceeded total assets)</w:t>
            </w:r>
          </w:p>
        </w:tc>
        <w:tc>
          <w:tcPr>
            <w:tcW w:w="1103" w:type="pct"/>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No </w:t>
            </w:r>
          </w:p>
        </w:tc>
        <w:tc>
          <w:tcPr>
            <w:tcW w:w="1103" w:type="pct"/>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No </w:t>
            </w:r>
          </w:p>
        </w:tc>
      </w:tr>
      <w:tr w:rsidR="000845C2" w:rsidRPr="0077659B" w:rsidTr="00345F61">
        <w:trPr>
          <w:trHeight w:val="70"/>
        </w:trPr>
        <w:tc>
          <w:tcPr>
            <w:tcW w:w="294" w:type="pct"/>
            <w:vMerge/>
            <w:tcBorders>
              <w:left w:val="single" w:sz="12" w:space="0" w:color="000000"/>
              <w:bottom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p>
        </w:tc>
        <w:tc>
          <w:tcPr>
            <w:tcW w:w="2500" w:type="pct"/>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0845C2" w:rsidRPr="0077659B" w:rsidRDefault="000845C2" w:rsidP="00165C2D">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the net asset/(liability) position</w:t>
            </w:r>
          </w:p>
        </w:tc>
        <w:tc>
          <w:tcPr>
            <w:tcW w:w="1103" w:type="pct"/>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R133 714 701 000</w:t>
            </w:r>
          </w:p>
        </w:tc>
        <w:tc>
          <w:tcPr>
            <w:tcW w:w="1103" w:type="pct"/>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R145 730 654 000*</w:t>
            </w:r>
          </w:p>
        </w:tc>
      </w:tr>
      <w:tr w:rsidR="000845C2" w:rsidRPr="0077659B" w:rsidTr="00345F61">
        <w:trPr>
          <w:trHeight w:val="340"/>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rsidR="000845C2" w:rsidRPr="0077659B" w:rsidRDefault="000845C2" w:rsidP="00F97DB0">
            <w:pPr>
              <w:spacing w:before="60" w:after="60"/>
              <w:jc w:val="center"/>
              <w:rPr>
                <w:rFonts w:cs="Arial"/>
                <w:b/>
                <w:color w:val="000000"/>
              </w:rPr>
            </w:pPr>
            <w:r w:rsidRPr="0077659B">
              <w:rPr>
                <w:rFonts w:cs="Arial"/>
                <w:b/>
                <w:color w:val="000000"/>
              </w:rPr>
              <w:t>CASH MANAGEMENT</w:t>
            </w:r>
          </w:p>
        </w:tc>
      </w:tr>
      <w:tr w:rsidR="000845C2" w:rsidRPr="0077659B" w:rsidTr="00345F61">
        <w:trPr>
          <w:trHeight w:val="340"/>
        </w:trPr>
        <w:tc>
          <w:tcPr>
            <w:tcW w:w="294" w:type="pct"/>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r w:rsidRPr="0077659B">
              <w:rPr>
                <w:rFonts w:cs="Arial"/>
              </w:rPr>
              <w:t>4.1</w:t>
            </w:r>
          </w:p>
        </w:tc>
        <w:tc>
          <w:tcPr>
            <w:tcW w:w="2500" w:type="pct"/>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0845C2" w:rsidRPr="0077659B" w:rsidRDefault="000845C2" w:rsidP="00F97DB0">
            <w:pPr>
              <w:spacing w:before="60" w:after="60"/>
              <w:rPr>
                <w:rFonts w:cs="Arial"/>
              </w:rPr>
            </w:pPr>
            <w:r w:rsidRPr="0077659B">
              <w:rPr>
                <w:rFonts w:cs="Arial"/>
              </w:rPr>
              <w:t>The year-end bank balance was in overdraft</w:t>
            </w:r>
          </w:p>
        </w:tc>
        <w:tc>
          <w:tcPr>
            <w:tcW w:w="1103" w:type="pct"/>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sidRPr="0077659B">
              <w:rPr>
                <w:rFonts w:cs="Arial"/>
                <w:b/>
              </w:rPr>
              <w:t>Yes</w:t>
            </w:r>
          </w:p>
        </w:tc>
        <w:tc>
          <w:tcPr>
            <w:tcW w:w="1103" w:type="pct"/>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sidRPr="0077659B">
              <w:rPr>
                <w:rFonts w:cs="Arial"/>
                <w:b/>
              </w:rPr>
              <w:t>Yes</w:t>
            </w:r>
          </w:p>
        </w:tc>
      </w:tr>
      <w:tr w:rsidR="000845C2" w:rsidRPr="0077659B" w:rsidTr="00345F61">
        <w:trPr>
          <w:trHeight w:val="50"/>
        </w:trPr>
        <w:tc>
          <w:tcPr>
            <w:tcW w:w="294" w:type="pct"/>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p>
        </w:tc>
        <w:tc>
          <w:tcPr>
            <w:tcW w:w="2500" w:type="pct"/>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0845C2" w:rsidRPr="0077659B" w:rsidRDefault="000845C2" w:rsidP="00165C2D">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year-end bank balance (cash and cash equivalents)/(bank overdraft)</w:t>
            </w:r>
          </w:p>
        </w:tc>
        <w:tc>
          <w:tcPr>
            <w:tcW w:w="1103" w:type="pct"/>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(R900 896 000)</w:t>
            </w:r>
          </w:p>
        </w:tc>
        <w:tc>
          <w:tcPr>
            <w:tcW w:w="1103" w:type="pct"/>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(R2 572 780 000)</w:t>
            </w:r>
          </w:p>
        </w:tc>
      </w:tr>
      <w:tr w:rsidR="000845C2" w:rsidRPr="0077659B" w:rsidTr="00345F61">
        <w:trPr>
          <w:trHeight w:val="340"/>
        </w:trPr>
        <w:tc>
          <w:tcPr>
            <w:tcW w:w="294" w:type="pct"/>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r w:rsidRPr="0077659B">
              <w:rPr>
                <w:rFonts w:cs="Arial"/>
              </w:rPr>
              <w:t>4.2</w:t>
            </w:r>
          </w:p>
        </w:tc>
        <w:tc>
          <w:tcPr>
            <w:tcW w:w="2500" w:type="pct"/>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0845C2" w:rsidRPr="0077659B" w:rsidRDefault="000845C2" w:rsidP="00F97DB0">
            <w:pPr>
              <w:spacing w:before="60" w:after="60"/>
              <w:rPr>
                <w:rFonts w:cs="Arial"/>
              </w:rPr>
            </w:pPr>
            <w:r w:rsidRPr="0077659B">
              <w:rPr>
                <w:rFonts w:cs="Arial"/>
              </w:rPr>
              <w:t>Net cash flows for the year from operating activities were negative</w:t>
            </w:r>
          </w:p>
        </w:tc>
        <w:tc>
          <w:tcPr>
            <w:tcW w:w="1103" w:type="pct"/>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No </w:t>
            </w:r>
          </w:p>
        </w:tc>
        <w:tc>
          <w:tcPr>
            <w:tcW w:w="1103" w:type="pct"/>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No</w:t>
            </w:r>
          </w:p>
        </w:tc>
      </w:tr>
      <w:tr w:rsidR="000845C2" w:rsidRPr="0077659B" w:rsidTr="00345F61">
        <w:trPr>
          <w:trHeight w:val="70"/>
        </w:trPr>
        <w:tc>
          <w:tcPr>
            <w:tcW w:w="294" w:type="pct"/>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p>
        </w:tc>
        <w:tc>
          <w:tcPr>
            <w:tcW w:w="2500" w:type="pct"/>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0845C2" w:rsidRPr="0077659B" w:rsidRDefault="000845C2" w:rsidP="00165C2D">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net cash in/(out)flows for the year from operating activities</w:t>
            </w:r>
          </w:p>
        </w:tc>
        <w:tc>
          <w:tcPr>
            <w:tcW w:w="1103" w:type="pct"/>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R4 317 220 000</w:t>
            </w:r>
          </w:p>
        </w:tc>
        <w:tc>
          <w:tcPr>
            <w:tcW w:w="1103" w:type="pct"/>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R3 075 337 000</w:t>
            </w:r>
          </w:p>
        </w:tc>
      </w:tr>
      <w:tr w:rsidR="000845C2" w:rsidRPr="0077659B" w:rsidTr="00345F61">
        <w:trPr>
          <w:trHeight w:val="340"/>
        </w:trPr>
        <w:tc>
          <w:tcPr>
            <w:tcW w:w="294" w:type="pct"/>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r w:rsidRPr="0077659B">
              <w:rPr>
                <w:rFonts w:cs="Arial"/>
              </w:rPr>
              <w:t>4.3</w:t>
            </w:r>
          </w:p>
        </w:tc>
        <w:tc>
          <w:tcPr>
            <w:tcW w:w="2500" w:type="pct"/>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0845C2" w:rsidRPr="0077659B" w:rsidRDefault="000845C2" w:rsidP="00F97DB0">
            <w:pPr>
              <w:spacing w:before="60" w:after="60"/>
              <w:rPr>
                <w:rFonts w:cs="Arial"/>
              </w:rPr>
            </w:pPr>
            <w:r w:rsidRPr="0077659B">
              <w:rPr>
                <w:rFonts w:cs="Arial"/>
              </w:rPr>
              <w:t>Creditors as a percentage of cash and cash equivalents</w:t>
            </w:r>
          </w:p>
        </w:tc>
        <w:tc>
          <w:tcPr>
            <w:tcW w:w="1103" w:type="pct"/>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Bank in overdraft </w:t>
            </w:r>
          </w:p>
        </w:tc>
        <w:tc>
          <w:tcPr>
            <w:tcW w:w="1103" w:type="pct"/>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0845C2" w:rsidRPr="0077659B" w:rsidRDefault="000845C2" w:rsidP="00F97DB0">
            <w:pPr>
              <w:spacing w:before="60" w:after="60"/>
              <w:jc w:val="center"/>
              <w:rPr>
                <w:rFonts w:cs="Arial"/>
                <w:b/>
              </w:rPr>
            </w:pPr>
            <w:r>
              <w:rPr>
                <w:rFonts w:cs="Arial"/>
                <w:b/>
              </w:rPr>
              <w:t xml:space="preserve">Bank in overdraft </w:t>
            </w:r>
          </w:p>
        </w:tc>
      </w:tr>
      <w:tr w:rsidR="000845C2" w:rsidRPr="0077659B" w:rsidTr="00345F61">
        <w:trPr>
          <w:trHeight w:val="50"/>
        </w:trPr>
        <w:tc>
          <w:tcPr>
            <w:tcW w:w="294" w:type="pct"/>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0845C2" w:rsidRPr="0077659B" w:rsidRDefault="000845C2" w:rsidP="00F97DB0">
            <w:pPr>
              <w:spacing w:before="60" w:after="60"/>
              <w:rPr>
                <w:rFonts w:cs="Arial"/>
              </w:rPr>
            </w:pPr>
          </w:p>
        </w:tc>
        <w:tc>
          <w:tcPr>
            <w:tcW w:w="2500" w:type="pct"/>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0845C2" w:rsidRPr="0077659B" w:rsidRDefault="000845C2" w:rsidP="00165C2D">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creditors (accounts payable)</w:t>
            </w:r>
          </w:p>
          <w:p w:rsidR="000845C2" w:rsidRPr="0077659B" w:rsidRDefault="000845C2" w:rsidP="00165C2D">
            <w:pPr>
              <w:numPr>
                <w:ilvl w:val="0"/>
                <w:numId w:val="7"/>
              </w:numPr>
              <w:spacing w:before="60" w:after="60"/>
              <w:ind w:left="284" w:hanging="284"/>
              <w:rPr>
                <w:rFonts w:cs="Arial"/>
              </w:rPr>
            </w:pPr>
            <w:r w:rsidRPr="0077659B">
              <w:rPr>
                <w:rFonts w:cs="Arial"/>
                <w:color w:val="000000"/>
              </w:rPr>
              <w:lastRenderedPageBreak/>
              <w:t>Amount</w:t>
            </w:r>
            <w:r w:rsidRPr="0077659B">
              <w:rPr>
                <w:rFonts w:cs="Arial"/>
              </w:rPr>
              <w:t xml:space="preserve"> of cash and cash equivalents / (bank overdraft) at year-end</w:t>
            </w:r>
          </w:p>
        </w:tc>
        <w:tc>
          <w:tcPr>
            <w:tcW w:w="1103" w:type="pct"/>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tcPr>
          <w:p w:rsidR="000845C2" w:rsidRPr="0077659B" w:rsidRDefault="000845C2" w:rsidP="00F97DB0">
            <w:pPr>
              <w:spacing w:before="60" w:after="60"/>
              <w:jc w:val="center"/>
              <w:rPr>
                <w:rFonts w:cs="Arial"/>
                <w:b/>
              </w:rPr>
            </w:pPr>
            <w:r>
              <w:rPr>
                <w:rFonts w:cs="Arial"/>
                <w:b/>
              </w:rPr>
              <w:lastRenderedPageBreak/>
              <w:t>R3 459 048 000</w:t>
            </w:r>
          </w:p>
          <w:p w:rsidR="000845C2" w:rsidRPr="0077659B" w:rsidRDefault="000845C2" w:rsidP="00F97DB0">
            <w:pPr>
              <w:spacing w:before="60" w:after="60"/>
              <w:jc w:val="center"/>
              <w:rPr>
                <w:rFonts w:cs="Arial"/>
                <w:b/>
              </w:rPr>
            </w:pPr>
            <w:r>
              <w:rPr>
                <w:rFonts w:cs="Arial"/>
                <w:b/>
              </w:rPr>
              <w:t>(R900 896 000)</w:t>
            </w:r>
          </w:p>
        </w:tc>
        <w:tc>
          <w:tcPr>
            <w:tcW w:w="1103" w:type="pct"/>
            <w:tcBorders>
              <w:top w:val="single" w:sz="4" w:space="0" w:color="000000"/>
              <w:left w:val="single" w:sz="4" w:space="0" w:color="000000"/>
              <w:bottom w:val="single" w:sz="12" w:space="0" w:color="000000"/>
              <w:right w:val="single" w:sz="12" w:space="0" w:color="000000"/>
            </w:tcBorders>
            <w:tcMar>
              <w:left w:w="28" w:type="dxa"/>
              <w:right w:w="28" w:type="dxa"/>
            </w:tcMar>
          </w:tcPr>
          <w:p w:rsidR="000845C2" w:rsidRPr="0077659B" w:rsidRDefault="000845C2" w:rsidP="00F97DB0">
            <w:pPr>
              <w:spacing w:before="60" w:after="60"/>
              <w:jc w:val="center"/>
              <w:rPr>
                <w:rFonts w:cs="Arial"/>
                <w:b/>
              </w:rPr>
            </w:pPr>
            <w:r>
              <w:rPr>
                <w:rFonts w:cs="Arial"/>
                <w:b/>
              </w:rPr>
              <w:t>R3 340 152 000</w:t>
            </w:r>
          </w:p>
          <w:p w:rsidR="000845C2" w:rsidRPr="0077659B" w:rsidRDefault="000845C2" w:rsidP="00F97DB0">
            <w:pPr>
              <w:spacing w:before="60" w:after="60"/>
              <w:jc w:val="center"/>
              <w:rPr>
                <w:rFonts w:cs="Arial"/>
                <w:b/>
              </w:rPr>
            </w:pPr>
            <w:r>
              <w:rPr>
                <w:rFonts w:cs="Arial"/>
                <w:b/>
              </w:rPr>
              <w:t>(R2 572 780 000)</w:t>
            </w:r>
          </w:p>
        </w:tc>
      </w:tr>
      <w:tr w:rsidR="000845C2" w:rsidRPr="0077659B" w:rsidTr="00345F61">
        <w:trPr>
          <w:trHeight w:val="340"/>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BFBFBF"/>
            <w:tcMar>
              <w:left w:w="108" w:type="dxa"/>
              <w:right w:w="108" w:type="dxa"/>
            </w:tcMar>
          </w:tcPr>
          <w:p w:rsidR="000845C2" w:rsidRPr="0077659B" w:rsidRDefault="000845C2" w:rsidP="004229D9">
            <w:pPr>
              <w:spacing w:before="60" w:after="60"/>
              <w:jc w:val="center"/>
              <w:rPr>
                <w:rFonts w:cs="Arial"/>
                <w:b/>
                <w:color w:val="000000"/>
              </w:rPr>
            </w:pPr>
            <w:r w:rsidRPr="0077659B">
              <w:rPr>
                <w:rFonts w:cs="Arial"/>
                <w:b/>
                <w:color w:val="000000"/>
              </w:rPr>
              <w:t xml:space="preserve">OVERALL ASSESSMENT </w:t>
            </w:r>
          </w:p>
        </w:tc>
      </w:tr>
      <w:tr w:rsidR="000845C2" w:rsidRPr="0077659B" w:rsidTr="00345F61">
        <w:trPr>
          <w:trHeight w:val="340"/>
        </w:trPr>
        <w:tc>
          <w:tcPr>
            <w:tcW w:w="2794" w:type="pct"/>
            <w:gridSpan w:val="2"/>
            <w:tcBorders>
              <w:top w:val="single" w:sz="12" w:space="0" w:color="000000"/>
              <w:left w:val="single" w:sz="12" w:space="0" w:color="000000"/>
              <w:bottom w:val="single" w:sz="4" w:space="0" w:color="000000"/>
              <w:right w:val="single" w:sz="4" w:space="0" w:color="000000"/>
            </w:tcBorders>
            <w:tcMar>
              <w:left w:w="108" w:type="dxa"/>
              <w:right w:w="28" w:type="dxa"/>
            </w:tcMar>
            <w:vAlign w:val="center"/>
          </w:tcPr>
          <w:p w:rsidR="000845C2" w:rsidRPr="0077659B" w:rsidRDefault="000845C2" w:rsidP="00F97DB0">
            <w:pPr>
              <w:spacing w:before="60" w:after="60"/>
              <w:rPr>
                <w:rFonts w:cs="Arial"/>
              </w:rPr>
            </w:pPr>
            <w:r w:rsidRPr="0077659B">
              <w:rPr>
                <w:rFonts w:cs="Arial"/>
              </w:rPr>
              <w:t>Overall the financial viability is assessed as:</w:t>
            </w:r>
          </w:p>
        </w:tc>
        <w:tc>
          <w:tcPr>
            <w:tcW w:w="1103" w:type="pct"/>
            <w:tcBorders>
              <w:top w:val="single" w:sz="12" w:space="0" w:color="000000"/>
              <w:left w:val="single" w:sz="4" w:space="0" w:color="000000"/>
              <w:bottom w:val="single" w:sz="4" w:space="0" w:color="000000"/>
              <w:right w:val="single" w:sz="4" w:space="0" w:color="000000"/>
            </w:tcBorders>
            <w:shd w:val="clear" w:color="auto" w:fill="FF0000"/>
            <w:vAlign w:val="center"/>
          </w:tcPr>
          <w:p w:rsidR="000845C2" w:rsidRPr="0077659B" w:rsidRDefault="000845C2" w:rsidP="00F97DB0">
            <w:pPr>
              <w:spacing w:before="60" w:after="60"/>
              <w:jc w:val="center"/>
              <w:rPr>
                <w:rFonts w:cs="Arial"/>
                <w:b/>
                <w:bCs/>
                <w:color w:val="000000"/>
              </w:rPr>
            </w:pPr>
            <w:r w:rsidRPr="0077659B">
              <w:rPr>
                <w:rFonts w:cs="Arial"/>
                <w:b/>
                <w:bCs/>
                <w:color w:val="000000"/>
              </w:rPr>
              <w:t>Red (Unfavourable – Intervention required)</w:t>
            </w:r>
          </w:p>
        </w:tc>
        <w:tc>
          <w:tcPr>
            <w:tcW w:w="1103" w:type="pct"/>
            <w:tcBorders>
              <w:top w:val="single" w:sz="12" w:space="0" w:color="000000"/>
              <w:left w:val="single" w:sz="4" w:space="0" w:color="000000"/>
              <w:bottom w:val="single" w:sz="4" w:space="0" w:color="000000"/>
              <w:right w:val="single" w:sz="12" w:space="0" w:color="000000"/>
            </w:tcBorders>
            <w:shd w:val="clear" w:color="auto" w:fill="FF0000"/>
            <w:vAlign w:val="center"/>
          </w:tcPr>
          <w:p w:rsidR="000845C2" w:rsidRPr="0077659B" w:rsidRDefault="000845C2" w:rsidP="00F97DB0">
            <w:pPr>
              <w:spacing w:before="60" w:after="60"/>
              <w:jc w:val="center"/>
              <w:rPr>
                <w:rFonts w:cs="Arial"/>
                <w:b/>
                <w:bCs/>
                <w:color w:val="000000"/>
              </w:rPr>
            </w:pPr>
            <w:r w:rsidRPr="0077659B">
              <w:rPr>
                <w:rFonts w:cs="Arial"/>
                <w:b/>
                <w:bCs/>
                <w:color w:val="000000"/>
              </w:rPr>
              <w:t>Red (Unfavourable – Intervention required)</w:t>
            </w:r>
          </w:p>
        </w:tc>
      </w:tr>
      <w:tr w:rsidR="000845C2" w:rsidRPr="0077659B" w:rsidTr="00345F61">
        <w:trPr>
          <w:trHeight w:val="340"/>
        </w:trPr>
        <w:tc>
          <w:tcPr>
            <w:tcW w:w="5000" w:type="pct"/>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rsidR="000845C2" w:rsidRPr="0077659B" w:rsidRDefault="000845C2" w:rsidP="00901834">
            <w:pPr>
              <w:pStyle w:val="Default"/>
              <w:rPr>
                <w:rFonts w:cs="Arial"/>
                <w:i/>
              </w:rPr>
            </w:pPr>
          </w:p>
        </w:tc>
      </w:tr>
    </w:tbl>
    <w:p w:rsidR="009F2DC4" w:rsidRDefault="009F2DC4" w:rsidP="006B1D3E">
      <w:pPr>
        <w:pStyle w:val="Heading4"/>
      </w:pPr>
      <w:r w:rsidRPr="0077659B">
        <w:t>High-level comments</w:t>
      </w:r>
    </w:p>
    <w:p w:rsidR="00E24336" w:rsidRPr="00E24336" w:rsidRDefault="00E24336" w:rsidP="00E24336"/>
    <w:p w:rsidR="004B55B2" w:rsidRDefault="004B55B2" w:rsidP="00A065E3">
      <w:pPr>
        <w:pStyle w:val="Numbernormal"/>
        <w:numPr>
          <w:ilvl w:val="0"/>
          <w:numId w:val="14"/>
        </w:numPr>
        <w:ind w:left="567"/>
        <w:jc w:val="both"/>
      </w:pPr>
      <w:bookmarkStart w:id="129" w:name="_Toc447106617"/>
      <w:bookmarkStart w:id="130" w:name="_Toc79349496"/>
      <w:r>
        <w:t>We have expressed an adverse of audit opinion on the financial statements. Consequently, the information in the financial statements is not sufficiently reliable to enable us to perform meaningful analyses of individual financial viability indicators. Our ass</w:t>
      </w:r>
      <w:r w:rsidR="00BC30A8">
        <w:t xml:space="preserve">essment of </w:t>
      </w:r>
      <w:r w:rsidR="00A7635F">
        <w:t>the trading</w:t>
      </w:r>
      <w:r w:rsidR="00BC30A8">
        <w:t xml:space="preserve"> entity</w:t>
      </w:r>
      <w:r>
        <w:t xml:space="preserve">’s financial viability is therefore limited to an ‘unfavourable’ overall assessment, indicating that intervention is required. </w:t>
      </w:r>
    </w:p>
    <w:p w:rsidR="004B55B2" w:rsidRPr="004B55B2" w:rsidRDefault="004B55B2" w:rsidP="004B55B2">
      <w:pPr>
        <w:pStyle w:val="Heading3"/>
        <w:rPr>
          <w:lang w:val="en-ZA"/>
        </w:rPr>
      </w:pPr>
    </w:p>
    <w:p w:rsidR="00F576DC" w:rsidRPr="004B55B2" w:rsidRDefault="00C22F2B" w:rsidP="004B55B2">
      <w:pPr>
        <w:pStyle w:val="Heading3"/>
        <w:rPr>
          <w:lang w:val="en-ZA"/>
        </w:rPr>
      </w:pPr>
      <w:r w:rsidRPr="004B55B2">
        <w:rPr>
          <w:lang w:val="en-ZA"/>
        </w:rPr>
        <w:t>PROCUREMENT AND CONTRACT MANAGEMENT</w:t>
      </w:r>
      <w:bookmarkEnd w:id="129"/>
      <w:bookmarkEnd w:id="130"/>
    </w:p>
    <w:p w:rsidR="00C22F2B" w:rsidRPr="0077659B" w:rsidRDefault="00D35BBA" w:rsidP="00165C2D">
      <w:pPr>
        <w:pStyle w:val="Numbernormal"/>
        <w:numPr>
          <w:ilvl w:val="0"/>
          <w:numId w:val="14"/>
        </w:numPr>
        <w:ind w:left="567"/>
        <w:jc w:val="both"/>
      </w:pPr>
      <w:r w:rsidRPr="0077659B">
        <w:t>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w:t>
      </w:r>
      <w:r w:rsidR="00607800" w:rsidRPr="0077659B">
        <w:t>,</w:t>
      </w:r>
      <w:r w:rsidRPr="0077659B">
        <w:t xml:space="preserve"> and unfair and other irregular practices. </w:t>
      </w:r>
      <w:r w:rsidR="00C22F2B" w:rsidRPr="0077659B">
        <w:t>A summary of the findings from the audit are as follows:</w:t>
      </w:r>
    </w:p>
    <w:p w:rsidR="00C22F2B" w:rsidRPr="0077659B" w:rsidRDefault="00C22F2B" w:rsidP="004229D9">
      <w:pPr>
        <w:pStyle w:val="Heading5"/>
        <w:jc w:val="both"/>
        <w:rPr>
          <w:rFonts w:eastAsia="Calibri"/>
        </w:rPr>
      </w:pPr>
      <w:bookmarkStart w:id="131" w:name="_Toc447106618"/>
      <w:r w:rsidRPr="0077659B">
        <w:rPr>
          <w:rFonts w:eastAsia="Calibri"/>
        </w:rPr>
        <w:t>Irregular expenditure</w:t>
      </w:r>
      <w:bookmarkEnd w:id="131"/>
    </w:p>
    <w:p w:rsidR="00C22F2B" w:rsidRPr="0077659B" w:rsidRDefault="00246D18" w:rsidP="00165C2D">
      <w:pPr>
        <w:pStyle w:val="Numbernormal"/>
        <w:numPr>
          <w:ilvl w:val="0"/>
          <w:numId w:val="14"/>
        </w:numPr>
        <w:ind w:left="567"/>
        <w:jc w:val="both"/>
      </w:pPr>
      <w:r w:rsidRPr="00491DDE">
        <w:t>59 853</w:t>
      </w:r>
      <w:r>
        <w:t> </w:t>
      </w:r>
      <w:r w:rsidRPr="00491DDE">
        <w:t xml:space="preserve">000 </w:t>
      </w:r>
      <w:r>
        <w:t>(95</w:t>
      </w:r>
      <w:r w:rsidRPr="0077659B">
        <w:t xml:space="preserve">%) </w:t>
      </w:r>
      <w:r w:rsidR="00C22F2B" w:rsidRPr="0077659B">
        <w:t xml:space="preserve">of irregular expenditure incurred in the current financial year was as a result of the contravention of SCM legislation. </w:t>
      </w:r>
      <w:r w:rsidRPr="0077659B">
        <w:t>Further irregular expenditure incurred i</w:t>
      </w:r>
      <w:r>
        <w:t>n previous years amounting to R</w:t>
      </w:r>
      <w:r w:rsidRPr="005F1E98">
        <w:t>16 795 000</w:t>
      </w:r>
      <w:r w:rsidRPr="0077659B">
        <w:t>, was also i</w:t>
      </w:r>
      <w:r w:rsidR="00311DE2">
        <w:t>dentified in the current year.60</w:t>
      </w:r>
      <w:r w:rsidR="001D2FF5">
        <w:t>% (100</w:t>
      </w:r>
      <w:r w:rsidRPr="0077659B">
        <w:t xml:space="preserve">% in the prior year) of this irregular expenditure was identified during the audit process and not detected by the </w:t>
      </w:r>
      <w:r>
        <w:t>trading entity</w:t>
      </w:r>
      <w:r w:rsidRPr="0077659B">
        <w:t>’s monit</w:t>
      </w:r>
      <w:r w:rsidR="00324F30">
        <w:t>oring processes. The root causes</w:t>
      </w:r>
      <w:r w:rsidRPr="0077659B">
        <w:t xml:space="preserve"> of the lack of effective prevention and detection are </w:t>
      </w:r>
      <w:r>
        <w:t>inadequate review and monitoring of compliance with SCM processes and requirements</w:t>
      </w:r>
      <w:r w:rsidRPr="0077659B">
        <w:t>.</w:t>
      </w:r>
    </w:p>
    <w:p w:rsidR="00C22F2B" w:rsidRPr="0077659B" w:rsidRDefault="00C22F2B" w:rsidP="004229D9">
      <w:pPr>
        <w:pStyle w:val="Heading5"/>
        <w:jc w:val="both"/>
        <w:rPr>
          <w:rFonts w:eastAsia="Calibri"/>
        </w:rPr>
      </w:pPr>
      <w:bookmarkStart w:id="132" w:name="_Toc447106619"/>
      <w:r w:rsidRPr="0077659B">
        <w:rPr>
          <w:rFonts w:eastAsia="Calibri"/>
        </w:rPr>
        <w:t>Awards to persons in the service of the state and their close family members</w:t>
      </w:r>
      <w:bookmarkEnd w:id="132"/>
    </w:p>
    <w:p w:rsidR="00C22F2B" w:rsidRPr="0077659B" w:rsidRDefault="00C22F2B" w:rsidP="00165C2D">
      <w:pPr>
        <w:pStyle w:val="Numbernormal"/>
        <w:numPr>
          <w:ilvl w:val="0"/>
          <w:numId w:val="14"/>
        </w:numPr>
        <w:ind w:left="567"/>
        <w:jc w:val="both"/>
      </w:pPr>
      <w:r w:rsidRPr="0077659B">
        <w:t xml:space="preserve">The audit included an assessment of the interests of officials and their close family members in suppliers to the </w:t>
      </w:r>
      <w:r w:rsidR="000064B6">
        <w:t>trading entity</w:t>
      </w:r>
      <w:r w:rsidRPr="0077659B">
        <w:t xml:space="preserve">. </w:t>
      </w:r>
      <w:r w:rsidR="00D35BBA" w:rsidRPr="0077659B">
        <w:t xml:space="preserve">Legislation specific to procurement does not prohibit </w:t>
      </w:r>
      <w:r w:rsidR="008A1A13" w:rsidRPr="0077659B">
        <w:t xml:space="preserve">the </w:t>
      </w:r>
      <w:r w:rsidR="000064B6">
        <w:t xml:space="preserve">Property Management Trading </w:t>
      </w:r>
      <w:r w:rsidR="00A7635F">
        <w:t xml:space="preserve">Entity </w:t>
      </w:r>
      <w:r w:rsidR="00A7635F" w:rsidRPr="0077659B">
        <w:t>from</w:t>
      </w:r>
      <w:r w:rsidR="00D35BBA" w:rsidRPr="0077659B">
        <w:t xml:space="preserve"> making </w:t>
      </w:r>
      <w:r w:rsidRPr="0077659B">
        <w:t>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rsidR="00452E68" w:rsidRDefault="00C22F2B" w:rsidP="00165C2D">
      <w:pPr>
        <w:pStyle w:val="Numbernormal"/>
        <w:numPr>
          <w:ilvl w:val="0"/>
          <w:numId w:val="14"/>
        </w:numPr>
        <w:ind w:left="567"/>
        <w:jc w:val="both"/>
      </w:pPr>
      <w:r w:rsidRPr="0077659B">
        <w:t xml:space="preserve">The findings were as follows </w:t>
      </w:r>
      <w:r w:rsidR="00885DA0">
        <w:t>:</w:t>
      </w:r>
    </w:p>
    <w:p w:rsidR="00337D30" w:rsidRDefault="00337D30" w:rsidP="00337D30">
      <w:pPr>
        <w:pStyle w:val="Numbernormal"/>
        <w:jc w:val="both"/>
      </w:pPr>
    </w:p>
    <w:p w:rsidR="00337D30" w:rsidRPr="0077659B" w:rsidRDefault="00337D30" w:rsidP="00337D30">
      <w:pPr>
        <w:pStyle w:val="Numbernormal"/>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1346"/>
        <w:gridCol w:w="1087"/>
        <w:gridCol w:w="1017"/>
        <w:gridCol w:w="1277"/>
        <w:gridCol w:w="1237"/>
        <w:gridCol w:w="942"/>
        <w:gridCol w:w="1101"/>
      </w:tblGrid>
      <w:tr w:rsidR="00C22F2B" w:rsidRPr="004229D9" w:rsidTr="005F4E32">
        <w:tc>
          <w:tcPr>
            <w:tcW w:w="842" w:type="pct"/>
            <w:vMerge w:val="restart"/>
            <w:shd w:val="clear" w:color="auto" w:fill="A6A6A6" w:themeFill="background1" w:themeFillShade="A6"/>
            <w:vAlign w:val="center"/>
          </w:tcPr>
          <w:p w:rsidR="00C22F2B" w:rsidRPr="004229D9" w:rsidRDefault="00C22F2B" w:rsidP="00871C3E">
            <w:pPr>
              <w:pStyle w:val="NoSpacing"/>
              <w:rPr>
                <w:rFonts w:cs="Arial"/>
                <w:sz w:val="18"/>
                <w:szCs w:val="18"/>
                <w:lang w:eastAsia="en-ZA"/>
              </w:rPr>
            </w:pPr>
            <w:r w:rsidRPr="004229D9">
              <w:rPr>
                <w:rFonts w:cs="Arial"/>
                <w:sz w:val="18"/>
                <w:szCs w:val="18"/>
                <w:lang w:eastAsia="en-ZA"/>
              </w:rPr>
              <w:t>Finding</w:t>
            </w:r>
          </w:p>
        </w:tc>
        <w:tc>
          <w:tcPr>
            <w:tcW w:w="699" w:type="pct"/>
            <w:vMerge w:val="restart"/>
            <w:shd w:val="clear" w:color="auto" w:fill="A6A6A6" w:themeFill="background1" w:themeFillShade="A6"/>
            <w:vAlign w:val="center"/>
          </w:tcPr>
          <w:p w:rsidR="00C22F2B" w:rsidRPr="004229D9" w:rsidRDefault="00C22F2B" w:rsidP="00871C3E">
            <w:pPr>
              <w:pStyle w:val="NoSpacing"/>
              <w:rPr>
                <w:rFonts w:cs="Arial"/>
                <w:sz w:val="18"/>
                <w:szCs w:val="18"/>
                <w:lang w:eastAsia="en-ZA"/>
              </w:rPr>
            </w:pPr>
            <w:r w:rsidRPr="004229D9">
              <w:rPr>
                <w:rFonts w:cs="Arial"/>
                <w:sz w:val="18"/>
                <w:szCs w:val="18"/>
                <w:lang w:eastAsia="en-ZA"/>
              </w:rPr>
              <w:t>Number and value of awards made</w:t>
            </w:r>
          </w:p>
        </w:tc>
        <w:tc>
          <w:tcPr>
            <w:tcW w:w="564" w:type="pct"/>
            <w:vMerge w:val="restart"/>
            <w:shd w:val="clear" w:color="auto" w:fill="A6A6A6" w:themeFill="background1" w:themeFillShade="A6"/>
            <w:vAlign w:val="center"/>
          </w:tcPr>
          <w:p w:rsidR="00C22F2B" w:rsidRPr="004229D9" w:rsidRDefault="00C22F2B" w:rsidP="00871C3E">
            <w:pPr>
              <w:pStyle w:val="NoSpacing"/>
              <w:rPr>
                <w:rFonts w:cs="Arial"/>
                <w:sz w:val="18"/>
                <w:szCs w:val="18"/>
                <w:lang w:eastAsia="en-ZA"/>
              </w:rPr>
            </w:pPr>
            <w:r w:rsidRPr="004229D9">
              <w:rPr>
                <w:rFonts w:cs="Arial"/>
                <w:sz w:val="18"/>
                <w:szCs w:val="18"/>
                <w:lang w:eastAsia="en-ZA"/>
              </w:rPr>
              <w:t>Number and positions of official identified</w:t>
            </w:r>
          </w:p>
        </w:tc>
        <w:tc>
          <w:tcPr>
            <w:tcW w:w="528" w:type="pct"/>
            <w:vMerge w:val="restart"/>
            <w:shd w:val="clear" w:color="auto" w:fill="A6A6A6" w:themeFill="background1" w:themeFillShade="A6"/>
            <w:vAlign w:val="center"/>
          </w:tcPr>
          <w:p w:rsidR="00C22F2B" w:rsidRPr="004229D9" w:rsidRDefault="00C22F2B" w:rsidP="00871C3E">
            <w:pPr>
              <w:pStyle w:val="NoSpacing"/>
              <w:rPr>
                <w:rFonts w:cs="Arial"/>
                <w:sz w:val="18"/>
                <w:szCs w:val="18"/>
                <w:lang w:eastAsia="en-ZA"/>
              </w:rPr>
            </w:pPr>
            <w:r w:rsidRPr="004229D9">
              <w:rPr>
                <w:rFonts w:cs="Arial"/>
                <w:sz w:val="18"/>
                <w:szCs w:val="18"/>
                <w:lang w:eastAsia="en-ZA"/>
              </w:rPr>
              <w:t>Number of suppliers identified</w:t>
            </w:r>
          </w:p>
        </w:tc>
        <w:tc>
          <w:tcPr>
            <w:tcW w:w="2366" w:type="pct"/>
            <w:gridSpan w:val="4"/>
            <w:shd w:val="clear" w:color="auto" w:fill="A6A6A6" w:themeFill="background1" w:themeFillShade="A6"/>
            <w:vAlign w:val="center"/>
          </w:tcPr>
          <w:p w:rsidR="00C22F2B" w:rsidRPr="004229D9" w:rsidRDefault="00C22F2B" w:rsidP="00871C3E">
            <w:pPr>
              <w:pStyle w:val="NoSpacing"/>
              <w:rPr>
                <w:rFonts w:cs="Arial"/>
                <w:sz w:val="18"/>
                <w:szCs w:val="18"/>
                <w:lang w:eastAsia="en-ZA"/>
              </w:rPr>
            </w:pPr>
            <w:r w:rsidRPr="004229D9">
              <w:rPr>
                <w:rFonts w:cs="Arial"/>
                <w:sz w:val="18"/>
                <w:szCs w:val="18"/>
                <w:lang w:eastAsia="en-ZA"/>
              </w:rPr>
              <w:t>Further non-compliance or irregularities regarding the awards</w:t>
            </w:r>
          </w:p>
        </w:tc>
      </w:tr>
      <w:tr w:rsidR="00C22F2B" w:rsidRPr="004229D9" w:rsidTr="005F4E32">
        <w:tc>
          <w:tcPr>
            <w:tcW w:w="842" w:type="pct"/>
            <w:vMerge/>
            <w:shd w:val="clear" w:color="auto" w:fill="A6A6A6" w:themeFill="background1" w:themeFillShade="A6"/>
          </w:tcPr>
          <w:p w:rsidR="00C22F2B" w:rsidRPr="004229D9" w:rsidRDefault="00C22F2B" w:rsidP="00871C3E">
            <w:pPr>
              <w:pStyle w:val="NoSpacing"/>
              <w:rPr>
                <w:rFonts w:cs="Arial"/>
                <w:sz w:val="18"/>
                <w:szCs w:val="18"/>
                <w:lang w:eastAsia="en-ZA"/>
              </w:rPr>
            </w:pPr>
          </w:p>
        </w:tc>
        <w:tc>
          <w:tcPr>
            <w:tcW w:w="699" w:type="pct"/>
            <w:vMerge/>
            <w:shd w:val="clear" w:color="auto" w:fill="A6A6A6" w:themeFill="background1" w:themeFillShade="A6"/>
          </w:tcPr>
          <w:p w:rsidR="00C22F2B" w:rsidRPr="004229D9" w:rsidRDefault="00C22F2B" w:rsidP="00871C3E">
            <w:pPr>
              <w:pStyle w:val="NoSpacing"/>
              <w:rPr>
                <w:rFonts w:cs="Arial"/>
                <w:sz w:val="18"/>
                <w:szCs w:val="18"/>
                <w:lang w:eastAsia="en-ZA"/>
              </w:rPr>
            </w:pPr>
          </w:p>
        </w:tc>
        <w:tc>
          <w:tcPr>
            <w:tcW w:w="564" w:type="pct"/>
            <w:vMerge/>
            <w:shd w:val="clear" w:color="auto" w:fill="A6A6A6" w:themeFill="background1" w:themeFillShade="A6"/>
          </w:tcPr>
          <w:p w:rsidR="00C22F2B" w:rsidRPr="004229D9" w:rsidRDefault="00C22F2B" w:rsidP="00871C3E">
            <w:pPr>
              <w:pStyle w:val="NoSpacing"/>
              <w:rPr>
                <w:rFonts w:cs="Arial"/>
                <w:sz w:val="18"/>
                <w:szCs w:val="18"/>
                <w:lang w:eastAsia="en-ZA"/>
              </w:rPr>
            </w:pPr>
          </w:p>
        </w:tc>
        <w:tc>
          <w:tcPr>
            <w:tcW w:w="528" w:type="pct"/>
            <w:vMerge/>
            <w:shd w:val="clear" w:color="auto" w:fill="A6A6A6" w:themeFill="background1" w:themeFillShade="A6"/>
          </w:tcPr>
          <w:p w:rsidR="00C22F2B" w:rsidRPr="004229D9" w:rsidRDefault="00C22F2B" w:rsidP="00871C3E">
            <w:pPr>
              <w:pStyle w:val="NoSpacing"/>
              <w:rPr>
                <w:rFonts w:cs="Arial"/>
                <w:sz w:val="18"/>
                <w:szCs w:val="18"/>
                <w:lang w:eastAsia="en-ZA"/>
              </w:rPr>
            </w:pPr>
          </w:p>
        </w:tc>
        <w:tc>
          <w:tcPr>
            <w:tcW w:w="663" w:type="pct"/>
            <w:shd w:val="clear" w:color="auto" w:fill="D9D9D9" w:themeFill="background1" w:themeFillShade="D9"/>
            <w:vAlign w:val="center"/>
          </w:tcPr>
          <w:p w:rsidR="00C22F2B" w:rsidRPr="004229D9" w:rsidRDefault="00C22F2B" w:rsidP="00871C3E">
            <w:pPr>
              <w:pStyle w:val="NoSpacing"/>
              <w:rPr>
                <w:rFonts w:cs="Arial"/>
                <w:sz w:val="18"/>
                <w:szCs w:val="18"/>
                <w:lang w:eastAsia="en-ZA"/>
              </w:rPr>
            </w:pPr>
            <w:r w:rsidRPr="004229D9">
              <w:rPr>
                <w:rFonts w:cs="Arial"/>
                <w:sz w:val="18"/>
                <w:szCs w:val="18"/>
                <w:lang w:eastAsia="en-ZA"/>
              </w:rPr>
              <w:t>Supplier did not submit declarations of interest</w:t>
            </w:r>
          </w:p>
        </w:tc>
        <w:tc>
          <w:tcPr>
            <w:tcW w:w="642" w:type="pct"/>
            <w:shd w:val="clear" w:color="auto" w:fill="D9D9D9" w:themeFill="background1" w:themeFillShade="D9"/>
            <w:vAlign w:val="center"/>
          </w:tcPr>
          <w:p w:rsidR="00C22F2B" w:rsidRPr="004229D9" w:rsidRDefault="00C22F2B" w:rsidP="00871C3E">
            <w:pPr>
              <w:pStyle w:val="NoSpacing"/>
              <w:rPr>
                <w:rFonts w:cs="Arial"/>
                <w:sz w:val="18"/>
                <w:szCs w:val="18"/>
                <w:lang w:eastAsia="en-ZA"/>
              </w:rPr>
            </w:pPr>
            <w:r w:rsidRPr="004229D9">
              <w:rPr>
                <w:rFonts w:cs="Arial"/>
                <w:sz w:val="18"/>
                <w:szCs w:val="18"/>
                <w:lang w:eastAsia="en-ZA"/>
              </w:rPr>
              <w:t>Supplier did not declare interest (false declaration)</w:t>
            </w:r>
          </w:p>
        </w:tc>
        <w:tc>
          <w:tcPr>
            <w:tcW w:w="489" w:type="pct"/>
            <w:shd w:val="clear" w:color="auto" w:fill="D9D9D9" w:themeFill="background1" w:themeFillShade="D9"/>
            <w:vAlign w:val="center"/>
          </w:tcPr>
          <w:p w:rsidR="00C22F2B" w:rsidRPr="004229D9" w:rsidRDefault="00C22F2B" w:rsidP="00871C3E">
            <w:pPr>
              <w:pStyle w:val="NoSpacing"/>
              <w:rPr>
                <w:rFonts w:cs="Arial"/>
                <w:sz w:val="18"/>
                <w:szCs w:val="18"/>
                <w:lang w:eastAsia="en-ZA"/>
              </w:rPr>
            </w:pPr>
            <w:r w:rsidRPr="004229D9">
              <w:rPr>
                <w:rFonts w:cs="Arial"/>
                <w:sz w:val="18"/>
                <w:szCs w:val="18"/>
                <w:lang w:eastAsia="en-ZA"/>
              </w:rPr>
              <w:t>Official did not declare interest</w:t>
            </w:r>
          </w:p>
        </w:tc>
        <w:tc>
          <w:tcPr>
            <w:tcW w:w="572" w:type="pct"/>
            <w:shd w:val="clear" w:color="auto" w:fill="D9D9D9" w:themeFill="background1" w:themeFillShade="D9"/>
            <w:vAlign w:val="center"/>
          </w:tcPr>
          <w:p w:rsidR="00C22F2B" w:rsidRPr="004229D9" w:rsidRDefault="00C22F2B" w:rsidP="00871C3E">
            <w:pPr>
              <w:pStyle w:val="NoSpacing"/>
              <w:rPr>
                <w:rFonts w:cs="Arial"/>
                <w:sz w:val="18"/>
                <w:szCs w:val="18"/>
                <w:lang w:eastAsia="en-ZA"/>
              </w:rPr>
            </w:pPr>
            <w:r w:rsidRPr="004229D9">
              <w:rPr>
                <w:rFonts w:cs="Arial"/>
                <w:sz w:val="18"/>
                <w:szCs w:val="18"/>
                <w:lang w:eastAsia="en-ZA"/>
              </w:rPr>
              <w:t>Official was involved in awarding the contract/ quotation</w:t>
            </w:r>
          </w:p>
        </w:tc>
      </w:tr>
      <w:tr w:rsidR="002B7F23" w:rsidRPr="004229D9" w:rsidTr="005F4E32">
        <w:tc>
          <w:tcPr>
            <w:tcW w:w="842" w:type="pct"/>
          </w:tcPr>
          <w:p w:rsidR="002B7F23" w:rsidRPr="004229D9" w:rsidRDefault="002B7F23" w:rsidP="00871C3E">
            <w:pPr>
              <w:pStyle w:val="Tabletext"/>
              <w:rPr>
                <w:rFonts w:cs="Arial"/>
                <w:szCs w:val="18"/>
                <w:lang w:eastAsia="en-ZA"/>
              </w:rPr>
            </w:pPr>
            <w:r w:rsidRPr="004229D9">
              <w:rPr>
                <w:rFonts w:cs="Arial"/>
                <w:szCs w:val="18"/>
                <w:lang w:eastAsia="en-ZA"/>
              </w:rPr>
              <w:t>Awards made to business partners and associates of offici</w:t>
            </w:r>
            <w:r w:rsidR="00166A28">
              <w:rPr>
                <w:rFonts w:cs="Arial"/>
                <w:szCs w:val="18"/>
                <w:lang w:eastAsia="en-ZA"/>
              </w:rPr>
              <w:t>als of the trading entity</w:t>
            </w:r>
          </w:p>
        </w:tc>
        <w:tc>
          <w:tcPr>
            <w:tcW w:w="699" w:type="pct"/>
          </w:tcPr>
          <w:p w:rsidR="002B7F23" w:rsidRPr="004229D9" w:rsidRDefault="00166A28" w:rsidP="00871C3E">
            <w:pPr>
              <w:pStyle w:val="Tabletext"/>
              <w:rPr>
                <w:rFonts w:cs="Arial"/>
                <w:szCs w:val="18"/>
                <w:lang w:eastAsia="en-ZA"/>
              </w:rPr>
            </w:pPr>
            <w:r>
              <w:rPr>
                <w:rFonts w:cs="Arial"/>
                <w:szCs w:val="18"/>
                <w:lang w:eastAsia="en-ZA"/>
              </w:rPr>
              <w:t>2</w:t>
            </w:r>
          </w:p>
          <w:p w:rsidR="002B7F23" w:rsidRPr="004229D9" w:rsidRDefault="00166A28" w:rsidP="00871C3E">
            <w:pPr>
              <w:pStyle w:val="Tabletext"/>
              <w:rPr>
                <w:rFonts w:cs="Arial"/>
                <w:szCs w:val="18"/>
                <w:lang w:eastAsia="en-ZA"/>
              </w:rPr>
            </w:pPr>
            <w:r>
              <w:rPr>
                <w:rFonts w:cs="Arial"/>
                <w:szCs w:val="18"/>
                <w:lang w:eastAsia="en-ZA"/>
              </w:rPr>
              <w:t>R</w:t>
            </w:r>
            <w:r>
              <w:t xml:space="preserve"> </w:t>
            </w:r>
            <w:r>
              <w:rPr>
                <w:rFonts w:cs="Arial"/>
                <w:szCs w:val="18"/>
                <w:lang w:eastAsia="en-ZA"/>
              </w:rPr>
              <w:t>9 761 361</w:t>
            </w:r>
          </w:p>
          <w:p w:rsidR="002B7F23" w:rsidRPr="004229D9" w:rsidRDefault="002B7F23" w:rsidP="00871C3E">
            <w:pPr>
              <w:pStyle w:val="Tabletext"/>
              <w:rPr>
                <w:rFonts w:cs="Arial"/>
                <w:szCs w:val="18"/>
                <w:lang w:eastAsia="en-ZA"/>
              </w:rPr>
            </w:pPr>
            <w:r w:rsidRPr="004229D9">
              <w:rPr>
                <w:rFonts w:cs="Arial"/>
                <w:szCs w:val="18"/>
                <w:lang w:eastAsia="en-ZA"/>
              </w:rPr>
              <w:t xml:space="preserve"> </w:t>
            </w:r>
          </w:p>
        </w:tc>
        <w:tc>
          <w:tcPr>
            <w:tcW w:w="564" w:type="pct"/>
          </w:tcPr>
          <w:p w:rsidR="002B7F23" w:rsidRPr="004229D9" w:rsidRDefault="00166A28" w:rsidP="00871C3E">
            <w:pPr>
              <w:pStyle w:val="Tabletext"/>
              <w:rPr>
                <w:rFonts w:cs="Arial"/>
                <w:szCs w:val="18"/>
                <w:lang w:eastAsia="en-ZA"/>
              </w:rPr>
            </w:pPr>
            <w:r>
              <w:rPr>
                <w:rFonts w:cs="Arial"/>
                <w:szCs w:val="18"/>
                <w:lang w:eastAsia="en-ZA"/>
              </w:rPr>
              <w:t>1</w:t>
            </w:r>
          </w:p>
          <w:p w:rsidR="002B7F23" w:rsidRPr="004229D9" w:rsidRDefault="00166A28" w:rsidP="00871C3E">
            <w:pPr>
              <w:pStyle w:val="Tabletext"/>
              <w:rPr>
                <w:rFonts w:cs="Arial"/>
                <w:szCs w:val="18"/>
                <w:lang w:eastAsia="en-ZA"/>
              </w:rPr>
            </w:pPr>
            <w:r>
              <w:rPr>
                <w:rFonts w:cs="Arial"/>
                <w:szCs w:val="18"/>
                <w:lang w:eastAsia="en-ZA"/>
              </w:rPr>
              <w:t xml:space="preserve">Deputy director financial accounting </w:t>
            </w:r>
          </w:p>
        </w:tc>
        <w:tc>
          <w:tcPr>
            <w:tcW w:w="528" w:type="pct"/>
          </w:tcPr>
          <w:p w:rsidR="002B7F23" w:rsidRPr="004229D9" w:rsidRDefault="00166A28" w:rsidP="00871C3E">
            <w:pPr>
              <w:pStyle w:val="Tabletext"/>
              <w:rPr>
                <w:rFonts w:cs="Arial"/>
                <w:szCs w:val="18"/>
                <w:lang w:eastAsia="en-ZA"/>
              </w:rPr>
            </w:pPr>
            <w:r>
              <w:rPr>
                <w:rFonts w:cs="Arial"/>
                <w:szCs w:val="18"/>
                <w:lang w:eastAsia="en-ZA"/>
              </w:rPr>
              <w:t>2</w:t>
            </w:r>
          </w:p>
        </w:tc>
        <w:tc>
          <w:tcPr>
            <w:tcW w:w="663" w:type="pct"/>
          </w:tcPr>
          <w:p w:rsidR="002B7F23" w:rsidRPr="004229D9" w:rsidRDefault="00166A28" w:rsidP="00871C3E">
            <w:pPr>
              <w:pStyle w:val="Tabletext"/>
              <w:rPr>
                <w:rFonts w:cs="Arial"/>
                <w:szCs w:val="18"/>
                <w:lang w:eastAsia="en-ZA"/>
              </w:rPr>
            </w:pPr>
            <w:r>
              <w:rPr>
                <w:rFonts w:cs="Arial"/>
                <w:szCs w:val="18"/>
                <w:lang w:eastAsia="en-ZA"/>
              </w:rPr>
              <w:t>0</w:t>
            </w:r>
          </w:p>
        </w:tc>
        <w:tc>
          <w:tcPr>
            <w:tcW w:w="642" w:type="pct"/>
          </w:tcPr>
          <w:p w:rsidR="002B7F23" w:rsidRPr="004229D9" w:rsidRDefault="00166A28" w:rsidP="00871C3E">
            <w:pPr>
              <w:pStyle w:val="Tabletext"/>
              <w:rPr>
                <w:rFonts w:cs="Arial"/>
                <w:szCs w:val="18"/>
                <w:lang w:eastAsia="en-ZA"/>
              </w:rPr>
            </w:pPr>
            <w:r>
              <w:rPr>
                <w:rFonts w:cs="Arial"/>
                <w:szCs w:val="18"/>
                <w:lang w:eastAsia="en-ZA"/>
              </w:rPr>
              <w:t>0</w:t>
            </w:r>
          </w:p>
        </w:tc>
        <w:tc>
          <w:tcPr>
            <w:tcW w:w="489" w:type="pct"/>
          </w:tcPr>
          <w:p w:rsidR="002B7F23" w:rsidRPr="004229D9" w:rsidRDefault="00166A28" w:rsidP="00871C3E">
            <w:pPr>
              <w:pStyle w:val="Tabletext"/>
              <w:rPr>
                <w:rFonts w:cs="Arial"/>
                <w:szCs w:val="18"/>
                <w:lang w:eastAsia="en-ZA"/>
              </w:rPr>
            </w:pPr>
            <w:r>
              <w:rPr>
                <w:rFonts w:cs="Arial"/>
                <w:szCs w:val="18"/>
                <w:lang w:eastAsia="en-ZA"/>
              </w:rPr>
              <w:t>0</w:t>
            </w:r>
          </w:p>
        </w:tc>
        <w:tc>
          <w:tcPr>
            <w:tcW w:w="572" w:type="pct"/>
          </w:tcPr>
          <w:p w:rsidR="002B7F23" w:rsidRPr="004229D9" w:rsidRDefault="00166A28" w:rsidP="00871C3E">
            <w:pPr>
              <w:pStyle w:val="Tabletext"/>
              <w:rPr>
                <w:rFonts w:cs="Arial"/>
                <w:szCs w:val="18"/>
                <w:lang w:eastAsia="en-ZA"/>
              </w:rPr>
            </w:pPr>
            <w:r>
              <w:rPr>
                <w:rFonts w:cs="Arial"/>
                <w:szCs w:val="18"/>
                <w:lang w:eastAsia="en-ZA"/>
              </w:rPr>
              <w:t>No</w:t>
            </w:r>
          </w:p>
        </w:tc>
      </w:tr>
    </w:tbl>
    <w:p w:rsidR="004229D9" w:rsidRDefault="004229D9" w:rsidP="006B1D3E">
      <w:pPr>
        <w:pStyle w:val="Heading5"/>
        <w:rPr>
          <w:rFonts w:eastAsia="Calibri"/>
          <w:bCs w:val="0"/>
          <w:color w:val="auto"/>
          <w:sz w:val="22"/>
        </w:rPr>
      </w:pPr>
      <w:bookmarkStart w:id="133" w:name="_Toc447106620"/>
    </w:p>
    <w:p w:rsidR="00C22F2B" w:rsidRPr="0077659B" w:rsidRDefault="00C22F2B" w:rsidP="004229D9">
      <w:pPr>
        <w:pStyle w:val="Heading5"/>
        <w:jc w:val="both"/>
        <w:rPr>
          <w:rFonts w:eastAsia="Calibri"/>
        </w:rPr>
      </w:pPr>
      <w:r w:rsidRPr="0077659B">
        <w:rPr>
          <w:rFonts w:eastAsia="Calibri"/>
        </w:rPr>
        <w:t>Procurement processes</w:t>
      </w:r>
      <w:bookmarkEnd w:id="133"/>
    </w:p>
    <w:p w:rsidR="00C22F2B" w:rsidRPr="0077659B" w:rsidRDefault="00C22F2B" w:rsidP="00165C2D">
      <w:pPr>
        <w:pStyle w:val="Numbernormal"/>
        <w:numPr>
          <w:ilvl w:val="0"/>
          <w:numId w:val="14"/>
        </w:numPr>
        <w:ind w:left="567"/>
        <w:jc w:val="both"/>
      </w:pPr>
      <w:r w:rsidRPr="0077659B">
        <w:t>The table below is a summary of findings identified on procurement processes:</w:t>
      </w:r>
    </w:p>
    <w:tbl>
      <w:tblPr>
        <w:tblStyle w:val="TableGrid14"/>
        <w:tblW w:w="10093" w:type="dxa"/>
        <w:tblInd w:w="108" w:type="dxa"/>
        <w:tblLayout w:type="fixed"/>
        <w:tblLook w:val="04A0" w:firstRow="1" w:lastRow="0" w:firstColumn="1" w:lastColumn="0" w:noHBand="0" w:noVBand="1"/>
      </w:tblPr>
      <w:tblGrid>
        <w:gridCol w:w="2700"/>
        <w:gridCol w:w="1128"/>
        <w:gridCol w:w="1446"/>
        <w:gridCol w:w="846"/>
        <w:gridCol w:w="1260"/>
        <w:gridCol w:w="1080"/>
        <w:gridCol w:w="1633"/>
      </w:tblGrid>
      <w:tr w:rsidR="00D66F9E" w:rsidRPr="0077659B" w:rsidTr="005713D0">
        <w:tc>
          <w:tcPr>
            <w:tcW w:w="2700" w:type="dxa"/>
            <w:vMerge w:val="restart"/>
            <w:shd w:val="clear" w:color="auto" w:fill="A6A6A6" w:themeFill="background1" w:themeFillShade="A6"/>
          </w:tcPr>
          <w:p w:rsidR="00D66F9E" w:rsidRPr="0077659B" w:rsidRDefault="00D66F9E" w:rsidP="005713D0">
            <w:pPr>
              <w:pStyle w:val="NoSpacing"/>
            </w:pPr>
          </w:p>
        </w:tc>
        <w:tc>
          <w:tcPr>
            <w:tcW w:w="2574" w:type="dxa"/>
            <w:gridSpan w:val="2"/>
            <w:shd w:val="clear" w:color="auto" w:fill="A6A6A6" w:themeFill="background1" w:themeFillShade="A6"/>
          </w:tcPr>
          <w:p w:rsidR="00D66F9E" w:rsidRPr="0077659B" w:rsidRDefault="00D66F9E" w:rsidP="005713D0">
            <w:pPr>
              <w:pStyle w:val="NoSpacing"/>
            </w:pPr>
            <w:r w:rsidRPr="0077659B">
              <w:t>Total</w:t>
            </w:r>
          </w:p>
        </w:tc>
        <w:tc>
          <w:tcPr>
            <w:tcW w:w="2106" w:type="dxa"/>
            <w:gridSpan w:val="2"/>
            <w:shd w:val="clear" w:color="auto" w:fill="A6A6A6" w:themeFill="background1" w:themeFillShade="A6"/>
          </w:tcPr>
          <w:p w:rsidR="00D66F9E" w:rsidRPr="0077659B" w:rsidRDefault="00D66F9E" w:rsidP="005713D0">
            <w:pPr>
              <w:pStyle w:val="NoSpacing"/>
            </w:pPr>
            <w:r w:rsidRPr="0077659B">
              <w:t>Quotations (below R500 000)</w:t>
            </w:r>
          </w:p>
        </w:tc>
        <w:tc>
          <w:tcPr>
            <w:tcW w:w="2713" w:type="dxa"/>
            <w:gridSpan w:val="2"/>
            <w:shd w:val="clear" w:color="auto" w:fill="A6A6A6" w:themeFill="background1" w:themeFillShade="A6"/>
          </w:tcPr>
          <w:p w:rsidR="00D66F9E" w:rsidRPr="0077659B" w:rsidRDefault="00D66F9E" w:rsidP="005713D0">
            <w:pPr>
              <w:pStyle w:val="NoSpacing"/>
            </w:pPr>
            <w:r w:rsidRPr="0077659B">
              <w:t>Competitive bids (over R500 000)</w:t>
            </w:r>
          </w:p>
        </w:tc>
      </w:tr>
      <w:tr w:rsidR="00D66F9E" w:rsidRPr="0077659B" w:rsidTr="005713D0">
        <w:tc>
          <w:tcPr>
            <w:tcW w:w="2700" w:type="dxa"/>
            <w:vMerge/>
            <w:shd w:val="clear" w:color="auto" w:fill="A6A6A6" w:themeFill="background1" w:themeFillShade="A6"/>
          </w:tcPr>
          <w:p w:rsidR="00D66F9E" w:rsidRPr="0077659B" w:rsidRDefault="00D66F9E" w:rsidP="005713D0">
            <w:pPr>
              <w:pStyle w:val="NoSpacing"/>
            </w:pPr>
          </w:p>
        </w:tc>
        <w:tc>
          <w:tcPr>
            <w:tcW w:w="1128" w:type="dxa"/>
            <w:shd w:val="clear" w:color="auto" w:fill="D9D9D9" w:themeFill="background1" w:themeFillShade="D9"/>
          </w:tcPr>
          <w:p w:rsidR="00D66F9E" w:rsidRPr="0077659B" w:rsidRDefault="00D66F9E" w:rsidP="005713D0">
            <w:pPr>
              <w:pStyle w:val="NoSpacing"/>
            </w:pPr>
            <w:r w:rsidRPr="0077659B">
              <w:t>Number</w:t>
            </w:r>
          </w:p>
        </w:tc>
        <w:tc>
          <w:tcPr>
            <w:tcW w:w="1446" w:type="dxa"/>
            <w:shd w:val="clear" w:color="auto" w:fill="D9D9D9" w:themeFill="background1" w:themeFillShade="D9"/>
          </w:tcPr>
          <w:p w:rsidR="00D66F9E" w:rsidRPr="0077659B" w:rsidRDefault="00D66F9E" w:rsidP="005713D0">
            <w:pPr>
              <w:pStyle w:val="NoSpacing"/>
            </w:pPr>
            <w:r w:rsidRPr="0077659B">
              <w:t>Value</w:t>
            </w:r>
          </w:p>
          <w:p w:rsidR="00D66F9E" w:rsidRPr="0077659B" w:rsidRDefault="00D66F9E" w:rsidP="005713D0">
            <w:pPr>
              <w:pStyle w:val="NoSpacing"/>
            </w:pPr>
            <w:r w:rsidRPr="0077659B">
              <w:rPr>
                <w:i/>
              </w:rPr>
              <w:t>R</w:t>
            </w:r>
          </w:p>
        </w:tc>
        <w:tc>
          <w:tcPr>
            <w:tcW w:w="846" w:type="dxa"/>
            <w:shd w:val="clear" w:color="auto" w:fill="D9D9D9" w:themeFill="background1" w:themeFillShade="D9"/>
          </w:tcPr>
          <w:p w:rsidR="00D66F9E" w:rsidRPr="0077659B" w:rsidRDefault="00D66F9E" w:rsidP="005713D0">
            <w:pPr>
              <w:pStyle w:val="NoSpacing"/>
            </w:pPr>
            <w:r w:rsidRPr="0077659B">
              <w:t>Number</w:t>
            </w:r>
          </w:p>
        </w:tc>
        <w:tc>
          <w:tcPr>
            <w:tcW w:w="1260" w:type="dxa"/>
            <w:shd w:val="clear" w:color="auto" w:fill="D9D9D9" w:themeFill="background1" w:themeFillShade="D9"/>
          </w:tcPr>
          <w:p w:rsidR="00D66F9E" w:rsidRPr="0077659B" w:rsidRDefault="00D66F9E" w:rsidP="005713D0">
            <w:pPr>
              <w:pStyle w:val="NoSpacing"/>
              <w:rPr>
                <w:i/>
              </w:rPr>
            </w:pPr>
            <w:r w:rsidRPr="0077659B">
              <w:t>Value</w:t>
            </w:r>
          </w:p>
          <w:p w:rsidR="00D66F9E" w:rsidRPr="0077659B" w:rsidRDefault="00D66F9E" w:rsidP="005713D0">
            <w:pPr>
              <w:pStyle w:val="NoSpacing"/>
              <w:rPr>
                <w:i/>
              </w:rPr>
            </w:pPr>
            <w:r w:rsidRPr="0077659B">
              <w:rPr>
                <w:i/>
              </w:rPr>
              <w:t>R</w:t>
            </w:r>
          </w:p>
        </w:tc>
        <w:tc>
          <w:tcPr>
            <w:tcW w:w="1080" w:type="dxa"/>
            <w:shd w:val="clear" w:color="auto" w:fill="D9D9D9" w:themeFill="background1" w:themeFillShade="D9"/>
          </w:tcPr>
          <w:p w:rsidR="00D66F9E" w:rsidRPr="0077659B" w:rsidRDefault="00D66F9E" w:rsidP="005713D0">
            <w:pPr>
              <w:pStyle w:val="NoSpacing"/>
            </w:pPr>
            <w:r w:rsidRPr="0077659B">
              <w:t>Number</w:t>
            </w:r>
          </w:p>
        </w:tc>
        <w:tc>
          <w:tcPr>
            <w:tcW w:w="1633" w:type="dxa"/>
            <w:shd w:val="clear" w:color="auto" w:fill="D9D9D9" w:themeFill="background1" w:themeFillShade="D9"/>
          </w:tcPr>
          <w:p w:rsidR="00D66F9E" w:rsidRPr="0077659B" w:rsidRDefault="00D66F9E" w:rsidP="005713D0">
            <w:pPr>
              <w:pStyle w:val="NoSpacing"/>
              <w:rPr>
                <w:i/>
              </w:rPr>
            </w:pPr>
            <w:r w:rsidRPr="0077659B">
              <w:t>Value</w:t>
            </w:r>
          </w:p>
          <w:p w:rsidR="00D66F9E" w:rsidRPr="0077659B" w:rsidRDefault="00D66F9E" w:rsidP="005713D0">
            <w:pPr>
              <w:pStyle w:val="NoSpacing"/>
            </w:pPr>
            <w:r w:rsidRPr="0077659B">
              <w:rPr>
                <w:i/>
              </w:rPr>
              <w:t>R</w:t>
            </w:r>
          </w:p>
        </w:tc>
      </w:tr>
      <w:tr w:rsidR="00D66F9E" w:rsidRPr="0077659B" w:rsidTr="005713D0">
        <w:tc>
          <w:tcPr>
            <w:tcW w:w="2700" w:type="dxa"/>
          </w:tcPr>
          <w:p w:rsidR="00D66F9E" w:rsidRPr="00871C3E" w:rsidRDefault="00D66F9E" w:rsidP="005713D0">
            <w:pPr>
              <w:pStyle w:val="Tabletext"/>
              <w:rPr>
                <w:b/>
              </w:rPr>
            </w:pPr>
            <w:r w:rsidRPr="00871C3E">
              <w:rPr>
                <w:b/>
              </w:rPr>
              <w:t>Awards selected for testing</w:t>
            </w:r>
          </w:p>
        </w:tc>
        <w:tc>
          <w:tcPr>
            <w:tcW w:w="1128" w:type="dxa"/>
          </w:tcPr>
          <w:p w:rsidR="00D66F9E" w:rsidRPr="0077659B" w:rsidRDefault="002A18BB" w:rsidP="005713D0">
            <w:pPr>
              <w:pStyle w:val="Tabletext"/>
              <w:rPr>
                <w:i/>
              </w:rPr>
            </w:pPr>
            <w:r>
              <w:rPr>
                <w:i/>
              </w:rPr>
              <w:t>93</w:t>
            </w:r>
          </w:p>
        </w:tc>
        <w:tc>
          <w:tcPr>
            <w:tcW w:w="1446" w:type="dxa"/>
          </w:tcPr>
          <w:p w:rsidR="00D66F9E" w:rsidRPr="0077659B" w:rsidRDefault="00D66F9E" w:rsidP="005713D0">
            <w:pPr>
              <w:pStyle w:val="Tabletext"/>
              <w:rPr>
                <w:i/>
              </w:rPr>
            </w:pPr>
            <w:r w:rsidRPr="00DE1C8E">
              <w:rPr>
                <w:i/>
              </w:rPr>
              <w:t>1</w:t>
            </w:r>
            <w:r>
              <w:rPr>
                <w:i/>
              </w:rPr>
              <w:t xml:space="preserve"> </w:t>
            </w:r>
            <w:r w:rsidR="002A18BB">
              <w:rPr>
                <w:i/>
              </w:rPr>
              <w:t>762</w:t>
            </w:r>
            <w:r>
              <w:rPr>
                <w:i/>
              </w:rPr>
              <w:t xml:space="preserve"> </w:t>
            </w:r>
            <w:r w:rsidR="002A18BB">
              <w:rPr>
                <w:i/>
              </w:rPr>
              <w:t>132</w:t>
            </w:r>
            <w:r>
              <w:rPr>
                <w:i/>
              </w:rPr>
              <w:t xml:space="preserve"> </w:t>
            </w:r>
            <w:r w:rsidR="002A18BB">
              <w:rPr>
                <w:i/>
              </w:rPr>
              <w:t>447</w:t>
            </w:r>
          </w:p>
        </w:tc>
        <w:tc>
          <w:tcPr>
            <w:tcW w:w="846" w:type="dxa"/>
          </w:tcPr>
          <w:p w:rsidR="00D66F9E" w:rsidRPr="0077659B" w:rsidRDefault="00D66F9E" w:rsidP="005713D0">
            <w:pPr>
              <w:pStyle w:val="Tabletext"/>
              <w:rPr>
                <w:i/>
              </w:rPr>
            </w:pPr>
            <w:r>
              <w:rPr>
                <w:i/>
              </w:rPr>
              <w:t>49</w:t>
            </w:r>
          </w:p>
        </w:tc>
        <w:tc>
          <w:tcPr>
            <w:tcW w:w="1260" w:type="dxa"/>
          </w:tcPr>
          <w:p w:rsidR="00D66F9E" w:rsidRPr="0077659B" w:rsidRDefault="00D66F9E" w:rsidP="005713D0">
            <w:pPr>
              <w:pStyle w:val="Tabletext"/>
              <w:rPr>
                <w:i/>
              </w:rPr>
            </w:pPr>
            <w:r>
              <w:rPr>
                <w:i/>
              </w:rPr>
              <w:t>17 240 163</w:t>
            </w:r>
          </w:p>
        </w:tc>
        <w:tc>
          <w:tcPr>
            <w:tcW w:w="1080" w:type="dxa"/>
          </w:tcPr>
          <w:p w:rsidR="00D66F9E" w:rsidRPr="0077659B" w:rsidRDefault="005A113B" w:rsidP="005713D0">
            <w:pPr>
              <w:pStyle w:val="Tabletext"/>
              <w:rPr>
                <w:i/>
              </w:rPr>
            </w:pPr>
            <w:r>
              <w:rPr>
                <w:i/>
              </w:rPr>
              <w:t>44</w:t>
            </w:r>
          </w:p>
        </w:tc>
        <w:tc>
          <w:tcPr>
            <w:tcW w:w="1633" w:type="dxa"/>
          </w:tcPr>
          <w:p w:rsidR="00D66F9E" w:rsidRPr="0077659B" w:rsidRDefault="00D66F9E" w:rsidP="002A18BB">
            <w:pPr>
              <w:pStyle w:val="Tabletext"/>
              <w:rPr>
                <w:i/>
              </w:rPr>
            </w:pPr>
            <w:r>
              <w:t xml:space="preserve"> </w:t>
            </w:r>
            <w:r w:rsidR="002A18BB">
              <w:rPr>
                <w:i/>
              </w:rPr>
              <w:t>1 744 892 284</w:t>
            </w:r>
          </w:p>
        </w:tc>
      </w:tr>
      <w:tr w:rsidR="00D66F9E" w:rsidRPr="0077659B" w:rsidTr="005713D0">
        <w:tc>
          <w:tcPr>
            <w:tcW w:w="2700" w:type="dxa"/>
          </w:tcPr>
          <w:p w:rsidR="00D66F9E" w:rsidRPr="00871C3E" w:rsidRDefault="00D66F9E" w:rsidP="005713D0">
            <w:pPr>
              <w:pStyle w:val="Tabletext"/>
              <w:rPr>
                <w:b/>
              </w:rPr>
            </w:pPr>
            <w:r w:rsidRPr="00871C3E">
              <w:rPr>
                <w:b/>
              </w:rPr>
              <w:t>Expenditure incurred on selected awards – current year</w:t>
            </w:r>
          </w:p>
        </w:tc>
        <w:tc>
          <w:tcPr>
            <w:tcW w:w="1128" w:type="dxa"/>
            <w:shd w:val="clear" w:color="auto" w:fill="000000" w:themeFill="text1"/>
          </w:tcPr>
          <w:p w:rsidR="00D66F9E" w:rsidRPr="0077659B" w:rsidRDefault="00D66F9E" w:rsidP="005713D0">
            <w:pPr>
              <w:pStyle w:val="Tabletext"/>
              <w:rPr>
                <w:i/>
              </w:rPr>
            </w:pPr>
          </w:p>
        </w:tc>
        <w:tc>
          <w:tcPr>
            <w:tcW w:w="1446" w:type="dxa"/>
          </w:tcPr>
          <w:p w:rsidR="00D66F9E" w:rsidRPr="0077659B" w:rsidRDefault="00321F7D" w:rsidP="005713D0">
            <w:pPr>
              <w:pStyle w:val="Tabletext"/>
              <w:rPr>
                <w:i/>
              </w:rPr>
            </w:pPr>
            <w:r>
              <w:rPr>
                <w:i/>
              </w:rPr>
              <w:t>273 016 503</w:t>
            </w:r>
          </w:p>
        </w:tc>
        <w:tc>
          <w:tcPr>
            <w:tcW w:w="846" w:type="dxa"/>
            <w:shd w:val="clear" w:color="auto" w:fill="000000" w:themeFill="text1"/>
          </w:tcPr>
          <w:p w:rsidR="00D66F9E" w:rsidRPr="0077659B" w:rsidRDefault="00D66F9E" w:rsidP="005713D0">
            <w:pPr>
              <w:pStyle w:val="Tabletext"/>
              <w:rPr>
                <w:i/>
              </w:rPr>
            </w:pPr>
          </w:p>
        </w:tc>
        <w:tc>
          <w:tcPr>
            <w:tcW w:w="1260" w:type="dxa"/>
          </w:tcPr>
          <w:p w:rsidR="00D66F9E" w:rsidRPr="0077659B" w:rsidRDefault="00D66F9E" w:rsidP="005713D0">
            <w:pPr>
              <w:pStyle w:val="Tabletext"/>
              <w:rPr>
                <w:i/>
              </w:rPr>
            </w:pPr>
            <w:r w:rsidRPr="0041207D">
              <w:rPr>
                <w:i/>
              </w:rPr>
              <w:t>13 246 486</w:t>
            </w:r>
          </w:p>
        </w:tc>
        <w:tc>
          <w:tcPr>
            <w:tcW w:w="1080" w:type="dxa"/>
            <w:shd w:val="clear" w:color="auto" w:fill="000000" w:themeFill="text1"/>
          </w:tcPr>
          <w:p w:rsidR="00D66F9E" w:rsidRPr="0077659B" w:rsidRDefault="00D66F9E" w:rsidP="005713D0">
            <w:pPr>
              <w:pStyle w:val="Tabletext"/>
              <w:rPr>
                <w:i/>
              </w:rPr>
            </w:pPr>
          </w:p>
        </w:tc>
        <w:tc>
          <w:tcPr>
            <w:tcW w:w="1633" w:type="dxa"/>
          </w:tcPr>
          <w:p w:rsidR="00D66F9E" w:rsidRPr="0077659B" w:rsidRDefault="00321F7D" w:rsidP="005713D0">
            <w:pPr>
              <w:pStyle w:val="Tabletext"/>
              <w:rPr>
                <w:i/>
              </w:rPr>
            </w:pPr>
            <w:r>
              <w:rPr>
                <w:i/>
              </w:rPr>
              <w:t>259 770 017</w:t>
            </w:r>
          </w:p>
        </w:tc>
      </w:tr>
      <w:tr w:rsidR="00D66F9E" w:rsidRPr="0077659B" w:rsidTr="005713D0">
        <w:tc>
          <w:tcPr>
            <w:tcW w:w="2700" w:type="dxa"/>
          </w:tcPr>
          <w:p w:rsidR="00D66F9E" w:rsidRPr="00871C3E" w:rsidRDefault="00D66F9E" w:rsidP="005713D0">
            <w:pPr>
              <w:pStyle w:val="Tabletext"/>
              <w:rPr>
                <w:b/>
              </w:rPr>
            </w:pPr>
            <w:r w:rsidRPr="00871C3E">
              <w:rPr>
                <w:b/>
              </w:rPr>
              <w:t>Limitations – awards selected but could not be tested</w:t>
            </w:r>
          </w:p>
        </w:tc>
        <w:tc>
          <w:tcPr>
            <w:tcW w:w="1128" w:type="dxa"/>
          </w:tcPr>
          <w:p w:rsidR="00D66F9E" w:rsidRPr="0077659B" w:rsidRDefault="00B27363" w:rsidP="005713D0">
            <w:pPr>
              <w:pStyle w:val="Tabletext"/>
              <w:rPr>
                <w:i/>
              </w:rPr>
            </w:pPr>
            <w:r>
              <w:rPr>
                <w:i/>
              </w:rPr>
              <w:t>1</w:t>
            </w:r>
          </w:p>
        </w:tc>
        <w:tc>
          <w:tcPr>
            <w:tcW w:w="1446" w:type="dxa"/>
          </w:tcPr>
          <w:p w:rsidR="00D66F9E" w:rsidRPr="0077659B" w:rsidRDefault="00D66F9E" w:rsidP="005713D0">
            <w:pPr>
              <w:pStyle w:val="Tabletext"/>
              <w:rPr>
                <w:i/>
              </w:rPr>
            </w:pPr>
            <w:r>
              <w:rPr>
                <w:i/>
              </w:rPr>
              <w:t>0</w:t>
            </w:r>
          </w:p>
        </w:tc>
        <w:tc>
          <w:tcPr>
            <w:tcW w:w="846" w:type="dxa"/>
          </w:tcPr>
          <w:p w:rsidR="00D66F9E" w:rsidRPr="0077659B" w:rsidRDefault="00D66F9E" w:rsidP="005713D0">
            <w:pPr>
              <w:pStyle w:val="Tabletext"/>
              <w:rPr>
                <w:i/>
              </w:rPr>
            </w:pPr>
            <w:r>
              <w:rPr>
                <w:i/>
              </w:rPr>
              <w:t>0</w:t>
            </w:r>
          </w:p>
        </w:tc>
        <w:tc>
          <w:tcPr>
            <w:tcW w:w="1260" w:type="dxa"/>
          </w:tcPr>
          <w:p w:rsidR="00D66F9E" w:rsidRPr="0077659B" w:rsidRDefault="00D66F9E" w:rsidP="005713D0">
            <w:pPr>
              <w:pStyle w:val="Tabletext"/>
              <w:rPr>
                <w:i/>
              </w:rPr>
            </w:pPr>
            <w:r>
              <w:rPr>
                <w:i/>
              </w:rPr>
              <w:t>0</w:t>
            </w:r>
          </w:p>
        </w:tc>
        <w:tc>
          <w:tcPr>
            <w:tcW w:w="1080" w:type="dxa"/>
          </w:tcPr>
          <w:p w:rsidR="00D66F9E" w:rsidRPr="0077659B" w:rsidRDefault="00B27363" w:rsidP="005713D0">
            <w:pPr>
              <w:pStyle w:val="Tabletext"/>
              <w:rPr>
                <w:i/>
              </w:rPr>
            </w:pPr>
            <w:r>
              <w:rPr>
                <w:i/>
              </w:rPr>
              <w:t>1</w:t>
            </w:r>
          </w:p>
        </w:tc>
        <w:tc>
          <w:tcPr>
            <w:tcW w:w="1633" w:type="dxa"/>
          </w:tcPr>
          <w:p w:rsidR="00D66F9E" w:rsidRPr="0077659B" w:rsidRDefault="00B27363" w:rsidP="005713D0">
            <w:pPr>
              <w:pStyle w:val="Tabletext"/>
              <w:rPr>
                <w:i/>
              </w:rPr>
            </w:pPr>
            <w:r>
              <w:rPr>
                <w:i/>
              </w:rPr>
              <w:t xml:space="preserve">500 </w:t>
            </w:r>
            <w:r>
              <w:t>728 771</w:t>
            </w:r>
          </w:p>
        </w:tc>
      </w:tr>
      <w:tr w:rsidR="00D66F9E" w:rsidRPr="0077659B" w:rsidTr="005713D0">
        <w:tc>
          <w:tcPr>
            <w:tcW w:w="2700" w:type="dxa"/>
          </w:tcPr>
          <w:p w:rsidR="00D66F9E" w:rsidRPr="00871C3E" w:rsidRDefault="00D66F9E" w:rsidP="005713D0">
            <w:pPr>
              <w:pStyle w:val="Tabletext"/>
              <w:rPr>
                <w:b/>
              </w:rPr>
            </w:pPr>
            <w:r w:rsidRPr="00871C3E">
              <w:rPr>
                <w:b/>
              </w:rPr>
              <w:t>Awards on which non-compliance was identified</w:t>
            </w:r>
          </w:p>
        </w:tc>
        <w:tc>
          <w:tcPr>
            <w:tcW w:w="1128" w:type="dxa"/>
          </w:tcPr>
          <w:p w:rsidR="00D66F9E" w:rsidRPr="0077659B" w:rsidRDefault="003A5B4D" w:rsidP="005713D0">
            <w:pPr>
              <w:pStyle w:val="Tabletext"/>
              <w:rPr>
                <w:i/>
              </w:rPr>
            </w:pPr>
            <w:r>
              <w:rPr>
                <w:i/>
              </w:rPr>
              <w:t>29</w:t>
            </w:r>
          </w:p>
        </w:tc>
        <w:tc>
          <w:tcPr>
            <w:tcW w:w="1446" w:type="dxa"/>
          </w:tcPr>
          <w:p w:rsidR="00D66F9E" w:rsidRPr="0077659B" w:rsidRDefault="003A5B4D" w:rsidP="005713D0">
            <w:pPr>
              <w:pStyle w:val="Tabletext"/>
              <w:rPr>
                <w:i/>
              </w:rPr>
            </w:pPr>
            <w:r>
              <w:rPr>
                <w:i/>
              </w:rPr>
              <w:t>922 285 847</w:t>
            </w:r>
          </w:p>
        </w:tc>
        <w:tc>
          <w:tcPr>
            <w:tcW w:w="846" w:type="dxa"/>
          </w:tcPr>
          <w:p w:rsidR="00D66F9E" w:rsidRPr="0077659B" w:rsidRDefault="00D66F9E" w:rsidP="005713D0">
            <w:pPr>
              <w:pStyle w:val="Tabletext"/>
              <w:rPr>
                <w:i/>
              </w:rPr>
            </w:pPr>
            <w:r>
              <w:rPr>
                <w:i/>
              </w:rPr>
              <w:t>14</w:t>
            </w:r>
          </w:p>
        </w:tc>
        <w:tc>
          <w:tcPr>
            <w:tcW w:w="1260" w:type="dxa"/>
          </w:tcPr>
          <w:p w:rsidR="00D66F9E" w:rsidRPr="0077659B" w:rsidRDefault="00D66F9E" w:rsidP="005713D0">
            <w:pPr>
              <w:pStyle w:val="Tabletext"/>
              <w:rPr>
                <w:i/>
              </w:rPr>
            </w:pPr>
            <w:r w:rsidRPr="002641A6">
              <w:rPr>
                <w:i/>
              </w:rPr>
              <w:t>1</w:t>
            </w:r>
            <w:r>
              <w:rPr>
                <w:i/>
              </w:rPr>
              <w:t xml:space="preserve"> </w:t>
            </w:r>
            <w:r w:rsidRPr="002641A6">
              <w:rPr>
                <w:i/>
              </w:rPr>
              <w:t>718</w:t>
            </w:r>
            <w:r>
              <w:rPr>
                <w:i/>
              </w:rPr>
              <w:t xml:space="preserve"> 560</w:t>
            </w:r>
          </w:p>
        </w:tc>
        <w:tc>
          <w:tcPr>
            <w:tcW w:w="1080" w:type="dxa"/>
          </w:tcPr>
          <w:p w:rsidR="00D66F9E" w:rsidRPr="0077659B" w:rsidRDefault="003A5B4D" w:rsidP="005713D0">
            <w:pPr>
              <w:pStyle w:val="Tabletext"/>
              <w:rPr>
                <w:i/>
              </w:rPr>
            </w:pPr>
            <w:r>
              <w:rPr>
                <w:i/>
              </w:rPr>
              <w:t>15</w:t>
            </w:r>
          </w:p>
        </w:tc>
        <w:tc>
          <w:tcPr>
            <w:tcW w:w="1633" w:type="dxa"/>
          </w:tcPr>
          <w:p w:rsidR="00D66F9E" w:rsidRPr="0077659B" w:rsidRDefault="003A5B4D" w:rsidP="005713D0">
            <w:pPr>
              <w:pStyle w:val="Tabletext"/>
              <w:rPr>
                <w:i/>
              </w:rPr>
            </w:pPr>
            <w:r>
              <w:rPr>
                <w:i/>
              </w:rPr>
              <w:t>920 567 284</w:t>
            </w:r>
          </w:p>
        </w:tc>
      </w:tr>
      <w:tr w:rsidR="00D66F9E" w:rsidRPr="0077659B" w:rsidTr="005713D0">
        <w:tc>
          <w:tcPr>
            <w:tcW w:w="2700" w:type="dxa"/>
          </w:tcPr>
          <w:p w:rsidR="00D66F9E" w:rsidRPr="00871C3E" w:rsidRDefault="00D66F9E" w:rsidP="005713D0">
            <w:pPr>
              <w:pStyle w:val="Tabletext"/>
              <w:rPr>
                <w:b/>
              </w:rPr>
            </w:pPr>
            <w:r w:rsidRPr="00871C3E">
              <w:rPr>
                <w:b/>
              </w:rPr>
              <w:t>Irregular expenditure identified</w:t>
            </w:r>
          </w:p>
        </w:tc>
        <w:tc>
          <w:tcPr>
            <w:tcW w:w="1128" w:type="dxa"/>
          </w:tcPr>
          <w:p w:rsidR="00D66F9E" w:rsidRPr="0077659B" w:rsidRDefault="00830A28" w:rsidP="005713D0">
            <w:pPr>
              <w:pStyle w:val="Tabletext"/>
              <w:rPr>
                <w:i/>
              </w:rPr>
            </w:pPr>
            <w:r>
              <w:rPr>
                <w:i/>
              </w:rPr>
              <w:t>29</w:t>
            </w:r>
          </w:p>
        </w:tc>
        <w:tc>
          <w:tcPr>
            <w:tcW w:w="1446" w:type="dxa"/>
          </w:tcPr>
          <w:p w:rsidR="00D66F9E" w:rsidRPr="0077659B" w:rsidRDefault="00830A28" w:rsidP="005713D0">
            <w:pPr>
              <w:pStyle w:val="Tabletext"/>
              <w:rPr>
                <w:i/>
              </w:rPr>
            </w:pPr>
            <w:r>
              <w:rPr>
                <w:i/>
              </w:rPr>
              <w:t>176 436 190</w:t>
            </w:r>
          </w:p>
        </w:tc>
        <w:tc>
          <w:tcPr>
            <w:tcW w:w="846" w:type="dxa"/>
          </w:tcPr>
          <w:p w:rsidR="00D66F9E" w:rsidRPr="0077659B" w:rsidRDefault="00D66F9E" w:rsidP="005713D0">
            <w:pPr>
              <w:pStyle w:val="Tabletext"/>
              <w:rPr>
                <w:i/>
              </w:rPr>
            </w:pPr>
            <w:r>
              <w:rPr>
                <w:i/>
              </w:rPr>
              <w:t>14</w:t>
            </w:r>
          </w:p>
        </w:tc>
        <w:tc>
          <w:tcPr>
            <w:tcW w:w="1260" w:type="dxa"/>
          </w:tcPr>
          <w:p w:rsidR="00D66F9E" w:rsidRPr="0077659B" w:rsidRDefault="00D66F9E" w:rsidP="005713D0">
            <w:pPr>
              <w:pStyle w:val="Tabletext"/>
              <w:rPr>
                <w:i/>
              </w:rPr>
            </w:pPr>
            <w:r>
              <w:rPr>
                <w:i/>
              </w:rPr>
              <w:t>3 809 360</w:t>
            </w:r>
          </w:p>
        </w:tc>
        <w:tc>
          <w:tcPr>
            <w:tcW w:w="1080" w:type="dxa"/>
          </w:tcPr>
          <w:p w:rsidR="00D66F9E" w:rsidRPr="0077659B" w:rsidRDefault="00830A28" w:rsidP="005713D0">
            <w:pPr>
              <w:pStyle w:val="Tabletext"/>
              <w:rPr>
                <w:i/>
              </w:rPr>
            </w:pPr>
            <w:r>
              <w:rPr>
                <w:i/>
              </w:rPr>
              <w:t>15</w:t>
            </w:r>
          </w:p>
        </w:tc>
        <w:tc>
          <w:tcPr>
            <w:tcW w:w="1633" w:type="dxa"/>
          </w:tcPr>
          <w:p w:rsidR="00D66F9E" w:rsidRPr="0077659B" w:rsidRDefault="00830A28" w:rsidP="005713D0">
            <w:pPr>
              <w:pStyle w:val="Tabletext"/>
              <w:rPr>
                <w:i/>
              </w:rPr>
            </w:pPr>
            <w:r>
              <w:rPr>
                <w:i/>
              </w:rPr>
              <w:t>172 626 830</w:t>
            </w:r>
          </w:p>
        </w:tc>
      </w:tr>
      <w:tr w:rsidR="00D66F9E" w:rsidRPr="0077659B" w:rsidTr="005713D0">
        <w:tc>
          <w:tcPr>
            <w:tcW w:w="2700" w:type="dxa"/>
          </w:tcPr>
          <w:p w:rsidR="00D66F9E" w:rsidRPr="00871C3E" w:rsidRDefault="00D66F9E" w:rsidP="005713D0">
            <w:pPr>
              <w:pStyle w:val="Tabletext"/>
              <w:rPr>
                <w:b/>
              </w:rPr>
            </w:pPr>
            <w:r w:rsidRPr="00871C3E">
              <w:rPr>
                <w:b/>
              </w:rPr>
              <w:t>Instances of irregular expenditure where goods/ services were not received</w:t>
            </w:r>
          </w:p>
        </w:tc>
        <w:tc>
          <w:tcPr>
            <w:tcW w:w="1128" w:type="dxa"/>
          </w:tcPr>
          <w:p w:rsidR="00D66F9E" w:rsidRPr="0077659B" w:rsidRDefault="00D66F9E" w:rsidP="005713D0">
            <w:pPr>
              <w:pStyle w:val="Tabletext"/>
              <w:rPr>
                <w:i/>
              </w:rPr>
            </w:pPr>
            <w:r>
              <w:rPr>
                <w:i/>
              </w:rPr>
              <w:t>0</w:t>
            </w:r>
          </w:p>
        </w:tc>
        <w:tc>
          <w:tcPr>
            <w:tcW w:w="1446" w:type="dxa"/>
          </w:tcPr>
          <w:p w:rsidR="00D66F9E" w:rsidRPr="0077659B" w:rsidRDefault="00D66F9E" w:rsidP="005713D0">
            <w:pPr>
              <w:pStyle w:val="Tabletext"/>
              <w:rPr>
                <w:i/>
              </w:rPr>
            </w:pPr>
            <w:r>
              <w:rPr>
                <w:i/>
              </w:rPr>
              <w:t>0</w:t>
            </w:r>
          </w:p>
        </w:tc>
        <w:tc>
          <w:tcPr>
            <w:tcW w:w="846" w:type="dxa"/>
          </w:tcPr>
          <w:p w:rsidR="00D66F9E" w:rsidRPr="0077659B" w:rsidRDefault="00D66F9E" w:rsidP="005713D0">
            <w:pPr>
              <w:pStyle w:val="Tabletext"/>
              <w:rPr>
                <w:i/>
              </w:rPr>
            </w:pPr>
            <w:r>
              <w:rPr>
                <w:i/>
              </w:rPr>
              <w:t>0</w:t>
            </w:r>
          </w:p>
        </w:tc>
        <w:tc>
          <w:tcPr>
            <w:tcW w:w="1260" w:type="dxa"/>
          </w:tcPr>
          <w:p w:rsidR="00D66F9E" w:rsidRPr="0077659B" w:rsidRDefault="00D66F9E" w:rsidP="005713D0">
            <w:pPr>
              <w:pStyle w:val="Tabletext"/>
              <w:rPr>
                <w:i/>
              </w:rPr>
            </w:pPr>
            <w:r>
              <w:rPr>
                <w:i/>
              </w:rPr>
              <w:t>0</w:t>
            </w:r>
          </w:p>
        </w:tc>
        <w:tc>
          <w:tcPr>
            <w:tcW w:w="1080" w:type="dxa"/>
          </w:tcPr>
          <w:p w:rsidR="00D66F9E" w:rsidRPr="0077659B" w:rsidRDefault="00D66F9E" w:rsidP="005713D0">
            <w:pPr>
              <w:pStyle w:val="Tabletext"/>
              <w:rPr>
                <w:i/>
              </w:rPr>
            </w:pPr>
            <w:r>
              <w:rPr>
                <w:i/>
              </w:rPr>
              <w:t>0</w:t>
            </w:r>
          </w:p>
        </w:tc>
        <w:tc>
          <w:tcPr>
            <w:tcW w:w="1633" w:type="dxa"/>
          </w:tcPr>
          <w:p w:rsidR="00D66F9E" w:rsidRPr="0077659B" w:rsidRDefault="00D66F9E" w:rsidP="005713D0">
            <w:pPr>
              <w:pStyle w:val="Tabletext"/>
              <w:rPr>
                <w:i/>
              </w:rPr>
            </w:pPr>
            <w:r>
              <w:rPr>
                <w:i/>
              </w:rPr>
              <w:t>0</w:t>
            </w:r>
          </w:p>
        </w:tc>
      </w:tr>
    </w:tbl>
    <w:p w:rsidR="00C7450E" w:rsidRDefault="00C7450E" w:rsidP="000C4182">
      <w:pPr>
        <w:pStyle w:val="Heading5"/>
        <w:rPr>
          <w:rFonts w:eastAsia="Calibri"/>
        </w:rPr>
      </w:pPr>
    </w:p>
    <w:p w:rsidR="000C4182" w:rsidRPr="0077659B" w:rsidRDefault="000C4182" w:rsidP="000C4182">
      <w:pPr>
        <w:pStyle w:val="Heading5"/>
        <w:rPr>
          <w:rFonts w:eastAsia="Calibri"/>
        </w:rPr>
      </w:pPr>
      <w:r w:rsidRPr="0077659B">
        <w:rPr>
          <w:rFonts w:eastAsia="Calibri"/>
        </w:rPr>
        <w:t>Procurement processes – general</w:t>
      </w:r>
    </w:p>
    <w:p w:rsidR="000C4182" w:rsidRPr="0077659B" w:rsidRDefault="00AB1D53" w:rsidP="004229D9">
      <w:pPr>
        <w:pStyle w:val="Bulletedlist"/>
        <w:jc w:val="both"/>
      </w:pPr>
      <w:r>
        <w:t>Three (</w:t>
      </w:r>
      <w:r w:rsidR="00E46431">
        <w:t>3</w:t>
      </w:r>
      <w:r>
        <w:t>)</w:t>
      </w:r>
      <w:r w:rsidR="000C4182" w:rsidRPr="0077659B">
        <w:t xml:space="preserve"> awards with a value of </w:t>
      </w:r>
      <w:r w:rsidR="00E46431">
        <w:t>441 832.68</w:t>
      </w:r>
      <w:r w:rsidR="000C4182" w:rsidRPr="0077659B">
        <w:t xml:space="preserve"> were procured without inviting at least the minimum prescribed number of written price quotations from prospective suppliers, and the deviation was approved even though it was possible to obtain the quotations.</w:t>
      </w:r>
    </w:p>
    <w:p w:rsidR="000C4182" w:rsidRPr="0077659B" w:rsidRDefault="00AB1D53" w:rsidP="004229D9">
      <w:pPr>
        <w:pStyle w:val="Bulletedlist"/>
        <w:jc w:val="both"/>
      </w:pPr>
      <w:r>
        <w:t>Three (</w:t>
      </w:r>
      <w:r w:rsidR="00D12E77">
        <w:t>3</w:t>
      </w:r>
      <w:r>
        <w:t>)</w:t>
      </w:r>
      <w:r w:rsidR="000C4182" w:rsidRPr="0077659B">
        <w:t xml:space="preserve"> quotations to the value of R</w:t>
      </w:r>
      <w:r w:rsidR="00D12E77">
        <w:t>517 244,80</w:t>
      </w:r>
      <w:r w:rsidR="000C4182" w:rsidRPr="0077659B">
        <w:t xml:space="preserve"> were procured from suppliers whose tax matters had not been declared by the South African Revenue Service to be in order.</w:t>
      </w:r>
    </w:p>
    <w:p w:rsidR="000C4182" w:rsidRDefault="00AB1D53" w:rsidP="004229D9">
      <w:pPr>
        <w:pStyle w:val="Bulletedlist"/>
        <w:jc w:val="both"/>
      </w:pPr>
      <w:r>
        <w:t>One (</w:t>
      </w:r>
      <w:r w:rsidR="00EB5610">
        <w:t>1</w:t>
      </w:r>
      <w:r>
        <w:t>)</w:t>
      </w:r>
      <w:r w:rsidR="00E0571F">
        <w:t xml:space="preserve"> contract</w:t>
      </w:r>
      <w:r w:rsidR="000C4182" w:rsidRPr="0077659B">
        <w:t xml:space="preserve"> with a value of R</w:t>
      </w:r>
      <w:r w:rsidR="002D70E6">
        <w:t>500 728 771,13</w:t>
      </w:r>
      <w:r w:rsidR="00E0571F">
        <w:t xml:space="preserve"> was</w:t>
      </w:r>
      <w:r w:rsidR="000C4182" w:rsidRPr="0077659B">
        <w:t xml:space="preserve"> procured without inviting competitive bids, and the deviations were not approved.</w:t>
      </w:r>
    </w:p>
    <w:p w:rsidR="00DA1E8F" w:rsidRPr="00DA1E8F" w:rsidRDefault="00A7635F" w:rsidP="00DA1E8F">
      <w:pPr>
        <w:pStyle w:val="Bulletedlist"/>
      </w:pPr>
      <w:r>
        <w:t>One contract</w:t>
      </w:r>
      <w:r w:rsidR="00DA1E8F" w:rsidRPr="0077659B">
        <w:t xml:space="preserve"> with a value of R</w:t>
      </w:r>
      <w:r w:rsidR="00E0571F" w:rsidRPr="00E0571F">
        <w:t>157 995 881.50</w:t>
      </w:r>
      <w:r w:rsidR="00E0571F">
        <w:t xml:space="preserve"> was</w:t>
      </w:r>
      <w:r w:rsidR="00DA1E8F" w:rsidRPr="0077659B">
        <w:t xml:space="preserve"> procured without inviting competitive bids, and the deviations were approved even though it was practical to invite competitive bids.</w:t>
      </w:r>
    </w:p>
    <w:p w:rsidR="000C4182" w:rsidRPr="00192EDA" w:rsidRDefault="00AB1D53" w:rsidP="004229D9">
      <w:pPr>
        <w:pStyle w:val="Bulletedlist"/>
        <w:jc w:val="both"/>
      </w:pPr>
      <w:r>
        <w:t>Nine (</w:t>
      </w:r>
      <w:r w:rsidR="00D520D1">
        <w:t>9</w:t>
      </w:r>
      <w:r>
        <w:t>)</w:t>
      </w:r>
      <w:r w:rsidR="000C4182" w:rsidRPr="00192EDA">
        <w:t xml:space="preserve"> contracts </w:t>
      </w:r>
      <w:r w:rsidR="00A7635F" w:rsidRPr="00192EDA">
        <w:t>and</w:t>
      </w:r>
      <w:r w:rsidR="00A7635F">
        <w:t xml:space="preserve"> One (</w:t>
      </w:r>
      <w:r w:rsidR="00DC2337">
        <w:t>1</w:t>
      </w:r>
      <w:r>
        <w:t>)</w:t>
      </w:r>
      <w:r w:rsidR="00DC2337">
        <w:t xml:space="preserve"> </w:t>
      </w:r>
      <w:r w:rsidR="000C4182" w:rsidRPr="00192EDA">
        <w:t>quotation with a value of R</w:t>
      </w:r>
      <w:r>
        <w:t>235 917 650</w:t>
      </w:r>
      <w:r w:rsidR="000C4182" w:rsidRPr="00192EDA">
        <w:t xml:space="preserve"> were awarded to bidder</w:t>
      </w:r>
      <w:r w:rsidR="000C4182">
        <w:t>s</w:t>
      </w:r>
      <w:r w:rsidR="000C4182" w:rsidRPr="00192EDA">
        <w:t xml:space="preserve"> who did not comply with specified pre-qualification criteria requirement</w:t>
      </w:r>
      <w:r w:rsidR="000C4182">
        <w:t>.</w:t>
      </w:r>
    </w:p>
    <w:p w:rsidR="000C4182" w:rsidRPr="006C6D40" w:rsidRDefault="00A0274C" w:rsidP="004229D9">
      <w:pPr>
        <w:pStyle w:val="Bulletedlist"/>
        <w:jc w:val="both"/>
      </w:pPr>
      <w:r>
        <w:t>One (</w:t>
      </w:r>
      <w:r w:rsidR="00A52CDF">
        <w:t>1</w:t>
      </w:r>
      <w:r>
        <w:t>)</w:t>
      </w:r>
      <w:r w:rsidR="00A52CDF">
        <w:t xml:space="preserve"> </w:t>
      </w:r>
      <w:r w:rsidR="00A7635F">
        <w:t xml:space="preserve">contract </w:t>
      </w:r>
      <w:r w:rsidR="00A7635F" w:rsidRPr="006C6D40">
        <w:t>which</w:t>
      </w:r>
      <w:r w:rsidR="000C4182" w:rsidRPr="006C6D40">
        <w:t xml:space="preserve"> failed to achieve the minimum qualifying score for functionality criteria were not disqualified as unacceptable</w:t>
      </w:r>
      <w:r w:rsidR="000C4182">
        <w:t>.</w:t>
      </w:r>
    </w:p>
    <w:p w:rsidR="000C4182" w:rsidRPr="006C6D40" w:rsidRDefault="00A0274C" w:rsidP="004229D9">
      <w:pPr>
        <w:pStyle w:val="Bulletedlist"/>
        <w:jc w:val="both"/>
      </w:pPr>
      <w:r>
        <w:t>Two (</w:t>
      </w:r>
      <w:r w:rsidR="00A52CDF">
        <w:t>2</w:t>
      </w:r>
      <w:r>
        <w:t>)</w:t>
      </w:r>
      <w:r w:rsidR="00A52CDF">
        <w:t xml:space="preserve"> </w:t>
      </w:r>
      <w:r w:rsidR="00A7635F">
        <w:t xml:space="preserve">contracts </w:t>
      </w:r>
      <w:r w:rsidR="00A7635F" w:rsidRPr="006C6D40">
        <w:t>which</w:t>
      </w:r>
      <w:r w:rsidR="000C4182" w:rsidRPr="006C6D40">
        <w:t xml:space="preserve"> achieved the minimum qualifying score for functionality criteria were not evaluated further</w:t>
      </w:r>
      <w:r w:rsidR="000C4182">
        <w:t>.</w:t>
      </w:r>
    </w:p>
    <w:p w:rsidR="000C4182" w:rsidRPr="0077659B" w:rsidRDefault="000C4182" w:rsidP="004229D9">
      <w:pPr>
        <w:pStyle w:val="Heading5"/>
        <w:jc w:val="both"/>
        <w:rPr>
          <w:rFonts w:eastAsia="Calibri"/>
        </w:rPr>
      </w:pPr>
      <w:r w:rsidRPr="0077659B">
        <w:rPr>
          <w:rFonts w:eastAsia="Calibri"/>
        </w:rPr>
        <w:t>Local content and production (designated sectors)</w:t>
      </w:r>
    </w:p>
    <w:p w:rsidR="000C4182" w:rsidRPr="0077659B" w:rsidRDefault="000C4182" w:rsidP="004229D9">
      <w:pPr>
        <w:pStyle w:val="Bulletedlist"/>
        <w:jc w:val="both"/>
      </w:pPr>
      <w:r w:rsidRPr="0077659B">
        <w:t xml:space="preserve">Specifications for </w:t>
      </w:r>
      <w:r w:rsidR="006400A7">
        <w:t>Seven (</w:t>
      </w:r>
      <w:r w:rsidR="00637D71">
        <w:t>7</w:t>
      </w:r>
      <w:r w:rsidR="006400A7">
        <w:t>)</w:t>
      </w:r>
      <w:r w:rsidRPr="0077659B">
        <w:t xml:space="preserve"> awards with a total value of R</w:t>
      </w:r>
      <w:r w:rsidR="00637D71">
        <w:t>88 700 713</w:t>
      </w:r>
      <w:r w:rsidR="00A7635F">
        <w:t>,</w:t>
      </w:r>
      <w:r w:rsidR="00A7635F" w:rsidRPr="00637D71">
        <w:t xml:space="preserve"> 02</w:t>
      </w:r>
      <w:r w:rsidRPr="0077659B">
        <w:t xml:space="preserve"> did not stipulate the minimum threshold for local production and content.</w:t>
      </w:r>
    </w:p>
    <w:p w:rsidR="000C4182" w:rsidRPr="0077659B" w:rsidRDefault="006400A7" w:rsidP="004229D9">
      <w:pPr>
        <w:pStyle w:val="Bulletedlist"/>
        <w:ind w:left="851" w:hanging="283"/>
        <w:jc w:val="both"/>
      </w:pPr>
      <w:r>
        <w:t>Five (</w:t>
      </w:r>
      <w:r w:rsidR="00E44695">
        <w:t>5</w:t>
      </w:r>
      <w:r>
        <w:t>)</w:t>
      </w:r>
      <w:r w:rsidR="000C4182" w:rsidRPr="0077659B">
        <w:t xml:space="preserve"> contracts and</w:t>
      </w:r>
      <w:r w:rsidR="00E44695">
        <w:t xml:space="preserve"> </w:t>
      </w:r>
      <w:r>
        <w:t>two (</w:t>
      </w:r>
      <w:r w:rsidR="00E44695">
        <w:t>2</w:t>
      </w:r>
      <w:r>
        <w:t>)</w:t>
      </w:r>
      <w:r w:rsidR="000C4182" w:rsidRPr="0077659B">
        <w:t xml:space="preserve"> quotations with a total value of </w:t>
      </w:r>
      <w:r w:rsidR="00E44695" w:rsidRPr="0077659B">
        <w:t>R</w:t>
      </w:r>
      <w:r w:rsidR="00E44695">
        <w:t>88 700 713</w:t>
      </w:r>
      <w:r w:rsidR="00A7635F">
        <w:t>,</w:t>
      </w:r>
      <w:r w:rsidR="00A7635F" w:rsidRPr="00637D71">
        <w:t xml:space="preserve"> 02</w:t>
      </w:r>
      <w:r w:rsidR="00E44695" w:rsidRPr="0077659B">
        <w:t xml:space="preserve"> </w:t>
      </w:r>
      <w:r w:rsidR="000C4182" w:rsidRPr="0077659B">
        <w:t>were awarded to bidders that did not submit a declaration of local production and content.</w:t>
      </w:r>
    </w:p>
    <w:p w:rsidR="007F3364" w:rsidRPr="004229D9" w:rsidRDefault="006400A7" w:rsidP="004229D9">
      <w:pPr>
        <w:pStyle w:val="Bulletedlist"/>
        <w:ind w:left="851" w:hanging="283"/>
        <w:jc w:val="both"/>
      </w:pPr>
      <w:r>
        <w:t>Five (</w:t>
      </w:r>
      <w:r w:rsidR="00261E65">
        <w:t>5</w:t>
      </w:r>
      <w:r>
        <w:t>)</w:t>
      </w:r>
      <w:r w:rsidR="000C4182" w:rsidRPr="0077659B">
        <w:t xml:space="preserve"> contracts and</w:t>
      </w:r>
      <w:r w:rsidR="00261E65">
        <w:t xml:space="preserve"> </w:t>
      </w:r>
      <w:r>
        <w:t>two (</w:t>
      </w:r>
      <w:r w:rsidR="00261E65">
        <w:t>2</w:t>
      </w:r>
      <w:r>
        <w:t>)</w:t>
      </w:r>
      <w:r w:rsidR="000C4182" w:rsidRPr="0077659B">
        <w:t xml:space="preserve"> quotations with a total value of R</w:t>
      </w:r>
      <w:r w:rsidR="00261E65" w:rsidRPr="00261E65">
        <w:t xml:space="preserve"> </w:t>
      </w:r>
      <w:r w:rsidR="00261E65" w:rsidRPr="0077659B">
        <w:t>R</w:t>
      </w:r>
      <w:r w:rsidR="00261E65">
        <w:t>88 700 713</w:t>
      </w:r>
      <w:r w:rsidR="00A7635F">
        <w:t>,</w:t>
      </w:r>
      <w:r w:rsidR="00A7635F" w:rsidRPr="00637D71">
        <w:t xml:space="preserve"> 02</w:t>
      </w:r>
      <w:r w:rsidR="00A7635F" w:rsidRPr="0077659B">
        <w:t xml:space="preserve"> were</w:t>
      </w:r>
      <w:r w:rsidR="000C4182" w:rsidRPr="0077659B">
        <w:t xml:space="preserve"> awarded to bidders that did not meet the minimum threshold for local production and content.</w:t>
      </w:r>
      <w:bookmarkStart w:id="134" w:name="_Toc447106621"/>
    </w:p>
    <w:p w:rsidR="00E16E76" w:rsidRPr="00E16E76" w:rsidRDefault="00C22F2B" w:rsidP="004229D9">
      <w:pPr>
        <w:pStyle w:val="Heading5"/>
        <w:jc w:val="both"/>
        <w:rPr>
          <w:rFonts w:eastAsia="Calibri"/>
        </w:rPr>
      </w:pPr>
      <w:r w:rsidRPr="0077659B">
        <w:rPr>
          <w:rFonts w:eastAsia="Calibri"/>
        </w:rPr>
        <w:t>Internal control deficiencies</w:t>
      </w:r>
      <w:bookmarkEnd w:id="134"/>
      <w:r w:rsidRPr="0077659B">
        <w:rPr>
          <w:rFonts w:eastAsia="Calibri"/>
        </w:rPr>
        <w:t xml:space="preserve"> </w:t>
      </w:r>
    </w:p>
    <w:p w:rsidR="00C22F2B" w:rsidRDefault="00165015" w:rsidP="00165C2D">
      <w:pPr>
        <w:pStyle w:val="Numbernormal"/>
        <w:numPr>
          <w:ilvl w:val="0"/>
          <w:numId w:val="14"/>
        </w:numPr>
        <w:ind w:left="567"/>
        <w:jc w:val="both"/>
      </w:pPr>
      <w:r>
        <w:t>The accounting officer did not in some instances exercise oversight responsibility of the reporting and compliance with laws and regulations.</w:t>
      </w:r>
    </w:p>
    <w:p w:rsidR="00165015" w:rsidRPr="0077659B" w:rsidRDefault="00165015" w:rsidP="00165C2D">
      <w:pPr>
        <w:pStyle w:val="Numbernormal"/>
        <w:numPr>
          <w:ilvl w:val="0"/>
          <w:numId w:val="14"/>
        </w:numPr>
        <w:ind w:left="567"/>
        <w:jc w:val="both"/>
      </w:pPr>
      <w:r>
        <w:t>Reviewing and monitoring of compliance with relevant laws and regulations was insufficient and not properly monitored in some instances.</w:t>
      </w:r>
    </w:p>
    <w:p w:rsidR="00D26232" w:rsidRPr="00BB6EEC" w:rsidRDefault="00C22F2B" w:rsidP="006B1D3E">
      <w:pPr>
        <w:pStyle w:val="Heading3"/>
        <w:rPr>
          <w:lang w:val="en-ZA"/>
        </w:rPr>
      </w:pPr>
      <w:bookmarkStart w:id="135" w:name="S4E18"/>
      <w:bookmarkStart w:id="136" w:name="PartB"/>
      <w:bookmarkStart w:id="137" w:name="PartF"/>
      <w:bookmarkStart w:id="138" w:name="_Toc447106622"/>
      <w:bookmarkStart w:id="139" w:name="_Toc79349497"/>
      <w:bookmarkEnd w:id="135"/>
      <w:bookmarkEnd w:id="136"/>
      <w:bookmarkEnd w:id="137"/>
      <w:r w:rsidRPr="00BB6EEC">
        <w:rPr>
          <w:lang w:val="en-ZA"/>
        </w:rPr>
        <w:t>FRAUD AND CONSEQUENCE MANAGEMENT</w:t>
      </w:r>
      <w:bookmarkStart w:id="140" w:name="Fraud1"/>
      <w:bookmarkEnd w:id="138"/>
      <w:bookmarkEnd w:id="139"/>
      <w:bookmarkEnd w:id="140"/>
    </w:p>
    <w:p w:rsidR="00C22F2B" w:rsidRPr="00871C3E" w:rsidRDefault="00C22F2B" w:rsidP="00165C2D">
      <w:pPr>
        <w:pStyle w:val="Numbernormal"/>
        <w:numPr>
          <w:ilvl w:val="0"/>
          <w:numId w:val="14"/>
        </w:numPr>
        <w:ind w:left="567"/>
        <w:jc w:val="both"/>
      </w:pPr>
      <w:r w:rsidRPr="0077659B">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r w:rsidR="00434F0F" w:rsidRPr="0077659B">
        <w:rPr>
          <w:rStyle w:val="EndnoteReference"/>
          <w:b/>
          <w:bCs/>
        </w:rPr>
        <w:t xml:space="preserve"> </w:t>
      </w:r>
    </w:p>
    <w:p w:rsidR="00C22F2B" w:rsidRPr="0077659B" w:rsidRDefault="00C22F2B" w:rsidP="00165C2D">
      <w:pPr>
        <w:pStyle w:val="Numbernormal"/>
        <w:numPr>
          <w:ilvl w:val="0"/>
          <w:numId w:val="14"/>
        </w:numPr>
        <w:ind w:left="567"/>
        <w:jc w:val="both"/>
      </w:pPr>
      <w:r w:rsidRPr="0077659B">
        <w:lastRenderedPageBreak/>
        <w:t>Below is a summary of fraud risk factors that should be addressed to ensure that sufficient measures/controls are in place to prevent material misstatement due to fraud.</w:t>
      </w:r>
    </w:p>
    <w:p w:rsidR="00653988" w:rsidRPr="00653988" w:rsidRDefault="00653988" w:rsidP="00653988">
      <w:pPr>
        <w:pStyle w:val="Default"/>
        <w:rPr>
          <w:rFonts w:ascii="Arial" w:eastAsiaTheme="minorHAnsi" w:hAnsi="Arial" w:cs="Arial"/>
          <w:lang w:val="en-ZA"/>
        </w:rPr>
      </w:pPr>
    </w:p>
    <w:p w:rsidR="00653988" w:rsidRPr="00653988" w:rsidRDefault="00653988" w:rsidP="00653988">
      <w:pPr>
        <w:pStyle w:val="ListParagraph"/>
        <w:numPr>
          <w:ilvl w:val="0"/>
          <w:numId w:val="23"/>
        </w:numPr>
        <w:spacing w:after="0"/>
        <w:rPr>
          <w:rFonts w:cs="Arial"/>
          <w:color w:val="000000"/>
        </w:rPr>
      </w:pPr>
      <w:r w:rsidRPr="00653988">
        <w:rPr>
          <w:rFonts w:cs="Arial"/>
          <w:color w:val="000000"/>
        </w:rPr>
        <w:t xml:space="preserve">Officials in high ranking positions who may take the opportunity to misuse their authority </w:t>
      </w:r>
    </w:p>
    <w:p w:rsidR="00C22F2B" w:rsidRPr="0077659B" w:rsidRDefault="00C22F2B" w:rsidP="00653988">
      <w:pPr>
        <w:pStyle w:val="Bulletedlist"/>
        <w:numPr>
          <w:ilvl w:val="0"/>
          <w:numId w:val="0"/>
        </w:numPr>
        <w:ind w:left="851"/>
        <w:jc w:val="both"/>
      </w:pPr>
    </w:p>
    <w:p w:rsidR="00C22F2B" w:rsidRPr="0077659B" w:rsidRDefault="00C22F2B" w:rsidP="00165C2D">
      <w:pPr>
        <w:pStyle w:val="Numbernormal"/>
        <w:numPr>
          <w:ilvl w:val="0"/>
          <w:numId w:val="14"/>
        </w:numPr>
        <w:ind w:left="567"/>
        <w:jc w:val="both"/>
      </w:pPr>
      <w:r w:rsidRPr="0077659B">
        <w:t>The PFMA and its regulations clearly stipulate that matters</w:t>
      </w:r>
      <w:r w:rsidR="005479B7">
        <w:t xml:space="preserve"> such as incurring</w:t>
      </w:r>
      <w:r w:rsidRPr="0077659B">
        <w:t xml:space="preserve"> irregular as well as fruitless and wasteful expenditure</w:t>
      </w:r>
      <w:r w:rsidR="006958A8" w:rsidRPr="0077659B">
        <w:t>,</w:t>
      </w:r>
      <w:r w:rsidRPr="0077659B">
        <w:t xml:space="preserve"> the po</w:t>
      </w:r>
      <w:r w:rsidR="00F62CC1">
        <w:t xml:space="preserve">ssible abuse of the SCM system </w:t>
      </w:r>
      <w:r w:rsidRPr="0077659B">
        <w:t>inclu</w:t>
      </w:r>
      <w:r w:rsidR="00F62CC1">
        <w:t>ding fraud and improper conduct</w:t>
      </w:r>
      <w:r w:rsidRPr="0077659B">
        <w:t xml:space="preserve"> and allegations of financial misconduct should be investigated. Disciplinary steps should be taken based on the results of the investigations. Our audits included an ass</w:t>
      </w:r>
      <w:r w:rsidR="00630728">
        <w:t>essment of the trading entity</w:t>
      </w:r>
      <w:r w:rsidRPr="0077659B">
        <w:t xml:space="preserve">’s management of consequences. The significant findings are provided </w:t>
      </w:r>
      <w:r w:rsidR="00630728">
        <w:t xml:space="preserve">below </w:t>
      </w:r>
      <w:r w:rsidRPr="0077659B">
        <w:t>:</w:t>
      </w:r>
    </w:p>
    <w:p w:rsidR="00C22F2B" w:rsidRPr="0077659B" w:rsidRDefault="002459C9" w:rsidP="004229D9">
      <w:pPr>
        <w:pStyle w:val="Heading5"/>
        <w:jc w:val="both"/>
        <w:rPr>
          <w:rFonts w:eastAsia="Calibri"/>
        </w:rPr>
      </w:pPr>
      <w:bookmarkStart w:id="141" w:name="_Toc447106623"/>
      <w:r w:rsidRPr="0077659B">
        <w:rPr>
          <w:rFonts w:eastAsia="Calibri"/>
        </w:rPr>
        <w:t>Me</w:t>
      </w:r>
      <w:r w:rsidR="00C22F2B" w:rsidRPr="0077659B">
        <w:rPr>
          <w:rFonts w:eastAsia="Calibri"/>
        </w:rPr>
        <w:t>asures to manage consequences</w:t>
      </w:r>
      <w:bookmarkEnd w:id="141"/>
    </w:p>
    <w:p w:rsidR="00C22F2B" w:rsidRPr="0077659B" w:rsidRDefault="00C22F2B" w:rsidP="00165C2D">
      <w:pPr>
        <w:pStyle w:val="Numbernormal"/>
        <w:numPr>
          <w:ilvl w:val="0"/>
          <w:numId w:val="14"/>
        </w:numPr>
        <w:ind w:left="567"/>
        <w:jc w:val="both"/>
      </w:pPr>
      <w:r w:rsidRPr="0077659B">
        <w:t>The following measures were not implemented to ensure that the environment is conducive to effective consequence management:</w:t>
      </w:r>
    </w:p>
    <w:p w:rsidR="00725FEE" w:rsidRPr="0077659B" w:rsidRDefault="00C22F2B" w:rsidP="004229D9">
      <w:pPr>
        <w:pStyle w:val="Bulletedlist"/>
        <w:ind w:left="851" w:hanging="283"/>
        <w:jc w:val="both"/>
      </w:pPr>
      <w:r w:rsidRPr="0077659B">
        <w:t xml:space="preserve">There </w:t>
      </w:r>
      <w:r w:rsidR="00601BE5" w:rsidRPr="0077659B">
        <w:t>was</w:t>
      </w:r>
      <w:r w:rsidRPr="0077659B">
        <w:t xml:space="preserve"> </w:t>
      </w:r>
      <w:r w:rsidR="006958A8" w:rsidRPr="0077659B">
        <w:t xml:space="preserve">a </w:t>
      </w:r>
      <w:r w:rsidRPr="0077659B">
        <w:t>lack of proper record keeping to ensure that complete, relevant and accurate information is accessible and available to support the processes followed for financial misconduct/transgressions committed by officials and suppliers of the auditee.</w:t>
      </w:r>
    </w:p>
    <w:p w:rsidR="00725FEE" w:rsidRPr="0077659B" w:rsidRDefault="00CB4918" w:rsidP="004229D9">
      <w:pPr>
        <w:pStyle w:val="Heading5"/>
        <w:jc w:val="both"/>
        <w:rPr>
          <w:rFonts w:eastAsia="Calibri"/>
        </w:rPr>
      </w:pPr>
      <w:r w:rsidRPr="0077659B">
        <w:rPr>
          <w:rFonts w:eastAsia="Calibri"/>
        </w:rPr>
        <w:t>Ongoing</w:t>
      </w:r>
      <w:r w:rsidR="00725FEE" w:rsidRPr="0077659B">
        <w:rPr>
          <w:rFonts w:eastAsia="Calibri"/>
        </w:rPr>
        <w:t xml:space="preserve"> investigations</w:t>
      </w:r>
    </w:p>
    <w:p w:rsidR="008957BC" w:rsidRPr="0077659B" w:rsidRDefault="00A7635F" w:rsidP="00165C2D">
      <w:pPr>
        <w:pStyle w:val="Numbernormal"/>
        <w:numPr>
          <w:ilvl w:val="0"/>
          <w:numId w:val="14"/>
        </w:numPr>
        <w:ind w:left="567"/>
        <w:jc w:val="both"/>
      </w:pPr>
      <w:r w:rsidRPr="0077659B">
        <w:t>16</w:t>
      </w:r>
      <w:r w:rsidR="00C435C3">
        <w:t xml:space="preserve"> </w:t>
      </w:r>
      <w:r w:rsidR="008957BC" w:rsidRPr="0077659B">
        <w:t xml:space="preserve">investigations </w:t>
      </w:r>
      <w:r w:rsidR="000554E4" w:rsidRPr="0077659B">
        <w:t>were</w:t>
      </w:r>
      <w:r w:rsidR="002459C9" w:rsidRPr="0077659B">
        <w:t xml:space="preserve"> ongoing at year</w:t>
      </w:r>
      <w:r w:rsidR="005827DA" w:rsidRPr="0077659B">
        <w:t>-</w:t>
      </w:r>
      <w:r w:rsidR="002459C9" w:rsidRPr="0077659B">
        <w:t xml:space="preserve">end </w:t>
      </w:r>
      <w:r w:rsidR="00305A60" w:rsidRPr="0077659B">
        <w:t xml:space="preserve">into </w:t>
      </w:r>
      <w:r w:rsidR="008957BC" w:rsidRPr="0077659B">
        <w:t xml:space="preserve">allegations relating to financial misconduct, fraud </w:t>
      </w:r>
      <w:r w:rsidR="005827DA" w:rsidRPr="0077659B">
        <w:t>and/</w:t>
      </w:r>
      <w:r w:rsidR="008957BC" w:rsidRPr="0077659B">
        <w:t xml:space="preserve">or improper conduct in SCM. Some of these investigations have been ongoing for a </w:t>
      </w:r>
      <w:r w:rsidR="00C435C3">
        <w:t>period exceeding 12 months</w:t>
      </w:r>
      <w:r w:rsidR="008957BC" w:rsidRPr="0077659B">
        <w:t>. The table below provides a summary of investigations which had not been completed as at year-end</w:t>
      </w:r>
      <w:r w:rsidR="00C435C3">
        <w:t>:</w:t>
      </w:r>
    </w:p>
    <w:tbl>
      <w:tblPr>
        <w:tblStyle w:val="TableGrid"/>
        <w:tblW w:w="5000" w:type="pct"/>
        <w:tblLook w:val="04A0" w:firstRow="1" w:lastRow="0" w:firstColumn="1" w:lastColumn="0" w:noHBand="0" w:noVBand="1"/>
      </w:tblPr>
      <w:tblGrid>
        <w:gridCol w:w="5369"/>
        <w:gridCol w:w="1856"/>
        <w:gridCol w:w="2403"/>
      </w:tblGrid>
      <w:tr w:rsidR="00504D6C" w:rsidRPr="004229D9" w:rsidTr="0056206B">
        <w:tc>
          <w:tcPr>
            <w:tcW w:w="2788" w:type="pct"/>
            <w:vAlign w:val="center"/>
          </w:tcPr>
          <w:p w:rsidR="00504D6C" w:rsidRPr="004229D9" w:rsidRDefault="00504D6C" w:rsidP="008638CA">
            <w:pPr>
              <w:pStyle w:val="Tabletext"/>
              <w:rPr>
                <w:szCs w:val="18"/>
                <w:lang w:val="en-ZA"/>
              </w:rPr>
            </w:pPr>
          </w:p>
        </w:tc>
        <w:tc>
          <w:tcPr>
            <w:tcW w:w="964" w:type="pct"/>
            <w:vAlign w:val="center"/>
          </w:tcPr>
          <w:p w:rsidR="00504D6C" w:rsidRPr="004229D9" w:rsidRDefault="00504D6C" w:rsidP="00B65109">
            <w:pPr>
              <w:spacing w:after="240"/>
              <w:rPr>
                <w:rFonts w:eastAsia="Calibri" w:cs="Arial"/>
                <w:sz w:val="18"/>
                <w:szCs w:val="18"/>
              </w:rPr>
            </w:pPr>
            <w:r>
              <w:rPr>
                <w:rFonts w:eastAsia="Calibri" w:cs="Arial"/>
                <w:sz w:val="18"/>
                <w:szCs w:val="18"/>
              </w:rPr>
              <w:t>2020-21</w:t>
            </w:r>
          </w:p>
        </w:tc>
        <w:tc>
          <w:tcPr>
            <w:tcW w:w="1248" w:type="pct"/>
            <w:vAlign w:val="center"/>
          </w:tcPr>
          <w:p w:rsidR="00504D6C" w:rsidRPr="004229D9" w:rsidRDefault="00504D6C" w:rsidP="00504D6C">
            <w:pPr>
              <w:spacing w:after="240"/>
              <w:rPr>
                <w:rFonts w:eastAsia="Calibri" w:cs="Arial"/>
                <w:sz w:val="18"/>
                <w:szCs w:val="18"/>
              </w:rPr>
            </w:pPr>
            <w:r>
              <w:rPr>
                <w:rFonts w:eastAsia="Calibri" w:cs="Arial"/>
                <w:sz w:val="18"/>
                <w:szCs w:val="18"/>
              </w:rPr>
              <w:t>2019-20</w:t>
            </w:r>
          </w:p>
        </w:tc>
      </w:tr>
      <w:tr w:rsidR="00504D6C" w:rsidRPr="004229D9" w:rsidTr="0056206B">
        <w:tc>
          <w:tcPr>
            <w:tcW w:w="2788" w:type="pct"/>
            <w:vAlign w:val="center"/>
          </w:tcPr>
          <w:p w:rsidR="00504D6C" w:rsidRPr="004229D9" w:rsidRDefault="00504D6C" w:rsidP="008638CA">
            <w:pPr>
              <w:pStyle w:val="Tabletext"/>
              <w:rPr>
                <w:szCs w:val="18"/>
                <w:lang w:val="en-ZA"/>
              </w:rPr>
            </w:pPr>
            <w:r w:rsidRPr="004229D9">
              <w:rPr>
                <w:szCs w:val="18"/>
                <w:lang w:val="en-ZA"/>
              </w:rPr>
              <w:t>Total number of ongoing investigations as at year-end</w:t>
            </w:r>
          </w:p>
        </w:tc>
        <w:tc>
          <w:tcPr>
            <w:tcW w:w="964" w:type="pct"/>
            <w:vAlign w:val="center"/>
          </w:tcPr>
          <w:p w:rsidR="00504D6C" w:rsidRDefault="00504D6C" w:rsidP="00B65109">
            <w:pPr>
              <w:spacing w:after="240"/>
              <w:rPr>
                <w:rFonts w:eastAsia="Calibri" w:cs="Arial"/>
                <w:sz w:val="18"/>
                <w:szCs w:val="18"/>
              </w:rPr>
            </w:pPr>
            <w:r>
              <w:rPr>
                <w:rFonts w:eastAsia="Calibri" w:cs="Arial"/>
                <w:sz w:val="18"/>
                <w:szCs w:val="18"/>
              </w:rPr>
              <w:t>13</w:t>
            </w:r>
          </w:p>
        </w:tc>
        <w:tc>
          <w:tcPr>
            <w:tcW w:w="1248" w:type="pct"/>
            <w:vAlign w:val="center"/>
          </w:tcPr>
          <w:p w:rsidR="00504D6C" w:rsidRDefault="00504D6C" w:rsidP="00B65109">
            <w:pPr>
              <w:spacing w:after="240"/>
              <w:rPr>
                <w:rFonts w:eastAsia="Calibri" w:cs="Arial"/>
                <w:sz w:val="18"/>
                <w:szCs w:val="18"/>
              </w:rPr>
            </w:pPr>
            <w:r>
              <w:rPr>
                <w:rFonts w:eastAsia="Calibri" w:cs="Arial"/>
                <w:sz w:val="18"/>
                <w:szCs w:val="18"/>
              </w:rPr>
              <w:t>21</w:t>
            </w:r>
          </w:p>
        </w:tc>
      </w:tr>
      <w:tr w:rsidR="00504D6C" w:rsidRPr="004229D9" w:rsidTr="0056206B">
        <w:tc>
          <w:tcPr>
            <w:tcW w:w="2788" w:type="pct"/>
            <w:vAlign w:val="center"/>
          </w:tcPr>
          <w:p w:rsidR="00504D6C" w:rsidRPr="004229D9" w:rsidRDefault="00504D6C" w:rsidP="00165C2D">
            <w:pPr>
              <w:pStyle w:val="Tabletext"/>
              <w:numPr>
                <w:ilvl w:val="0"/>
                <w:numId w:val="12"/>
              </w:numPr>
              <w:rPr>
                <w:szCs w:val="18"/>
                <w:lang w:val="en-ZA"/>
              </w:rPr>
            </w:pPr>
            <w:r w:rsidRPr="004229D9">
              <w:rPr>
                <w:szCs w:val="18"/>
                <w:lang w:val="en-ZA"/>
              </w:rPr>
              <w:t>Number of SCM-related investigations</w:t>
            </w:r>
          </w:p>
        </w:tc>
        <w:tc>
          <w:tcPr>
            <w:tcW w:w="964" w:type="pct"/>
            <w:vAlign w:val="center"/>
          </w:tcPr>
          <w:p w:rsidR="00504D6C" w:rsidRPr="004229D9" w:rsidRDefault="00504D6C" w:rsidP="005827DA">
            <w:pPr>
              <w:spacing w:after="240"/>
              <w:rPr>
                <w:rFonts w:eastAsia="Calibri" w:cs="Arial"/>
                <w:sz w:val="18"/>
                <w:szCs w:val="18"/>
              </w:rPr>
            </w:pPr>
            <w:r>
              <w:rPr>
                <w:rFonts w:eastAsia="Calibri" w:cs="Arial"/>
                <w:sz w:val="18"/>
                <w:szCs w:val="18"/>
              </w:rPr>
              <w:t>8</w:t>
            </w:r>
          </w:p>
        </w:tc>
        <w:tc>
          <w:tcPr>
            <w:tcW w:w="1248" w:type="pct"/>
            <w:vAlign w:val="center"/>
          </w:tcPr>
          <w:p w:rsidR="00504D6C" w:rsidRPr="004229D9" w:rsidRDefault="00504D6C" w:rsidP="00504D6C">
            <w:pPr>
              <w:spacing w:after="240"/>
              <w:rPr>
                <w:rFonts w:eastAsia="Calibri" w:cs="Arial"/>
                <w:sz w:val="18"/>
                <w:szCs w:val="18"/>
              </w:rPr>
            </w:pPr>
            <w:r>
              <w:rPr>
                <w:rFonts w:eastAsia="Calibri" w:cs="Arial"/>
                <w:sz w:val="18"/>
                <w:szCs w:val="18"/>
              </w:rPr>
              <w:t>9</w:t>
            </w:r>
          </w:p>
        </w:tc>
      </w:tr>
      <w:tr w:rsidR="00504D6C" w:rsidRPr="004229D9" w:rsidTr="0056206B">
        <w:tc>
          <w:tcPr>
            <w:tcW w:w="2788" w:type="pct"/>
            <w:vAlign w:val="center"/>
          </w:tcPr>
          <w:p w:rsidR="00504D6C" w:rsidRPr="004229D9" w:rsidRDefault="00504D6C" w:rsidP="00165C2D">
            <w:pPr>
              <w:pStyle w:val="Tabletext"/>
              <w:numPr>
                <w:ilvl w:val="0"/>
                <w:numId w:val="12"/>
              </w:numPr>
              <w:rPr>
                <w:szCs w:val="18"/>
                <w:lang w:val="en-ZA"/>
              </w:rPr>
            </w:pPr>
            <w:r w:rsidRPr="004229D9">
              <w:rPr>
                <w:szCs w:val="18"/>
                <w:lang w:val="en-ZA"/>
              </w:rPr>
              <w:t>Number of fraud-related investigations</w:t>
            </w:r>
          </w:p>
        </w:tc>
        <w:tc>
          <w:tcPr>
            <w:tcW w:w="964" w:type="pct"/>
            <w:vAlign w:val="center"/>
          </w:tcPr>
          <w:p w:rsidR="00504D6C" w:rsidRPr="004229D9" w:rsidRDefault="00504D6C" w:rsidP="005827DA">
            <w:pPr>
              <w:spacing w:after="240"/>
              <w:rPr>
                <w:rFonts w:eastAsia="Calibri" w:cs="Arial"/>
                <w:sz w:val="18"/>
                <w:szCs w:val="18"/>
              </w:rPr>
            </w:pPr>
            <w:r>
              <w:rPr>
                <w:rFonts w:eastAsia="Calibri" w:cs="Arial"/>
                <w:sz w:val="18"/>
                <w:szCs w:val="18"/>
              </w:rPr>
              <w:t>3</w:t>
            </w:r>
          </w:p>
        </w:tc>
        <w:tc>
          <w:tcPr>
            <w:tcW w:w="1248" w:type="pct"/>
            <w:vAlign w:val="center"/>
          </w:tcPr>
          <w:p w:rsidR="00504D6C" w:rsidRPr="004229D9" w:rsidRDefault="00504D6C" w:rsidP="00504D6C">
            <w:pPr>
              <w:spacing w:after="240"/>
              <w:rPr>
                <w:rFonts w:eastAsia="Calibri" w:cs="Arial"/>
                <w:sz w:val="18"/>
                <w:szCs w:val="18"/>
              </w:rPr>
            </w:pPr>
            <w:r>
              <w:rPr>
                <w:rFonts w:eastAsia="Calibri" w:cs="Arial"/>
                <w:sz w:val="18"/>
                <w:szCs w:val="18"/>
              </w:rPr>
              <w:t>1</w:t>
            </w:r>
          </w:p>
        </w:tc>
      </w:tr>
      <w:tr w:rsidR="00504D6C" w:rsidRPr="004229D9" w:rsidTr="0056206B">
        <w:tc>
          <w:tcPr>
            <w:tcW w:w="2788" w:type="pct"/>
            <w:vAlign w:val="center"/>
          </w:tcPr>
          <w:p w:rsidR="00504D6C" w:rsidRPr="004229D9" w:rsidRDefault="00504D6C" w:rsidP="008638CA">
            <w:pPr>
              <w:pStyle w:val="Tabletext"/>
              <w:rPr>
                <w:szCs w:val="18"/>
                <w:lang w:val="en-ZA"/>
              </w:rPr>
            </w:pPr>
            <w:r w:rsidRPr="004229D9">
              <w:rPr>
                <w:szCs w:val="18"/>
                <w:lang w:val="en-ZA"/>
              </w:rPr>
              <w:t>Number of investigations exceeding a period of six months</w:t>
            </w:r>
          </w:p>
        </w:tc>
        <w:tc>
          <w:tcPr>
            <w:tcW w:w="964" w:type="pct"/>
            <w:vAlign w:val="center"/>
          </w:tcPr>
          <w:p w:rsidR="00504D6C" w:rsidRPr="004229D9" w:rsidRDefault="00504D6C" w:rsidP="005827DA">
            <w:pPr>
              <w:spacing w:after="240"/>
              <w:rPr>
                <w:rFonts w:eastAsia="Calibri" w:cs="Arial"/>
                <w:sz w:val="18"/>
                <w:szCs w:val="18"/>
              </w:rPr>
            </w:pPr>
            <w:r>
              <w:rPr>
                <w:rFonts w:eastAsia="Calibri" w:cs="Arial"/>
                <w:sz w:val="18"/>
                <w:szCs w:val="18"/>
              </w:rPr>
              <w:t>6</w:t>
            </w:r>
          </w:p>
        </w:tc>
        <w:tc>
          <w:tcPr>
            <w:tcW w:w="1248" w:type="pct"/>
            <w:vAlign w:val="center"/>
          </w:tcPr>
          <w:p w:rsidR="00504D6C" w:rsidRPr="004229D9" w:rsidRDefault="00504D6C" w:rsidP="00504D6C">
            <w:pPr>
              <w:spacing w:after="240"/>
              <w:rPr>
                <w:rFonts w:eastAsia="Calibri" w:cs="Arial"/>
                <w:sz w:val="18"/>
                <w:szCs w:val="18"/>
              </w:rPr>
            </w:pPr>
            <w:r>
              <w:rPr>
                <w:rFonts w:eastAsia="Calibri" w:cs="Arial"/>
                <w:sz w:val="18"/>
                <w:szCs w:val="18"/>
              </w:rPr>
              <w:t>15</w:t>
            </w:r>
          </w:p>
        </w:tc>
      </w:tr>
    </w:tbl>
    <w:p w:rsidR="001A69E5" w:rsidRPr="0077659B" w:rsidRDefault="001A69E5" w:rsidP="004229D9">
      <w:pPr>
        <w:pStyle w:val="Heading5"/>
        <w:jc w:val="both"/>
        <w:rPr>
          <w:rFonts w:eastAsia="Calibri"/>
        </w:rPr>
      </w:pPr>
      <w:r w:rsidRPr="0077659B">
        <w:rPr>
          <w:rFonts w:eastAsia="Calibri"/>
        </w:rPr>
        <w:t>Failure to properly deal with allegations reported in the prior year</w:t>
      </w:r>
    </w:p>
    <w:p w:rsidR="00486865" w:rsidRPr="00924626" w:rsidRDefault="00C22F2B" w:rsidP="00924626">
      <w:pPr>
        <w:pStyle w:val="Numbernormal"/>
        <w:numPr>
          <w:ilvl w:val="0"/>
          <w:numId w:val="14"/>
        </w:numPr>
        <w:ind w:left="567"/>
        <w:jc w:val="both"/>
      </w:pPr>
      <w:r w:rsidRPr="0077659B">
        <w:t xml:space="preserve">The table below provides a summary of </w:t>
      </w:r>
      <w:r w:rsidR="001A69E5" w:rsidRPr="0077659B">
        <w:t xml:space="preserve">findings </w:t>
      </w:r>
      <w:r w:rsidRPr="0077659B">
        <w:t>from the previous year that were either not investigated or proper disciplinary steps were not taken after investigation.</w:t>
      </w:r>
    </w:p>
    <w:p w:rsidR="00486865" w:rsidRPr="0077659B" w:rsidRDefault="00486865" w:rsidP="00C22F2B">
      <w:pPr>
        <w:shd w:val="clear" w:color="auto" w:fill="FFFFFF"/>
        <w:spacing w:line="240" w:lineRule="auto"/>
        <w:rPr>
          <w:rFonts w:eastAsia="Calibri" w:cs="Arial"/>
          <w:b/>
        </w:rPr>
      </w:pPr>
    </w:p>
    <w:p w:rsidR="00C22F2B" w:rsidRPr="0077659B" w:rsidRDefault="00C22F2B" w:rsidP="00165C2D">
      <w:pPr>
        <w:pStyle w:val="Numbernormal"/>
        <w:numPr>
          <w:ilvl w:val="0"/>
          <w:numId w:val="14"/>
        </w:numPr>
        <w:ind w:left="567"/>
        <w:jc w:val="both"/>
      </w:pPr>
      <w:r w:rsidRPr="0077659B">
        <w:t>Allegations of financial misconduct, fraud and improper conduct in SCM</w:t>
      </w:r>
    </w:p>
    <w:tbl>
      <w:tblPr>
        <w:tblStyle w:val="TableGrid8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8"/>
        <w:gridCol w:w="1650"/>
      </w:tblGrid>
      <w:tr w:rsidR="00C22F2B" w:rsidRPr="004229D9" w:rsidTr="004229D9">
        <w:trPr>
          <w:cnfStyle w:val="100000000000" w:firstRow="1" w:lastRow="0" w:firstColumn="0" w:lastColumn="0" w:oddVBand="0" w:evenVBand="0" w:oddHBand="0" w:evenHBand="0" w:firstRowFirstColumn="0" w:firstRowLastColumn="0" w:lastRowFirstColumn="0" w:lastRowLastColumn="0"/>
          <w:tblHeader/>
        </w:trPr>
        <w:tc>
          <w:tcPr>
            <w:tcW w:w="4143" w:type="pct"/>
            <w:shd w:val="clear" w:color="auto" w:fill="A6A6A6" w:themeFill="background1" w:themeFillShade="A6"/>
          </w:tcPr>
          <w:p w:rsidR="00C22F2B" w:rsidRPr="004229D9" w:rsidRDefault="00C22F2B" w:rsidP="00871C3E">
            <w:pPr>
              <w:pStyle w:val="NoSpacing"/>
              <w:rPr>
                <w:sz w:val="18"/>
                <w:szCs w:val="18"/>
              </w:rPr>
            </w:pPr>
            <w:r w:rsidRPr="004229D9">
              <w:rPr>
                <w:sz w:val="18"/>
                <w:szCs w:val="18"/>
              </w:rPr>
              <w:t>Finding (Not applicable findings should be deleted)</w:t>
            </w:r>
          </w:p>
        </w:tc>
        <w:tc>
          <w:tcPr>
            <w:tcW w:w="857" w:type="pct"/>
            <w:shd w:val="clear" w:color="auto" w:fill="A6A6A6" w:themeFill="background1" w:themeFillShade="A6"/>
          </w:tcPr>
          <w:p w:rsidR="00C22F2B" w:rsidRPr="004229D9" w:rsidRDefault="00C22F2B" w:rsidP="00871C3E">
            <w:pPr>
              <w:pStyle w:val="NoSpacing"/>
              <w:rPr>
                <w:sz w:val="18"/>
                <w:szCs w:val="18"/>
              </w:rPr>
            </w:pPr>
            <w:r w:rsidRPr="004229D9">
              <w:rPr>
                <w:sz w:val="18"/>
                <w:szCs w:val="18"/>
              </w:rPr>
              <w:t>Number of instances</w:t>
            </w:r>
          </w:p>
        </w:tc>
      </w:tr>
      <w:tr w:rsidR="000A2286" w:rsidRPr="004229D9" w:rsidTr="004229D9">
        <w:tc>
          <w:tcPr>
            <w:tcW w:w="5000" w:type="pct"/>
            <w:gridSpan w:val="2"/>
            <w:shd w:val="clear" w:color="auto" w:fill="D9D9D9" w:themeFill="background1" w:themeFillShade="D9"/>
          </w:tcPr>
          <w:p w:rsidR="00C154FA" w:rsidRPr="004229D9" w:rsidRDefault="00C154FA" w:rsidP="00871C3E">
            <w:pPr>
              <w:pStyle w:val="NoSpacing"/>
              <w:rPr>
                <w:sz w:val="18"/>
                <w:szCs w:val="18"/>
              </w:rPr>
            </w:pPr>
            <w:r w:rsidRPr="004229D9">
              <w:rPr>
                <w:sz w:val="18"/>
                <w:szCs w:val="18"/>
              </w:rPr>
              <w:t>Allegations against other officials</w:t>
            </w:r>
          </w:p>
        </w:tc>
      </w:tr>
      <w:tr w:rsidR="00C22F2B" w:rsidRPr="004229D9" w:rsidTr="004229D9">
        <w:tc>
          <w:tcPr>
            <w:tcW w:w="4143" w:type="pct"/>
          </w:tcPr>
          <w:p w:rsidR="00C22F2B" w:rsidRPr="004229D9" w:rsidRDefault="00C22F2B" w:rsidP="00871C3E">
            <w:pPr>
              <w:pStyle w:val="Tabletext"/>
              <w:rPr>
                <w:szCs w:val="18"/>
              </w:rPr>
            </w:pPr>
            <w:r w:rsidRPr="004229D9">
              <w:rPr>
                <w:szCs w:val="18"/>
              </w:rPr>
              <w:t>Allegations of financial misconduct were not investigated</w:t>
            </w:r>
          </w:p>
        </w:tc>
        <w:tc>
          <w:tcPr>
            <w:tcW w:w="857" w:type="pct"/>
          </w:tcPr>
          <w:p w:rsidR="00C22F2B" w:rsidRPr="004229D9" w:rsidRDefault="003600FD" w:rsidP="00871C3E">
            <w:pPr>
              <w:pStyle w:val="Tabletext"/>
              <w:rPr>
                <w:szCs w:val="18"/>
              </w:rPr>
            </w:pPr>
            <w:r>
              <w:rPr>
                <w:szCs w:val="18"/>
              </w:rPr>
              <w:t>16</w:t>
            </w:r>
          </w:p>
        </w:tc>
      </w:tr>
    </w:tbl>
    <w:p w:rsidR="00A43F6F" w:rsidRPr="0077659B" w:rsidRDefault="00A43F6F" w:rsidP="004229D9">
      <w:pPr>
        <w:pStyle w:val="Heading5"/>
        <w:jc w:val="both"/>
      </w:pPr>
      <w:r w:rsidRPr="0077659B">
        <w:lastRenderedPageBreak/>
        <w:t>Transgressions reported</w:t>
      </w:r>
      <w:r w:rsidR="00CB4918" w:rsidRPr="0077659B">
        <w:t xml:space="preserve"> to management for investigation</w:t>
      </w:r>
    </w:p>
    <w:p w:rsidR="00A43F6F" w:rsidRPr="0077659B" w:rsidRDefault="00A43F6F" w:rsidP="00165C2D">
      <w:pPr>
        <w:pStyle w:val="Numbernormal"/>
        <w:numPr>
          <w:ilvl w:val="0"/>
          <w:numId w:val="14"/>
        </w:numPr>
        <w:ind w:left="567"/>
        <w:jc w:val="both"/>
      </w:pPr>
      <w:r w:rsidRPr="0077659B">
        <w:t xml:space="preserve">During the prior year audit, we reported findings </w:t>
      </w:r>
      <w:r w:rsidR="00D71D3C" w:rsidRPr="0077659B">
        <w:t xml:space="preserve">relating </w:t>
      </w:r>
      <w:r w:rsidRPr="0077659B">
        <w:t xml:space="preserve">to </w:t>
      </w:r>
      <w:r w:rsidR="00D71D3C" w:rsidRPr="0077659B">
        <w:t xml:space="preserve">transgressions by officials or other role players for </w:t>
      </w:r>
      <w:r w:rsidRPr="0077659B">
        <w:t xml:space="preserve">management </w:t>
      </w:r>
      <w:r w:rsidR="00D71D3C" w:rsidRPr="0077659B">
        <w:t>to</w:t>
      </w:r>
      <w:r w:rsidRPr="0077659B">
        <w:t xml:space="preserve"> investigat</w:t>
      </w:r>
      <w:r w:rsidR="00D71D3C" w:rsidRPr="0077659B">
        <w:t>e</w:t>
      </w:r>
      <w:r w:rsidRPr="0077659B">
        <w:t>. During the current year audit, we performed follow-up tests to determine whether the matters reported were dealt with by management.</w:t>
      </w:r>
    </w:p>
    <w:p w:rsidR="00A43F6F" w:rsidRPr="0077659B" w:rsidRDefault="00A43F6F" w:rsidP="000022ED">
      <w:pPr>
        <w:pStyle w:val="Numbernormal"/>
        <w:numPr>
          <w:ilvl w:val="0"/>
          <w:numId w:val="14"/>
        </w:numPr>
        <w:ind w:left="567"/>
        <w:jc w:val="both"/>
      </w:pPr>
      <w:r w:rsidRPr="0077659B">
        <w:t xml:space="preserve">The table below provides a summary of the </w:t>
      </w:r>
      <w:r w:rsidR="00CB4918" w:rsidRPr="0077659B">
        <w:t>transgressions</w:t>
      </w:r>
      <w:r w:rsidRPr="0077659B">
        <w:t xml:space="preserve"> </w:t>
      </w:r>
      <w:r w:rsidR="00CB4918" w:rsidRPr="0077659B">
        <w:t xml:space="preserve">reported in </w:t>
      </w:r>
      <w:r w:rsidR="009378D9" w:rsidRPr="0077659B">
        <w:t xml:space="preserve">the </w:t>
      </w:r>
      <w:r w:rsidR="00CB4918" w:rsidRPr="0077659B">
        <w:t xml:space="preserve">prior year </w:t>
      </w:r>
      <w:r w:rsidRPr="0077659B">
        <w:t>and an indication of how many were dealt with</w:t>
      </w:r>
      <w:r w:rsidR="00211B8D" w:rsidRPr="0077659B">
        <w:t>.</w:t>
      </w:r>
      <w:r w:rsidRPr="0077659B">
        <w:t xml:space="preserve"> </w:t>
      </w:r>
      <w:r w:rsidR="00CB4918" w:rsidRPr="0077659B">
        <w:t xml:space="preserve">It also </w:t>
      </w:r>
      <w:r w:rsidR="00305A60" w:rsidRPr="0077659B">
        <w:t>provides</w:t>
      </w:r>
      <w:r w:rsidR="00CB4918" w:rsidRPr="0077659B">
        <w:t xml:space="preserve"> a summary of transgressions identified in </w:t>
      </w:r>
      <w:r w:rsidR="00305A60" w:rsidRPr="0077659B">
        <w:t xml:space="preserve">the </w:t>
      </w:r>
      <w:r w:rsidR="00CB4918" w:rsidRPr="0077659B">
        <w:t>current year that must be investigated and disciplinary steps taken based on the results of the investigations.</w:t>
      </w:r>
    </w:p>
    <w:tbl>
      <w:tblPr>
        <w:tblStyle w:val="TableGrid8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0"/>
        <w:gridCol w:w="1178"/>
        <w:gridCol w:w="1311"/>
        <w:gridCol w:w="1311"/>
        <w:gridCol w:w="1111"/>
        <w:gridCol w:w="1367"/>
      </w:tblGrid>
      <w:tr w:rsidR="00CB4918" w:rsidRPr="004229D9" w:rsidTr="006D1AFE">
        <w:trPr>
          <w:cnfStyle w:val="100000000000" w:firstRow="1" w:lastRow="0" w:firstColumn="0" w:lastColumn="0" w:oddVBand="0" w:evenVBand="0" w:oddHBand="0" w:evenHBand="0" w:firstRowFirstColumn="0" w:firstRowLastColumn="0" w:lastRowFirstColumn="0" w:lastRowLastColumn="0"/>
          <w:tblHeader/>
        </w:trPr>
        <w:tc>
          <w:tcPr>
            <w:tcW w:w="1739" w:type="pct"/>
            <w:shd w:val="clear" w:color="auto" w:fill="A6A6A6" w:themeFill="background1" w:themeFillShade="A6"/>
          </w:tcPr>
          <w:p w:rsidR="00CB4918" w:rsidRPr="004229D9" w:rsidRDefault="00CB4918" w:rsidP="00871C3E">
            <w:pPr>
              <w:pStyle w:val="NoSpacing"/>
              <w:rPr>
                <w:rFonts w:cs="Arial"/>
                <w:sz w:val="18"/>
                <w:szCs w:val="18"/>
              </w:rPr>
            </w:pPr>
          </w:p>
        </w:tc>
        <w:tc>
          <w:tcPr>
            <w:tcW w:w="1974" w:type="pct"/>
            <w:gridSpan w:val="3"/>
            <w:shd w:val="clear" w:color="auto" w:fill="A6A6A6" w:themeFill="background1" w:themeFillShade="A6"/>
          </w:tcPr>
          <w:p w:rsidR="00CB4918" w:rsidRPr="004229D9" w:rsidRDefault="00CB4918" w:rsidP="00871C3E">
            <w:pPr>
              <w:pStyle w:val="NoSpacing"/>
              <w:rPr>
                <w:rFonts w:cs="Arial"/>
                <w:sz w:val="18"/>
                <w:szCs w:val="18"/>
              </w:rPr>
            </w:pPr>
            <w:r w:rsidRPr="004229D9">
              <w:rPr>
                <w:rFonts w:cs="Arial"/>
                <w:sz w:val="18"/>
                <w:szCs w:val="18"/>
              </w:rPr>
              <w:t>Findings reported in prior year</w:t>
            </w:r>
          </w:p>
        </w:tc>
        <w:tc>
          <w:tcPr>
            <w:tcW w:w="1287" w:type="pct"/>
            <w:gridSpan w:val="2"/>
            <w:shd w:val="clear" w:color="auto" w:fill="A6A6A6" w:themeFill="background1" w:themeFillShade="A6"/>
          </w:tcPr>
          <w:p w:rsidR="00CB4918" w:rsidRPr="004229D9" w:rsidRDefault="00CB4918" w:rsidP="00871C3E">
            <w:pPr>
              <w:pStyle w:val="NoSpacing"/>
              <w:rPr>
                <w:rFonts w:cs="Arial"/>
                <w:sz w:val="18"/>
                <w:szCs w:val="18"/>
              </w:rPr>
            </w:pPr>
            <w:r w:rsidRPr="004229D9">
              <w:rPr>
                <w:rFonts w:cs="Arial"/>
                <w:color w:val="FFFFFF" w:themeColor="background1"/>
                <w:sz w:val="18"/>
                <w:szCs w:val="18"/>
              </w:rPr>
              <w:t>Findings reported in current year</w:t>
            </w:r>
          </w:p>
        </w:tc>
      </w:tr>
      <w:tr w:rsidR="00CB4918" w:rsidRPr="004229D9" w:rsidTr="006D1AFE">
        <w:trPr>
          <w:cnfStyle w:val="100000000000" w:firstRow="1" w:lastRow="0" w:firstColumn="0" w:lastColumn="0" w:oddVBand="0" w:evenVBand="0" w:oddHBand="0" w:evenHBand="0" w:firstRowFirstColumn="0" w:firstRowLastColumn="0" w:lastRowFirstColumn="0" w:lastRowLastColumn="0"/>
          <w:tblHeader/>
        </w:trPr>
        <w:tc>
          <w:tcPr>
            <w:tcW w:w="1739" w:type="pct"/>
            <w:shd w:val="clear" w:color="auto" w:fill="A6A6A6" w:themeFill="background1" w:themeFillShade="A6"/>
          </w:tcPr>
          <w:p w:rsidR="00CB4918" w:rsidRPr="004229D9" w:rsidRDefault="00CB4918" w:rsidP="00871C3E">
            <w:pPr>
              <w:pStyle w:val="NoSpacing"/>
              <w:rPr>
                <w:rFonts w:cs="Arial"/>
                <w:sz w:val="18"/>
                <w:szCs w:val="18"/>
              </w:rPr>
            </w:pPr>
            <w:r w:rsidRPr="004229D9">
              <w:rPr>
                <w:rFonts w:cs="Arial"/>
                <w:sz w:val="18"/>
                <w:szCs w:val="18"/>
              </w:rPr>
              <w:t>Finding</w:t>
            </w:r>
          </w:p>
        </w:tc>
        <w:tc>
          <w:tcPr>
            <w:tcW w:w="612" w:type="pct"/>
            <w:shd w:val="clear" w:color="auto" w:fill="A6A6A6" w:themeFill="background1" w:themeFillShade="A6"/>
          </w:tcPr>
          <w:p w:rsidR="00CB4918" w:rsidRPr="004229D9" w:rsidRDefault="00CB4918" w:rsidP="00871C3E">
            <w:pPr>
              <w:pStyle w:val="NoSpacing"/>
              <w:rPr>
                <w:rFonts w:cs="Arial"/>
                <w:bCs w:val="0"/>
                <w:sz w:val="18"/>
                <w:szCs w:val="18"/>
              </w:rPr>
            </w:pPr>
            <w:r w:rsidRPr="004229D9">
              <w:rPr>
                <w:rFonts w:cs="Arial"/>
                <w:sz w:val="18"/>
                <w:szCs w:val="18"/>
              </w:rPr>
              <w:t>Number of instances</w:t>
            </w:r>
          </w:p>
        </w:tc>
        <w:tc>
          <w:tcPr>
            <w:tcW w:w="681" w:type="pct"/>
            <w:shd w:val="clear" w:color="auto" w:fill="A6A6A6" w:themeFill="background1" w:themeFillShade="A6"/>
          </w:tcPr>
          <w:p w:rsidR="00CB4918" w:rsidRPr="004229D9" w:rsidRDefault="00CB4918" w:rsidP="00871C3E">
            <w:pPr>
              <w:pStyle w:val="NoSpacing"/>
              <w:rPr>
                <w:rFonts w:cs="Arial"/>
                <w:sz w:val="18"/>
                <w:szCs w:val="18"/>
              </w:rPr>
            </w:pPr>
            <w:r w:rsidRPr="004229D9">
              <w:rPr>
                <w:rFonts w:cs="Arial"/>
                <w:sz w:val="18"/>
                <w:szCs w:val="18"/>
              </w:rPr>
              <w:t>Number of instances investigated</w:t>
            </w:r>
          </w:p>
        </w:tc>
        <w:tc>
          <w:tcPr>
            <w:tcW w:w="680" w:type="pct"/>
            <w:shd w:val="clear" w:color="auto" w:fill="A6A6A6" w:themeFill="background1" w:themeFillShade="A6"/>
          </w:tcPr>
          <w:p w:rsidR="00CB4918" w:rsidRPr="004229D9" w:rsidRDefault="00CB4918" w:rsidP="00871C3E">
            <w:pPr>
              <w:pStyle w:val="NoSpacing"/>
              <w:rPr>
                <w:rFonts w:cs="Arial"/>
                <w:sz w:val="18"/>
                <w:szCs w:val="18"/>
              </w:rPr>
            </w:pPr>
            <w:r w:rsidRPr="004229D9">
              <w:rPr>
                <w:rFonts w:cs="Arial"/>
                <w:sz w:val="18"/>
                <w:szCs w:val="18"/>
              </w:rPr>
              <w:t>Number of instances resolved from those investigated</w:t>
            </w:r>
          </w:p>
        </w:tc>
        <w:tc>
          <w:tcPr>
            <w:tcW w:w="577" w:type="pct"/>
            <w:shd w:val="clear" w:color="auto" w:fill="0F243E" w:themeFill="text2" w:themeFillShade="80"/>
          </w:tcPr>
          <w:p w:rsidR="00CB4918" w:rsidRPr="004229D9" w:rsidRDefault="00CB4918" w:rsidP="00871C3E">
            <w:pPr>
              <w:pStyle w:val="NoSpacing"/>
              <w:rPr>
                <w:rFonts w:cs="Arial"/>
                <w:color w:val="FFFFFF" w:themeColor="background1"/>
                <w:sz w:val="18"/>
                <w:szCs w:val="18"/>
              </w:rPr>
            </w:pPr>
            <w:r w:rsidRPr="004229D9">
              <w:rPr>
                <w:rFonts w:cs="Arial"/>
                <w:color w:val="FFFFFF" w:themeColor="background1"/>
                <w:sz w:val="18"/>
                <w:szCs w:val="18"/>
              </w:rPr>
              <w:t>Number of instances</w:t>
            </w:r>
          </w:p>
        </w:tc>
        <w:tc>
          <w:tcPr>
            <w:tcW w:w="710" w:type="pct"/>
            <w:shd w:val="clear" w:color="auto" w:fill="0F243E" w:themeFill="text2" w:themeFillShade="80"/>
          </w:tcPr>
          <w:p w:rsidR="00CB4918" w:rsidRPr="004229D9" w:rsidRDefault="00CB4918" w:rsidP="00871C3E">
            <w:pPr>
              <w:pStyle w:val="NoSpacing"/>
              <w:rPr>
                <w:rFonts w:cs="Arial"/>
                <w:color w:val="FFFFFF" w:themeColor="background1"/>
                <w:sz w:val="18"/>
                <w:szCs w:val="18"/>
              </w:rPr>
            </w:pPr>
            <w:r w:rsidRPr="004229D9">
              <w:rPr>
                <w:rFonts w:cs="Arial"/>
                <w:color w:val="FFFFFF" w:themeColor="background1"/>
                <w:sz w:val="18"/>
                <w:szCs w:val="18"/>
              </w:rPr>
              <w:t>Value</w:t>
            </w:r>
          </w:p>
          <w:p w:rsidR="00834855" w:rsidRPr="004229D9" w:rsidRDefault="00834855" w:rsidP="00871C3E">
            <w:pPr>
              <w:pStyle w:val="NoSpacing"/>
              <w:rPr>
                <w:rFonts w:cs="Arial"/>
                <w:color w:val="FFFFFF" w:themeColor="background1"/>
                <w:sz w:val="18"/>
                <w:szCs w:val="18"/>
              </w:rPr>
            </w:pPr>
            <w:r w:rsidRPr="004229D9">
              <w:rPr>
                <w:rFonts w:cs="Arial"/>
                <w:color w:val="FFFFFF" w:themeColor="background1"/>
                <w:sz w:val="18"/>
                <w:szCs w:val="18"/>
              </w:rPr>
              <w:t>(R)</w:t>
            </w:r>
          </w:p>
        </w:tc>
      </w:tr>
      <w:tr w:rsidR="00034B01" w:rsidRPr="004229D9" w:rsidTr="004229D9">
        <w:tc>
          <w:tcPr>
            <w:tcW w:w="5000" w:type="pct"/>
            <w:gridSpan w:val="6"/>
            <w:shd w:val="clear" w:color="auto" w:fill="D9D9D9" w:themeFill="background1" w:themeFillShade="D9"/>
          </w:tcPr>
          <w:p w:rsidR="00034B01" w:rsidRPr="004229D9" w:rsidRDefault="00034B01" w:rsidP="00871C3E">
            <w:pPr>
              <w:pStyle w:val="NoSpacing"/>
              <w:rPr>
                <w:rFonts w:cs="Arial"/>
                <w:sz w:val="18"/>
                <w:szCs w:val="18"/>
              </w:rPr>
            </w:pPr>
            <w:r w:rsidRPr="004229D9">
              <w:rPr>
                <w:rFonts w:cs="Arial"/>
                <w:sz w:val="18"/>
                <w:szCs w:val="18"/>
              </w:rPr>
              <w:t>A: Improper conduct in SCM by suppliers</w:t>
            </w:r>
          </w:p>
        </w:tc>
      </w:tr>
      <w:tr w:rsidR="00CB4918" w:rsidRPr="004229D9" w:rsidTr="006D1AFE">
        <w:tc>
          <w:tcPr>
            <w:tcW w:w="1739" w:type="pct"/>
          </w:tcPr>
          <w:p w:rsidR="00CB4918" w:rsidRPr="004229D9" w:rsidRDefault="00CB4918" w:rsidP="00871C3E">
            <w:pPr>
              <w:pStyle w:val="Tabletext"/>
              <w:rPr>
                <w:rFonts w:cs="Arial"/>
                <w:szCs w:val="18"/>
              </w:rPr>
            </w:pPr>
            <w:r w:rsidRPr="004229D9">
              <w:rPr>
                <w:rFonts w:cs="Arial"/>
                <w:szCs w:val="18"/>
              </w:rPr>
              <w:t>Supplier submitted false declaration of interest</w:t>
            </w:r>
          </w:p>
        </w:tc>
        <w:tc>
          <w:tcPr>
            <w:tcW w:w="612" w:type="pct"/>
          </w:tcPr>
          <w:p w:rsidR="00CB4918" w:rsidRPr="004229D9" w:rsidRDefault="000022ED" w:rsidP="00871C3E">
            <w:pPr>
              <w:pStyle w:val="Tabletext"/>
              <w:rPr>
                <w:rFonts w:cs="Arial"/>
                <w:szCs w:val="18"/>
              </w:rPr>
            </w:pPr>
            <w:r>
              <w:rPr>
                <w:rFonts w:cs="Arial"/>
                <w:szCs w:val="18"/>
              </w:rPr>
              <w:t>1</w:t>
            </w:r>
          </w:p>
        </w:tc>
        <w:tc>
          <w:tcPr>
            <w:tcW w:w="681" w:type="pct"/>
          </w:tcPr>
          <w:p w:rsidR="00CB4918" w:rsidRPr="004229D9" w:rsidRDefault="00052712" w:rsidP="00871C3E">
            <w:pPr>
              <w:pStyle w:val="Tabletext"/>
              <w:rPr>
                <w:rFonts w:cs="Arial"/>
                <w:szCs w:val="18"/>
              </w:rPr>
            </w:pPr>
            <w:r>
              <w:rPr>
                <w:rFonts w:cs="Arial"/>
                <w:szCs w:val="18"/>
              </w:rPr>
              <w:t>0</w:t>
            </w:r>
          </w:p>
        </w:tc>
        <w:tc>
          <w:tcPr>
            <w:tcW w:w="680" w:type="pct"/>
          </w:tcPr>
          <w:p w:rsidR="00CB4918" w:rsidRPr="004229D9" w:rsidRDefault="00052712" w:rsidP="00871C3E">
            <w:pPr>
              <w:pStyle w:val="Tabletext"/>
              <w:rPr>
                <w:rFonts w:cs="Arial"/>
                <w:szCs w:val="18"/>
              </w:rPr>
            </w:pPr>
            <w:r>
              <w:rPr>
                <w:rFonts w:cs="Arial"/>
                <w:szCs w:val="18"/>
              </w:rPr>
              <w:t>1</w:t>
            </w:r>
          </w:p>
        </w:tc>
        <w:tc>
          <w:tcPr>
            <w:tcW w:w="577" w:type="pct"/>
            <w:shd w:val="clear" w:color="auto" w:fill="F2F2F2" w:themeFill="background1" w:themeFillShade="F2"/>
          </w:tcPr>
          <w:p w:rsidR="00CB4918" w:rsidRPr="004229D9" w:rsidRDefault="000022ED" w:rsidP="00871C3E">
            <w:pPr>
              <w:pStyle w:val="Tabletext"/>
              <w:rPr>
                <w:rFonts w:cs="Arial"/>
                <w:szCs w:val="18"/>
              </w:rPr>
            </w:pPr>
            <w:r>
              <w:rPr>
                <w:rFonts w:cs="Arial"/>
                <w:szCs w:val="18"/>
              </w:rPr>
              <w:t>0</w:t>
            </w:r>
          </w:p>
        </w:tc>
        <w:tc>
          <w:tcPr>
            <w:tcW w:w="710" w:type="pct"/>
            <w:shd w:val="clear" w:color="auto" w:fill="F2F2F2" w:themeFill="background1" w:themeFillShade="F2"/>
          </w:tcPr>
          <w:p w:rsidR="00CB4918" w:rsidRPr="004229D9" w:rsidRDefault="005713D0" w:rsidP="00871C3E">
            <w:pPr>
              <w:pStyle w:val="Tabletext"/>
              <w:rPr>
                <w:rFonts w:cs="Arial"/>
                <w:szCs w:val="18"/>
              </w:rPr>
            </w:pPr>
            <w:r>
              <w:rPr>
                <w:rFonts w:cs="Arial"/>
                <w:szCs w:val="18"/>
              </w:rPr>
              <w:t>0</w:t>
            </w:r>
          </w:p>
        </w:tc>
      </w:tr>
      <w:tr w:rsidR="00CB4918" w:rsidRPr="004229D9" w:rsidTr="006D1AFE">
        <w:tc>
          <w:tcPr>
            <w:tcW w:w="1739" w:type="pct"/>
          </w:tcPr>
          <w:p w:rsidR="00CB4918" w:rsidRPr="004229D9" w:rsidRDefault="00CB4918" w:rsidP="00871C3E">
            <w:pPr>
              <w:pStyle w:val="Tabletext"/>
              <w:rPr>
                <w:rFonts w:cs="Arial"/>
                <w:szCs w:val="18"/>
              </w:rPr>
            </w:pPr>
            <w:r w:rsidRPr="004229D9">
              <w:rPr>
                <w:rFonts w:cs="Arial"/>
                <w:szCs w:val="18"/>
              </w:rPr>
              <w:t>Other improper conduct in SCM by suppliers</w:t>
            </w:r>
          </w:p>
        </w:tc>
        <w:tc>
          <w:tcPr>
            <w:tcW w:w="612" w:type="pct"/>
          </w:tcPr>
          <w:p w:rsidR="00CB4918" w:rsidRPr="004229D9" w:rsidRDefault="000022ED" w:rsidP="00871C3E">
            <w:pPr>
              <w:pStyle w:val="Tabletext"/>
              <w:rPr>
                <w:rFonts w:cs="Arial"/>
                <w:szCs w:val="18"/>
              </w:rPr>
            </w:pPr>
            <w:r>
              <w:rPr>
                <w:rFonts w:cs="Arial"/>
                <w:szCs w:val="18"/>
              </w:rPr>
              <w:t>3</w:t>
            </w:r>
          </w:p>
        </w:tc>
        <w:tc>
          <w:tcPr>
            <w:tcW w:w="681" w:type="pct"/>
          </w:tcPr>
          <w:p w:rsidR="00CB4918" w:rsidRPr="004229D9" w:rsidRDefault="00184F27" w:rsidP="00871C3E">
            <w:pPr>
              <w:pStyle w:val="Tabletext"/>
              <w:rPr>
                <w:rFonts w:cs="Arial"/>
                <w:szCs w:val="18"/>
              </w:rPr>
            </w:pPr>
            <w:r>
              <w:rPr>
                <w:rFonts w:cs="Arial"/>
                <w:szCs w:val="18"/>
              </w:rPr>
              <w:t>3</w:t>
            </w:r>
          </w:p>
        </w:tc>
        <w:tc>
          <w:tcPr>
            <w:tcW w:w="680" w:type="pct"/>
          </w:tcPr>
          <w:p w:rsidR="00CB4918" w:rsidRPr="004229D9" w:rsidRDefault="00184F27" w:rsidP="00871C3E">
            <w:pPr>
              <w:pStyle w:val="Tabletext"/>
              <w:rPr>
                <w:rFonts w:cs="Arial"/>
                <w:szCs w:val="18"/>
              </w:rPr>
            </w:pPr>
            <w:r>
              <w:rPr>
                <w:rFonts w:cs="Arial"/>
                <w:szCs w:val="18"/>
              </w:rPr>
              <w:t>1</w:t>
            </w:r>
          </w:p>
        </w:tc>
        <w:tc>
          <w:tcPr>
            <w:tcW w:w="577" w:type="pct"/>
            <w:shd w:val="clear" w:color="auto" w:fill="F2F2F2" w:themeFill="background1" w:themeFillShade="F2"/>
          </w:tcPr>
          <w:p w:rsidR="00CB4918" w:rsidRPr="004229D9" w:rsidRDefault="006D1AFE" w:rsidP="00871C3E">
            <w:pPr>
              <w:pStyle w:val="Tabletext"/>
              <w:rPr>
                <w:rFonts w:cs="Arial"/>
                <w:szCs w:val="18"/>
              </w:rPr>
            </w:pPr>
            <w:r>
              <w:rPr>
                <w:rFonts w:cs="Arial"/>
                <w:szCs w:val="18"/>
              </w:rPr>
              <w:t>6</w:t>
            </w:r>
          </w:p>
        </w:tc>
        <w:tc>
          <w:tcPr>
            <w:tcW w:w="710" w:type="pct"/>
            <w:shd w:val="clear" w:color="auto" w:fill="F2F2F2" w:themeFill="background1" w:themeFillShade="F2"/>
          </w:tcPr>
          <w:p w:rsidR="00CB4918" w:rsidRPr="004229D9" w:rsidRDefault="006D1AFE" w:rsidP="00871C3E">
            <w:pPr>
              <w:pStyle w:val="Tabletext"/>
              <w:rPr>
                <w:rFonts w:cs="Arial"/>
                <w:szCs w:val="18"/>
              </w:rPr>
            </w:pPr>
            <w:r>
              <w:rPr>
                <w:rFonts w:cs="Arial"/>
                <w:szCs w:val="18"/>
              </w:rPr>
              <w:t>Unquantifiable as not all instances have amounts</w:t>
            </w:r>
          </w:p>
        </w:tc>
      </w:tr>
      <w:tr w:rsidR="00034B01" w:rsidRPr="004229D9" w:rsidTr="004229D9">
        <w:tc>
          <w:tcPr>
            <w:tcW w:w="5000" w:type="pct"/>
            <w:gridSpan w:val="6"/>
            <w:shd w:val="clear" w:color="auto" w:fill="D9D9D9" w:themeFill="background1" w:themeFillShade="D9"/>
          </w:tcPr>
          <w:p w:rsidR="00034B01" w:rsidRPr="004229D9" w:rsidRDefault="00034B01" w:rsidP="00871C3E">
            <w:pPr>
              <w:pStyle w:val="NoSpacing"/>
              <w:rPr>
                <w:rFonts w:cs="Arial"/>
                <w:sz w:val="18"/>
                <w:szCs w:val="18"/>
              </w:rPr>
            </w:pPr>
            <w:r w:rsidRPr="004229D9">
              <w:rPr>
                <w:rFonts w:cs="Arial"/>
                <w:sz w:val="18"/>
                <w:szCs w:val="18"/>
              </w:rPr>
              <w:t>B: Improper conduct in SCM by officials/role players</w:t>
            </w:r>
          </w:p>
        </w:tc>
      </w:tr>
      <w:tr w:rsidR="00CB4918" w:rsidRPr="004229D9" w:rsidTr="006D1AFE">
        <w:tc>
          <w:tcPr>
            <w:tcW w:w="1739" w:type="pct"/>
          </w:tcPr>
          <w:p w:rsidR="00CB4918" w:rsidRPr="004229D9" w:rsidRDefault="00CB4918" w:rsidP="00871C3E">
            <w:pPr>
              <w:pStyle w:val="Tabletext"/>
              <w:rPr>
                <w:rFonts w:cs="Arial"/>
                <w:szCs w:val="18"/>
              </w:rPr>
            </w:pPr>
            <w:r w:rsidRPr="004229D9">
              <w:rPr>
                <w:rFonts w:cs="Arial"/>
                <w:szCs w:val="18"/>
              </w:rPr>
              <w:t>Payments made to fictitious suppliers</w:t>
            </w:r>
          </w:p>
        </w:tc>
        <w:tc>
          <w:tcPr>
            <w:tcW w:w="612" w:type="pct"/>
          </w:tcPr>
          <w:p w:rsidR="00CB4918" w:rsidRPr="004229D9" w:rsidRDefault="000022ED" w:rsidP="00871C3E">
            <w:pPr>
              <w:pStyle w:val="Tabletext"/>
              <w:rPr>
                <w:rFonts w:cs="Arial"/>
                <w:szCs w:val="18"/>
              </w:rPr>
            </w:pPr>
            <w:r>
              <w:rPr>
                <w:rFonts w:cs="Arial"/>
                <w:szCs w:val="18"/>
              </w:rPr>
              <w:t>1</w:t>
            </w:r>
          </w:p>
        </w:tc>
        <w:tc>
          <w:tcPr>
            <w:tcW w:w="681" w:type="pct"/>
          </w:tcPr>
          <w:p w:rsidR="00CB4918" w:rsidRPr="004229D9" w:rsidRDefault="00FC79B9" w:rsidP="00871C3E">
            <w:pPr>
              <w:pStyle w:val="Tabletext"/>
              <w:rPr>
                <w:rFonts w:cs="Arial"/>
                <w:szCs w:val="18"/>
              </w:rPr>
            </w:pPr>
            <w:r>
              <w:rPr>
                <w:rFonts w:cs="Arial"/>
                <w:szCs w:val="18"/>
              </w:rPr>
              <w:t>1</w:t>
            </w:r>
          </w:p>
        </w:tc>
        <w:tc>
          <w:tcPr>
            <w:tcW w:w="680" w:type="pct"/>
          </w:tcPr>
          <w:p w:rsidR="00CB4918" w:rsidRPr="004229D9" w:rsidRDefault="00FC79B9" w:rsidP="00871C3E">
            <w:pPr>
              <w:pStyle w:val="Tabletext"/>
              <w:rPr>
                <w:rFonts w:cs="Arial"/>
                <w:szCs w:val="18"/>
              </w:rPr>
            </w:pPr>
            <w:r>
              <w:rPr>
                <w:rFonts w:cs="Arial"/>
                <w:szCs w:val="18"/>
              </w:rPr>
              <w:t>0</w:t>
            </w:r>
          </w:p>
        </w:tc>
        <w:tc>
          <w:tcPr>
            <w:tcW w:w="577" w:type="pct"/>
            <w:shd w:val="clear" w:color="auto" w:fill="F2F2F2" w:themeFill="background1" w:themeFillShade="F2"/>
          </w:tcPr>
          <w:p w:rsidR="00CB4918" w:rsidRPr="004229D9" w:rsidRDefault="00A87439" w:rsidP="00871C3E">
            <w:pPr>
              <w:pStyle w:val="Tabletext"/>
              <w:rPr>
                <w:rFonts w:cs="Arial"/>
                <w:szCs w:val="18"/>
              </w:rPr>
            </w:pPr>
            <w:r>
              <w:rPr>
                <w:rFonts w:cs="Arial"/>
                <w:szCs w:val="18"/>
              </w:rPr>
              <w:t>0</w:t>
            </w:r>
          </w:p>
        </w:tc>
        <w:tc>
          <w:tcPr>
            <w:tcW w:w="710" w:type="pct"/>
            <w:shd w:val="clear" w:color="auto" w:fill="F2F2F2" w:themeFill="background1" w:themeFillShade="F2"/>
          </w:tcPr>
          <w:p w:rsidR="00CB4918" w:rsidRPr="004229D9" w:rsidRDefault="00A87439" w:rsidP="00871C3E">
            <w:pPr>
              <w:pStyle w:val="Tabletext"/>
              <w:rPr>
                <w:rFonts w:cs="Arial"/>
                <w:szCs w:val="18"/>
              </w:rPr>
            </w:pPr>
            <w:r>
              <w:rPr>
                <w:rFonts w:cs="Arial"/>
                <w:szCs w:val="18"/>
              </w:rPr>
              <w:t>0</w:t>
            </w:r>
          </w:p>
        </w:tc>
      </w:tr>
      <w:tr w:rsidR="006D1AFE" w:rsidRPr="004229D9" w:rsidTr="006D1AFE">
        <w:tc>
          <w:tcPr>
            <w:tcW w:w="1739" w:type="pct"/>
          </w:tcPr>
          <w:p w:rsidR="006D1AFE" w:rsidRPr="004229D9" w:rsidRDefault="006D1AFE" w:rsidP="006D1AFE">
            <w:pPr>
              <w:pStyle w:val="Tabletext"/>
              <w:rPr>
                <w:rFonts w:cs="Arial"/>
                <w:szCs w:val="18"/>
              </w:rPr>
            </w:pPr>
            <w:r w:rsidRPr="004229D9">
              <w:rPr>
                <w:rFonts w:cs="Arial"/>
                <w:szCs w:val="18"/>
              </w:rPr>
              <w:t>Other improper conduct in SCM by officials or SCM role players</w:t>
            </w:r>
          </w:p>
        </w:tc>
        <w:tc>
          <w:tcPr>
            <w:tcW w:w="612" w:type="pct"/>
          </w:tcPr>
          <w:p w:rsidR="006D1AFE" w:rsidRPr="004229D9" w:rsidRDefault="006D1AFE" w:rsidP="006D1AFE">
            <w:pPr>
              <w:pStyle w:val="Tabletext"/>
              <w:rPr>
                <w:rFonts w:cs="Arial"/>
                <w:szCs w:val="18"/>
              </w:rPr>
            </w:pPr>
            <w:r>
              <w:rPr>
                <w:rFonts w:cs="Arial"/>
                <w:szCs w:val="18"/>
              </w:rPr>
              <w:t>3</w:t>
            </w:r>
          </w:p>
        </w:tc>
        <w:tc>
          <w:tcPr>
            <w:tcW w:w="681" w:type="pct"/>
          </w:tcPr>
          <w:p w:rsidR="006D1AFE" w:rsidRPr="004229D9" w:rsidRDefault="006D1AFE" w:rsidP="006D1AFE">
            <w:pPr>
              <w:pStyle w:val="Tabletext"/>
              <w:rPr>
                <w:rFonts w:cs="Arial"/>
                <w:szCs w:val="18"/>
              </w:rPr>
            </w:pPr>
            <w:r>
              <w:rPr>
                <w:rFonts w:cs="Arial"/>
                <w:szCs w:val="18"/>
              </w:rPr>
              <w:t>1</w:t>
            </w:r>
          </w:p>
        </w:tc>
        <w:tc>
          <w:tcPr>
            <w:tcW w:w="680" w:type="pct"/>
          </w:tcPr>
          <w:p w:rsidR="006D1AFE" w:rsidRPr="004229D9" w:rsidRDefault="006D1AFE" w:rsidP="006D1AFE">
            <w:pPr>
              <w:pStyle w:val="Tabletext"/>
              <w:rPr>
                <w:rFonts w:cs="Arial"/>
                <w:szCs w:val="18"/>
              </w:rPr>
            </w:pPr>
            <w:r>
              <w:rPr>
                <w:rFonts w:cs="Arial"/>
                <w:szCs w:val="18"/>
              </w:rPr>
              <w:t>1</w:t>
            </w:r>
          </w:p>
        </w:tc>
        <w:tc>
          <w:tcPr>
            <w:tcW w:w="577" w:type="pct"/>
            <w:shd w:val="clear" w:color="auto" w:fill="F2F2F2" w:themeFill="background1" w:themeFillShade="F2"/>
          </w:tcPr>
          <w:p w:rsidR="006D1AFE" w:rsidRPr="004229D9" w:rsidRDefault="006D1AFE" w:rsidP="006D1AFE">
            <w:pPr>
              <w:pStyle w:val="Tabletext"/>
              <w:rPr>
                <w:rFonts w:cs="Arial"/>
                <w:szCs w:val="18"/>
              </w:rPr>
            </w:pPr>
            <w:r>
              <w:rPr>
                <w:rFonts w:cs="Arial"/>
                <w:szCs w:val="18"/>
              </w:rPr>
              <w:t>9</w:t>
            </w:r>
          </w:p>
        </w:tc>
        <w:tc>
          <w:tcPr>
            <w:tcW w:w="710" w:type="pct"/>
            <w:shd w:val="clear" w:color="auto" w:fill="F2F2F2" w:themeFill="background1" w:themeFillShade="F2"/>
          </w:tcPr>
          <w:p w:rsidR="006D1AFE" w:rsidRPr="004229D9" w:rsidRDefault="006D1AFE" w:rsidP="006D1AFE">
            <w:pPr>
              <w:pStyle w:val="Tabletext"/>
              <w:rPr>
                <w:rFonts w:cs="Arial"/>
                <w:szCs w:val="18"/>
              </w:rPr>
            </w:pPr>
            <w:r>
              <w:rPr>
                <w:rFonts w:cs="Arial"/>
                <w:szCs w:val="18"/>
              </w:rPr>
              <w:t>Unquantifiable as not all instances have amounts</w:t>
            </w:r>
          </w:p>
        </w:tc>
      </w:tr>
      <w:tr w:rsidR="006D1AFE" w:rsidRPr="004229D9" w:rsidTr="004229D9">
        <w:tc>
          <w:tcPr>
            <w:tcW w:w="5000" w:type="pct"/>
            <w:gridSpan w:val="6"/>
            <w:shd w:val="clear" w:color="auto" w:fill="D9D9D9" w:themeFill="background1" w:themeFillShade="D9"/>
          </w:tcPr>
          <w:p w:rsidR="006D1AFE" w:rsidRPr="004229D9" w:rsidRDefault="006D1AFE" w:rsidP="006D1AFE">
            <w:pPr>
              <w:pStyle w:val="NoSpacing"/>
              <w:rPr>
                <w:rFonts w:cs="Arial"/>
                <w:sz w:val="18"/>
                <w:szCs w:val="18"/>
              </w:rPr>
            </w:pPr>
            <w:r w:rsidRPr="004229D9">
              <w:rPr>
                <w:rFonts w:cs="Arial"/>
                <w:sz w:val="18"/>
                <w:szCs w:val="18"/>
              </w:rPr>
              <w:t>C: Financial misconduct</w:t>
            </w:r>
          </w:p>
        </w:tc>
      </w:tr>
      <w:tr w:rsidR="006D1AFE" w:rsidRPr="004229D9" w:rsidTr="006D1AFE">
        <w:tc>
          <w:tcPr>
            <w:tcW w:w="1739" w:type="pct"/>
          </w:tcPr>
          <w:p w:rsidR="006D1AFE" w:rsidRPr="004229D9" w:rsidRDefault="006D1AFE" w:rsidP="006D1AFE">
            <w:pPr>
              <w:pStyle w:val="Tabletext"/>
              <w:rPr>
                <w:rFonts w:cs="Arial"/>
                <w:szCs w:val="18"/>
              </w:rPr>
            </w:pPr>
            <w:r w:rsidRPr="004229D9">
              <w:rPr>
                <w:rFonts w:cs="Arial"/>
                <w:szCs w:val="18"/>
              </w:rPr>
              <w:t>Other financial misconduct-related allegation</w:t>
            </w:r>
          </w:p>
        </w:tc>
        <w:tc>
          <w:tcPr>
            <w:tcW w:w="612" w:type="pct"/>
          </w:tcPr>
          <w:p w:rsidR="006D1AFE" w:rsidRPr="004229D9" w:rsidRDefault="006D1AFE" w:rsidP="006D1AFE">
            <w:pPr>
              <w:pStyle w:val="Tabletext"/>
              <w:rPr>
                <w:rFonts w:cs="Arial"/>
                <w:szCs w:val="18"/>
              </w:rPr>
            </w:pPr>
            <w:r>
              <w:rPr>
                <w:rFonts w:cs="Arial"/>
                <w:szCs w:val="18"/>
              </w:rPr>
              <w:t>8</w:t>
            </w:r>
          </w:p>
        </w:tc>
        <w:tc>
          <w:tcPr>
            <w:tcW w:w="681" w:type="pct"/>
          </w:tcPr>
          <w:p w:rsidR="006D1AFE" w:rsidRPr="004229D9" w:rsidRDefault="006D1AFE" w:rsidP="006D1AFE">
            <w:pPr>
              <w:pStyle w:val="Tabletext"/>
              <w:rPr>
                <w:rFonts w:cs="Arial"/>
                <w:szCs w:val="18"/>
              </w:rPr>
            </w:pPr>
            <w:r>
              <w:rPr>
                <w:rFonts w:cs="Arial"/>
                <w:szCs w:val="18"/>
              </w:rPr>
              <w:t>1</w:t>
            </w:r>
          </w:p>
        </w:tc>
        <w:tc>
          <w:tcPr>
            <w:tcW w:w="680" w:type="pct"/>
          </w:tcPr>
          <w:p w:rsidR="006D1AFE" w:rsidRPr="004229D9" w:rsidRDefault="006D1AFE" w:rsidP="006D1AFE">
            <w:pPr>
              <w:pStyle w:val="Tabletext"/>
              <w:rPr>
                <w:rFonts w:cs="Arial"/>
                <w:szCs w:val="18"/>
              </w:rPr>
            </w:pPr>
            <w:r>
              <w:rPr>
                <w:rFonts w:cs="Arial"/>
                <w:szCs w:val="18"/>
              </w:rPr>
              <w:t>1</w:t>
            </w:r>
          </w:p>
        </w:tc>
        <w:tc>
          <w:tcPr>
            <w:tcW w:w="577" w:type="pct"/>
            <w:shd w:val="clear" w:color="auto" w:fill="F2F2F2" w:themeFill="background1" w:themeFillShade="F2"/>
          </w:tcPr>
          <w:p w:rsidR="006D1AFE" w:rsidRPr="004229D9" w:rsidRDefault="006D1AFE" w:rsidP="006D1AFE">
            <w:pPr>
              <w:pStyle w:val="Tabletext"/>
              <w:rPr>
                <w:rFonts w:cs="Arial"/>
                <w:szCs w:val="18"/>
              </w:rPr>
            </w:pPr>
            <w:r>
              <w:rPr>
                <w:rFonts w:cs="Arial"/>
                <w:szCs w:val="18"/>
              </w:rPr>
              <w:t>0</w:t>
            </w:r>
          </w:p>
        </w:tc>
        <w:tc>
          <w:tcPr>
            <w:tcW w:w="710" w:type="pct"/>
            <w:shd w:val="clear" w:color="auto" w:fill="F2F2F2" w:themeFill="background1" w:themeFillShade="F2"/>
          </w:tcPr>
          <w:p w:rsidR="006D1AFE" w:rsidRPr="004229D9" w:rsidRDefault="006D1AFE" w:rsidP="006D1AFE">
            <w:pPr>
              <w:pStyle w:val="Tabletext"/>
              <w:rPr>
                <w:rFonts w:cs="Arial"/>
                <w:szCs w:val="18"/>
              </w:rPr>
            </w:pPr>
            <w:r>
              <w:rPr>
                <w:rFonts w:cs="Arial"/>
                <w:szCs w:val="18"/>
              </w:rPr>
              <w:t>0</w:t>
            </w:r>
          </w:p>
        </w:tc>
      </w:tr>
      <w:tr w:rsidR="006D1AFE" w:rsidRPr="004229D9" w:rsidTr="004229D9">
        <w:tc>
          <w:tcPr>
            <w:tcW w:w="5000" w:type="pct"/>
            <w:gridSpan w:val="6"/>
            <w:shd w:val="clear" w:color="auto" w:fill="D9D9D9" w:themeFill="background1" w:themeFillShade="D9"/>
          </w:tcPr>
          <w:p w:rsidR="006D1AFE" w:rsidRPr="004229D9" w:rsidRDefault="006D1AFE" w:rsidP="006D1AFE">
            <w:pPr>
              <w:pStyle w:val="NoSpacing"/>
              <w:rPr>
                <w:rFonts w:cs="Arial"/>
                <w:sz w:val="18"/>
                <w:szCs w:val="18"/>
              </w:rPr>
            </w:pPr>
            <w:r w:rsidRPr="004229D9">
              <w:rPr>
                <w:rFonts w:cs="Arial"/>
                <w:sz w:val="18"/>
                <w:szCs w:val="18"/>
              </w:rPr>
              <w:t xml:space="preserve">D: Other contravention of legislation </w:t>
            </w:r>
          </w:p>
        </w:tc>
      </w:tr>
      <w:tr w:rsidR="006D1AFE" w:rsidRPr="004229D9" w:rsidTr="006D1AFE">
        <w:tc>
          <w:tcPr>
            <w:tcW w:w="1739" w:type="pct"/>
          </w:tcPr>
          <w:p w:rsidR="006D1AFE" w:rsidRPr="004229D9" w:rsidRDefault="006D1AFE" w:rsidP="006D1AFE">
            <w:pPr>
              <w:pStyle w:val="Tabletext"/>
              <w:rPr>
                <w:rFonts w:cs="Arial"/>
                <w:szCs w:val="18"/>
              </w:rPr>
            </w:pPr>
            <w:r w:rsidRPr="004229D9">
              <w:rPr>
                <w:rFonts w:cs="Arial"/>
                <w:szCs w:val="18"/>
              </w:rPr>
              <w:t>(Add other contravention of legislation)</w:t>
            </w:r>
          </w:p>
        </w:tc>
        <w:tc>
          <w:tcPr>
            <w:tcW w:w="612" w:type="pct"/>
          </w:tcPr>
          <w:p w:rsidR="006D1AFE" w:rsidRPr="004229D9" w:rsidRDefault="006D1AFE" w:rsidP="006D1AFE">
            <w:pPr>
              <w:pStyle w:val="Tabletext"/>
              <w:rPr>
                <w:rFonts w:cs="Arial"/>
                <w:szCs w:val="18"/>
              </w:rPr>
            </w:pPr>
          </w:p>
        </w:tc>
        <w:tc>
          <w:tcPr>
            <w:tcW w:w="681" w:type="pct"/>
          </w:tcPr>
          <w:p w:rsidR="006D1AFE" w:rsidRPr="004229D9" w:rsidRDefault="006D1AFE" w:rsidP="006D1AFE">
            <w:pPr>
              <w:pStyle w:val="Tabletext"/>
              <w:rPr>
                <w:rFonts w:cs="Arial"/>
                <w:szCs w:val="18"/>
              </w:rPr>
            </w:pPr>
          </w:p>
        </w:tc>
        <w:tc>
          <w:tcPr>
            <w:tcW w:w="680" w:type="pct"/>
          </w:tcPr>
          <w:p w:rsidR="006D1AFE" w:rsidRPr="004229D9" w:rsidRDefault="006D1AFE" w:rsidP="006D1AFE">
            <w:pPr>
              <w:pStyle w:val="Tabletext"/>
              <w:rPr>
                <w:rFonts w:cs="Arial"/>
                <w:szCs w:val="18"/>
              </w:rPr>
            </w:pPr>
          </w:p>
        </w:tc>
        <w:tc>
          <w:tcPr>
            <w:tcW w:w="577" w:type="pct"/>
            <w:shd w:val="clear" w:color="auto" w:fill="F2F2F2" w:themeFill="background1" w:themeFillShade="F2"/>
          </w:tcPr>
          <w:p w:rsidR="006D1AFE" w:rsidRPr="004229D9" w:rsidRDefault="006D1AFE" w:rsidP="006D1AFE">
            <w:pPr>
              <w:pStyle w:val="Tabletext"/>
              <w:rPr>
                <w:rFonts w:cs="Arial"/>
                <w:szCs w:val="18"/>
              </w:rPr>
            </w:pPr>
          </w:p>
        </w:tc>
        <w:tc>
          <w:tcPr>
            <w:tcW w:w="710" w:type="pct"/>
            <w:shd w:val="clear" w:color="auto" w:fill="F2F2F2" w:themeFill="background1" w:themeFillShade="F2"/>
          </w:tcPr>
          <w:p w:rsidR="006D1AFE" w:rsidRPr="004229D9" w:rsidRDefault="006D1AFE" w:rsidP="006D1AFE">
            <w:pPr>
              <w:pStyle w:val="Tabletext"/>
              <w:rPr>
                <w:rFonts w:cs="Arial"/>
                <w:szCs w:val="18"/>
              </w:rPr>
            </w:pPr>
          </w:p>
        </w:tc>
      </w:tr>
      <w:tr w:rsidR="006D1AFE" w:rsidRPr="004229D9" w:rsidTr="004229D9">
        <w:tc>
          <w:tcPr>
            <w:tcW w:w="5000" w:type="pct"/>
            <w:gridSpan w:val="6"/>
            <w:shd w:val="clear" w:color="auto" w:fill="D9D9D9" w:themeFill="background1" w:themeFillShade="D9"/>
          </w:tcPr>
          <w:p w:rsidR="006D1AFE" w:rsidRPr="004229D9" w:rsidRDefault="006D1AFE" w:rsidP="006D1AFE">
            <w:pPr>
              <w:pStyle w:val="NoSpacing"/>
              <w:rPr>
                <w:rFonts w:cs="Arial"/>
                <w:sz w:val="18"/>
                <w:szCs w:val="18"/>
              </w:rPr>
            </w:pPr>
            <w:r w:rsidRPr="004229D9">
              <w:rPr>
                <w:rFonts w:cs="Arial"/>
                <w:sz w:val="18"/>
                <w:szCs w:val="18"/>
              </w:rPr>
              <w:t>D: Other fraud / corruption allegations (not included above)</w:t>
            </w:r>
          </w:p>
        </w:tc>
      </w:tr>
      <w:tr w:rsidR="006D1AFE" w:rsidRPr="004229D9" w:rsidTr="006D1AFE">
        <w:tc>
          <w:tcPr>
            <w:tcW w:w="1739" w:type="pct"/>
          </w:tcPr>
          <w:p w:rsidR="006D1AFE" w:rsidRPr="004229D9" w:rsidRDefault="006D1AFE" w:rsidP="006D1AFE">
            <w:pPr>
              <w:pStyle w:val="Tabletext"/>
              <w:rPr>
                <w:rFonts w:cs="Arial"/>
                <w:szCs w:val="18"/>
              </w:rPr>
            </w:pPr>
            <w:r w:rsidRPr="004229D9">
              <w:rPr>
                <w:rFonts w:cs="Arial"/>
                <w:szCs w:val="18"/>
              </w:rPr>
              <w:t>(Add other possible fraud)</w:t>
            </w:r>
          </w:p>
        </w:tc>
        <w:tc>
          <w:tcPr>
            <w:tcW w:w="612" w:type="pct"/>
          </w:tcPr>
          <w:p w:rsidR="006D1AFE" w:rsidRPr="004229D9" w:rsidRDefault="006D1AFE" w:rsidP="006D1AFE">
            <w:pPr>
              <w:pStyle w:val="Tabletext"/>
              <w:rPr>
                <w:rFonts w:cs="Arial"/>
                <w:szCs w:val="18"/>
              </w:rPr>
            </w:pPr>
            <w:r>
              <w:rPr>
                <w:rFonts w:cs="Arial"/>
                <w:szCs w:val="18"/>
              </w:rPr>
              <w:t>3</w:t>
            </w:r>
          </w:p>
        </w:tc>
        <w:tc>
          <w:tcPr>
            <w:tcW w:w="681" w:type="pct"/>
          </w:tcPr>
          <w:p w:rsidR="006D1AFE" w:rsidRPr="004229D9" w:rsidRDefault="006D1AFE" w:rsidP="006D1AFE">
            <w:pPr>
              <w:pStyle w:val="Tabletext"/>
              <w:rPr>
                <w:rFonts w:cs="Arial"/>
                <w:szCs w:val="18"/>
              </w:rPr>
            </w:pPr>
            <w:r>
              <w:rPr>
                <w:rFonts w:cs="Arial"/>
                <w:szCs w:val="18"/>
              </w:rPr>
              <w:t>1</w:t>
            </w:r>
          </w:p>
        </w:tc>
        <w:tc>
          <w:tcPr>
            <w:tcW w:w="680" w:type="pct"/>
          </w:tcPr>
          <w:p w:rsidR="006D1AFE" w:rsidRPr="004229D9" w:rsidRDefault="006D1AFE" w:rsidP="006D1AFE">
            <w:pPr>
              <w:pStyle w:val="Tabletext"/>
              <w:rPr>
                <w:rFonts w:cs="Arial"/>
                <w:szCs w:val="18"/>
              </w:rPr>
            </w:pPr>
            <w:r>
              <w:rPr>
                <w:rFonts w:cs="Arial"/>
                <w:szCs w:val="18"/>
              </w:rPr>
              <w:t>1</w:t>
            </w:r>
          </w:p>
        </w:tc>
        <w:tc>
          <w:tcPr>
            <w:tcW w:w="577" w:type="pct"/>
            <w:shd w:val="clear" w:color="auto" w:fill="F2F2F2" w:themeFill="background1" w:themeFillShade="F2"/>
          </w:tcPr>
          <w:p w:rsidR="006D1AFE" w:rsidRPr="004229D9" w:rsidRDefault="006D1AFE" w:rsidP="006D1AFE">
            <w:pPr>
              <w:pStyle w:val="Tabletext"/>
              <w:rPr>
                <w:rFonts w:cs="Arial"/>
                <w:szCs w:val="18"/>
              </w:rPr>
            </w:pPr>
            <w:r>
              <w:rPr>
                <w:rFonts w:cs="Arial"/>
                <w:szCs w:val="18"/>
              </w:rPr>
              <w:t>3</w:t>
            </w:r>
          </w:p>
        </w:tc>
        <w:tc>
          <w:tcPr>
            <w:tcW w:w="710" w:type="pct"/>
            <w:shd w:val="clear" w:color="auto" w:fill="F2F2F2" w:themeFill="background1" w:themeFillShade="F2"/>
          </w:tcPr>
          <w:p w:rsidR="006D1AFE" w:rsidRPr="004229D9" w:rsidRDefault="006D1AFE" w:rsidP="006D1AFE">
            <w:pPr>
              <w:pStyle w:val="Tabletext"/>
              <w:rPr>
                <w:rFonts w:cs="Arial"/>
                <w:szCs w:val="18"/>
              </w:rPr>
            </w:pPr>
            <w:r>
              <w:rPr>
                <w:rFonts w:cs="Arial"/>
                <w:szCs w:val="18"/>
              </w:rPr>
              <w:t>unquantifiable</w:t>
            </w:r>
          </w:p>
        </w:tc>
      </w:tr>
    </w:tbl>
    <w:p w:rsidR="00D752B4" w:rsidRDefault="00D752B4" w:rsidP="00D752B4">
      <w:pPr>
        <w:pStyle w:val="Numbernormal"/>
        <w:numPr>
          <w:ilvl w:val="0"/>
          <w:numId w:val="14"/>
        </w:numPr>
        <w:ind w:left="567"/>
        <w:jc w:val="both"/>
      </w:pPr>
      <w:r w:rsidRPr="0077659B">
        <w:t xml:space="preserve"> </w:t>
      </w:r>
      <w:r>
        <w:t>Irregular fruitless disclosed in note 32</w:t>
      </w:r>
      <w:r w:rsidRPr="0077659B">
        <w:t xml:space="preserve"> to the financial statements must be investigated to determine whether any official is liable for losses incurred a</w:t>
      </w:r>
      <w:r>
        <w:t xml:space="preserve">s a result of the </w:t>
      </w:r>
      <w:r w:rsidRPr="0077659B">
        <w:t>i</w:t>
      </w:r>
      <w:r>
        <w:t>rregular</w:t>
      </w:r>
      <w:r w:rsidRPr="0077659B">
        <w:t xml:space="preserve"> expenditure. Disciplinary steps must be taken against officials who caused</w:t>
      </w:r>
      <w:r>
        <w:t xml:space="preserve"> or permitted the </w:t>
      </w:r>
      <w:r w:rsidRPr="0077659B">
        <w:t>i</w:t>
      </w:r>
      <w:r>
        <w:t>rregular</w:t>
      </w:r>
      <w:r w:rsidRPr="0077659B">
        <w:t xml:space="preserve"> expenditure, and losses incurred as a result must be recovered from the person liable.</w:t>
      </w:r>
    </w:p>
    <w:p w:rsidR="00D752B4" w:rsidRPr="0077659B" w:rsidRDefault="00D752B4" w:rsidP="00D752B4">
      <w:pPr>
        <w:pStyle w:val="Numbernormal"/>
        <w:ind w:left="567"/>
        <w:jc w:val="both"/>
      </w:pPr>
    </w:p>
    <w:p w:rsidR="00F15024" w:rsidRDefault="00F15024" w:rsidP="004229D9">
      <w:pPr>
        <w:pStyle w:val="Heading3"/>
        <w:jc w:val="both"/>
        <w:rPr>
          <w:bCs/>
          <w:sz w:val="24"/>
        </w:rPr>
      </w:pPr>
      <w:bookmarkStart w:id="142" w:name="_Toc79349498"/>
      <w:r w:rsidRPr="007F57B6">
        <w:rPr>
          <w:lang w:val="en-ZA"/>
        </w:rPr>
        <w:lastRenderedPageBreak/>
        <w:t>BROAD</w:t>
      </w:r>
      <w:r>
        <w:rPr>
          <w:bCs/>
          <w:sz w:val="24"/>
        </w:rPr>
        <w:t>-BASED BLACK ECONOMIC EMPOWERMENT (B-BBEE) ACT AND REGULATIONS REQUIREMENTS</w:t>
      </w:r>
      <w:bookmarkEnd w:id="142"/>
      <w:r w:rsidRPr="007A45CB">
        <w:rPr>
          <w:bCs/>
          <w:sz w:val="24"/>
        </w:rPr>
        <w:t xml:space="preserve"> </w:t>
      </w:r>
    </w:p>
    <w:p w:rsidR="00F15024" w:rsidRPr="00871C3E" w:rsidRDefault="00F15024" w:rsidP="00165C2D">
      <w:pPr>
        <w:pStyle w:val="Numbernormal"/>
        <w:numPr>
          <w:ilvl w:val="0"/>
          <w:numId w:val="14"/>
        </w:numPr>
        <w:ind w:left="567" w:hanging="357"/>
        <w:jc w:val="both"/>
      </w:pPr>
      <w:r w:rsidRPr="004A30C1">
        <w:rPr>
          <w:rFonts w:eastAsiaTheme="minorHAnsi"/>
        </w:rPr>
        <w:t xml:space="preserve">The audit included </w:t>
      </w:r>
      <w:r>
        <w:rPr>
          <w:rFonts w:eastAsiaTheme="minorHAnsi"/>
        </w:rPr>
        <w:t xml:space="preserve">confirming whether the </w:t>
      </w:r>
      <w:r w:rsidRPr="004A30C1">
        <w:rPr>
          <w:rFonts w:eastAsiaTheme="minorHAnsi"/>
        </w:rPr>
        <w:t xml:space="preserve">requirements as set out in the </w:t>
      </w:r>
      <w:r>
        <w:rPr>
          <w:rFonts w:eastAsiaTheme="minorHAnsi"/>
        </w:rPr>
        <w:t xml:space="preserve">B-BBEE Act and Regulations were adhered to. The purpose of this value-add initiative is to highlight the requirements contained in the B-BBEE Act and Regulations. </w:t>
      </w:r>
      <w:r w:rsidRPr="00D17342">
        <w:rPr>
          <w:rFonts w:eastAsiaTheme="minorHAnsi"/>
        </w:rPr>
        <w:t>Below is the list of findings identified</w:t>
      </w:r>
      <w:r>
        <w:rPr>
          <w:rFonts w:eastAsiaTheme="minorHAnsi"/>
        </w:rPr>
        <w:t>:</w:t>
      </w:r>
    </w:p>
    <w:p w:rsidR="00F15024" w:rsidRPr="003F25A1" w:rsidRDefault="00F15024" w:rsidP="00165C2D">
      <w:pPr>
        <w:pStyle w:val="ListParagraph"/>
        <w:numPr>
          <w:ilvl w:val="0"/>
          <w:numId w:val="15"/>
        </w:numPr>
        <w:tabs>
          <w:tab w:val="left" w:pos="567"/>
        </w:tabs>
        <w:autoSpaceDE/>
        <w:autoSpaceDN/>
        <w:adjustRightInd/>
        <w:jc w:val="both"/>
      </w:pPr>
      <w:r w:rsidRPr="003F25A1">
        <w:t xml:space="preserve">The </w:t>
      </w:r>
      <w:r w:rsidR="002E4F22">
        <w:t xml:space="preserve">Entity </w:t>
      </w:r>
      <w:r w:rsidR="002E4F22" w:rsidRPr="003F25A1">
        <w:t>did</w:t>
      </w:r>
      <w:r w:rsidRPr="003F25A1">
        <w:t xml:space="preserve"> not submit the</w:t>
      </w:r>
      <w:r>
        <w:t xml:space="preserve"> </w:t>
      </w:r>
      <w:r w:rsidRPr="003F25A1">
        <w:t>FORM B-BBEE 1</w:t>
      </w:r>
      <w:r w:rsidR="002E4F22">
        <w:t xml:space="preserve">, </w:t>
      </w:r>
      <w:r w:rsidR="002E4F22" w:rsidRPr="003F25A1">
        <w:t>the</w:t>
      </w:r>
      <w:r w:rsidRPr="003F25A1">
        <w:t xml:space="preserve"> approved audited annual financial </w:t>
      </w:r>
      <w:r w:rsidR="002E4F22">
        <w:t>statements</w:t>
      </w:r>
      <w:r w:rsidR="002E4F22" w:rsidRPr="003F25A1">
        <w:t xml:space="preserve"> </w:t>
      </w:r>
      <w:r w:rsidR="002E4F22">
        <w:t>and</w:t>
      </w:r>
      <w:r w:rsidR="00F05363">
        <w:t xml:space="preserve"> </w:t>
      </w:r>
      <w:r w:rsidRPr="003F25A1">
        <w:t>the approved annua</w:t>
      </w:r>
      <w:r>
        <w:t>l report</w:t>
      </w:r>
      <w:r w:rsidRPr="003F25A1">
        <w:t xml:space="preserve"> pertaining to th</w:t>
      </w:r>
      <w:r>
        <w:t>e 2019-20</w:t>
      </w:r>
      <w:r w:rsidRPr="003F25A1">
        <w:t xml:space="preserve"> financial year to the B-BBEE Commission within 30 days</w:t>
      </w:r>
      <w:r>
        <w:t xml:space="preserve"> as required by regulation 12(2) of the B-BBEE Regulations.</w:t>
      </w:r>
    </w:p>
    <w:p w:rsidR="00F15024" w:rsidRPr="00FA1031" w:rsidRDefault="00F15024" w:rsidP="00165C2D">
      <w:pPr>
        <w:pStyle w:val="ListParagraph"/>
        <w:numPr>
          <w:ilvl w:val="0"/>
          <w:numId w:val="15"/>
        </w:numPr>
        <w:tabs>
          <w:tab w:val="left" w:pos="567"/>
        </w:tabs>
        <w:autoSpaceDE/>
        <w:autoSpaceDN/>
        <w:adjustRightInd/>
        <w:jc w:val="both"/>
      </w:pPr>
      <w:r w:rsidRPr="00FA1031">
        <w:t xml:space="preserve">The annual report of the </w:t>
      </w:r>
      <w:r w:rsidR="00FE6A1A" w:rsidRPr="00FA1031">
        <w:t xml:space="preserve">trading </w:t>
      </w:r>
      <w:r w:rsidR="00F05363" w:rsidRPr="00FA1031">
        <w:t>entity</w:t>
      </w:r>
      <w:r w:rsidRPr="00FA1031">
        <w:t xml:space="preserve"> did not include a report on compliance with broad-based black economic empowerment</w:t>
      </w:r>
      <w:r w:rsidRPr="00FA1031">
        <w:rPr>
          <w:rStyle w:val="CommentReference"/>
          <w:rFonts w:ascii="Times New Roman" w:hAnsi="Times New Roman" w:cs="Times New Roman"/>
        </w:rPr>
        <w:t xml:space="preserve"> </w:t>
      </w:r>
      <w:r w:rsidRPr="00FA1031">
        <w:t>as required by section </w:t>
      </w:r>
      <w:r w:rsidR="002E4F22" w:rsidRPr="00FA1031">
        <w:t>13G (</w:t>
      </w:r>
      <w:r w:rsidRPr="00FA1031">
        <w:t xml:space="preserve">1) of the </w:t>
      </w:r>
      <w:r w:rsidRPr="00FA1031">
        <w:rPr>
          <w:rFonts w:eastAsiaTheme="minorHAnsi"/>
        </w:rPr>
        <w:t>B-BBEE Act.</w:t>
      </w:r>
    </w:p>
    <w:p w:rsidR="00426511" w:rsidRPr="00426511" w:rsidRDefault="00426511" w:rsidP="004229D9">
      <w:pPr>
        <w:pStyle w:val="ListParagraph"/>
        <w:numPr>
          <w:ilvl w:val="0"/>
          <w:numId w:val="0"/>
        </w:numPr>
        <w:tabs>
          <w:tab w:val="left" w:pos="567"/>
        </w:tabs>
        <w:autoSpaceDE/>
        <w:autoSpaceDN/>
        <w:adjustRightInd/>
        <w:ind w:left="360"/>
        <w:jc w:val="both"/>
      </w:pPr>
    </w:p>
    <w:p w:rsidR="00287920" w:rsidRPr="0077659B" w:rsidRDefault="00287920" w:rsidP="00287920">
      <w:pPr>
        <w:pStyle w:val="Heading2"/>
      </w:pPr>
      <w:bookmarkStart w:id="143" w:name="_Toc79349500"/>
      <w:r w:rsidRPr="0077659B">
        <w:t xml:space="preserve">SECTION 5. </w:t>
      </w:r>
      <w:bookmarkStart w:id="144" w:name="ICG"/>
      <w:bookmarkEnd w:id="144"/>
      <w:r w:rsidRPr="0077659B">
        <w:t>Using the work of internal audit</w:t>
      </w:r>
      <w:bookmarkEnd w:id="143"/>
    </w:p>
    <w:p w:rsidR="00072064" w:rsidRDefault="00B4347A" w:rsidP="00165C2D">
      <w:pPr>
        <w:pStyle w:val="Numbernormal"/>
        <w:numPr>
          <w:ilvl w:val="0"/>
          <w:numId w:val="14"/>
        </w:numPr>
        <w:ind w:left="567"/>
        <w:jc w:val="both"/>
      </w:pPr>
      <w:r w:rsidRPr="0077659B">
        <w:t>The auditing standards allow external auditors the optional use of the work of internal audit</w:t>
      </w:r>
      <w:r w:rsidR="002A588C" w:rsidRPr="0077659B">
        <w:t>ors</w:t>
      </w:r>
      <w:r w:rsidRPr="0077659B">
        <w:t xml:space="preserve"> for external audit purposes and for direct assistance. We have used internal audit as follows:</w:t>
      </w:r>
    </w:p>
    <w:p w:rsidR="00BC0A0A" w:rsidRPr="0077659B" w:rsidRDefault="00BC0A0A" w:rsidP="00BC0A0A">
      <w:pPr>
        <w:pStyle w:val="Numbernormal"/>
        <w:numPr>
          <w:ilvl w:val="0"/>
          <w:numId w:val="14"/>
        </w:numPr>
        <w:jc w:val="both"/>
      </w:pPr>
      <w:r>
        <w:rPr>
          <w:rFonts w:ascii="CIDFont+F4" w:hAnsi="CIDFont+F4" w:cs="CIDFont+F4"/>
          <w:sz w:val="21"/>
          <w:szCs w:val="21"/>
        </w:rPr>
        <w:t>T</w:t>
      </w:r>
      <w:r w:rsidRPr="001B6284">
        <w:rPr>
          <w:rFonts w:ascii="CIDFont+F4" w:hAnsi="CIDFont+F4" w:cs="CIDFont+F4"/>
          <w:sz w:val="21"/>
          <w:szCs w:val="21"/>
        </w:rPr>
        <w:t xml:space="preserve">he following internal audit report was considered for risk identification purposes i.e. </w:t>
      </w:r>
    </w:p>
    <w:p w:rsidR="00BC0A0A" w:rsidRDefault="00BC0A0A" w:rsidP="00BC0A0A">
      <w:pPr>
        <w:pStyle w:val="ListParagraph"/>
        <w:numPr>
          <w:ilvl w:val="0"/>
          <w:numId w:val="25"/>
        </w:numPr>
        <w:spacing w:after="0"/>
        <w:jc w:val="both"/>
        <w:rPr>
          <w:rFonts w:ascii="CIDFont+F4" w:hAnsi="CIDFont+F4" w:cs="CIDFont+F4"/>
          <w:sz w:val="21"/>
          <w:szCs w:val="21"/>
        </w:rPr>
      </w:pPr>
      <w:r>
        <w:rPr>
          <w:rFonts w:ascii="CIDFont+F4" w:hAnsi="CIDFont+F4" w:cs="CIDFont+F4"/>
          <w:sz w:val="21"/>
          <w:szCs w:val="21"/>
        </w:rPr>
        <w:t>Follow up audits</w:t>
      </w:r>
      <w:r w:rsidRPr="001B6284">
        <w:rPr>
          <w:rFonts w:ascii="CIDFont+F4" w:hAnsi="CIDFont+F4" w:cs="CIDFont+F4"/>
          <w:sz w:val="21"/>
          <w:szCs w:val="21"/>
        </w:rPr>
        <w:t xml:space="preserve"> where Internal Audit assessed management’s progress in addressing internal and external au</w:t>
      </w:r>
      <w:r>
        <w:rPr>
          <w:rFonts w:ascii="CIDFont+F4" w:hAnsi="CIDFont+F4" w:cs="CIDFont+F4"/>
          <w:sz w:val="21"/>
          <w:szCs w:val="21"/>
        </w:rPr>
        <w:t xml:space="preserve">dit findings from prior periods, procurement and </w:t>
      </w:r>
      <w:r w:rsidR="002E4F22">
        <w:rPr>
          <w:rFonts w:ascii="CIDFont+F4" w:hAnsi="CIDFont+F4" w:cs="CIDFont+F4"/>
          <w:sz w:val="21"/>
          <w:szCs w:val="21"/>
        </w:rPr>
        <w:t>contract management</w:t>
      </w:r>
      <w:r>
        <w:rPr>
          <w:rFonts w:ascii="CIDFont+F4" w:hAnsi="CIDFont+F4" w:cs="CIDFont+F4"/>
          <w:sz w:val="21"/>
          <w:szCs w:val="21"/>
        </w:rPr>
        <w:t xml:space="preserve"> as well IT audit. </w:t>
      </w:r>
    </w:p>
    <w:p w:rsidR="00BA2CBA" w:rsidRPr="00462790" w:rsidRDefault="00BA2CBA" w:rsidP="004229D9">
      <w:pPr>
        <w:jc w:val="both"/>
      </w:pPr>
    </w:p>
    <w:p w:rsidR="00C22F2B" w:rsidRPr="0077659B" w:rsidRDefault="00C22F2B" w:rsidP="004229D9">
      <w:pPr>
        <w:pStyle w:val="Heading4"/>
        <w:jc w:val="both"/>
      </w:pPr>
      <w:bookmarkStart w:id="145" w:name="S5E38"/>
      <w:bookmarkStart w:id="146" w:name="PartC"/>
      <w:bookmarkStart w:id="147" w:name="PartD"/>
      <w:bookmarkStart w:id="148" w:name="Account"/>
      <w:bookmarkStart w:id="149" w:name="_Toc447106662"/>
      <w:bookmarkStart w:id="150" w:name="OLE_LINK8"/>
      <w:bookmarkStart w:id="151" w:name="OLE_LINK9"/>
      <w:bookmarkEnd w:id="145"/>
      <w:bookmarkEnd w:id="146"/>
      <w:bookmarkEnd w:id="147"/>
      <w:bookmarkEnd w:id="148"/>
      <w:r w:rsidRPr="0077659B">
        <w:t>Accounting, performance management/reporting and compliance matters</w:t>
      </w:r>
      <w:bookmarkEnd w:id="149"/>
    </w:p>
    <w:p w:rsidR="00307684" w:rsidRPr="0077659B" w:rsidRDefault="00C22F2B" w:rsidP="004229D9">
      <w:pPr>
        <w:pStyle w:val="Heading6"/>
        <w:jc w:val="both"/>
      </w:pPr>
      <w:bookmarkStart w:id="152" w:name="_Toc447106663"/>
      <w:r w:rsidRPr="0077659B">
        <w:t>New pronouncements</w:t>
      </w:r>
      <w:bookmarkEnd w:id="152"/>
    </w:p>
    <w:p w:rsidR="00C22F2B" w:rsidRPr="0077659B" w:rsidRDefault="00C22F2B" w:rsidP="004229D9">
      <w:pPr>
        <w:pStyle w:val="Heading6"/>
        <w:jc w:val="both"/>
        <w:rPr>
          <w:rFonts w:eastAsia="MS Mincho"/>
        </w:rPr>
      </w:pPr>
      <w:bookmarkStart w:id="153" w:name="Subs"/>
      <w:bookmarkEnd w:id="153"/>
      <w:r w:rsidRPr="0077659B">
        <w:rPr>
          <w:rFonts w:eastAsia="MS Mincho"/>
        </w:rPr>
        <w:t>Standards of GRAP</w:t>
      </w:r>
    </w:p>
    <w:p w:rsidR="0097338B" w:rsidRDefault="004B2970" w:rsidP="00165C2D">
      <w:pPr>
        <w:pStyle w:val="Numbernormal"/>
        <w:numPr>
          <w:ilvl w:val="0"/>
          <w:numId w:val="14"/>
        </w:numPr>
        <w:ind w:left="567"/>
        <w:jc w:val="both"/>
      </w:pPr>
      <w:r w:rsidRPr="0077659B">
        <w:t>The ASB has issued the following GRAP pronouncements, with effective dates as indicated:</w:t>
      </w:r>
    </w:p>
    <w:tbl>
      <w:tblPr>
        <w:tblStyle w:val="TableGrid26"/>
        <w:tblW w:w="5000" w:type="pct"/>
        <w:tblLook w:val="04A0" w:firstRow="1" w:lastRow="0" w:firstColumn="1" w:lastColumn="0" w:noHBand="0" w:noVBand="1"/>
      </w:tblPr>
      <w:tblGrid>
        <w:gridCol w:w="7702"/>
        <w:gridCol w:w="1926"/>
      </w:tblGrid>
      <w:tr w:rsidR="00D21955" w:rsidRPr="004229D9" w:rsidTr="004229D9">
        <w:trPr>
          <w:tblHeader/>
        </w:trPr>
        <w:tc>
          <w:tcPr>
            <w:tcW w:w="4000" w:type="pct"/>
            <w:shd w:val="clear" w:color="auto" w:fill="BFBFBF"/>
          </w:tcPr>
          <w:p w:rsidR="00D21955" w:rsidRPr="004229D9" w:rsidRDefault="00D21955" w:rsidP="00871C3E">
            <w:pPr>
              <w:pStyle w:val="NoSpacing"/>
              <w:rPr>
                <w:rFonts w:eastAsia="Calibri"/>
                <w:sz w:val="18"/>
                <w:szCs w:val="18"/>
              </w:rPr>
            </w:pPr>
            <w:r w:rsidRPr="004229D9">
              <w:rPr>
                <w:rFonts w:eastAsia="Calibri"/>
                <w:sz w:val="18"/>
                <w:szCs w:val="18"/>
              </w:rPr>
              <w:t>GRAP pronouncement</w:t>
            </w:r>
          </w:p>
        </w:tc>
        <w:tc>
          <w:tcPr>
            <w:tcW w:w="1000" w:type="pct"/>
            <w:shd w:val="clear" w:color="auto" w:fill="BFBFBF"/>
          </w:tcPr>
          <w:p w:rsidR="00D21955" w:rsidRPr="004229D9" w:rsidRDefault="00D21955" w:rsidP="00871C3E">
            <w:pPr>
              <w:pStyle w:val="NoSpacing"/>
              <w:rPr>
                <w:rFonts w:eastAsia="Calibri"/>
                <w:sz w:val="18"/>
                <w:szCs w:val="18"/>
              </w:rPr>
            </w:pPr>
            <w:r w:rsidRPr="004229D9">
              <w:rPr>
                <w:rFonts w:eastAsia="Calibri"/>
                <w:sz w:val="18"/>
                <w:szCs w:val="18"/>
              </w:rPr>
              <w:t>Effective date</w:t>
            </w:r>
          </w:p>
        </w:tc>
      </w:tr>
      <w:tr w:rsidR="00D21955" w:rsidRPr="004229D9" w:rsidTr="004229D9">
        <w:tc>
          <w:tcPr>
            <w:tcW w:w="4000" w:type="pct"/>
            <w:vAlign w:val="center"/>
          </w:tcPr>
          <w:p w:rsidR="00D21955" w:rsidRPr="004229D9" w:rsidRDefault="00D21955" w:rsidP="00871C3E">
            <w:pPr>
              <w:pStyle w:val="Tabletext"/>
              <w:rPr>
                <w:szCs w:val="18"/>
              </w:rPr>
            </w:pPr>
            <w:r w:rsidRPr="004229D9">
              <w:rPr>
                <w:szCs w:val="18"/>
              </w:rPr>
              <w:t>GRAP 20 on Related party disclosures</w:t>
            </w:r>
          </w:p>
        </w:tc>
        <w:tc>
          <w:tcPr>
            <w:tcW w:w="1000" w:type="pct"/>
          </w:tcPr>
          <w:p w:rsidR="00D21955" w:rsidRPr="004229D9" w:rsidRDefault="00D21955" w:rsidP="00871C3E">
            <w:pPr>
              <w:pStyle w:val="Tabletext"/>
              <w:rPr>
                <w:szCs w:val="18"/>
              </w:rPr>
            </w:pPr>
            <w:r w:rsidRPr="004229D9">
              <w:rPr>
                <w:szCs w:val="18"/>
              </w:rPr>
              <w:t>1 Apr 2021</w:t>
            </w:r>
          </w:p>
        </w:tc>
      </w:tr>
      <w:tr w:rsidR="00D21955" w:rsidRPr="004229D9" w:rsidTr="004229D9">
        <w:tc>
          <w:tcPr>
            <w:tcW w:w="4000" w:type="pct"/>
            <w:vAlign w:val="center"/>
          </w:tcPr>
          <w:p w:rsidR="00D21955" w:rsidRPr="004229D9" w:rsidRDefault="00D21955" w:rsidP="00871C3E">
            <w:pPr>
              <w:pStyle w:val="Tabletext"/>
              <w:rPr>
                <w:szCs w:val="18"/>
                <w:lang w:val="fr-FR"/>
              </w:rPr>
            </w:pPr>
            <w:r w:rsidRPr="004229D9">
              <w:rPr>
                <w:szCs w:val="18"/>
                <w:lang w:val="fr-FR"/>
              </w:rPr>
              <w:t>GRAP 32 on Service concession arrangements: Grantor</w:t>
            </w:r>
          </w:p>
        </w:tc>
        <w:tc>
          <w:tcPr>
            <w:tcW w:w="1000" w:type="pct"/>
          </w:tcPr>
          <w:p w:rsidR="00D21955" w:rsidRPr="004229D9" w:rsidRDefault="00D21955" w:rsidP="00871C3E">
            <w:pPr>
              <w:pStyle w:val="Tabletext"/>
              <w:rPr>
                <w:szCs w:val="18"/>
              </w:rPr>
            </w:pPr>
            <w:r w:rsidRPr="004229D9">
              <w:rPr>
                <w:szCs w:val="18"/>
              </w:rPr>
              <w:t>1 Apr 2021</w:t>
            </w:r>
          </w:p>
        </w:tc>
      </w:tr>
      <w:tr w:rsidR="00D21955" w:rsidRPr="004229D9" w:rsidTr="004229D9">
        <w:tc>
          <w:tcPr>
            <w:tcW w:w="4000" w:type="pct"/>
            <w:vAlign w:val="center"/>
          </w:tcPr>
          <w:p w:rsidR="00D21955" w:rsidRPr="004229D9" w:rsidRDefault="00D21955" w:rsidP="00871C3E">
            <w:pPr>
              <w:pStyle w:val="Tabletext"/>
              <w:rPr>
                <w:szCs w:val="18"/>
              </w:rPr>
            </w:pPr>
            <w:r w:rsidRPr="004229D9">
              <w:rPr>
                <w:szCs w:val="18"/>
              </w:rPr>
              <w:t>GRAP 104 on Financial instruments (revised)</w:t>
            </w:r>
          </w:p>
        </w:tc>
        <w:tc>
          <w:tcPr>
            <w:tcW w:w="1000" w:type="pct"/>
            <w:vAlign w:val="center"/>
          </w:tcPr>
          <w:p w:rsidR="00D21955" w:rsidRPr="004229D9" w:rsidRDefault="00D21955" w:rsidP="00871C3E">
            <w:pPr>
              <w:pStyle w:val="Tabletext"/>
              <w:rPr>
                <w:szCs w:val="18"/>
              </w:rPr>
            </w:pPr>
            <w:r w:rsidRPr="004229D9">
              <w:rPr>
                <w:szCs w:val="18"/>
              </w:rPr>
              <w:t>To be determined</w:t>
            </w:r>
          </w:p>
        </w:tc>
      </w:tr>
      <w:tr w:rsidR="00D21955" w:rsidRPr="004229D9" w:rsidTr="004229D9">
        <w:tc>
          <w:tcPr>
            <w:tcW w:w="4000" w:type="pct"/>
            <w:vAlign w:val="center"/>
          </w:tcPr>
          <w:p w:rsidR="00D21955" w:rsidRPr="004229D9" w:rsidRDefault="00D21955" w:rsidP="00871C3E">
            <w:pPr>
              <w:pStyle w:val="Tabletext"/>
              <w:rPr>
                <w:szCs w:val="18"/>
              </w:rPr>
            </w:pPr>
            <w:r w:rsidRPr="004229D9">
              <w:rPr>
                <w:szCs w:val="18"/>
              </w:rPr>
              <w:t>GRAP 108 on Statutory receivables</w:t>
            </w:r>
          </w:p>
        </w:tc>
        <w:tc>
          <w:tcPr>
            <w:tcW w:w="1000" w:type="pct"/>
          </w:tcPr>
          <w:p w:rsidR="00D21955" w:rsidRPr="004229D9" w:rsidRDefault="00D21955" w:rsidP="00871C3E">
            <w:pPr>
              <w:pStyle w:val="Tabletext"/>
              <w:rPr>
                <w:szCs w:val="18"/>
              </w:rPr>
            </w:pPr>
            <w:r w:rsidRPr="004229D9">
              <w:rPr>
                <w:szCs w:val="18"/>
              </w:rPr>
              <w:t>1 Apr 2021</w:t>
            </w:r>
          </w:p>
        </w:tc>
      </w:tr>
      <w:tr w:rsidR="00D21955" w:rsidRPr="004229D9" w:rsidTr="004229D9">
        <w:tc>
          <w:tcPr>
            <w:tcW w:w="4000" w:type="pct"/>
            <w:vAlign w:val="center"/>
          </w:tcPr>
          <w:p w:rsidR="00D21955" w:rsidRPr="004229D9" w:rsidRDefault="00D21955" w:rsidP="00871C3E">
            <w:pPr>
              <w:pStyle w:val="Tabletext"/>
              <w:rPr>
                <w:szCs w:val="18"/>
              </w:rPr>
            </w:pPr>
            <w:r w:rsidRPr="004229D9">
              <w:rPr>
                <w:szCs w:val="18"/>
              </w:rPr>
              <w:t>GRAP 109 on Accounting by principals and agents</w:t>
            </w:r>
          </w:p>
        </w:tc>
        <w:tc>
          <w:tcPr>
            <w:tcW w:w="1000" w:type="pct"/>
          </w:tcPr>
          <w:p w:rsidR="00D21955" w:rsidRPr="004229D9" w:rsidRDefault="00D21955" w:rsidP="00871C3E">
            <w:pPr>
              <w:pStyle w:val="Tabletext"/>
              <w:rPr>
                <w:szCs w:val="18"/>
              </w:rPr>
            </w:pPr>
            <w:r w:rsidRPr="004229D9">
              <w:rPr>
                <w:szCs w:val="18"/>
              </w:rPr>
              <w:t>1 Apr 2021</w:t>
            </w:r>
          </w:p>
        </w:tc>
      </w:tr>
      <w:tr w:rsidR="00D21955" w:rsidRPr="004229D9" w:rsidTr="004229D9">
        <w:tc>
          <w:tcPr>
            <w:tcW w:w="4000" w:type="pct"/>
            <w:vAlign w:val="center"/>
          </w:tcPr>
          <w:p w:rsidR="00D21955" w:rsidRPr="004229D9" w:rsidRDefault="00D21955" w:rsidP="00871C3E">
            <w:pPr>
              <w:pStyle w:val="Tabletext"/>
              <w:rPr>
                <w:szCs w:val="18"/>
              </w:rPr>
            </w:pPr>
            <w:r w:rsidRPr="004229D9">
              <w:rPr>
                <w:szCs w:val="18"/>
              </w:rPr>
              <w:t>GRAP 110 on Living and non-living resources</w:t>
            </w:r>
          </w:p>
        </w:tc>
        <w:tc>
          <w:tcPr>
            <w:tcW w:w="1000" w:type="pct"/>
          </w:tcPr>
          <w:p w:rsidR="00D21955" w:rsidRPr="004229D9" w:rsidRDefault="00D21955" w:rsidP="00871C3E">
            <w:pPr>
              <w:pStyle w:val="Tabletext"/>
              <w:rPr>
                <w:szCs w:val="18"/>
              </w:rPr>
            </w:pPr>
            <w:r w:rsidRPr="004229D9">
              <w:rPr>
                <w:szCs w:val="18"/>
              </w:rPr>
              <w:t>1 Apr 2021</w:t>
            </w:r>
          </w:p>
        </w:tc>
      </w:tr>
      <w:tr w:rsidR="00D21955" w:rsidRPr="004229D9" w:rsidTr="004229D9">
        <w:tc>
          <w:tcPr>
            <w:tcW w:w="4000" w:type="pct"/>
            <w:vAlign w:val="center"/>
          </w:tcPr>
          <w:p w:rsidR="00D21955" w:rsidRPr="004229D9" w:rsidRDefault="00D21955" w:rsidP="00871C3E">
            <w:pPr>
              <w:pStyle w:val="Tabletext"/>
              <w:rPr>
                <w:szCs w:val="18"/>
              </w:rPr>
            </w:pPr>
            <w:r w:rsidRPr="004229D9">
              <w:rPr>
                <w:szCs w:val="18"/>
              </w:rPr>
              <w:t>IGRAP 17 on Service concession arrangements where a grantor controls a significant residual interest in an asset</w:t>
            </w:r>
          </w:p>
        </w:tc>
        <w:tc>
          <w:tcPr>
            <w:tcW w:w="1000" w:type="pct"/>
            <w:vAlign w:val="center"/>
          </w:tcPr>
          <w:p w:rsidR="00D21955" w:rsidRPr="004229D9" w:rsidRDefault="00D21955" w:rsidP="00871C3E">
            <w:pPr>
              <w:pStyle w:val="Tabletext"/>
              <w:rPr>
                <w:szCs w:val="18"/>
              </w:rPr>
            </w:pPr>
            <w:r w:rsidRPr="004229D9">
              <w:rPr>
                <w:szCs w:val="18"/>
              </w:rPr>
              <w:t>1 Apr 2021</w:t>
            </w:r>
          </w:p>
        </w:tc>
      </w:tr>
      <w:tr w:rsidR="00D21955" w:rsidRPr="004229D9" w:rsidTr="004229D9">
        <w:tc>
          <w:tcPr>
            <w:tcW w:w="4000" w:type="pct"/>
            <w:vAlign w:val="center"/>
          </w:tcPr>
          <w:p w:rsidR="00D21955" w:rsidRPr="004229D9" w:rsidRDefault="00D21955" w:rsidP="00871C3E">
            <w:pPr>
              <w:pStyle w:val="Tabletext"/>
              <w:rPr>
                <w:szCs w:val="18"/>
              </w:rPr>
            </w:pPr>
            <w:r w:rsidRPr="004229D9">
              <w:rPr>
                <w:szCs w:val="18"/>
              </w:rPr>
              <w:t>Guideline on Accounting for arrangements undertaken in terms of the national housing programme</w:t>
            </w:r>
          </w:p>
        </w:tc>
        <w:tc>
          <w:tcPr>
            <w:tcW w:w="1000" w:type="pct"/>
            <w:vAlign w:val="center"/>
          </w:tcPr>
          <w:p w:rsidR="00D21955" w:rsidRPr="004229D9" w:rsidRDefault="00D21955" w:rsidP="00871C3E">
            <w:pPr>
              <w:pStyle w:val="Tabletext"/>
              <w:rPr>
                <w:szCs w:val="18"/>
              </w:rPr>
            </w:pPr>
            <w:r w:rsidRPr="004229D9">
              <w:rPr>
                <w:szCs w:val="18"/>
              </w:rPr>
              <w:t>1 Apr 2021</w:t>
            </w:r>
          </w:p>
        </w:tc>
      </w:tr>
      <w:tr w:rsidR="00D21955" w:rsidRPr="004229D9" w:rsidTr="004229D9">
        <w:tc>
          <w:tcPr>
            <w:tcW w:w="4000" w:type="pct"/>
            <w:vAlign w:val="center"/>
          </w:tcPr>
          <w:p w:rsidR="00D21955" w:rsidRPr="004229D9" w:rsidRDefault="00D21955" w:rsidP="00871C3E">
            <w:pPr>
              <w:pStyle w:val="Tabletext"/>
              <w:rPr>
                <w:szCs w:val="18"/>
              </w:rPr>
            </w:pPr>
            <w:r w:rsidRPr="004229D9">
              <w:rPr>
                <w:szCs w:val="18"/>
              </w:rPr>
              <w:t>Guideline on Accounting for landfill sites</w:t>
            </w:r>
          </w:p>
        </w:tc>
        <w:tc>
          <w:tcPr>
            <w:tcW w:w="1000" w:type="pct"/>
          </w:tcPr>
          <w:p w:rsidR="00D21955" w:rsidRPr="004229D9" w:rsidRDefault="00D21955" w:rsidP="00871C3E">
            <w:pPr>
              <w:pStyle w:val="Tabletext"/>
              <w:rPr>
                <w:szCs w:val="18"/>
              </w:rPr>
            </w:pPr>
            <w:r w:rsidRPr="004229D9">
              <w:rPr>
                <w:szCs w:val="18"/>
              </w:rPr>
              <w:t>To be determined</w:t>
            </w:r>
          </w:p>
        </w:tc>
      </w:tr>
    </w:tbl>
    <w:p w:rsidR="00A001AA" w:rsidRPr="0077659B" w:rsidRDefault="00A001AA" w:rsidP="004229D9">
      <w:pPr>
        <w:pStyle w:val="Bulletedlist"/>
        <w:numPr>
          <w:ilvl w:val="0"/>
          <w:numId w:val="0"/>
        </w:numPr>
        <w:spacing w:before="0" w:line="240" w:lineRule="auto"/>
      </w:pPr>
      <w:bookmarkStart w:id="154" w:name="_Toc447106664"/>
    </w:p>
    <w:p w:rsidR="00C22F2B" w:rsidRPr="0077659B" w:rsidRDefault="00C22F2B" w:rsidP="004229D9">
      <w:pPr>
        <w:pStyle w:val="Heading4"/>
        <w:jc w:val="both"/>
      </w:pPr>
      <w:bookmarkStart w:id="155" w:name="Inventory"/>
      <w:bookmarkStart w:id="156" w:name="Subseq"/>
      <w:bookmarkStart w:id="157" w:name="_Toc447106665"/>
      <w:bookmarkEnd w:id="154"/>
      <w:bookmarkEnd w:id="155"/>
      <w:bookmarkEnd w:id="156"/>
      <w:r w:rsidRPr="0077659B">
        <w:lastRenderedPageBreak/>
        <w:t>Subsequent events</w:t>
      </w:r>
      <w:bookmarkEnd w:id="157"/>
    </w:p>
    <w:p w:rsidR="00C22F2B" w:rsidRPr="00F15024" w:rsidRDefault="00024970" w:rsidP="00024970">
      <w:pPr>
        <w:pStyle w:val="ListParagraph"/>
        <w:numPr>
          <w:ilvl w:val="0"/>
          <w:numId w:val="14"/>
        </w:numPr>
        <w:jc w:val="both"/>
      </w:pPr>
      <w:r>
        <w:t xml:space="preserve">Management should </w:t>
      </w:r>
      <w:r w:rsidRPr="00024970">
        <w:t xml:space="preserve">consider the following sources to identify subsequent events and adequately account for the in accordance with the reporting framework </w:t>
      </w:r>
    </w:p>
    <w:p w:rsidR="00C22F2B" w:rsidRPr="0077659B" w:rsidRDefault="00C22F2B" w:rsidP="00024970">
      <w:pPr>
        <w:pStyle w:val="ListParagraph"/>
        <w:numPr>
          <w:ilvl w:val="0"/>
          <w:numId w:val="22"/>
        </w:numPr>
        <w:jc w:val="both"/>
      </w:pPr>
      <w:r w:rsidRPr="0077659B">
        <w:t>Media reports</w:t>
      </w:r>
    </w:p>
    <w:p w:rsidR="00C22F2B" w:rsidRPr="0077659B" w:rsidRDefault="00C22F2B" w:rsidP="00024970">
      <w:pPr>
        <w:pStyle w:val="ListParagraph"/>
        <w:numPr>
          <w:ilvl w:val="0"/>
          <w:numId w:val="22"/>
        </w:numPr>
        <w:jc w:val="both"/>
      </w:pPr>
      <w:r w:rsidRPr="0077659B">
        <w:t>Political initiatives</w:t>
      </w:r>
    </w:p>
    <w:p w:rsidR="00C22F2B" w:rsidRPr="0077659B" w:rsidRDefault="00C22F2B" w:rsidP="00024970">
      <w:pPr>
        <w:pStyle w:val="ListParagraph"/>
        <w:numPr>
          <w:ilvl w:val="0"/>
          <w:numId w:val="22"/>
        </w:numPr>
        <w:jc w:val="both"/>
      </w:pPr>
      <w:r w:rsidRPr="0077659B">
        <w:t>Changes in oversight</w:t>
      </w:r>
    </w:p>
    <w:p w:rsidR="00A001AA" w:rsidRDefault="00C22F2B" w:rsidP="00024970">
      <w:pPr>
        <w:pStyle w:val="ListParagraph"/>
        <w:numPr>
          <w:ilvl w:val="0"/>
          <w:numId w:val="22"/>
        </w:numPr>
        <w:jc w:val="both"/>
      </w:pPr>
      <w:r w:rsidRPr="0077659B">
        <w:t>Transfer of functions</w:t>
      </w:r>
    </w:p>
    <w:p w:rsidR="004229D9" w:rsidRPr="0077659B" w:rsidRDefault="004229D9" w:rsidP="004229D9">
      <w:pPr>
        <w:pStyle w:val="ListParagraph"/>
        <w:numPr>
          <w:ilvl w:val="0"/>
          <w:numId w:val="0"/>
        </w:numPr>
        <w:ind w:left="720"/>
        <w:jc w:val="both"/>
      </w:pPr>
    </w:p>
    <w:p w:rsidR="00287920" w:rsidRPr="0077659B" w:rsidRDefault="00287920" w:rsidP="00287920">
      <w:pPr>
        <w:pStyle w:val="Heading2"/>
      </w:pPr>
      <w:bookmarkStart w:id="158" w:name="_Toc447106667"/>
      <w:bookmarkStart w:id="159" w:name="_Toc79349501"/>
      <w:bookmarkEnd w:id="150"/>
      <w:bookmarkEnd w:id="151"/>
      <w:r w:rsidRPr="0077659B">
        <w:t>SECTION 8: Ratings of detailed audit findings</w:t>
      </w:r>
      <w:bookmarkEnd w:id="158"/>
      <w:bookmarkEnd w:id="159"/>
    </w:p>
    <w:p w:rsidR="00C22F2B" w:rsidRPr="0077659B" w:rsidRDefault="00C22F2B" w:rsidP="00165C2D">
      <w:pPr>
        <w:pStyle w:val="Numbernormal"/>
        <w:numPr>
          <w:ilvl w:val="0"/>
          <w:numId w:val="14"/>
        </w:numPr>
        <w:ind w:left="567"/>
        <w:jc w:val="both"/>
      </w:pPr>
      <w:bookmarkStart w:id="160" w:name="Section6"/>
      <w:bookmarkEnd w:id="160"/>
      <w:r w:rsidRPr="0077659B">
        <w:t>For purposes of this report, the detailed audit findings included in annexures A to C have been classified as follows:</w:t>
      </w:r>
    </w:p>
    <w:p w:rsidR="00C22F2B" w:rsidRPr="0077659B" w:rsidRDefault="00C22F2B" w:rsidP="004229D9">
      <w:pPr>
        <w:pStyle w:val="Bulletedlist"/>
        <w:ind w:left="851" w:hanging="283"/>
        <w:jc w:val="both"/>
      </w:pPr>
      <w:r w:rsidRPr="0077659B">
        <w:t>Matters to be included in the auditor’s report: These matters should be addressed as a matter of urgency.</w:t>
      </w:r>
    </w:p>
    <w:p w:rsidR="00C22F2B" w:rsidRPr="0077659B" w:rsidRDefault="00C22F2B" w:rsidP="004229D9">
      <w:pPr>
        <w:pStyle w:val="Bulletedlist"/>
        <w:ind w:left="851" w:hanging="284"/>
        <w:jc w:val="both"/>
      </w:pPr>
      <w:r w:rsidRPr="0077659B">
        <w:t>Other important matters: These matters should be addressed to prevent them from leading to material misstatements of the financial statements or material findings on the performance report and compliance with legislation in future.</w:t>
      </w:r>
    </w:p>
    <w:p w:rsidR="00C22F2B" w:rsidRPr="0077659B" w:rsidRDefault="00C22F2B" w:rsidP="004229D9">
      <w:pPr>
        <w:pStyle w:val="Bulletedlist"/>
        <w:ind w:left="851" w:hanging="284"/>
        <w:jc w:val="both"/>
      </w:pPr>
      <w:r w:rsidRPr="0077659B">
        <w:t>Administrative matters: These matters are unlikely to result in material misstatements of the financial statements or material findings on the performance report and compliance with legislation.</w:t>
      </w:r>
    </w:p>
    <w:p w:rsidR="00F94CA3" w:rsidRPr="0077659B" w:rsidRDefault="002D6CC1" w:rsidP="002D6CC1">
      <w:pPr>
        <w:pStyle w:val="Heading2"/>
        <w:rPr>
          <w:rFonts w:ascii="Arial" w:eastAsia="Calibri" w:hAnsi="Arial"/>
          <w:lang w:eastAsia="en-ZA"/>
        </w:rPr>
      </w:pPr>
      <w:bookmarkStart w:id="161" w:name="_Toc447106668"/>
      <w:bookmarkStart w:id="162" w:name="_Toc79349502"/>
      <w:r w:rsidRPr="0077659B">
        <w:t>SECTION 9: Conclusion</w:t>
      </w:r>
      <w:bookmarkEnd w:id="161"/>
      <w:bookmarkEnd w:id="162"/>
    </w:p>
    <w:p w:rsidR="00C22F2B" w:rsidRPr="0077659B" w:rsidRDefault="00C22F2B" w:rsidP="00165C2D">
      <w:pPr>
        <w:pStyle w:val="Numbernormal"/>
        <w:numPr>
          <w:ilvl w:val="0"/>
          <w:numId w:val="14"/>
        </w:numPr>
        <w:ind w:left="567"/>
        <w:jc w:val="both"/>
      </w:pPr>
      <w:bookmarkStart w:id="163" w:name="Conclusion"/>
      <w:bookmarkEnd w:id="163"/>
      <w:r w:rsidRPr="0077659B">
        <w:t xml:space="preserve">[The matters communicated throughout this report relate to the three fundamentals of internal control that should be addressed to achieve sustained clean administration. Our staff </w:t>
      </w:r>
      <w:r w:rsidR="0091433A" w:rsidRPr="0077659B">
        <w:t xml:space="preserve">remain </w:t>
      </w:r>
      <w:r w:rsidRPr="0077659B">
        <w:t xml:space="preserve">committed to </w:t>
      </w:r>
      <w:r w:rsidR="0091433A" w:rsidRPr="0077659B">
        <w:t xml:space="preserve">assist </w:t>
      </w:r>
      <w:r w:rsidRPr="0077659B">
        <w:t>in identifying and communicating good practices to improve governance and accountability and to build public confidence in government’s ability to account for public resources in a transparent manner.] (Adapt the conclusion to the circumstances of the auditee.)</w:t>
      </w:r>
    </w:p>
    <w:p w:rsidR="00205B73" w:rsidRDefault="00205B73" w:rsidP="00C22F2B">
      <w:pPr>
        <w:spacing w:after="240" w:line="240" w:lineRule="auto"/>
        <w:rPr>
          <w:rFonts w:eastAsia="Calibri" w:cs="Arial"/>
        </w:rPr>
      </w:pPr>
    </w:p>
    <w:p w:rsidR="00C22F2B" w:rsidRPr="0077659B" w:rsidRDefault="00C22F2B" w:rsidP="004229D9">
      <w:pPr>
        <w:spacing w:after="240" w:line="240" w:lineRule="auto"/>
        <w:jc w:val="both"/>
        <w:rPr>
          <w:rFonts w:eastAsia="Calibri" w:cs="Arial"/>
        </w:rPr>
      </w:pPr>
      <w:r w:rsidRPr="0077659B">
        <w:rPr>
          <w:rFonts w:eastAsia="Calibri" w:cs="Arial"/>
        </w:rPr>
        <w:t>Yours faithfully</w:t>
      </w:r>
    </w:p>
    <w:p w:rsidR="00C22F2B" w:rsidRPr="0077659B" w:rsidRDefault="00C22F2B" w:rsidP="004229D9">
      <w:pPr>
        <w:spacing w:after="0" w:line="240" w:lineRule="auto"/>
        <w:jc w:val="both"/>
        <w:rPr>
          <w:rFonts w:eastAsia="Times New Roman" w:cs="Arial"/>
        </w:rPr>
      </w:pPr>
    </w:p>
    <w:p w:rsidR="00C22F2B" w:rsidRPr="0077659B" w:rsidRDefault="00C22F2B" w:rsidP="004229D9">
      <w:pPr>
        <w:spacing w:after="0" w:line="240" w:lineRule="auto"/>
        <w:jc w:val="both"/>
        <w:rPr>
          <w:rFonts w:eastAsia="Times New Roman" w:cs="Arial"/>
        </w:rPr>
      </w:pPr>
    </w:p>
    <w:p w:rsidR="00C22F2B" w:rsidRPr="0077659B" w:rsidRDefault="00C22F2B" w:rsidP="004229D9">
      <w:pPr>
        <w:spacing w:after="0" w:line="240" w:lineRule="auto"/>
        <w:jc w:val="both"/>
        <w:rPr>
          <w:rFonts w:eastAsia="Times New Roman" w:cs="Arial"/>
        </w:rPr>
      </w:pPr>
      <w:r w:rsidRPr="0077659B">
        <w:rPr>
          <w:rFonts w:eastAsia="Times New Roman" w:cs="Arial"/>
        </w:rPr>
        <w:t xml:space="preserve">(Insert </w:t>
      </w:r>
      <w:r w:rsidRPr="0077659B">
        <w:rPr>
          <w:rFonts w:eastAsia="Calibri" w:cs="Arial"/>
        </w:rPr>
        <w:t>name and surname of corporate executive, business executive or senior manager responsible for signing</w:t>
      </w:r>
      <w:r w:rsidRPr="0077659B">
        <w:rPr>
          <w:rFonts w:eastAsia="Times New Roman" w:cs="Arial"/>
        </w:rPr>
        <w:t xml:space="preserve"> the auditor’s report)</w:t>
      </w:r>
    </w:p>
    <w:p w:rsidR="00C22F2B" w:rsidRPr="0077659B" w:rsidRDefault="00C22F2B" w:rsidP="004229D9">
      <w:pPr>
        <w:spacing w:after="240" w:line="240" w:lineRule="auto"/>
        <w:jc w:val="both"/>
        <w:rPr>
          <w:rFonts w:eastAsia="Times New Roman" w:cs="Arial"/>
        </w:rPr>
      </w:pPr>
      <w:r w:rsidRPr="0077659B">
        <w:rPr>
          <w:rFonts w:eastAsia="Calibri" w:cs="Arial"/>
        </w:rPr>
        <w:t>[Corporate Executive/Business Executive/Senior Manager]: [Business Unit]</w:t>
      </w:r>
    </w:p>
    <w:p w:rsidR="00C22F2B" w:rsidRPr="0077659B" w:rsidRDefault="00C22F2B" w:rsidP="004229D9">
      <w:pPr>
        <w:spacing w:after="240" w:line="240" w:lineRule="auto"/>
        <w:jc w:val="both"/>
        <w:rPr>
          <w:rFonts w:eastAsia="Calibri" w:cs="Arial"/>
        </w:rPr>
      </w:pPr>
      <w:r w:rsidRPr="0077659B">
        <w:rPr>
          <w:rFonts w:eastAsia="Calibri" w:cs="Arial"/>
        </w:rPr>
        <w:t>[Date of signature]</w:t>
      </w:r>
    </w:p>
    <w:p w:rsidR="00C22F2B" w:rsidRPr="0077659B" w:rsidRDefault="00C22F2B" w:rsidP="004229D9">
      <w:pPr>
        <w:tabs>
          <w:tab w:val="left" w:pos="1440"/>
        </w:tabs>
        <w:spacing w:after="0" w:line="240" w:lineRule="auto"/>
        <w:jc w:val="both"/>
        <w:rPr>
          <w:rFonts w:eastAsia="Times New Roman" w:cs="Arial"/>
          <w:sz w:val="16"/>
          <w:szCs w:val="16"/>
        </w:rPr>
      </w:pPr>
      <w:r w:rsidRPr="0077659B">
        <w:rPr>
          <w:rFonts w:eastAsia="Times New Roman" w:cs="Arial"/>
          <w:sz w:val="16"/>
          <w:szCs w:val="16"/>
        </w:rPr>
        <w:t>Enquiries:</w:t>
      </w:r>
      <w:r w:rsidRPr="0077659B">
        <w:rPr>
          <w:rFonts w:eastAsia="Times New Roman" w:cs="Arial"/>
          <w:sz w:val="16"/>
          <w:szCs w:val="16"/>
        </w:rPr>
        <w:tab/>
        <w:t>Name and surname</w:t>
      </w:r>
    </w:p>
    <w:p w:rsidR="00C22F2B" w:rsidRPr="0077659B" w:rsidRDefault="00C22F2B" w:rsidP="004229D9">
      <w:pPr>
        <w:tabs>
          <w:tab w:val="left" w:pos="1440"/>
        </w:tabs>
        <w:spacing w:after="0" w:line="240" w:lineRule="auto"/>
        <w:jc w:val="both"/>
        <w:rPr>
          <w:rFonts w:eastAsia="Times New Roman" w:cs="Arial"/>
          <w:sz w:val="16"/>
          <w:szCs w:val="16"/>
        </w:rPr>
      </w:pPr>
      <w:r w:rsidRPr="0077659B">
        <w:rPr>
          <w:rFonts w:eastAsia="Times New Roman" w:cs="Arial"/>
          <w:sz w:val="16"/>
          <w:szCs w:val="16"/>
        </w:rPr>
        <w:t>Telephone:</w:t>
      </w:r>
      <w:r w:rsidRPr="0077659B">
        <w:rPr>
          <w:rFonts w:eastAsia="Times New Roman" w:cs="Arial"/>
          <w:sz w:val="16"/>
          <w:szCs w:val="16"/>
        </w:rPr>
        <w:tab/>
        <w:t>xxx xxx xxxx</w:t>
      </w:r>
    </w:p>
    <w:p w:rsidR="00C22F2B" w:rsidRPr="0077659B" w:rsidRDefault="00C22F2B" w:rsidP="004229D9">
      <w:pPr>
        <w:tabs>
          <w:tab w:val="left" w:pos="1440"/>
        </w:tabs>
        <w:spacing w:after="0" w:line="240" w:lineRule="auto"/>
        <w:jc w:val="both"/>
        <w:rPr>
          <w:rFonts w:eastAsia="Times New Roman" w:cs="Arial"/>
          <w:sz w:val="16"/>
          <w:szCs w:val="16"/>
        </w:rPr>
      </w:pPr>
      <w:r w:rsidRPr="0077659B">
        <w:rPr>
          <w:rFonts w:eastAsia="Times New Roman" w:cs="Arial"/>
          <w:sz w:val="16"/>
          <w:szCs w:val="16"/>
        </w:rPr>
        <w:t>Fax:</w:t>
      </w:r>
      <w:r w:rsidRPr="0077659B">
        <w:rPr>
          <w:rFonts w:eastAsia="Times New Roman" w:cs="Arial"/>
          <w:sz w:val="16"/>
          <w:szCs w:val="16"/>
        </w:rPr>
        <w:tab/>
        <w:t>xxx xxxx</w:t>
      </w:r>
    </w:p>
    <w:p w:rsidR="00C22F2B" w:rsidRPr="0077659B" w:rsidRDefault="00C22F2B" w:rsidP="004229D9">
      <w:pPr>
        <w:tabs>
          <w:tab w:val="left" w:pos="1440"/>
        </w:tabs>
        <w:spacing w:after="360" w:line="240" w:lineRule="auto"/>
        <w:jc w:val="both"/>
        <w:rPr>
          <w:rFonts w:eastAsia="Times New Roman" w:cs="Arial"/>
          <w:sz w:val="16"/>
          <w:szCs w:val="16"/>
        </w:rPr>
      </w:pPr>
      <w:r w:rsidRPr="0077659B">
        <w:rPr>
          <w:rFonts w:eastAsia="Times New Roman" w:cs="Arial"/>
          <w:sz w:val="16"/>
          <w:szCs w:val="16"/>
        </w:rPr>
        <w:t>Email:</w:t>
      </w:r>
      <w:r w:rsidRPr="0077659B">
        <w:rPr>
          <w:rFonts w:eastAsia="Times New Roman" w:cs="Arial"/>
          <w:sz w:val="16"/>
          <w:szCs w:val="16"/>
        </w:rPr>
        <w:tab/>
        <w:t>xxxxx@agsa.co.za</w:t>
      </w:r>
    </w:p>
    <w:p w:rsidR="00C22F2B" w:rsidRPr="0077659B" w:rsidRDefault="00C22F2B" w:rsidP="004229D9">
      <w:pPr>
        <w:spacing w:after="0" w:line="240" w:lineRule="auto"/>
        <w:jc w:val="both"/>
        <w:rPr>
          <w:rFonts w:eastAsia="Times New Roman" w:cs="Arial"/>
          <w:b/>
          <w:sz w:val="20"/>
          <w:szCs w:val="20"/>
        </w:rPr>
      </w:pPr>
      <w:r w:rsidRPr="0077659B">
        <w:rPr>
          <w:rFonts w:eastAsia="Times New Roman" w:cs="Arial"/>
          <w:b/>
          <w:sz w:val="20"/>
          <w:szCs w:val="20"/>
        </w:rPr>
        <w:lastRenderedPageBreak/>
        <w:t>Distribution:</w:t>
      </w:r>
    </w:p>
    <w:p w:rsidR="00C22F2B" w:rsidRPr="0077659B" w:rsidRDefault="00C22F2B" w:rsidP="004229D9">
      <w:pPr>
        <w:spacing w:after="0" w:line="240" w:lineRule="auto"/>
        <w:jc w:val="both"/>
        <w:rPr>
          <w:rFonts w:eastAsia="Times New Roman" w:cs="Arial"/>
          <w:sz w:val="20"/>
          <w:szCs w:val="20"/>
        </w:rPr>
      </w:pPr>
      <w:r w:rsidRPr="0077659B">
        <w:rPr>
          <w:rFonts w:eastAsia="Times New Roman" w:cs="Arial"/>
          <w:sz w:val="20"/>
          <w:szCs w:val="20"/>
        </w:rPr>
        <w:t xml:space="preserve">Audit committee </w:t>
      </w:r>
    </w:p>
    <w:p w:rsidR="005657E9" w:rsidRPr="0077659B" w:rsidRDefault="00C22F2B" w:rsidP="004229D9">
      <w:pPr>
        <w:spacing w:after="0" w:line="240" w:lineRule="auto"/>
        <w:jc w:val="both"/>
        <w:rPr>
          <w:rFonts w:eastAsia="Times New Roman" w:cs="Arial"/>
          <w:sz w:val="20"/>
          <w:szCs w:val="20"/>
        </w:rPr>
      </w:pPr>
      <w:r w:rsidRPr="0077659B">
        <w:rPr>
          <w:rFonts w:eastAsia="Times New Roman" w:cs="Arial"/>
          <w:sz w:val="20"/>
          <w:szCs w:val="20"/>
        </w:rPr>
        <w:t>Head of internal audit unit</w:t>
      </w:r>
    </w:p>
    <w:p w:rsidR="001B7737" w:rsidRPr="0077659B" w:rsidRDefault="001B7737" w:rsidP="004229D9">
      <w:pPr>
        <w:spacing w:after="0" w:line="240" w:lineRule="auto"/>
        <w:jc w:val="both"/>
        <w:rPr>
          <w:rFonts w:eastAsia="Times New Roman" w:cs="Arial"/>
          <w:sz w:val="20"/>
          <w:szCs w:val="20"/>
        </w:rPr>
      </w:pPr>
      <w:r w:rsidRPr="0077659B">
        <w:rPr>
          <w:rFonts w:eastAsia="Times New Roman" w:cs="Arial"/>
          <w:sz w:val="20"/>
          <w:szCs w:val="20"/>
        </w:rPr>
        <w:t xml:space="preserve">Executive authority </w:t>
      </w:r>
    </w:p>
    <w:p w:rsidR="00CC7F75" w:rsidRPr="0077659B" w:rsidRDefault="00CC7F75" w:rsidP="005657E9">
      <w:pPr>
        <w:spacing w:after="60" w:line="240" w:lineRule="auto"/>
        <w:rPr>
          <w:rFonts w:eastAsia="MS Mincho" w:cs="Arial"/>
          <w:b/>
        </w:rPr>
        <w:sectPr w:rsidR="00CC7F75" w:rsidRPr="0077659B" w:rsidSect="00C12C2B">
          <w:headerReference w:type="default" r:id="rId28"/>
          <w:endnotePr>
            <w:numFmt w:val="decimal"/>
          </w:endnotePr>
          <w:pgSz w:w="11906" w:h="16838" w:code="9"/>
          <w:pgMar w:top="1134" w:right="1134" w:bottom="1134" w:left="1134" w:header="1134" w:footer="709" w:gutter="0"/>
          <w:cols w:space="708"/>
          <w:docGrid w:linePitch="360"/>
        </w:sectPr>
      </w:pPr>
    </w:p>
    <w:p w:rsidR="00262BD0" w:rsidRPr="00BB6EEC" w:rsidRDefault="002D6CC1" w:rsidP="002D6CC1">
      <w:pPr>
        <w:pStyle w:val="Heading2"/>
      </w:pPr>
      <w:bookmarkStart w:id="164" w:name="_Toc447106669"/>
      <w:bookmarkStart w:id="165" w:name="_Toc42616131"/>
      <w:bookmarkStart w:id="166" w:name="_Toc79349503"/>
      <w:r w:rsidRPr="0077659B">
        <w:lastRenderedPageBreak/>
        <w:t>SEC</w:t>
      </w:r>
      <w:bookmarkStart w:id="167" w:name="_GoBack"/>
      <w:bookmarkEnd w:id="167"/>
      <w:r w:rsidRPr="0077659B">
        <w:t>TION 10: Summary of detailed audit findings</w:t>
      </w:r>
      <w:bookmarkEnd w:id="164"/>
      <w:bookmarkEnd w:id="165"/>
      <w:bookmarkEnd w:id="166"/>
    </w:p>
    <w:p w:rsidR="00C22F2B" w:rsidRPr="0077659B" w:rsidRDefault="00C22F2B" w:rsidP="00C22F2B">
      <w:pPr>
        <w:spacing w:line="240" w:lineRule="auto"/>
        <w:rPr>
          <w:rFonts w:eastAsia="Times New Roman" w:cs="Arial"/>
          <w:color w:val="003B79"/>
          <w:lang w:eastAsia="en-GB"/>
        </w:rPr>
        <w:sectPr w:rsidR="00C22F2B" w:rsidRPr="0077659B" w:rsidSect="00C12C2B">
          <w:headerReference w:type="default" r:id="rId29"/>
          <w:endnotePr>
            <w:numFmt w:val="decimal"/>
          </w:endnotePr>
          <w:pgSz w:w="16838" w:h="11906" w:orient="landscape" w:code="9"/>
          <w:pgMar w:top="1134" w:right="1134" w:bottom="1134" w:left="1134" w:header="1616" w:footer="709" w:gutter="0"/>
          <w:cols w:space="708"/>
          <w:docGrid w:linePitch="360"/>
        </w:sectPr>
      </w:pPr>
    </w:p>
    <w:p w:rsidR="00021328" w:rsidRPr="00BB6EEC" w:rsidRDefault="00021328" w:rsidP="004229D9">
      <w:pPr>
        <w:pStyle w:val="Heading2"/>
        <w:rPr>
          <w:rFonts w:eastAsia="Times New Roman"/>
          <w:color w:val="003B79"/>
          <w:lang w:eastAsia="en-GB"/>
        </w:rPr>
      </w:pPr>
      <w:bookmarkStart w:id="168" w:name="S5E41"/>
      <w:bookmarkStart w:id="169" w:name="_PART_B:_EXPLANATORY"/>
      <w:bookmarkStart w:id="170" w:name="_E1._Addressee"/>
      <w:bookmarkStart w:id="171" w:name="E0_2"/>
      <w:bookmarkStart w:id="172" w:name="E0_3"/>
      <w:bookmarkStart w:id="173" w:name="S1E1"/>
      <w:bookmarkStart w:id="174" w:name="_E2._Material_misstatements"/>
      <w:bookmarkStart w:id="175" w:name="EME1"/>
      <w:bookmarkStart w:id="176" w:name="_E3._Material_misstatements"/>
      <w:bookmarkStart w:id="177" w:name="EME2"/>
      <w:bookmarkStart w:id="178" w:name="E4"/>
      <w:bookmarkStart w:id="179" w:name="E4_1"/>
      <w:bookmarkStart w:id="180" w:name="_E4._Basis_of"/>
      <w:bookmarkStart w:id="181" w:name="EME3"/>
      <w:bookmarkStart w:id="182" w:name="_E5._Significant_uncertainties"/>
      <w:bookmarkStart w:id="183" w:name="EME4"/>
      <w:bookmarkStart w:id="184" w:name="_E6._Restatement_of"/>
      <w:bookmarkStart w:id="185" w:name="EME5"/>
      <w:bookmarkStart w:id="186" w:name="_E7._Unauthorised_/"/>
      <w:bookmarkStart w:id="187" w:name="_E7._Funding_of"/>
      <w:bookmarkStart w:id="188" w:name="EME6"/>
      <w:bookmarkStart w:id="189" w:name="_E7._Unauthorised_/_1"/>
      <w:bookmarkStart w:id="190" w:name="EME7"/>
      <w:bookmarkStart w:id="191" w:name="_E8._Material_losses"/>
      <w:bookmarkStart w:id="192" w:name="EME8"/>
      <w:bookmarkStart w:id="193" w:name="_E9._Material_under"/>
      <w:bookmarkStart w:id="194" w:name="_E10._Material_underspending"/>
      <w:bookmarkStart w:id="195" w:name="EME9"/>
      <w:bookmarkStart w:id="196" w:name="_E10._Funding_of"/>
      <w:bookmarkStart w:id="197" w:name="EME10"/>
      <w:bookmarkStart w:id="198" w:name="E5"/>
      <w:bookmarkStart w:id="199" w:name="_E11._Prior_year"/>
      <w:bookmarkStart w:id="200" w:name="EME11"/>
      <w:bookmarkStart w:id="201" w:name="_E12._Material_inconsistencies"/>
      <w:bookmarkStart w:id="202" w:name="EME12"/>
      <w:bookmarkStart w:id="203" w:name="_E13._Unaudited_supplementary"/>
      <w:bookmarkStart w:id="204" w:name="EME13"/>
      <w:bookmarkStart w:id="205" w:name="_E15._Opinion_on"/>
      <w:bookmarkStart w:id="206" w:name="EME14"/>
      <w:bookmarkStart w:id="207" w:name="_E16._Other_(please"/>
      <w:bookmarkStart w:id="208" w:name="EME15"/>
      <w:bookmarkStart w:id="209" w:name="Scope_limitation"/>
      <w:bookmarkStart w:id="210" w:name="Other"/>
      <w:bookmarkStart w:id="211" w:name="Other_reports"/>
      <w:bookmarkStart w:id="212" w:name="E17"/>
      <w:bookmarkStart w:id="213" w:name="New4E6"/>
      <w:bookmarkStart w:id="214" w:name="E8"/>
      <w:bookmarkStart w:id="215" w:name="E9"/>
      <w:bookmarkStart w:id="216" w:name="E10"/>
      <w:bookmarkStart w:id="217" w:name="AoPOa"/>
      <w:bookmarkStart w:id="218" w:name="AoPOb"/>
      <w:bookmarkStart w:id="219" w:name="E11"/>
      <w:bookmarkStart w:id="220" w:name="E12"/>
      <w:bookmarkStart w:id="221" w:name="E13"/>
      <w:bookmarkStart w:id="222" w:name="AoPOc"/>
      <w:bookmarkStart w:id="223" w:name="E14"/>
      <w:bookmarkStart w:id="224" w:name="AoPOd"/>
      <w:bookmarkStart w:id="225" w:name="E25"/>
      <w:bookmarkStart w:id="226" w:name="E25B"/>
      <w:bookmarkStart w:id="227" w:name="AoPOe"/>
      <w:bookmarkStart w:id="228" w:name="AoPOf"/>
      <w:bookmarkStart w:id="229" w:name="E26"/>
      <w:bookmarkStart w:id="230" w:name="AoPOg"/>
      <w:bookmarkStart w:id="231" w:name="E18b"/>
      <w:bookmarkStart w:id="232" w:name="E28A"/>
      <w:bookmarkStart w:id="233" w:name="E28B"/>
      <w:bookmarkStart w:id="234" w:name="AoPOh"/>
      <w:bookmarkStart w:id="235" w:name="E20b"/>
      <w:bookmarkStart w:id="236" w:name="New4E7"/>
      <w:bookmarkStart w:id="237" w:name="_E14._Internal_control"/>
      <w:bookmarkStart w:id="238" w:name="_E15._Achievement_of"/>
      <w:bookmarkStart w:id="239" w:name="_E17._Achievement_of"/>
      <w:bookmarkStart w:id="240" w:name="EME16"/>
      <w:bookmarkStart w:id="241" w:name="_E16._Remedial_action"/>
      <w:bookmarkStart w:id="242" w:name="_E18._Action_taken"/>
      <w:bookmarkStart w:id="243" w:name="_E17._Oversight_responsibility"/>
      <w:bookmarkStart w:id="244" w:name="E17_1"/>
      <w:bookmarkStart w:id="245" w:name="S5E18"/>
      <w:bookmarkStart w:id="246" w:name="S5E19"/>
      <w:bookmarkStart w:id="247" w:name="S5E20"/>
      <w:bookmarkStart w:id="248" w:name="S5E21"/>
      <w:bookmarkStart w:id="249" w:name="Develop"/>
      <w:bookmarkStart w:id="250" w:name="S5E22"/>
      <w:bookmarkStart w:id="251" w:name="S5E23"/>
      <w:bookmarkStart w:id="252" w:name="S5E24"/>
      <w:bookmarkStart w:id="253" w:name="S5E25"/>
      <w:bookmarkStart w:id="254" w:name="S5E26"/>
      <w:bookmarkStart w:id="255" w:name="Regular"/>
      <w:bookmarkStart w:id="256" w:name="Review"/>
      <w:bookmarkStart w:id="257" w:name="S5E27"/>
      <w:bookmarkStart w:id="258" w:name="S5E28"/>
      <w:bookmarkStart w:id="259" w:name="S5E29"/>
      <w:bookmarkStart w:id="260" w:name="S5E30"/>
      <w:bookmarkStart w:id="261" w:name="S5E31"/>
      <w:bookmarkStart w:id="262" w:name="S5E32"/>
      <w:bookmarkStart w:id="263" w:name="S5E33"/>
      <w:bookmarkStart w:id="264" w:name="S5E34"/>
      <w:bookmarkStart w:id="265" w:name="Risk"/>
      <w:bookmarkStart w:id="266" w:name="S5E35"/>
      <w:bookmarkStart w:id="267" w:name="Internal"/>
      <w:bookmarkStart w:id="268" w:name="S5E37"/>
      <w:bookmarkStart w:id="269" w:name="EME18"/>
      <w:bookmarkStart w:id="270" w:name="_E21._Oversight_responsibility"/>
      <w:bookmarkStart w:id="271" w:name="EME19"/>
      <w:bookmarkStart w:id="272" w:name="_E18._Availability_of"/>
      <w:bookmarkStart w:id="273" w:name="_E22._Adequacy_and"/>
      <w:bookmarkStart w:id="274" w:name="EME20"/>
      <w:bookmarkStart w:id="275" w:name="_E23._Availability_of"/>
      <w:bookmarkStart w:id="276" w:name="_E19._Adequacy_and"/>
      <w:bookmarkStart w:id="277" w:name="_E20._Integrity_and"/>
      <w:bookmarkStart w:id="278" w:name="_E21._Implementation_of"/>
      <w:bookmarkStart w:id="279" w:name="EME21"/>
      <w:bookmarkStart w:id="280" w:name="Para22"/>
      <w:bookmarkStart w:id="281" w:name="_E25._Actions_taken"/>
      <w:bookmarkStart w:id="282" w:name="_E26._Status_of"/>
      <w:bookmarkStart w:id="283" w:name="EME22"/>
      <w:bookmarkStart w:id="284" w:name="EME23"/>
      <w:bookmarkStart w:id="285" w:name="_E22._Adequacy_of"/>
      <w:bookmarkStart w:id="286" w:name="_E27._Availability_of"/>
      <w:bookmarkStart w:id="287" w:name="EME24"/>
      <w:bookmarkStart w:id="288" w:name="_E28._Late_submission"/>
      <w:bookmarkStart w:id="289" w:name="_E29._Controls_over"/>
      <w:bookmarkStart w:id="290" w:name="EME25"/>
      <w:bookmarkStart w:id="291" w:name="Para26"/>
      <w:bookmarkStart w:id="292" w:name="_E30_Adequacy_of"/>
      <w:bookmarkStart w:id="293" w:name="EME26"/>
      <w:bookmarkStart w:id="294" w:name="EME27"/>
      <w:bookmarkStart w:id="295" w:name="_E23._Accounting_discipline"/>
      <w:bookmarkStart w:id="296" w:name="_E24._Accounting_policies,"/>
      <w:bookmarkStart w:id="297" w:name="_E31._Accounting_policies,"/>
      <w:bookmarkStart w:id="298" w:name="EME28"/>
      <w:bookmarkStart w:id="299" w:name="_E32._Use_of"/>
      <w:bookmarkStart w:id="300" w:name="EME29"/>
      <w:bookmarkStart w:id="301" w:name="_E25._Budget_process"/>
      <w:bookmarkStart w:id="302" w:name="_E33._Budget_process"/>
      <w:bookmarkStart w:id="303" w:name="EME30"/>
      <w:bookmarkStart w:id="304" w:name="_E26._Availability_of"/>
      <w:bookmarkStart w:id="305" w:name="_E28._Related_party"/>
      <w:bookmarkStart w:id="306" w:name="_E34._Related_party"/>
      <w:bookmarkStart w:id="307" w:name="EME31"/>
      <w:bookmarkStart w:id="308" w:name="_E29._Use_of"/>
      <w:bookmarkStart w:id="309" w:name="_E35._Monitoring_compliance"/>
      <w:bookmarkStart w:id="310" w:name="EME32"/>
      <w:bookmarkStart w:id="311" w:name="EME33"/>
      <w:bookmarkStart w:id="312" w:name="_E29._Risk_identification"/>
      <w:bookmarkStart w:id="313" w:name="_E30._Risk_identification"/>
      <w:bookmarkStart w:id="314" w:name="_E36._Risk_identification"/>
      <w:bookmarkStart w:id="315" w:name="EME34"/>
      <w:bookmarkStart w:id="316" w:name="_E30._Fraud_prevention,"/>
      <w:bookmarkStart w:id="317" w:name="_E31._Fraud_prevention,"/>
      <w:bookmarkStart w:id="318" w:name="_E37._Fraud_prevention,"/>
      <w:bookmarkStart w:id="319" w:name="EME35"/>
      <w:bookmarkStart w:id="320" w:name="_E31._Internal_audit"/>
      <w:bookmarkStart w:id="321" w:name="_E32._Internal_audit"/>
      <w:bookmarkStart w:id="322" w:name="_E38._Internal_audit"/>
      <w:bookmarkStart w:id="323" w:name="EME36"/>
      <w:bookmarkStart w:id="324" w:name="_E32._Audit_committee"/>
      <w:bookmarkStart w:id="325" w:name="_E33._Audit_committee"/>
      <w:bookmarkStart w:id="326" w:name="_E39._Audit_committee"/>
      <w:bookmarkStart w:id="327" w:name="EME37"/>
      <w:bookmarkStart w:id="328" w:name="E32"/>
      <w:bookmarkStart w:id="329" w:name="E33"/>
      <w:bookmarkStart w:id="330" w:name="E22"/>
      <w:bookmarkStart w:id="331" w:name="New4E25"/>
      <w:bookmarkStart w:id="332" w:name="New4E26"/>
      <w:bookmarkStart w:id="333" w:name="New4E27"/>
      <w:bookmarkStart w:id="334" w:name="Accounting"/>
      <w:bookmarkStart w:id="335" w:name="subsequent"/>
      <w:bookmarkStart w:id="336" w:name="EME42"/>
      <w:bookmarkStart w:id="337" w:name="EME43"/>
      <w:bookmarkStart w:id="338" w:name="E35"/>
      <w:bookmarkStart w:id="339" w:name="_E33._Actions_taken"/>
      <w:bookmarkStart w:id="340" w:name="_E34._Actions_taken"/>
      <w:bookmarkStart w:id="341" w:name="EME38"/>
      <w:bookmarkStart w:id="342" w:name="Assesstable"/>
      <w:bookmarkStart w:id="343" w:name="Consultants"/>
      <w:bookmarkStart w:id="344" w:name="Fraud"/>
      <w:bookmarkStart w:id="345" w:name="Para35"/>
      <w:bookmarkStart w:id="346" w:name="E40"/>
      <w:bookmarkStart w:id="347" w:name="Para36"/>
      <w:bookmarkStart w:id="348" w:name="_E36._Accounting_and"/>
      <w:bookmarkStart w:id="349" w:name="_E37._Accounting_and"/>
      <w:bookmarkStart w:id="350" w:name="_E40._Accounting_and"/>
      <w:bookmarkStart w:id="351" w:name="EME39"/>
      <w:bookmarkStart w:id="352" w:name="_E37._Susceptibility_of"/>
      <w:bookmarkStart w:id="353" w:name="_E38._Susceptibility_of"/>
      <w:bookmarkStart w:id="354" w:name="_E38._Subsequent_events"/>
      <w:bookmarkStart w:id="355" w:name="_E39._Subsequent_events"/>
      <w:bookmarkStart w:id="356" w:name="_E41._Subsequent_events[Back]"/>
      <w:bookmarkStart w:id="357" w:name="EME40"/>
      <w:bookmarkStart w:id="358" w:name="EME44"/>
      <w:bookmarkStart w:id="359" w:name="Oversight"/>
      <w:bookmarkStart w:id="360" w:name="_E19._Internal_control"/>
      <w:bookmarkStart w:id="361" w:name="EME17"/>
      <w:bookmarkStart w:id="362" w:name="E45"/>
      <w:bookmarkStart w:id="363" w:name="New_E41"/>
      <w:bookmarkStart w:id="364" w:name="E_section7"/>
      <w:bookmarkStart w:id="365" w:name="EME41"/>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sectPr w:rsidR="00021328" w:rsidRPr="00BB6EEC" w:rsidSect="00871C3E">
      <w:headerReference w:type="default" r:id="rId30"/>
      <w:footerReference w:type="default" r:id="rId31"/>
      <w:endnotePr>
        <w:numFmt w:val="decimal"/>
      </w:endnotePr>
      <w:pgSz w:w="11906" w:h="16838"/>
      <w:pgMar w:top="1440" w:right="1440" w:bottom="1701" w:left="1440" w:header="709" w:footer="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4C9" w:rsidRDefault="00E134C9">
      <w:pPr>
        <w:spacing w:after="0" w:line="240" w:lineRule="auto"/>
      </w:pPr>
      <w:r>
        <w:separator/>
      </w:r>
    </w:p>
    <w:p w:rsidR="00E134C9" w:rsidRDefault="00E134C9"/>
  </w:endnote>
  <w:endnote w:type="continuationSeparator" w:id="0">
    <w:p w:rsidR="00E134C9" w:rsidRDefault="00E134C9">
      <w:pPr>
        <w:spacing w:after="0" w:line="240" w:lineRule="auto"/>
      </w:pPr>
      <w:r>
        <w:continuationSeparator/>
      </w:r>
    </w:p>
    <w:p w:rsidR="00E134C9" w:rsidRDefault="00E134C9"/>
  </w:endnote>
  <w:endnote w:type="continuationNotice" w:id="1">
    <w:p w:rsidR="00E134C9" w:rsidRDefault="00E134C9">
      <w:pPr>
        <w:spacing w:after="0" w:line="240" w:lineRule="auto"/>
      </w:pPr>
    </w:p>
    <w:p w:rsidR="00E134C9" w:rsidRDefault="00E13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Bahnschrift Light"/>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CIDFont+F6">
    <w:altName w:val="Malgun Gothic Semilight"/>
    <w:panose1 w:val="00000000000000000000"/>
    <w:charset w:val="88"/>
    <w:family w:val="auto"/>
    <w:notTrueType/>
    <w:pitch w:val="default"/>
    <w:sig w:usb0="00000001" w:usb1="08080000" w:usb2="00000010" w:usb3="00000000" w:csb0="00100000" w:csb1="00000000"/>
  </w:font>
  <w:font w:name="CIDFont+F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Default="00135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Default="001357F2" w:rsidP="00DC267C">
    <w:pPr>
      <w:pStyle w:val="Footer"/>
      <w:tabs>
        <w:tab w:val="clear" w:pos="4320"/>
        <w:tab w:val="center" w:pos="4111"/>
      </w:tabs>
      <w:ind w:left="-142"/>
      <w:rPr>
        <w:szCs w:val="22"/>
      </w:rPr>
    </w:pPr>
    <w:r>
      <w:rPr>
        <w:rFonts w:ascii="Arial" w:hAnsi="Arial" w:cs="Arial"/>
        <w:b/>
        <w:noProof/>
        <w:color w:val="003B79"/>
        <w:lang w:val="en-GB" w:eastAsia="en-GB"/>
      </w:rPr>
      <w:drawing>
        <wp:anchor distT="0" distB="0" distL="114300" distR="114300" simplePos="0" relativeHeight="251653632" behindDoc="1" locked="0" layoutInCell="1" allowOverlap="1" wp14:anchorId="2C91FD39" wp14:editId="77AC48BF">
          <wp:simplePos x="0" y="0"/>
          <wp:positionH relativeFrom="column">
            <wp:posOffset>-282575</wp:posOffset>
          </wp:positionH>
          <wp:positionV relativeFrom="paragraph">
            <wp:posOffset>135255</wp:posOffset>
          </wp:positionV>
          <wp:extent cx="6400800" cy="344170"/>
          <wp:effectExtent l="19050" t="0" r="0" b="0"/>
          <wp:wrapNone/>
          <wp:docPr id="29"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rsidR="001357F2" w:rsidRDefault="001357F2" w:rsidP="00DC267C">
    <w:pPr>
      <w:pStyle w:val="Footer"/>
      <w:tabs>
        <w:tab w:val="clear" w:pos="4320"/>
        <w:tab w:val="clear" w:pos="8640"/>
        <w:tab w:val="center" w:pos="4111"/>
        <w:tab w:val="right" w:pos="9923"/>
      </w:tabs>
      <w:ind w:left="-142" w:right="-285"/>
      <w:jc w:val="right"/>
      <w:rPr>
        <w:rFonts w:ascii="Arial" w:hAnsi="Arial" w:cs="Arial"/>
        <w:b/>
        <w:color w:val="003B79"/>
      </w:rPr>
    </w:pPr>
  </w:p>
  <w:p w:rsidR="001357F2" w:rsidRPr="002D6730" w:rsidRDefault="001357F2" w:rsidP="00DC267C">
    <w:pPr>
      <w:pStyle w:val="Footer"/>
      <w:tabs>
        <w:tab w:val="clear" w:pos="4320"/>
        <w:tab w:val="clear" w:pos="8640"/>
        <w:tab w:val="center" w:pos="4111"/>
        <w:tab w:val="right" w:pos="9923"/>
      </w:tabs>
      <w:ind w:left="-142" w:right="-285"/>
      <w:jc w:val="right"/>
      <w:rPr>
        <w:rFonts w:ascii="Arial" w:hAnsi="Arial" w:cs="Arial"/>
        <w:b/>
        <w:color w:val="003B79"/>
      </w:rPr>
    </w:pPr>
  </w:p>
  <w:p w:rsidR="001357F2" w:rsidRDefault="001357F2" w:rsidP="00DC267C">
    <w:pPr>
      <w:pStyle w:val="Footer"/>
      <w:tabs>
        <w:tab w:val="clear" w:pos="4320"/>
        <w:tab w:val="center" w:pos="4111"/>
        <w:tab w:val="right" w:pos="9923"/>
      </w:tabs>
      <w:ind w:left="-142"/>
      <w:jc w:val="right"/>
      <w:rPr>
        <w:szCs w:val="22"/>
      </w:rPr>
    </w:pPr>
  </w:p>
  <w:p w:rsidR="001357F2" w:rsidRDefault="001357F2" w:rsidP="00DC267C">
    <w:pPr>
      <w:pStyle w:val="Footer"/>
      <w:tabs>
        <w:tab w:val="clear" w:pos="4320"/>
        <w:tab w:val="center" w:pos="4111"/>
        <w:tab w:val="right" w:pos="9923"/>
      </w:tabs>
      <w:ind w:left="-142"/>
      <w:jc w:val="right"/>
      <w:rPr>
        <w:szCs w:val="22"/>
      </w:rPr>
    </w:pPr>
  </w:p>
  <w:p w:rsidR="001357F2" w:rsidRPr="005F7D46" w:rsidRDefault="001357F2" w:rsidP="00DC267C">
    <w:pPr>
      <w:pStyle w:val="Footer"/>
      <w:tabs>
        <w:tab w:val="clear" w:pos="4320"/>
        <w:tab w:val="center" w:pos="4111"/>
        <w:tab w:val="right" w:pos="9923"/>
      </w:tabs>
      <w:ind w:left="-142"/>
      <w:rPr>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Default="001357F2" w:rsidP="00475D5A">
    <w:pPr>
      <w:pStyle w:val="Footer"/>
      <w:tabs>
        <w:tab w:val="clear" w:pos="4320"/>
        <w:tab w:val="center" w:pos="4111"/>
      </w:tabs>
      <w:ind w:left="-142"/>
      <w:rPr>
        <w:szCs w:val="22"/>
      </w:rPr>
    </w:pPr>
    <w:r>
      <w:rPr>
        <w:szCs w:val="22"/>
      </w:rPr>
      <w:t>`</w:t>
    </w:r>
  </w:p>
  <w:p w:rsidR="001357F2" w:rsidRPr="00186F2B" w:rsidRDefault="001357F2" w:rsidP="00475D5A">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val="en-GB" w:eastAsia="en-GB"/>
      </w:rPr>
      <w:drawing>
        <wp:anchor distT="0" distB="0" distL="114300" distR="114300" simplePos="0" relativeHeight="251660800" behindDoc="1" locked="0" layoutInCell="1" allowOverlap="1" wp14:anchorId="5A6AE91A" wp14:editId="527D82C8">
          <wp:simplePos x="0" y="0"/>
          <wp:positionH relativeFrom="column">
            <wp:align>left</wp:align>
          </wp:positionH>
          <wp:positionV relativeFrom="paragraph">
            <wp:posOffset>-10795</wp:posOffset>
          </wp:positionV>
          <wp:extent cx="6400800" cy="344170"/>
          <wp:effectExtent l="19050" t="0" r="0" b="0"/>
          <wp:wrapNone/>
          <wp:docPr id="13"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871C3E">
      <w:rPr>
        <w:rStyle w:val="PageNumber"/>
        <w:rFonts w:ascii="Arial" w:hAnsi="Arial" w:cs="Arial"/>
        <w:b/>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b/>
        <w:color w:val="003B79"/>
      </w:rPr>
      <w:fldChar w:fldCharType="separate"/>
    </w:r>
    <w:r w:rsidR="00040F9F">
      <w:rPr>
        <w:rStyle w:val="PageNumber"/>
        <w:rFonts w:ascii="Arial" w:hAnsi="Arial" w:cs="Arial"/>
        <w:noProof/>
        <w:color w:val="003B79"/>
      </w:rPr>
      <w:t>39</w:t>
    </w:r>
    <w:r w:rsidRPr="00871C3E">
      <w:rPr>
        <w:rStyle w:val="PageNumber"/>
        <w:rFonts w:ascii="Arial" w:hAnsi="Arial" w:cs="Arial"/>
        <w:b/>
        <w:color w:val="003B79"/>
      </w:rPr>
      <w:fldChar w:fldCharType="end"/>
    </w:r>
  </w:p>
  <w:p w:rsidR="001357F2" w:rsidRPr="0072219B" w:rsidRDefault="001357F2" w:rsidP="00475D5A">
    <w:pPr>
      <w:pStyle w:val="Footer"/>
      <w:rPr>
        <w:szCs w:val="22"/>
      </w:rPr>
    </w:pPr>
  </w:p>
  <w:p w:rsidR="001357F2" w:rsidRPr="005F7D46" w:rsidRDefault="001357F2" w:rsidP="00475D5A">
    <w:pPr>
      <w:pStyle w:val="Footer"/>
      <w:tabs>
        <w:tab w:val="clear" w:pos="4320"/>
        <w:tab w:val="center" w:pos="4111"/>
        <w:tab w:val="right" w:pos="9923"/>
      </w:tabs>
      <w:ind w:left="-142"/>
      <w:rPr>
        <w:szCs w:val="22"/>
      </w:rPr>
    </w:pPr>
  </w:p>
  <w:p w:rsidR="001357F2" w:rsidRDefault="001357F2" w:rsidP="00475D5A"/>
  <w:p w:rsidR="001357F2" w:rsidRDefault="001357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Default="001357F2" w:rsidP="00CB4728">
    <w:pPr>
      <w:pStyle w:val="Footer"/>
      <w:tabs>
        <w:tab w:val="clear" w:pos="4320"/>
        <w:tab w:val="center" w:pos="4111"/>
      </w:tabs>
      <w:rPr>
        <w:szCs w:val="22"/>
      </w:rPr>
    </w:pPr>
  </w:p>
  <w:p w:rsidR="001357F2" w:rsidRPr="00871C3E" w:rsidRDefault="001357F2" w:rsidP="00CB4728">
    <w:pPr>
      <w:pStyle w:val="Footer"/>
      <w:tabs>
        <w:tab w:val="clear" w:pos="4320"/>
        <w:tab w:val="clear" w:pos="8640"/>
        <w:tab w:val="center" w:pos="4111"/>
        <w:tab w:val="right" w:pos="9923"/>
      </w:tabs>
      <w:ind w:left="-142" w:right="-285"/>
      <w:jc w:val="right"/>
      <w:rPr>
        <w:rFonts w:ascii="Arial" w:hAnsi="Arial" w:cs="Arial"/>
        <w:color w:val="003B79"/>
      </w:rPr>
    </w:pPr>
    <w:r>
      <w:rPr>
        <w:rFonts w:ascii="Arial" w:hAnsi="Arial" w:cs="Arial"/>
        <w:b/>
        <w:noProof/>
        <w:color w:val="003B79"/>
        <w:lang w:val="en-GB" w:eastAsia="en-GB"/>
      </w:rPr>
      <w:drawing>
        <wp:anchor distT="0" distB="0" distL="114300" distR="114300" simplePos="0" relativeHeight="251659776" behindDoc="1" locked="0" layoutInCell="1" allowOverlap="1" wp14:anchorId="7075D219" wp14:editId="7309EE28">
          <wp:simplePos x="0" y="0"/>
          <wp:positionH relativeFrom="column">
            <wp:align>left</wp:align>
          </wp:positionH>
          <wp:positionV relativeFrom="paragraph">
            <wp:posOffset>-10795</wp:posOffset>
          </wp:positionV>
          <wp:extent cx="6400800" cy="344170"/>
          <wp:effectExtent l="19050" t="0" r="0" b="0"/>
          <wp:wrapNone/>
          <wp:docPr id="161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871C3E">
      <w:rPr>
        <w:rStyle w:val="PageNumber"/>
        <w:rFonts w:ascii="Arial" w:hAnsi="Arial" w:cs="Arial"/>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color w:val="003B79"/>
      </w:rPr>
      <w:fldChar w:fldCharType="separate"/>
    </w:r>
    <w:r w:rsidR="00040F9F">
      <w:rPr>
        <w:rStyle w:val="PageNumber"/>
        <w:rFonts w:ascii="Arial" w:hAnsi="Arial" w:cs="Arial"/>
        <w:noProof/>
        <w:color w:val="003B79"/>
      </w:rPr>
      <w:t>38</w:t>
    </w:r>
    <w:r w:rsidRPr="00871C3E">
      <w:rPr>
        <w:rStyle w:val="PageNumber"/>
        <w:rFonts w:ascii="Arial" w:hAnsi="Arial" w:cs="Arial"/>
        <w:color w:val="003B79"/>
      </w:rPr>
      <w:fldChar w:fldCharType="end"/>
    </w:r>
  </w:p>
  <w:p w:rsidR="001357F2" w:rsidRPr="0072219B" w:rsidRDefault="001357F2" w:rsidP="00CB4728">
    <w:pPr>
      <w:pStyle w:val="Footer"/>
      <w:rPr>
        <w:szCs w:val="22"/>
      </w:rPr>
    </w:pPr>
  </w:p>
  <w:p w:rsidR="001357F2" w:rsidRPr="005F7D46" w:rsidRDefault="001357F2" w:rsidP="00CB4728">
    <w:pPr>
      <w:pStyle w:val="Footer"/>
      <w:tabs>
        <w:tab w:val="clear" w:pos="4320"/>
        <w:tab w:val="center" w:pos="4111"/>
        <w:tab w:val="right" w:pos="9923"/>
      </w:tabs>
      <w:ind w:left="-142"/>
      <w:rPr>
        <w:szCs w:val="22"/>
      </w:rPr>
    </w:pPr>
  </w:p>
  <w:p w:rsidR="001357F2" w:rsidRPr="00CB4728" w:rsidRDefault="001357F2" w:rsidP="00CB47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Default="001357F2" w:rsidP="00DC267C">
    <w:pPr>
      <w:pStyle w:val="Footer"/>
      <w:tabs>
        <w:tab w:val="clear" w:pos="4320"/>
        <w:tab w:val="center" w:pos="4111"/>
      </w:tabs>
      <w:ind w:left="-142"/>
      <w:rPr>
        <w:szCs w:val="22"/>
      </w:rPr>
    </w:pPr>
    <w:r>
      <w:rPr>
        <w:szCs w:val="22"/>
      </w:rPr>
      <w:t>`</w:t>
    </w:r>
  </w:p>
  <w:p w:rsidR="001357F2" w:rsidRPr="00FE1940" w:rsidRDefault="001357F2"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val="en-GB" w:eastAsia="en-GB"/>
      </w:rPr>
      <w:drawing>
        <wp:anchor distT="0" distB="0" distL="114300" distR="114300" simplePos="0" relativeHeight="251656704" behindDoc="1" locked="0" layoutInCell="1" allowOverlap="1" wp14:anchorId="428BAE88" wp14:editId="03B3773E">
          <wp:simplePos x="0" y="0"/>
          <wp:positionH relativeFrom="column">
            <wp:align>left</wp:align>
          </wp:positionH>
          <wp:positionV relativeFrom="paragraph">
            <wp:posOffset>-10795</wp:posOffset>
          </wp:positionV>
          <wp:extent cx="6400800" cy="344170"/>
          <wp:effectExtent l="19050" t="0" r="0" b="0"/>
          <wp:wrapNone/>
          <wp:docPr id="1620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871C3E">
      <w:rPr>
        <w:rStyle w:val="PageNumber"/>
        <w:rFonts w:ascii="Arial" w:hAnsi="Arial" w:cs="Arial"/>
        <w:b/>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b/>
        <w:color w:val="003B79"/>
      </w:rPr>
      <w:fldChar w:fldCharType="separate"/>
    </w:r>
    <w:r>
      <w:rPr>
        <w:rStyle w:val="PageNumber"/>
        <w:rFonts w:ascii="Arial" w:hAnsi="Arial" w:cs="Arial"/>
        <w:noProof/>
        <w:color w:val="003B79"/>
      </w:rPr>
      <w:t>42</w:t>
    </w:r>
    <w:r w:rsidRPr="00871C3E">
      <w:rPr>
        <w:rStyle w:val="PageNumber"/>
        <w:rFonts w:ascii="Arial" w:hAnsi="Arial" w:cs="Arial"/>
        <w:b/>
        <w:color w:val="003B79"/>
      </w:rPr>
      <w:fldChar w:fldCharType="end"/>
    </w:r>
  </w:p>
  <w:p w:rsidR="001357F2" w:rsidRPr="0072219B" w:rsidRDefault="001357F2" w:rsidP="00DC267C">
    <w:pPr>
      <w:pStyle w:val="Footer"/>
      <w:rPr>
        <w:szCs w:val="22"/>
      </w:rPr>
    </w:pPr>
  </w:p>
  <w:p w:rsidR="001357F2" w:rsidRPr="005F7D46" w:rsidRDefault="001357F2" w:rsidP="00DC267C">
    <w:pPr>
      <w:pStyle w:val="Footer"/>
      <w:tabs>
        <w:tab w:val="clear" w:pos="4320"/>
        <w:tab w:val="center" w:pos="4111"/>
        <w:tab w:val="right" w:pos="9923"/>
      </w:tabs>
      <w:ind w:left="-142"/>
      <w:rPr>
        <w:szCs w:val="22"/>
      </w:rPr>
    </w:pPr>
  </w:p>
  <w:p w:rsidR="001357F2" w:rsidRDefault="001357F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4C9" w:rsidRDefault="00E134C9">
      <w:pPr>
        <w:spacing w:after="0" w:line="240" w:lineRule="auto"/>
      </w:pPr>
      <w:r>
        <w:separator/>
      </w:r>
    </w:p>
    <w:p w:rsidR="00E134C9" w:rsidRDefault="00E134C9"/>
  </w:footnote>
  <w:footnote w:type="continuationSeparator" w:id="0">
    <w:p w:rsidR="00E134C9" w:rsidRDefault="00E134C9">
      <w:pPr>
        <w:spacing w:after="0" w:line="240" w:lineRule="auto"/>
      </w:pPr>
      <w:r>
        <w:continuationSeparator/>
      </w:r>
    </w:p>
    <w:p w:rsidR="00E134C9" w:rsidRDefault="00E134C9"/>
  </w:footnote>
  <w:footnote w:type="continuationNotice" w:id="1">
    <w:p w:rsidR="00E134C9" w:rsidRDefault="00E134C9">
      <w:pPr>
        <w:spacing w:after="0" w:line="240" w:lineRule="auto"/>
      </w:pPr>
    </w:p>
    <w:p w:rsidR="00E134C9" w:rsidRDefault="00E134C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Default="001357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Pr="002D3B5F" w:rsidRDefault="001357F2" w:rsidP="00DC267C">
    <w:pPr>
      <w:pStyle w:val="Header"/>
    </w:pPr>
    <w:r>
      <w:rPr>
        <w:noProof/>
        <w:lang w:val="en-GB" w:eastAsia="en-GB"/>
      </w:rPr>
      <w:drawing>
        <wp:inline distT="0" distB="0" distL="0" distR="0" wp14:anchorId="66896F18" wp14:editId="4177D0CC">
          <wp:extent cx="6283960" cy="1062990"/>
          <wp:effectExtent l="19050" t="0" r="2540" b="0"/>
          <wp:docPr id="20"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Default="001357F2" w:rsidP="00475D5A">
    <w:pPr>
      <w:pStyle w:val="Header"/>
      <w:ind w:left="-142" w:right="6"/>
      <w:rPr>
        <w:b/>
        <w:color w:val="022B69"/>
        <w:sz w:val="16"/>
        <w:szCs w:val="16"/>
      </w:rPr>
    </w:pPr>
  </w:p>
  <w:p w:rsidR="001357F2" w:rsidRPr="00862481" w:rsidRDefault="001357F2" w:rsidP="00475D5A">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rsidR="001357F2" w:rsidRDefault="001357F2" w:rsidP="00871C3E">
    <w:pPr>
      <w:pStyle w:val="Header"/>
      <w:ind w:left="-142" w:right="6"/>
    </w:pPr>
    <w:r>
      <w:rPr>
        <w:noProof/>
        <w:lang w:val="en-GB" w:eastAsia="en-GB"/>
      </w:rPr>
      <mc:AlternateContent>
        <mc:Choice Requires="wps">
          <w:drawing>
            <wp:anchor distT="4294967295" distB="4294967295" distL="114300" distR="114300" simplePos="0" relativeHeight="251661824" behindDoc="0" locked="0" layoutInCell="1" allowOverlap="1" wp14:anchorId="7A0C920E" wp14:editId="4F4C2B61">
              <wp:simplePos x="0" y="0"/>
              <wp:positionH relativeFrom="column">
                <wp:align>left</wp:align>
              </wp:positionH>
              <wp:positionV relativeFrom="paragraph">
                <wp:posOffset>17144</wp:posOffset>
              </wp:positionV>
              <wp:extent cx="6400800" cy="0"/>
              <wp:effectExtent l="0" t="0" r="19050" b="19050"/>
              <wp:wrapNone/>
              <wp:docPr id="162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D0766" id="Line 12" o:spid="_x0000_s1026" style="position:absolute;z-index:25171046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qc4ZeBgCAAAuBAAADgAAAAAAAAAAAAAAAAAuAgAAZHJzL2Uyb0RvYy54bWxQSwECLQAUAAYACAAA&#10;ACEA97ynm9oAAAAFAQAADwAAAAAAAAAAAAAAAAByBAAAZHJzL2Rvd25yZXYueG1sUEsFBgAAAAAE&#10;AAQA8wAAAHkFAAAAAA==&#10;" strokecolor="#003b79"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Pr="00862481" w:rsidRDefault="00E134C9" w:rsidP="00DC267C">
    <w:pPr>
      <w:pStyle w:val="Header"/>
      <w:tabs>
        <w:tab w:val="clear" w:pos="8640"/>
        <w:tab w:val="right" w:pos="9923"/>
      </w:tabs>
      <w:ind w:left="-3420" w:right="-285"/>
      <w:jc w:val="right"/>
      <w:rPr>
        <w:rFonts w:ascii="Arial" w:hAnsi="Arial" w:cs="Arial"/>
        <w:b/>
        <w:color w:val="5C89BF"/>
        <w:sz w:val="18"/>
        <w:szCs w:val="18"/>
      </w:rPr>
    </w:pPr>
    <w:sdt>
      <w:sdtPr>
        <w:rPr>
          <w:rFonts w:ascii="Arial" w:hAnsi="Arial" w:cs="Arial"/>
          <w:b/>
          <w:color w:val="5C89BF"/>
          <w:sz w:val="18"/>
          <w:szCs w:val="18"/>
        </w:rPr>
        <w:id w:val="-738482767"/>
        <w:docPartObj>
          <w:docPartGallery w:val="Watermarks"/>
          <w:docPartUnique/>
        </w:docPartObj>
      </w:sdtPr>
      <w:sdtEndPr/>
      <w:sdtContent>
        <w:r>
          <w:rPr>
            <w:rFonts w:ascii="Arial" w:hAnsi="Arial" w:cs="Arial"/>
            <w:b/>
            <w:noProof/>
            <w:color w:val="5C89BF"/>
            <w:sz w:val="18"/>
            <w:szCs w:val="18"/>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36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357F2">
      <w:rPr>
        <w:rFonts w:ascii="Arial" w:hAnsi="Arial" w:cs="Arial"/>
        <w:b/>
        <w:color w:val="5C89BF"/>
        <w:sz w:val="18"/>
        <w:szCs w:val="18"/>
      </w:rPr>
      <w:t xml:space="preserve">Management report </w:t>
    </w:r>
    <w:r w:rsidR="001357F2" w:rsidRPr="0077659B">
      <w:rPr>
        <w:rFonts w:ascii="Arial" w:hAnsi="Arial" w:cs="Arial"/>
        <w:b/>
        <w:color w:val="5C89BF"/>
        <w:sz w:val="18"/>
        <w:szCs w:val="18"/>
      </w:rPr>
      <w:t xml:space="preserve">of </w:t>
    </w:r>
    <w:r w:rsidR="001357F2">
      <w:rPr>
        <w:rFonts w:ascii="Arial" w:hAnsi="Arial" w:cs="Arial"/>
        <w:b/>
        <w:color w:val="5C89BF"/>
        <w:sz w:val="18"/>
        <w:szCs w:val="18"/>
      </w:rPr>
      <w:t>Property Management Trading Entity</w:t>
    </w:r>
  </w:p>
  <w:p w:rsidR="001357F2" w:rsidRPr="008F2827" w:rsidRDefault="001357F2" w:rsidP="00DC267C">
    <w:pPr>
      <w:pStyle w:val="Header"/>
      <w:ind w:left="-142" w:right="6"/>
      <w:rPr>
        <w:rFonts w:ascii="Arial" w:hAnsi="Arial" w:cs="Arial"/>
      </w:rPr>
    </w:pPr>
    <w:r>
      <w:rPr>
        <w:noProof/>
        <w:lang w:val="en-GB" w:eastAsia="en-GB"/>
      </w:rPr>
      <mc:AlternateContent>
        <mc:Choice Requires="wps">
          <w:drawing>
            <wp:anchor distT="4294967295" distB="4294967295" distL="114300" distR="114300" simplePos="0" relativeHeight="251654656" behindDoc="0" locked="0" layoutInCell="1" allowOverlap="1" wp14:anchorId="276FCDCF" wp14:editId="073752F2">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C0DC4" id="Line 9" o:spid="_x0000_s1026" style="position:absolute;z-index:25164492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Pr="00862481" w:rsidRDefault="001357F2"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Property Management Trading Entity</w:t>
    </w:r>
  </w:p>
  <w:p w:rsidR="001357F2" w:rsidRPr="008F2827" w:rsidRDefault="001357F2" w:rsidP="00DC267C">
    <w:pPr>
      <w:pStyle w:val="Header"/>
      <w:ind w:left="-142" w:right="6"/>
      <w:rPr>
        <w:rFonts w:ascii="Arial" w:hAnsi="Arial" w:cs="Arial"/>
      </w:rPr>
    </w:pPr>
    <w:r>
      <w:rPr>
        <w:noProof/>
        <w:lang w:val="en-GB" w:eastAsia="en-GB"/>
      </w:rPr>
      <mc:AlternateContent>
        <mc:Choice Requires="wps">
          <w:drawing>
            <wp:anchor distT="4294967295" distB="4294967295" distL="114300" distR="114300" simplePos="0" relativeHeight="251657728" behindDoc="0" locked="0" layoutInCell="1" allowOverlap="1" wp14:anchorId="1B28EADC" wp14:editId="0BC6ADB3">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21F96"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Pr="00862481" w:rsidRDefault="001357F2"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Property Management Trading Entity</w:t>
    </w:r>
  </w:p>
  <w:p w:rsidR="001357F2" w:rsidRPr="008F2827" w:rsidRDefault="001357F2" w:rsidP="00DC267C">
    <w:pPr>
      <w:pStyle w:val="Header"/>
      <w:ind w:left="-142" w:right="6"/>
      <w:rPr>
        <w:rFonts w:ascii="Arial" w:hAnsi="Arial" w:cs="Arial"/>
      </w:rPr>
    </w:pPr>
    <w:r>
      <w:rPr>
        <w:noProof/>
        <w:lang w:val="en-GB" w:eastAsia="en-GB"/>
      </w:rPr>
      <mc:AlternateContent>
        <mc:Choice Requires="wps">
          <w:drawing>
            <wp:anchor distT="4294967295" distB="4294967295" distL="114300" distR="114300" simplePos="0" relativeHeight="251652608" behindDoc="0" locked="0" layoutInCell="1" allowOverlap="1" wp14:anchorId="442B5263" wp14:editId="4D0470D0">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ADDBA" id="Line 9" o:spid="_x0000_s1026" style="position:absolute;z-index:251623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Pr="00862481" w:rsidRDefault="001357F2"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w:t>
    </w:r>
    <w:r w:rsidRPr="0077659B">
      <w:rPr>
        <w:rFonts w:ascii="Arial" w:hAnsi="Arial" w:cs="Arial"/>
        <w:b/>
        <w:color w:val="5C89BF"/>
        <w:sz w:val="18"/>
        <w:szCs w:val="18"/>
      </w:rPr>
      <w:t>report of [insert name of auditee]</w:t>
    </w:r>
  </w:p>
  <w:p w:rsidR="001357F2" w:rsidRPr="008F2827" w:rsidRDefault="001357F2" w:rsidP="00DC267C">
    <w:pPr>
      <w:pStyle w:val="Header"/>
      <w:ind w:left="-142" w:right="6"/>
      <w:rPr>
        <w:rFonts w:ascii="Arial" w:hAnsi="Arial" w:cs="Arial"/>
      </w:rPr>
    </w:pPr>
    <w:r>
      <w:rPr>
        <w:noProof/>
        <w:lang w:val="en-GB" w:eastAsia="en-GB"/>
      </w:rPr>
      <mc:AlternateContent>
        <mc:Choice Requires="wps">
          <w:drawing>
            <wp:anchor distT="4294967295" distB="4294967295" distL="114300" distR="114300" simplePos="0" relativeHeight="251658752" behindDoc="0" locked="0" layoutInCell="1" allowOverlap="1" wp14:anchorId="3E68B507" wp14:editId="51F5A2BC">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A46BB" id="Line 11" o:spid="_x0000_s1026" style="position:absolute;z-index:25167564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F2" w:rsidRDefault="001357F2" w:rsidP="00DC267C">
    <w:pPr>
      <w:pStyle w:val="Header"/>
      <w:ind w:left="-142" w:right="6"/>
      <w:rPr>
        <w:b/>
        <w:color w:val="022B69"/>
        <w:sz w:val="16"/>
        <w:szCs w:val="16"/>
      </w:rPr>
    </w:pPr>
  </w:p>
  <w:p w:rsidR="001357F2" w:rsidRPr="00862481" w:rsidRDefault="001357F2"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rsidR="001357F2" w:rsidRPr="008F2827" w:rsidRDefault="001357F2" w:rsidP="00DC267C">
    <w:pPr>
      <w:pStyle w:val="Header"/>
      <w:ind w:left="-142" w:right="6"/>
      <w:rPr>
        <w:rFonts w:ascii="Arial" w:hAnsi="Arial" w:cs="Arial"/>
      </w:rPr>
    </w:pPr>
    <w:r>
      <w:rPr>
        <w:noProof/>
        <w:lang w:val="en-GB" w:eastAsia="en-GB"/>
      </w:rPr>
      <mc:AlternateContent>
        <mc:Choice Requires="wps">
          <w:drawing>
            <wp:anchor distT="4294967295" distB="4294967295" distL="114300" distR="114300" simplePos="0" relativeHeight="251655680" behindDoc="0" locked="0" layoutInCell="1" allowOverlap="1" wp14:anchorId="1C08A3F2" wp14:editId="12863AD5">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D6CBC"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0.4pt;height:2in" o:bullet="t">
        <v:imagedata r:id="rId1" o:title="MC900293188[1]"/>
      </v:shape>
    </w:pict>
  </w:numPicBullet>
  <w:numPicBullet w:numPicBulletId="1">
    <w:pict>
      <v:shape id="_x0000_i1029" type="#_x0000_t75" style="width:120pt;height:140.4pt" o:bullet="t">
        <v:imagedata r:id="rId2" o:title="MC900239461[1]"/>
      </v:shape>
    </w:pict>
  </w:numPicBullet>
  <w:abstractNum w:abstractNumId="0"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058C036E"/>
    <w:multiLevelType w:val="hybridMultilevel"/>
    <w:tmpl w:val="725A89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D0863C9"/>
    <w:multiLevelType w:val="hybridMultilevel"/>
    <w:tmpl w:val="357C24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ECE6F9E"/>
    <w:multiLevelType w:val="hybridMultilevel"/>
    <w:tmpl w:val="826E2A5A"/>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6" w15:restartNumberingAfterBreak="0">
    <w:nsid w:val="22346851"/>
    <w:multiLevelType w:val="hybridMultilevel"/>
    <w:tmpl w:val="80E0BA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5B9636F"/>
    <w:multiLevelType w:val="hybridMultilevel"/>
    <w:tmpl w:val="F55444A6"/>
    <w:lvl w:ilvl="0" w:tplc="69CC0FDC">
      <w:start w:val="14"/>
      <w:numFmt w:val="decimal"/>
      <w:lvlText w:val="%1."/>
      <w:lvlJc w:val="left"/>
      <w:pPr>
        <w:ind w:left="644" w:hanging="360"/>
      </w:pPr>
      <w:rPr>
        <w:rFonts w:hint="default"/>
        <w:b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A3D10D1"/>
    <w:multiLevelType w:val="hybridMultilevel"/>
    <w:tmpl w:val="131A33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A787D6D"/>
    <w:multiLevelType w:val="hybridMultilevel"/>
    <w:tmpl w:val="1F60F5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2C332B"/>
    <w:multiLevelType w:val="hybridMultilevel"/>
    <w:tmpl w:val="8B2481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3E6C7E51"/>
    <w:multiLevelType w:val="hybridMultilevel"/>
    <w:tmpl w:val="5A7E05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CE6756"/>
    <w:multiLevelType w:val="hybridMultilevel"/>
    <w:tmpl w:val="287ECF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33973B9"/>
    <w:multiLevelType w:val="hybridMultilevel"/>
    <w:tmpl w:val="979E01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20" w15:restartNumberingAfterBreak="0">
    <w:nsid w:val="6B073CF9"/>
    <w:multiLevelType w:val="hybridMultilevel"/>
    <w:tmpl w:val="1CD0C5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BF74303"/>
    <w:multiLevelType w:val="hybridMultilevel"/>
    <w:tmpl w:val="D1ECEC98"/>
    <w:lvl w:ilvl="0" w:tplc="1C090001">
      <w:start w:val="1"/>
      <w:numFmt w:val="bullet"/>
      <w:lvlText w:val=""/>
      <w:lvlJc w:val="left"/>
      <w:pPr>
        <w:ind w:left="927" w:hanging="360"/>
      </w:pPr>
      <w:rPr>
        <w:rFonts w:ascii="Symbol" w:hAnsi="Symbol" w:hint="default"/>
      </w:rPr>
    </w:lvl>
    <w:lvl w:ilvl="1" w:tplc="1C090003">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22" w15:restartNumberingAfterBreak="0">
    <w:nsid w:val="6C3D3EE5"/>
    <w:multiLevelType w:val="hybridMultilevel"/>
    <w:tmpl w:val="8BE4435C"/>
    <w:lvl w:ilvl="0" w:tplc="B0AE96B2">
      <w:start w:val="1"/>
      <w:numFmt w:val="decimal"/>
      <w:pStyle w:val="Heading7"/>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09311CC"/>
    <w:multiLevelType w:val="hybridMultilevel"/>
    <w:tmpl w:val="79CAD3E2"/>
    <w:lvl w:ilvl="0" w:tplc="FB128526">
      <w:start w:val="1"/>
      <w:numFmt w:val="bullet"/>
      <w:lvlText w:val=""/>
      <w:lvlJc w:val="left"/>
      <w:pPr>
        <w:ind w:left="360" w:hanging="360"/>
      </w:pPr>
      <w:rPr>
        <w:rFonts w:ascii="Symbol" w:hAnsi="Symbol" w:hint="default"/>
        <w:lang w:val="en-ZA"/>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71DE17CD"/>
    <w:multiLevelType w:val="hybridMultilevel"/>
    <w:tmpl w:val="80BC200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7B41505D"/>
    <w:multiLevelType w:val="hybridMultilevel"/>
    <w:tmpl w:val="2454FAA6"/>
    <w:lvl w:ilvl="0" w:tplc="7062DBB4">
      <w:start w:val="1"/>
      <w:numFmt w:val="decimal"/>
      <w:lvlText w:val="%1."/>
      <w:lvlJc w:val="left"/>
      <w:pPr>
        <w:ind w:left="360" w:hanging="360"/>
      </w:pPr>
      <w:rPr>
        <w:rFonts w:ascii="Arial" w:hAnsi="Arial" w:cs="Arial" w:hint="default"/>
        <w:i w:val="0"/>
        <w:sz w:val="22"/>
        <w:szCs w:val="22"/>
      </w:rPr>
    </w:lvl>
    <w:lvl w:ilvl="1" w:tplc="1C090019">
      <w:start w:val="1"/>
      <w:numFmt w:val="lowerLetter"/>
      <w:lvlText w:val="%2."/>
      <w:lvlJc w:val="left"/>
      <w:pPr>
        <w:ind w:left="960" w:hanging="360"/>
      </w:pPr>
    </w:lvl>
    <w:lvl w:ilvl="2" w:tplc="1C09001B" w:tentative="1">
      <w:start w:val="1"/>
      <w:numFmt w:val="lowerRoman"/>
      <w:lvlText w:val="%3."/>
      <w:lvlJc w:val="right"/>
      <w:pPr>
        <w:ind w:left="1680" w:hanging="180"/>
      </w:pPr>
    </w:lvl>
    <w:lvl w:ilvl="3" w:tplc="1C09000F" w:tentative="1">
      <w:start w:val="1"/>
      <w:numFmt w:val="decimal"/>
      <w:lvlText w:val="%4."/>
      <w:lvlJc w:val="left"/>
      <w:pPr>
        <w:ind w:left="2400" w:hanging="360"/>
      </w:pPr>
    </w:lvl>
    <w:lvl w:ilvl="4" w:tplc="1C090019" w:tentative="1">
      <w:start w:val="1"/>
      <w:numFmt w:val="lowerLetter"/>
      <w:lvlText w:val="%5."/>
      <w:lvlJc w:val="left"/>
      <w:pPr>
        <w:ind w:left="3120" w:hanging="360"/>
      </w:pPr>
    </w:lvl>
    <w:lvl w:ilvl="5" w:tplc="1C09001B" w:tentative="1">
      <w:start w:val="1"/>
      <w:numFmt w:val="lowerRoman"/>
      <w:lvlText w:val="%6."/>
      <w:lvlJc w:val="right"/>
      <w:pPr>
        <w:ind w:left="3840" w:hanging="180"/>
      </w:pPr>
    </w:lvl>
    <w:lvl w:ilvl="6" w:tplc="1C09000F" w:tentative="1">
      <w:start w:val="1"/>
      <w:numFmt w:val="decimal"/>
      <w:lvlText w:val="%7."/>
      <w:lvlJc w:val="left"/>
      <w:pPr>
        <w:ind w:left="4560" w:hanging="360"/>
      </w:pPr>
    </w:lvl>
    <w:lvl w:ilvl="7" w:tplc="1C090019" w:tentative="1">
      <w:start w:val="1"/>
      <w:numFmt w:val="lowerLetter"/>
      <w:lvlText w:val="%8."/>
      <w:lvlJc w:val="left"/>
      <w:pPr>
        <w:ind w:left="5280" w:hanging="360"/>
      </w:pPr>
    </w:lvl>
    <w:lvl w:ilvl="8" w:tplc="1C09001B" w:tentative="1">
      <w:start w:val="1"/>
      <w:numFmt w:val="lowerRoman"/>
      <w:lvlText w:val="%9."/>
      <w:lvlJc w:val="right"/>
      <w:pPr>
        <w:ind w:left="6000" w:hanging="180"/>
      </w:pPr>
    </w:lvl>
  </w:abstractNum>
  <w:abstractNum w:abstractNumId="26" w15:restartNumberingAfterBreak="0">
    <w:nsid w:val="7F0666F0"/>
    <w:multiLevelType w:val="hybridMultilevel"/>
    <w:tmpl w:val="4F70E04A"/>
    <w:lvl w:ilvl="0" w:tplc="A6943062">
      <w:start w:val="1"/>
      <w:numFmt w:val="decimal"/>
      <w:lvlText w:val="%1."/>
      <w:lvlJc w:val="left"/>
      <w:pPr>
        <w:ind w:left="360" w:hanging="360"/>
      </w:pPr>
      <w:rPr>
        <w:rFonts w:hint="default"/>
        <w:color w:val="auto"/>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15"/>
  </w:num>
  <w:num w:numId="3">
    <w:abstractNumId w:val="3"/>
  </w:num>
  <w:num w:numId="4">
    <w:abstractNumId w:val="12"/>
  </w:num>
  <w:num w:numId="5">
    <w:abstractNumId w:val="0"/>
  </w:num>
  <w:num w:numId="6">
    <w:abstractNumId w:val="5"/>
  </w:num>
  <w:num w:numId="7">
    <w:abstractNumId w:val="6"/>
  </w:num>
  <w:num w:numId="8">
    <w:abstractNumId w:val="8"/>
  </w:num>
  <w:num w:numId="9">
    <w:abstractNumId w:val="19"/>
  </w:num>
  <w:num w:numId="10">
    <w:abstractNumId w:val="14"/>
  </w:num>
  <w:num w:numId="11">
    <w:abstractNumId w:val="13"/>
  </w:num>
  <w:num w:numId="12">
    <w:abstractNumId w:val="11"/>
  </w:num>
  <w:num w:numId="13">
    <w:abstractNumId w:val="22"/>
  </w:num>
  <w:num w:numId="14">
    <w:abstractNumId w:val="26"/>
  </w:num>
  <w:num w:numId="15">
    <w:abstractNumId w:val="21"/>
  </w:num>
  <w:num w:numId="16">
    <w:abstractNumId w:val="9"/>
  </w:num>
  <w:num w:numId="17">
    <w:abstractNumId w:val="20"/>
  </w:num>
  <w:num w:numId="18">
    <w:abstractNumId w:val="2"/>
  </w:num>
  <w:num w:numId="19">
    <w:abstractNumId w:val="23"/>
  </w:num>
  <w:num w:numId="20">
    <w:abstractNumId w:val="17"/>
  </w:num>
  <w:num w:numId="21">
    <w:abstractNumId w:val="13"/>
  </w:num>
  <w:num w:numId="22">
    <w:abstractNumId w:val="4"/>
  </w:num>
  <w:num w:numId="23">
    <w:abstractNumId w:val="18"/>
  </w:num>
  <w:num w:numId="24">
    <w:abstractNumId w:val="24"/>
  </w:num>
  <w:num w:numId="25">
    <w:abstractNumId w:val="10"/>
  </w:num>
  <w:num w:numId="26">
    <w:abstractNumId w:val="5"/>
  </w:num>
  <w:num w:numId="27">
    <w:abstractNumId w:val="25"/>
  </w:num>
  <w:num w:numId="28">
    <w:abstractNumId w:val="7"/>
  </w:num>
  <w:num w:numId="29">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51"/>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2ED"/>
    <w:rsid w:val="000023CC"/>
    <w:rsid w:val="00002DCE"/>
    <w:rsid w:val="00003CFC"/>
    <w:rsid w:val="00004B71"/>
    <w:rsid w:val="00004DC1"/>
    <w:rsid w:val="00004EEF"/>
    <w:rsid w:val="000064B6"/>
    <w:rsid w:val="0000704D"/>
    <w:rsid w:val="0001055D"/>
    <w:rsid w:val="0001057B"/>
    <w:rsid w:val="00010856"/>
    <w:rsid w:val="000120B9"/>
    <w:rsid w:val="00012C2F"/>
    <w:rsid w:val="00013575"/>
    <w:rsid w:val="000138B2"/>
    <w:rsid w:val="000142F4"/>
    <w:rsid w:val="00014678"/>
    <w:rsid w:val="00015942"/>
    <w:rsid w:val="00015DC0"/>
    <w:rsid w:val="00021067"/>
    <w:rsid w:val="0002110E"/>
    <w:rsid w:val="00021328"/>
    <w:rsid w:val="0002152D"/>
    <w:rsid w:val="000226DC"/>
    <w:rsid w:val="000228EA"/>
    <w:rsid w:val="0002329F"/>
    <w:rsid w:val="0002402C"/>
    <w:rsid w:val="00024671"/>
    <w:rsid w:val="00024970"/>
    <w:rsid w:val="00024EB0"/>
    <w:rsid w:val="000262C0"/>
    <w:rsid w:val="00027ACC"/>
    <w:rsid w:val="00027E46"/>
    <w:rsid w:val="00027F5A"/>
    <w:rsid w:val="00030521"/>
    <w:rsid w:val="000338C5"/>
    <w:rsid w:val="00034830"/>
    <w:rsid w:val="00034834"/>
    <w:rsid w:val="00034B01"/>
    <w:rsid w:val="000351DC"/>
    <w:rsid w:val="000359DA"/>
    <w:rsid w:val="000376A9"/>
    <w:rsid w:val="00040F9F"/>
    <w:rsid w:val="000413D7"/>
    <w:rsid w:val="00041540"/>
    <w:rsid w:val="00041838"/>
    <w:rsid w:val="00041A54"/>
    <w:rsid w:val="00043E5C"/>
    <w:rsid w:val="000441A1"/>
    <w:rsid w:val="0004644A"/>
    <w:rsid w:val="000504B9"/>
    <w:rsid w:val="000523F5"/>
    <w:rsid w:val="00052712"/>
    <w:rsid w:val="00052817"/>
    <w:rsid w:val="000550D9"/>
    <w:rsid w:val="000552B5"/>
    <w:rsid w:val="0005546A"/>
    <w:rsid w:val="000554E4"/>
    <w:rsid w:val="00056309"/>
    <w:rsid w:val="00056395"/>
    <w:rsid w:val="000572E3"/>
    <w:rsid w:val="00060C33"/>
    <w:rsid w:val="00060FFB"/>
    <w:rsid w:val="00061DBE"/>
    <w:rsid w:val="000622DA"/>
    <w:rsid w:val="0006328C"/>
    <w:rsid w:val="000634EA"/>
    <w:rsid w:val="0006390A"/>
    <w:rsid w:val="00064AE7"/>
    <w:rsid w:val="000657EB"/>
    <w:rsid w:val="00066121"/>
    <w:rsid w:val="000663CE"/>
    <w:rsid w:val="00066F84"/>
    <w:rsid w:val="00067D7B"/>
    <w:rsid w:val="0007051A"/>
    <w:rsid w:val="000707AC"/>
    <w:rsid w:val="00071AAC"/>
    <w:rsid w:val="00072064"/>
    <w:rsid w:val="00072D88"/>
    <w:rsid w:val="0007342F"/>
    <w:rsid w:val="00074660"/>
    <w:rsid w:val="000762E9"/>
    <w:rsid w:val="00076CAF"/>
    <w:rsid w:val="00076FB3"/>
    <w:rsid w:val="00077067"/>
    <w:rsid w:val="000772D4"/>
    <w:rsid w:val="00077779"/>
    <w:rsid w:val="00077BD8"/>
    <w:rsid w:val="000803CC"/>
    <w:rsid w:val="00080813"/>
    <w:rsid w:val="000809AC"/>
    <w:rsid w:val="00080F9D"/>
    <w:rsid w:val="00081709"/>
    <w:rsid w:val="000830FF"/>
    <w:rsid w:val="000844C5"/>
    <w:rsid w:val="000845C2"/>
    <w:rsid w:val="000845F8"/>
    <w:rsid w:val="000847F8"/>
    <w:rsid w:val="00086009"/>
    <w:rsid w:val="00086A8C"/>
    <w:rsid w:val="00086EF1"/>
    <w:rsid w:val="00090E6D"/>
    <w:rsid w:val="00091DE8"/>
    <w:rsid w:val="0009227A"/>
    <w:rsid w:val="0009283F"/>
    <w:rsid w:val="00092B19"/>
    <w:rsid w:val="0009390C"/>
    <w:rsid w:val="000943B7"/>
    <w:rsid w:val="000945A8"/>
    <w:rsid w:val="00095C41"/>
    <w:rsid w:val="00097070"/>
    <w:rsid w:val="000A2286"/>
    <w:rsid w:val="000A2E32"/>
    <w:rsid w:val="000A4B81"/>
    <w:rsid w:val="000A4DBD"/>
    <w:rsid w:val="000B0318"/>
    <w:rsid w:val="000B0E16"/>
    <w:rsid w:val="000B29B6"/>
    <w:rsid w:val="000B3E47"/>
    <w:rsid w:val="000B5D21"/>
    <w:rsid w:val="000B7561"/>
    <w:rsid w:val="000B7BD9"/>
    <w:rsid w:val="000C10EC"/>
    <w:rsid w:val="000C1766"/>
    <w:rsid w:val="000C203A"/>
    <w:rsid w:val="000C27F2"/>
    <w:rsid w:val="000C299A"/>
    <w:rsid w:val="000C39A4"/>
    <w:rsid w:val="000C4182"/>
    <w:rsid w:val="000C4D17"/>
    <w:rsid w:val="000C6227"/>
    <w:rsid w:val="000C6439"/>
    <w:rsid w:val="000C7947"/>
    <w:rsid w:val="000C7DE8"/>
    <w:rsid w:val="000D0D8A"/>
    <w:rsid w:val="000D0E58"/>
    <w:rsid w:val="000D1B3A"/>
    <w:rsid w:val="000D2456"/>
    <w:rsid w:val="000D29D7"/>
    <w:rsid w:val="000D36C0"/>
    <w:rsid w:val="000D4896"/>
    <w:rsid w:val="000D4C40"/>
    <w:rsid w:val="000E07E3"/>
    <w:rsid w:val="000E0E98"/>
    <w:rsid w:val="000E2027"/>
    <w:rsid w:val="000E2C06"/>
    <w:rsid w:val="000E3B91"/>
    <w:rsid w:val="000E3CB5"/>
    <w:rsid w:val="000E4C0D"/>
    <w:rsid w:val="000E67CA"/>
    <w:rsid w:val="000E69B8"/>
    <w:rsid w:val="000E6FE3"/>
    <w:rsid w:val="000E78E8"/>
    <w:rsid w:val="000F0EFC"/>
    <w:rsid w:val="000F168A"/>
    <w:rsid w:val="000F1F3A"/>
    <w:rsid w:val="000F2065"/>
    <w:rsid w:val="000F234E"/>
    <w:rsid w:val="000F2642"/>
    <w:rsid w:val="000F388F"/>
    <w:rsid w:val="000F42B4"/>
    <w:rsid w:val="000F5572"/>
    <w:rsid w:val="000F6788"/>
    <w:rsid w:val="000F7205"/>
    <w:rsid w:val="00100242"/>
    <w:rsid w:val="00100392"/>
    <w:rsid w:val="001003BD"/>
    <w:rsid w:val="00101028"/>
    <w:rsid w:val="001021B8"/>
    <w:rsid w:val="001025B2"/>
    <w:rsid w:val="00102C04"/>
    <w:rsid w:val="0010343A"/>
    <w:rsid w:val="00103524"/>
    <w:rsid w:val="00103D1A"/>
    <w:rsid w:val="00105187"/>
    <w:rsid w:val="00105708"/>
    <w:rsid w:val="00105929"/>
    <w:rsid w:val="001062CA"/>
    <w:rsid w:val="00106B4A"/>
    <w:rsid w:val="001075CC"/>
    <w:rsid w:val="00107930"/>
    <w:rsid w:val="00110109"/>
    <w:rsid w:val="00110DA1"/>
    <w:rsid w:val="00112ECF"/>
    <w:rsid w:val="0011316F"/>
    <w:rsid w:val="001131A9"/>
    <w:rsid w:val="00114A20"/>
    <w:rsid w:val="00114A35"/>
    <w:rsid w:val="001169D2"/>
    <w:rsid w:val="001174CC"/>
    <w:rsid w:val="00117C1A"/>
    <w:rsid w:val="00120D95"/>
    <w:rsid w:val="00121060"/>
    <w:rsid w:val="001216B0"/>
    <w:rsid w:val="00121F7C"/>
    <w:rsid w:val="00122450"/>
    <w:rsid w:val="001233D6"/>
    <w:rsid w:val="00123CE3"/>
    <w:rsid w:val="00125F2B"/>
    <w:rsid w:val="0012667F"/>
    <w:rsid w:val="00127D0D"/>
    <w:rsid w:val="00127D31"/>
    <w:rsid w:val="001306D1"/>
    <w:rsid w:val="001324CE"/>
    <w:rsid w:val="00133E8C"/>
    <w:rsid w:val="00134BC8"/>
    <w:rsid w:val="001357F2"/>
    <w:rsid w:val="00135CB0"/>
    <w:rsid w:val="00137334"/>
    <w:rsid w:val="001374D9"/>
    <w:rsid w:val="0014262A"/>
    <w:rsid w:val="00143CDB"/>
    <w:rsid w:val="00143EDE"/>
    <w:rsid w:val="00145924"/>
    <w:rsid w:val="00146834"/>
    <w:rsid w:val="00147697"/>
    <w:rsid w:val="001500B7"/>
    <w:rsid w:val="001516CD"/>
    <w:rsid w:val="00151A19"/>
    <w:rsid w:val="00152099"/>
    <w:rsid w:val="0015211F"/>
    <w:rsid w:val="001528F8"/>
    <w:rsid w:val="001529AE"/>
    <w:rsid w:val="0015343C"/>
    <w:rsid w:val="00153824"/>
    <w:rsid w:val="00153FF6"/>
    <w:rsid w:val="001562CD"/>
    <w:rsid w:val="001562D7"/>
    <w:rsid w:val="001571BF"/>
    <w:rsid w:val="001574FC"/>
    <w:rsid w:val="0016007C"/>
    <w:rsid w:val="001603BD"/>
    <w:rsid w:val="00161CA6"/>
    <w:rsid w:val="00164F12"/>
    <w:rsid w:val="00165015"/>
    <w:rsid w:val="00165C2D"/>
    <w:rsid w:val="00166A28"/>
    <w:rsid w:val="00170952"/>
    <w:rsid w:val="00170C11"/>
    <w:rsid w:val="001719ED"/>
    <w:rsid w:val="00171F56"/>
    <w:rsid w:val="001726B7"/>
    <w:rsid w:val="001744CD"/>
    <w:rsid w:val="00176356"/>
    <w:rsid w:val="001763D6"/>
    <w:rsid w:val="00180CBB"/>
    <w:rsid w:val="001818C4"/>
    <w:rsid w:val="00181C0D"/>
    <w:rsid w:val="00182DB0"/>
    <w:rsid w:val="00184DE4"/>
    <w:rsid w:val="00184F27"/>
    <w:rsid w:val="001856D7"/>
    <w:rsid w:val="001860AB"/>
    <w:rsid w:val="00187B58"/>
    <w:rsid w:val="00192029"/>
    <w:rsid w:val="001923BB"/>
    <w:rsid w:val="00192671"/>
    <w:rsid w:val="00192AE4"/>
    <w:rsid w:val="00192EDA"/>
    <w:rsid w:val="0019368D"/>
    <w:rsid w:val="00193D70"/>
    <w:rsid w:val="0019411C"/>
    <w:rsid w:val="00196335"/>
    <w:rsid w:val="001A150D"/>
    <w:rsid w:val="001A2900"/>
    <w:rsid w:val="001A324F"/>
    <w:rsid w:val="001A362F"/>
    <w:rsid w:val="001A367B"/>
    <w:rsid w:val="001A3789"/>
    <w:rsid w:val="001A387D"/>
    <w:rsid w:val="001A4272"/>
    <w:rsid w:val="001A57BD"/>
    <w:rsid w:val="001A69E5"/>
    <w:rsid w:val="001A771C"/>
    <w:rsid w:val="001A776D"/>
    <w:rsid w:val="001B02F2"/>
    <w:rsid w:val="001B12C6"/>
    <w:rsid w:val="001B1624"/>
    <w:rsid w:val="001B3005"/>
    <w:rsid w:val="001B4871"/>
    <w:rsid w:val="001B4941"/>
    <w:rsid w:val="001B50CE"/>
    <w:rsid w:val="001B60AA"/>
    <w:rsid w:val="001B6809"/>
    <w:rsid w:val="001B7737"/>
    <w:rsid w:val="001B781C"/>
    <w:rsid w:val="001C02EF"/>
    <w:rsid w:val="001C0D38"/>
    <w:rsid w:val="001C1A86"/>
    <w:rsid w:val="001C288F"/>
    <w:rsid w:val="001C3ECB"/>
    <w:rsid w:val="001C4638"/>
    <w:rsid w:val="001C5292"/>
    <w:rsid w:val="001C5F3D"/>
    <w:rsid w:val="001C628F"/>
    <w:rsid w:val="001C6819"/>
    <w:rsid w:val="001C6B38"/>
    <w:rsid w:val="001C707A"/>
    <w:rsid w:val="001C76CF"/>
    <w:rsid w:val="001C7B67"/>
    <w:rsid w:val="001D1A80"/>
    <w:rsid w:val="001D1D6E"/>
    <w:rsid w:val="001D2D55"/>
    <w:rsid w:val="001D2FF5"/>
    <w:rsid w:val="001D3DFD"/>
    <w:rsid w:val="001D426B"/>
    <w:rsid w:val="001D5CBD"/>
    <w:rsid w:val="001D6332"/>
    <w:rsid w:val="001D69D0"/>
    <w:rsid w:val="001E0928"/>
    <w:rsid w:val="001E213E"/>
    <w:rsid w:val="001E2DA9"/>
    <w:rsid w:val="001E37EE"/>
    <w:rsid w:val="001E3F4B"/>
    <w:rsid w:val="001E5BB4"/>
    <w:rsid w:val="001E6115"/>
    <w:rsid w:val="001E6959"/>
    <w:rsid w:val="001E70DB"/>
    <w:rsid w:val="001F02BE"/>
    <w:rsid w:val="001F03F7"/>
    <w:rsid w:val="001F0A88"/>
    <w:rsid w:val="001F1899"/>
    <w:rsid w:val="001F1CF5"/>
    <w:rsid w:val="001F33AF"/>
    <w:rsid w:val="001F38DA"/>
    <w:rsid w:val="001F4083"/>
    <w:rsid w:val="001F4789"/>
    <w:rsid w:val="001F50D7"/>
    <w:rsid w:val="001F6C60"/>
    <w:rsid w:val="001F7DCB"/>
    <w:rsid w:val="0020027A"/>
    <w:rsid w:val="002004A3"/>
    <w:rsid w:val="0020162B"/>
    <w:rsid w:val="00201880"/>
    <w:rsid w:val="00201CFF"/>
    <w:rsid w:val="00203E15"/>
    <w:rsid w:val="00205B73"/>
    <w:rsid w:val="0020665F"/>
    <w:rsid w:val="00207BB5"/>
    <w:rsid w:val="00207C88"/>
    <w:rsid w:val="00210420"/>
    <w:rsid w:val="00210D3E"/>
    <w:rsid w:val="00211B8D"/>
    <w:rsid w:val="00212547"/>
    <w:rsid w:val="00212B1A"/>
    <w:rsid w:val="00213751"/>
    <w:rsid w:val="00214936"/>
    <w:rsid w:val="002156DB"/>
    <w:rsid w:val="00215B00"/>
    <w:rsid w:val="00216005"/>
    <w:rsid w:val="0021652D"/>
    <w:rsid w:val="00216893"/>
    <w:rsid w:val="0021793D"/>
    <w:rsid w:val="0022009C"/>
    <w:rsid w:val="002203FF"/>
    <w:rsid w:val="0022586F"/>
    <w:rsid w:val="00226048"/>
    <w:rsid w:val="0022746F"/>
    <w:rsid w:val="00230577"/>
    <w:rsid w:val="0023093E"/>
    <w:rsid w:val="00231CE4"/>
    <w:rsid w:val="00236884"/>
    <w:rsid w:val="00237003"/>
    <w:rsid w:val="00237F7F"/>
    <w:rsid w:val="002409AF"/>
    <w:rsid w:val="00240E6F"/>
    <w:rsid w:val="00241A04"/>
    <w:rsid w:val="00242800"/>
    <w:rsid w:val="0024393E"/>
    <w:rsid w:val="00243A2C"/>
    <w:rsid w:val="00244164"/>
    <w:rsid w:val="00244491"/>
    <w:rsid w:val="00244512"/>
    <w:rsid w:val="00245375"/>
    <w:rsid w:val="0024537E"/>
    <w:rsid w:val="002453F2"/>
    <w:rsid w:val="002456F1"/>
    <w:rsid w:val="002459C9"/>
    <w:rsid w:val="00246D18"/>
    <w:rsid w:val="00250620"/>
    <w:rsid w:val="002514F9"/>
    <w:rsid w:val="00251554"/>
    <w:rsid w:val="0025172D"/>
    <w:rsid w:val="00252A9C"/>
    <w:rsid w:val="00253084"/>
    <w:rsid w:val="00253FDE"/>
    <w:rsid w:val="00253FF2"/>
    <w:rsid w:val="00254191"/>
    <w:rsid w:val="00254867"/>
    <w:rsid w:val="00254989"/>
    <w:rsid w:val="002565BD"/>
    <w:rsid w:val="002566F1"/>
    <w:rsid w:val="0025744E"/>
    <w:rsid w:val="002579FE"/>
    <w:rsid w:val="0026061E"/>
    <w:rsid w:val="0026108A"/>
    <w:rsid w:val="00261826"/>
    <w:rsid w:val="00261E65"/>
    <w:rsid w:val="00262088"/>
    <w:rsid w:val="00262A5F"/>
    <w:rsid w:val="00262BD0"/>
    <w:rsid w:val="00263413"/>
    <w:rsid w:val="002641A6"/>
    <w:rsid w:val="00265B26"/>
    <w:rsid w:val="00266AB3"/>
    <w:rsid w:val="00266C36"/>
    <w:rsid w:val="00270DF1"/>
    <w:rsid w:val="00273C35"/>
    <w:rsid w:val="00273D4D"/>
    <w:rsid w:val="00274F79"/>
    <w:rsid w:val="00275C69"/>
    <w:rsid w:val="002766BE"/>
    <w:rsid w:val="00276BF2"/>
    <w:rsid w:val="00277320"/>
    <w:rsid w:val="00277E5F"/>
    <w:rsid w:val="002805E7"/>
    <w:rsid w:val="00280CF0"/>
    <w:rsid w:val="002812BF"/>
    <w:rsid w:val="002836FE"/>
    <w:rsid w:val="002838A3"/>
    <w:rsid w:val="00285636"/>
    <w:rsid w:val="002860B6"/>
    <w:rsid w:val="00286227"/>
    <w:rsid w:val="00287619"/>
    <w:rsid w:val="00287710"/>
    <w:rsid w:val="002877D2"/>
    <w:rsid w:val="00287920"/>
    <w:rsid w:val="00290FB4"/>
    <w:rsid w:val="0029101B"/>
    <w:rsid w:val="0029185D"/>
    <w:rsid w:val="00292A3F"/>
    <w:rsid w:val="00293419"/>
    <w:rsid w:val="0029504D"/>
    <w:rsid w:val="002956B8"/>
    <w:rsid w:val="00296575"/>
    <w:rsid w:val="00296751"/>
    <w:rsid w:val="002A0937"/>
    <w:rsid w:val="002A0B82"/>
    <w:rsid w:val="002A18BB"/>
    <w:rsid w:val="002A1F2E"/>
    <w:rsid w:val="002A22E9"/>
    <w:rsid w:val="002A26C0"/>
    <w:rsid w:val="002A2820"/>
    <w:rsid w:val="002A2A8E"/>
    <w:rsid w:val="002A2B32"/>
    <w:rsid w:val="002A588C"/>
    <w:rsid w:val="002A7206"/>
    <w:rsid w:val="002A735C"/>
    <w:rsid w:val="002A7D48"/>
    <w:rsid w:val="002A7E2F"/>
    <w:rsid w:val="002B240B"/>
    <w:rsid w:val="002B2FC4"/>
    <w:rsid w:val="002B2FCC"/>
    <w:rsid w:val="002B42A1"/>
    <w:rsid w:val="002B7F23"/>
    <w:rsid w:val="002C07AF"/>
    <w:rsid w:val="002C13C9"/>
    <w:rsid w:val="002C1ABD"/>
    <w:rsid w:val="002C3F4A"/>
    <w:rsid w:val="002C54F0"/>
    <w:rsid w:val="002C682B"/>
    <w:rsid w:val="002D22C7"/>
    <w:rsid w:val="002D28FD"/>
    <w:rsid w:val="002D6946"/>
    <w:rsid w:val="002D6CC1"/>
    <w:rsid w:val="002D70E6"/>
    <w:rsid w:val="002D7AB0"/>
    <w:rsid w:val="002E0607"/>
    <w:rsid w:val="002E06BD"/>
    <w:rsid w:val="002E403A"/>
    <w:rsid w:val="002E48CB"/>
    <w:rsid w:val="002E4F22"/>
    <w:rsid w:val="002E72EF"/>
    <w:rsid w:val="002E76E3"/>
    <w:rsid w:val="002F0400"/>
    <w:rsid w:val="002F14D1"/>
    <w:rsid w:val="002F1D5D"/>
    <w:rsid w:val="002F24A8"/>
    <w:rsid w:val="002F65CC"/>
    <w:rsid w:val="003008D3"/>
    <w:rsid w:val="003049A8"/>
    <w:rsid w:val="00305A60"/>
    <w:rsid w:val="00307016"/>
    <w:rsid w:val="00307386"/>
    <w:rsid w:val="00307661"/>
    <w:rsid w:val="00307684"/>
    <w:rsid w:val="00307DE0"/>
    <w:rsid w:val="003108DB"/>
    <w:rsid w:val="00311DE2"/>
    <w:rsid w:val="00312D76"/>
    <w:rsid w:val="00313524"/>
    <w:rsid w:val="00314B76"/>
    <w:rsid w:val="00314BBE"/>
    <w:rsid w:val="00315C25"/>
    <w:rsid w:val="00315DC9"/>
    <w:rsid w:val="003165B1"/>
    <w:rsid w:val="003166BB"/>
    <w:rsid w:val="0031707D"/>
    <w:rsid w:val="00317ACB"/>
    <w:rsid w:val="00321F7D"/>
    <w:rsid w:val="00324C2B"/>
    <w:rsid w:val="00324F30"/>
    <w:rsid w:val="00325162"/>
    <w:rsid w:val="003257EA"/>
    <w:rsid w:val="003258D5"/>
    <w:rsid w:val="003271FD"/>
    <w:rsid w:val="0032790C"/>
    <w:rsid w:val="00327D25"/>
    <w:rsid w:val="003302BB"/>
    <w:rsid w:val="00330A21"/>
    <w:rsid w:val="0033164E"/>
    <w:rsid w:val="003321C5"/>
    <w:rsid w:val="003338B2"/>
    <w:rsid w:val="0033481D"/>
    <w:rsid w:val="003358A5"/>
    <w:rsid w:val="00336167"/>
    <w:rsid w:val="0033655A"/>
    <w:rsid w:val="00336C8C"/>
    <w:rsid w:val="00336CD8"/>
    <w:rsid w:val="00337D30"/>
    <w:rsid w:val="0034035F"/>
    <w:rsid w:val="00341662"/>
    <w:rsid w:val="00342C2C"/>
    <w:rsid w:val="00344497"/>
    <w:rsid w:val="00345F61"/>
    <w:rsid w:val="00350A22"/>
    <w:rsid w:val="00351318"/>
    <w:rsid w:val="00351D4A"/>
    <w:rsid w:val="00355ED7"/>
    <w:rsid w:val="00355F20"/>
    <w:rsid w:val="003564C7"/>
    <w:rsid w:val="00356762"/>
    <w:rsid w:val="00356C84"/>
    <w:rsid w:val="00356ECE"/>
    <w:rsid w:val="003600FD"/>
    <w:rsid w:val="0036018B"/>
    <w:rsid w:val="003612D4"/>
    <w:rsid w:val="003616F3"/>
    <w:rsid w:val="00362963"/>
    <w:rsid w:val="00362E11"/>
    <w:rsid w:val="003647CD"/>
    <w:rsid w:val="00366A91"/>
    <w:rsid w:val="003706FA"/>
    <w:rsid w:val="00370BAE"/>
    <w:rsid w:val="00371DFB"/>
    <w:rsid w:val="00372127"/>
    <w:rsid w:val="003744D4"/>
    <w:rsid w:val="0037551A"/>
    <w:rsid w:val="00375613"/>
    <w:rsid w:val="00377588"/>
    <w:rsid w:val="00377D3C"/>
    <w:rsid w:val="0038078F"/>
    <w:rsid w:val="00380E12"/>
    <w:rsid w:val="00381C53"/>
    <w:rsid w:val="0038335A"/>
    <w:rsid w:val="003843A9"/>
    <w:rsid w:val="00384993"/>
    <w:rsid w:val="003855D4"/>
    <w:rsid w:val="00387349"/>
    <w:rsid w:val="00387635"/>
    <w:rsid w:val="00390BF0"/>
    <w:rsid w:val="00392DF7"/>
    <w:rsid w:val="0039364E"/>
    <w:rsid w:val="0039423B"/>
    <w:rsid w:val="00394F9E"/>
    <w:rsid w:val="003952E7"/>
    <w:rsid w:val="00395A08"/>
    <w:rsid w:val="0039626F"/>
    <w:rsid w:val="00396EE0"/>
    <w:rsid w:val="00397E0A"/>
    <w:rsid w:val="00397EBD"/>
    <w:rsid w:val="003A047F"/>
    <w:rsid w:val="003A540B"/>
    <w:rsid w:val="003A5B4D"/>
    <w:rsid w:val="003A5D37"/>
    <w:rsid w:val="003A68D5"/>
    <w:rsid w:val="003B0D0B"/>
    <w:rsid w:val="003B0EDA"/>
    <w:rsid w:val="003B217A"/>
    <w:rsid w:val="003B3950"/>
    <w:rsid w:val="003B5092"/>
    <w:rsid w:val="003B5437"/>
    <w:rsid w:val="003B6814"/>
    <w:rsid w:val="003B79E1"/>
    <w:rsid w:val="003C1C8C"/>
    <w:rsid w:val="003C3749"/>
    <w:rsid w:val="003C4106"/>
    <w:rsid w:val="003C57C8"/>
    <w:rsid w:val="003C580C"/>
    <w:rsid w:val="003C5D3B"/>
    <w:rsid w:val="003C7E81"/>
    <w:rsid w:val="003D080D"/>
    <w:rsid w:val="003D09B9"/>
    <w:rsid w:val="003D24D2"/>
    <w:rsid w:val="003D2A9B"/>
    <w:rsid w:val="003D41B4"/>
    <w:rsid w:val="003D5180"/>
    <w:rsid w:val="003D66B5"/>
    <w:rsid w:val="003D764B"/>
    <w:rsid w:val="003D7C22"/>
    <w:rsid w:val="003D7D33"/>
    <w:rsid w:val="003D7E72"/>
    <w:rsid w:val="003E0529"/>
    <w:rsid w:val="003E20F7"/>
    <w:rsid w:val="003E26B0"/>
    <w:rsid w:val="003E3B64"/>
    <w:rsid w:val="003E3D2D"/>
    <w:rsid w:val="003E440D"/>
    <w:rsid w:val="003E45F6"/>
    <w:rsid w:val="003E4960"/>
    <w:rsid w:val="003E6ADE"/>
    <w:rsid w:val="003E71CA"/>
    <w:rsid w:val="003E7B60"/>
    <w:rsid w:val="003F25A1"/>
    <w:rsid w:val="003F25D1"/>
    <w:rsid w:val="003F2B14"/>
    <w:rsid w:val="003F2C16"/>
    <w:rsid w:val="003F3039"/>
    <w:rsid w:val="003F31A2"/>
    <w:rsid w:val="003F3633"/>
    <w:rsid w:val="003F3AFC"/>
    <w:rsid w:val="003F4C11"/>
    <w:rsid w:val="003F510C"/>
    <w:rsid w:val="003F5910"/>
    <w:rsid w:val="003F5C32"/>
    <w:rsid w:val="003F5EA4"/>
    <w:rsid w:val="003F6912"/>
    <w:rsid w:val="003F6D80"/>
    <w:rsid w:val="003F6FB2"/>
    <w:rsid w:val="003F7111"/>
    <w:rsid w:val="003F722B"/>
    <w:rsid w:val="003F7E7D"/>
    <w:rsid w:val="0040240C"/>
    <w:rsid w:val="004025EE"/>
    <w:rsid w:val="00404EC6"/>
    <w:rsid w:val="004052DF"/>
    <w:rsid w:val="00405AC8"/>
    <w:rsid w:val="00406EB3"/>
    <w:rsid w:val="004127C3"/>
    <w:rsid w:val="004139CB"/>
    <w:rsid w:val="004141C8"/>
    <w:rsid w:val="0041464E"/>
    <w:rsid w:val="0041794E"/>
    <w:rsid w:val="004210F8"/>
    <w:rsid w:val="00422903"/>
    <w:rsid w:val="004229D9"/>
    <w:rsid w:val="004229DA"/>
    <w:rsid w:val="00424192"/>
    <w:rsid w:val="00424A73"/>
    <w:rsid w:val="004252FA"/>
    <w:rsid w:val="0042577B"/>
    <w:rsid w:val="004261A3"/>
    <w:rsid w:val="00426511"/>
    <w:rsid w:val="0042657F"/>
    <w:rsid w:val="00427380"/>
    <w:rsid w:val="00427DF3"/>
    <w:rsid w:val="004300F9"/>
    <w:rsid w:val="00430C92"/>
    <w:rsid w:val="0043131C"/>
    <w:rsid w:val="004315E1"/>
    <w:rsid w:val="0043163C"/>
    <w:rsid w:val="00431708"/>
    <w:rsid w:val="004317BC"/>
    <w:rsid w:val="0043232E"/>
    <w:rsid w:val="00432611"/>
    <w:rsid w:val="00432F65"/>
    <w:rsid w:val="00433864"/>
    <w:rsid w:val="00433F97"/>
    <w:rsid w:val="00434F0F"/>
    <w:rsid w:val="00434F12"/>
    <w:rsid w:val="00437104"/>
    <w:rsid w:val="004373D5"/>
    <w:rsid w:val="004379C3"/>
    <w:rsid w:val="004405C9"/>
    <w:rsid w:val="00440928"/>
    <w:rsid w:val="00441AE6"/>
    <w:rsid w:val="004443E0"/>
    <w:rsid w:val="00444600"/>
    <w:rsid w:val="004456D7"/>
    <w:rsid w:val="00446A0A"/>
    <w:rsid w:val="00450936"/>
    <w:rsid w:val="00450EC3"/>
    <w:rsid w:val="004512C7"/>
    <w:rsid w:val="004523B1"/>
    <w:rsid w:val="00452E68"/>
    <w:rsid w:val="004535D3"/>
    <w:rsid w:val="00453D1F"/>
    <w:rsid w:val="0045467E"/>
    <w:rsid w:val="00455ADC"/>
    <w:rsid w:val="00457304"/>
    <w:rsid w:val="00460939"/>
    <w:rsid w:val="00462790"/>
    <w:rsid w:val="00463D92"/>
    <w:rsid w:val="00465505"/>
    <w:rsid w:val="00465FEA"/>
    <w:rsid w:val="00466621"/>
    <w:rsid w:val="0046733A"/>
    <w:rsid w:val="00467A50"/>
    <w:rsid w:val="00470547"/>
    <w:rsid w:val="004705FD"/>
    <w:rsid w:val="00470C7D"/>
    <w:rsid w:val="00471780"/>
    <w:rsid w:val="00471A3D"/>
    <w:rsid w:val="00473558"/>
    <w:rsid w:val="004735FB"/>
    <w:rsid w:val="00473B4E"/>
    <w:rsid w:val="00475320"/>
    <w:rsid w:val="00475888"/>
    <w:rsid w:val="0047596D"/>
    <w:rsid w:val="00475AE1"/>
    <w:rsid w:val="00475D21"/>
    <w:rsid w:val="00475D5A"/>
    <w:rsid w:val="00475EBF"/>
    <w:rsid w:val="00475ECD"/>
    <w:rsid w:val="004764C1"/>
    <w:rsid w:val="00476A73"/>
    <w:rsid w:val="00476B67"/>
    <w:rsid w:val="00480597"/>
    <w:rsid w:val="00485273"/>
    <w:rsid w:val="00486054"/>
    <w:rsid w:val="00486865"/>
    <w:rsid w:val="004921F9"/>
    <w:rsid w:val="00492466"/>
    <w:rsid w:val="00494322"/>
    <w:rsid w:val="00495554"/>
    <w:rsid w:val="004A2CF3"/>
    <w:rsid w:val="004A30C1"/>
    <w:rsid w:val="004A33FD"/>
    <w:rsid w:val="004A34FC"/>
    <w:rsid w:val="004A3FAD"/>
    <w:rsid w:val="004A4115"/>
    <w:rsid w:val="004A4415"/>
    <w:rsid w:val="004A5358"/>
    <w:rsid w:val="004B0C76"/>
    <w:rsid w:val="004B1010"/>
    <w:rsid w:val="004B1CC2"/>
    <w:rsid w:val="004B2970"/>
    <w:rsid w:val="004B2AA4"/>
    <w:rsid w:val="004B394C"/>
    <w:rsid w:val="004B4113"/>
    <w:rsid w:val="004B55B2"/>
    <w:rsid w:val="004B7740"/>
    <w:rsid w:val="004B7B93"/>
    <w:rsid w:val="004C179C"/>
    <w:rsid w:val="004C247C"/>
    <w:rsid w:val="004C2A91"/>
    <w:rsid w:val="004C3FB5"/>
    <w:rsid w:val="004C4C18"/>
    <w:rsid w:val="004C4EB1"/>
    <w:rsid w:val="004C5685"/>
    <w:rsid w:val="004C6D3B"/>
    <w:rsid w:val="004C7723"/>
    <w:rsid w:val="004C7F0D"/>
    <w:rsid w:val="004D06CB"/>
    <w:rsid w:val="004D184D"/>
    <w:rsid w:val="004D3068"/>
    <w:rsid w:val="004D3A0F"/>
    <w:rsid w:val="004D5904"/>
    <w:rsid w:val="004D635D"/>
    <w:rsid w:val="004D745D"/>
    <w:rsid w:val="004E0060"/>
    <w:rsid w:val="004E32AE"/>
    <w:rsid w:val="004E3BC6"/>
    <w:rsid w:val="004E41F6"/>
    <w:rsid w:val="004E4C9B"/>
    <w:rsid w:val="004F2692"/>
    <w:rsid w:val="004F2886"/>
    <w:rsid w:val="004F3317"/>
    <w:rsid w:val="004F4566"/>
    <w:rsid w:val="004F5053"/>
    <w:rsid w:val="004F5DD8"/>
    <w:rsid w:val="004F68E9"/>
    <w:rsid w:val="00501068"/>
    <w:rsid w:val="005011DC"/>
    <w:rsid w:val="00501E41"/>
    <w:rsid w:val="00502677"/>
    <w:rsid w:val="00503522"/>
    <w:rsid w:val="005043D3"/>
    <w:rsid w:val="00504410"/>
    <w:rsid w:val="00504D6C"/>
    <w:rsid w:val="005050E2"/>
    <w:rsid w:val="005065F2"/>
    <w:rsid w:val="00506B95"/>
    <w:rsid w:val="0050737A"/>
    <w:rsid w:val="00507792"/>
    <w:rsid w:val="00510C3C"/>
    <w:rsid w:val="00511F00"/>
    <w:rsid w:val="0051471C"/>
    <w:rsid w:val="00515D5F"/>
    <w:rsid w:val="00516AD1"/>
    <w:rsid w:val="00517C1F"/>
    <w:rsid w:val="00520011"/>
    <w:rsid w:val="00521142"/>
    <w:rsid w:val="00524274"/>
    <w:rsid w:val="00524DC7"/>
    <w:rsid w:val="0052627D"/>
    <w:rsid w:val="00526D5A"/>
    <w:rsid w:val="005306E1"/>
    <w:rsid w:val="005307CE"/>
    <w:rsid w:val="0053300F"/>
    <w:rsid w:val="00533040"/>
    <w:rsid w:val="0053329C"/>
    <w:rsid w:val="00533725"/>
    <w:rsid w:val="00533E40"/>
    <w:rsid w:val="00535A79"/>
    <w:rsid w:val="00536F59"/>
    <w:rsid w:val="00537F4F"/>
    <w:rsid w:val="00542313"/>
    <w:rsid w:val="00542C02"/>
    <w:rsid w:val="00543B98"/>
    <w:rsid w:val="00544A96"/>
    <w:rsid w:val="00546E69"/>
    <w:rsid w:val="005479B7"/>
    <w:rsid w:val="00551DBD"/>
    <w:rsid w:val="005526D0"/>
    <w:rsid w:val="005528D3"/>
    <w:rsid w:val="005536CA"/>
    <w:rsid w:val="00553A29"/>
    <w:rsid w:val="005543F9"/>
    <w:rsid w:val="005551E4"/>
    <w:rsid w:val="0055637F"/>
    <w:rsid w:val="00560DFB"/>
    <w:rsid w:val="0056206B"/>
    <w:rsid w:val="00562311"/>
    <w:rsid w:val="005625BB"/>
    <w:rsid w:val="00563141"/>
    <w:rsid w:val="00563AB3"/>
    <w:rsid w:val="00563F3E"/>
    <w:rsid w:val="00564816"/>
    <w:rsid w:val="00564CED"/>
    <w:rsid w:val="005657E9"/>
    <w:rsid w:val="00565D01"/>
    <w:rsid w:val="0056608E"/>
    <w:rsid w:val="00567014"/>
    <w:rsid w:val="005674DC"/>
    <w:rsid w:val="005678FC"/>
    <w:rsid w:val="00571158"/>
    <w:rsid w:val="005713D0"/>
    <w:rsid w:val="00571DA1"/>
    <w:rsid w:val="0057402F"/>
    <w:rsid w:val="00574F13"/>
    <w:rsid w:val="005750FD"/>
    <w:rsid w:val="00575983"/>
    <w:rsid w:val="00576A5E"/>
    <w:rsid w:val="00576FEB"/>
    <w:rsid w:val="0057702B"/>
    <w:rsid w:val="00577658"/>
    <w:rsid w:val="00580EB7"/>
    <w:rsid w:val="00581DB9"/>
    <w:rsid w:val="00582569"/>
    <w:rsid w:val="0058273E"/>
    <w:rsid w:val="005827DA"/>
    <w:rsid w:val="00582A5A"/>
    <w:rsid w:val="00582F2C"/>
    <w:rsid w:val="0058433F"/>
    <w:rsid w:val="005843BD"/>
    <w:rsid w:val="00585FFB"/>
    <w:rsid w:val="0058654C"/>
    <w:rsid w:val="0058770D"/>
    <w:rsid w:val="00587B75"/>
    <w:rsid w:val="00591EBA"/>
    <w:rsid w:val="00596AF2"/>
    <w:rsid w:val="005A003B"/>
    <w:rsid w:val="005A074F"/>
    <w:rsid w:val="005A113B"/>
    <w:rsid w:val="005A2873"/>
    <w:rsid w:val="005A37CC"/>
    <w:rsid w:val="005A59A2"/>
    <w:rsid w:val="005A631A"/>
    <w:rsid w:val="005A6C11"/>
    <w:rsid w:val="005A73AD"/>
    <w:rsid w:val="005B0ABB"/>
    <w:rsid w:val="005B120C"/>
    <w:rsid w:val="005B12A5"/>
    <w:rsid w:val="005B2225"/>
    <w:rsid w:val="005B3113"/>
    <w:rsid w:val="005B3137"/>
    <w:rsid w:val="005B34F7"/>
    <w:rsid w:val="005B35EB"/>
    <w:rsid w:val="005B3834"/>
    <w:rsid w:val="005B4D2C"/>
    <w:rsid w:val="005B6EFB"/>
    <w:rsid w:val="005B759E"/>
    <w:rsid w:val="005C08D3"/>
    <w:rsid w:val="005C20E6"/>
    <w:rsid w:val="005C212D"/>
    <w:rsid w:val="005C3222"/>
    <w:rsid w:val="005C5113"/>
    <w:rsid w:val="005C6483"/>
    <w:rsid w:val="005C7DB2"/>
    <w:rsid w:val="005D0338"/>
    <w:rsid w:val="005D150B"/>
    <w:rsid w:val="005D183A"/>
    <w:rsid w:val="005D1931"/>
    <w:rsid w:val="005D289B"/>
    <w:rsid w:val="005D34AA"/>
    <w:rsid w:val="005D3C78"/>
    <w:rsid w:val="005D4607"/>
    <w:rsid w:val="005D5658"/>
    <w:rsid w:val="005D5B44"/>
    <w:rsid w:val="005D6767"/>
    <w:rsid w:val="005D6D40"/>
    <w:rsid w:val="005E0E52"/>
    <w:rsid w:val="005E12C1"/>
    <w:rsid w:val="005E24E8"/>
    <w:rsid w:val="005E31C1"/>
    <w:rsid w:val="005E3571"/>
    <w:rsid w:val="005E3880"/>
    <w:rsid w:val="005E4741"/>
    <w:rsid w:val="005E4810"/>
    <w:rsid w:val="005E4BBF"/>
    <w:rsid w:val="005E7651"/>
    <w:rsid w:val="005E7B2F"/>
    <w:rsid w:val="005F071B"/>
    <w:rsid w:val="005F1A7A"/>
    <w:rsid w:val="005F276B"/>
    <w:rsid w:val="005F2FEA"/>
    <w:rsid w:val="005F4E32"/>
    <w:rsid w:val="005F4E3F"/>
    <w:rsid w:val="005F5AD8"/>
    <w:rsid w:val="005F7F29"/>
    <w:rsid w:val="00600B4F"/>
    <w:rsid w:val="006010AA"/>
    <w:rsid w:val="00601BE5"/>
    <w:rsid w:val="00602BAB"/>
    <w:rsid w:val="006035C5"/>
    <w:rsid w:val="006039CD"/>
    <w:rsid w:val="00604CEC"/>
    <w:rsid w:val="00605BCC"/>
    <w:rsid w:val="0060660C"/>
    <w:rsid w:val="0060747D"/>
    <w:rsid w:val="00607585"/>
    <w:rsid w:val="00607800"/>
    <w:rsid w:val="00607B5A"/>
    <w:rsid w:val="0061270E"/>
    <w:rsid w:val="00613A45"/>
    <w:rsid w:val="006179E4"/>
    <w:rsid w:val="00617D69"/>
    <w:rsid w:val="006219B8"/>
    <w:rsid w:val="00622871"/>
    <w:rsid w:val="00622AA1"/>
    <w:rsid w:val="00622C97"/>
    <w:rsid w:val="006232C0"/>
    <w:rsid w:val="006248F0"/>
    <w:rsid w:val="00625CB1"/>
    <w:rsid w:val="00630728"/>
    <w:rsid w:val="00630D73"/>
    <w:rsid w:val="0063108A"/>
    <w:rsid w:val="00631ADF"/>
    <w:rsid w:val="00632BE5"/>
    <w:rsid w:val="00632F29"/>
    <w:rsid w:val="006332DB"/>
    <w:rsid w:val="00633475"/>
    <w:rsid w:val="00633A95"/>
    <w:rsid w:val="00634BE2"/>
    <w:rsid w:val="00634D1A"/>
    <w:rsid w:val="006358BA"/>
    <w:rsid w:val="006358E7"/>
    <w:rsid w:val="0063595F"/>
    <w:rsid w:val="00636999"/>
    <w:rsid w:val="00637D71"/>
    <w:rsid w:val="006400A7"/>
    <w:rsid w:val="006419A6"/>
    <w:rsid w:val="00641E89"/>
    <w:rsid w:val="00641F05"/>
    <w:rsid w:val="0064300E"/>
    <w:rsid w:val="006431C0"/>
    <w:rsid w:val="00644507"/>
    <w:rsid w:val="006445EA"/>
    <w:rsid w:val="00644B51"/>
    <w:rsid w:val="00646839"/>
    <w:rsid w:val="00647454"/>
    <w:rsid w:val="006503F9"/>
    <w:rsid w:val="0065121E"/>
    <w:rsid w:val="00651DC2"/>
    <w:rsid w:val="00651E59"/>
    <w:rsid w:val="00651F93"/>
    <w:rsid w:val="00653988"/>
    <w:rsid w:val="00654745"/>
    <w:rsid w:val="00656376"/>
    <w:rsid w:val="006563DC"/>
    <w:rsid w:val="00656A73"/>
    <w:rsid w:val="00656D35"/>
    <w:rsid w:val="00657563"/>
    <w:rsid w:val="0066146C"/>
    <w:rsid w:val="0066203A"/>
    <w:rsid w:val="00667137"/>
    <w:rsid w:val="00667679"/>
    <w:rsid w:val="00667BE9"/>
    <w:rsid w:val="00672E1D"/>
    <w:rsid w:val="00675471"/>
    <w:rsid w:val="0067694C"/>
    <w:rsid w:val="006778A4"/>
    <w:rsid w:val="0068422E"/>
    <w:rsid w:val="00684416"/>
    <w:rsid w:val="0068620E"/>
    <w:rsid w:val="0068772F"/>
    <w:rsid w:val="0068781A"/>
    <w:rsid w:val="00687E72"/>
    <w:rsid w:val="006907E8"/>
    <w:rsid w:val="0069253E"/>
    <w:rsid w:val="00693FF5"/>
    <w:rsid w:val="006958A8"/>
    <w:rsid w:val="00696D56"/>
    <w:rsid w:val="006973FA"/>
    <w:rsid w:val="006975C7"/>
    <w:rsid w:val="00697CD2"/>
    <w:rsid w:val="006A0B6A"/>
    <w:rsid w:val="006A1979"/>
    <w:rsid w:val="006A28B2"/>
    <w:rsid w:val="006A32E5"/>
    <w:rsid w:val="006A3F20"/>
    <w:rsid w:val="006A4063"/>
    <w:rsid w:val="006A456C"/>
    <w:rsid w:val="006A45C0"/>
    <w:rsid w:val="006A58DF"/>
    <w:rsid w:val="006A6243"/>
    <w:rsid w:val="006A6F07"/>
    <w:rsid w:val="006A7CD8"/>
    <w:rsid w:val="006B082B"/>
    <w:rsid w:val="006B1269"/>
    <w:rsid w:val="006B1D3E"/>
    <w:rsid w:val="006B2E0D"/>
    <w:rsid w:val="006B35B3"/>
    <w:rsid w:val="006B4583"/>
    <w:rsid w:val="006B5C4F"/>
    <w:rsid w:val="006C08BB"/>
    <w:rsid w:val="006C0DAE"/>
    <w:rsid w:val="006C1440"/>
    <w:rsid w:val="006C168B"/>
    <w:rsid w:val="006C32AD"/>
    <w:rsid w:val="006C3301"/>
    <w:rsid w:val="006C3468"/>
    <w:rsid w:val="006C3494"/>
    <w:rsid w:val="006C4149"/>
    <w:rsid w:val="006C4646"/>
    <w:rsid w:val="006C49F5"/>
    <w:rsid w:val="006C4FFE"/>
    <w:rsid w:val="006C52DC"/>
    <w:rsid w:val="006C5E31"/>
    <w:rsid w:val="006C6F2E"/>
    <w:rsid w:val="006C7B67"/>
    <w:rsid w:val="006C7CE4"/>
    <w:rsid w:val="006D0DED"/>
    <w:rsid w:val="006D16D4"/>
    <w:rsid w:val="006D17DE"/>
    <w:rsid w:val="006D1AFE"/>
    <w:rsid w:val="006D1B48"/>
    <w:rsid w:val="006D35DB"/>
    <w:rsid w:val="006D4869"/>
    <w:rsid w:val="006D48D8"/>
    <w:rsid w:val="006D5FBF"/>
    <w:rsid w:val="006D6CD4"/>
    <w:rsid w:val="006D7E03"/>
    <w:rsid w:val="006E3031"/>
    <w:rsid w:val="006E3722"/>
    <w:rsid w:val="006E470D"/>
    <w:rsid w:val="006E4D52"/>
    <w:rsid w:val="006E4F8A"/>
    <w:rsid w:val="006E5DAC"/>
    <w:rsid w:val="006E61B2"/>
    <w:rsid w:val="006E6EE7"/>
    <w:rsid w:val="006F4425"/>
    <w:rsid w:val="006F5810"/>
    <w:rsid w:val="006F5AC4"/>
    <w:rsid w:val="006F7DF0"/>
    <w:rsid w:val="007001AA"/>
    <w:rsid w:val="00703376"/>
    <w:rsid w:val="007045E3"/>
    <w:rsid w:val="00705CDC"/>
    <w:rsid w:val="007068EE"/>
    <w:rsid w:val="007071A4"/>
    <w:rsid w:val="007110C4"/>
    <w:rsid w:val="00712AAD"/>
    <w:rsid w:val="00712C86"/>
    <w:rsid w:val="00712EFC"/>
    <w:rsid w:val="007138F1"/>
    <w:rsid w:val="00717059"/>
    <w:rsid w:val="00717505"/>
    <w:rsid w:val="0071769A"/>
    <w:rsid w:val="00717C0B"/>
    <w:rsid w:val="00717CFA"/>
    <w:rsid w:val="007207E7"/>
    <w:rsid w:val="00720E17"/>
    <w:rsid w:val="0072104B"/>
    <w:rsid w:val="0072167B"/>
    <w:rsid w:val="00721694"/>
    <w:rsid w:val="00722F26"/>
    <w:rsid w:val="00723090"/>
    <w:rsid w:val="007238D5"/>
    <w:rsid w:val="00724531"/>
    <w:rsid w:val="00725180"/>
    <w:rsid w:val="00725FEE"/>
    <w:rsid w:val="00731273"/>
    <w:rsid w:val="00732678"/>
    <w:rsid w:val="00732A81"/>
    <w:rsid w:val="00733586"/>
    <w:rsid w:val="007338D5"/>
    <w:rsid w:val="007343A9"/>
    <w:rsid w:val="0073695C"/>
    <w:rsid w:val="007375C1"/>
    <w:rsid w:val="00740A6A"/>
    <w:rsid w:val="00740F37"/>
    <w:rsid w:val="0074264D"/>
    <w:rsid w:val="00742CDA"/>
    <w:rsid w:val="00743A99"/>
    <w:rsid w:val="00743F7C"/>
    <w:rsid w:val="00744556"/>
    <w:rsid w:val="00746E34"/>
    <w:rsid w:val="00746F0A"/>
    <w:rsid w:val="00747F0B"/>
    <w:rsid w:val="007505FF"/>
    <w:rsid w:val="0075308A"/>
    <w:rsid w:val="00755B4E"/>
    <w:rsid w:val="00755F88"/>
    <w:rsid w:val="00756690"/>
    <w:rsid w:val="00756C2C"/>
    <w:rsid w:val="00757236"/>
    <w:rsid w:val="00757753"/>
    <w:rsid w:val="00757BC0"/>
    <w:rsid w:val="00760936"/>
    <w:rsid w:val="007617F4"/>
    <w:rsid w:val="00762D30"/>
    <w:rsid w:val="00764037"/>
    <w:rsid w:val="0076495E"/>
    <w:rsid w:val="0076617B"/>
    <w:rsid w:val="007717FD"/>
    <w:rsid w:val="007719E8"/>
    <w:rsid w:val="0077443B"/>
    <w:rsid w:val="00774981"/>
    <w:rsid w:val="007750A1"/>
    <w:rsid w:val="0077556A"/>
    <w:rsid w:val="00775734"/>
    <w:rsid w:val="00775DE4"/>
    <w:rsid w:val="00776161"/>
    <w:rsid w:val="0077659B"/>
    <w:rsid w:val="00777810"/>
    <w:rsid w:val="007802AA"/>
    <w:rsid w:val="00780727"/>
    <w:rsid w:val="00782549"/>
    <w:rsid w:val="00782560"/>
    <w:rsid w:val="0078388D"/>
    <w:rsid w:val="00783AC2"/>
    <w:rsid w:val="007849AF"/>
    <w:rsid w:val="00784A43"/>
    <w:rsid w:val="007855D0"/>
    <w:rsid w:val="007858E8"/>
    <w:rsid w:val="007911F1"/>
    <w:rsid w:val="0079182F"/>
    <w:rsid w:val="00791E9A"/>
    <w:rsid w:val="007931F6"/>
    <w:rsid w:val="00793236"/>
    <w:rsid w:val="00793884"/>
    <w:rsid w:val="00793C46"/>
    <w:rsid w:val="00793F5A"/>
    <w:rsid w:val="00794CEB"/>
    <w:rsid w:val="0079575E"/>
    <w:rsid w:val="00796600"/>
    <w:rsid w:val="00796A9F"/>
    <w:rsid w:val="0079754F"/>
    <w:rsid w:val="00797FD9"/>
    <w:rsid w:val="007A1B3E"/>
    <w:rsid w:val="007A2994"/>
    <w:rsid w:val="007A45CB"/>
    <w:rsid w:val="007A4B17"/>
    <w:rsid w:val="007A594A"/>
    <w:rsid w:val="007A5D4C"/>
    <w:rsid w:val="007A62FF"/>
    <w:rsid w:val="007A6439"/>
    <w:rsid w:val="007A71F3"/>
    <w:rsid w:val="007B0A8B"/>
    <w:rsid w:val="007B0F48"/>
    <w:rsid w:val="007B14C2"/>
    <w:rsid w:val="007B1990"/>
    <w:rsid w:val="007B2DE1"/>
    <w:rsid w:val="007B329E"/>
    <w:rsid w:val="007B37DD"/>
    <w:rsid w:val="007B5E1B"/>
    <w:rsid w:val="007B67B5"/>
    <w:rsid w:val="007B6AF6"/>
    <w:rsid w:val="007B7934"/>
    <w:rsid w:val="007B7C88"/>
    <w:rsid w:val="007C01B1"/>
    <w:rsid w:val="007C0410"/>
    <w:rsid w:val="007C1F65"/>
    <w:rsid w:val="007C2A1C"/>
    <w:rsid w:val="007C495A"/>
    <w:rsid w:val="007C57D9"/>
    <w:rsid w:val="007C60C3"/>
    <w:rsid w:val="007C6AB7"/>
    <w:rsid w:val="007C7025"/>
    <w:rsid w:val="007C7207"/>
    <w:rsid w:val="007D0CCD"/>
    <w:rsid w:val="007D2593"/>
    <w:rsid w:val="007D271D"/>
    <w:rsid w:val="007D3604"/>
    <w:rsid w:val="007D37B9"/>
    <w:rsid w:val="007D3F82"/>
    <w:rsid w:val="007D4D17"/>
    <w:rsid w:val="007D4F3A"/>
    <w:rsid w:val="007D5611"/>
    <w:rsid w:val="007D56F3"/>
    <w:rsid w:val="007D5B0B"/>
    <w:rsid w:val="007D5F4A"/>
    <w:rsid w:val="007D6519"/>
    <w:rsid w:val="007D6696"/>
    <w:rsid w:val="007D6AA2"/>
    <w:rsid w:val="007E181F"/>
    <w:rsid w:val="007E20D1"/>
    <w:rsid w:val="007E2BE9"/>
    <w:rsid w:val="007E3153"/>
    <w:rsid w:val="007E352B"/>
    <w:rsid w:val="007E4163"/>
    <w:rsid w:val="007E5459"/>
    <w:rsid w:val="007E5616"/>
    <w:rsid w:val="007E5C22"/>
    <w:rsid w:val="007E5DB0"/>
    <w:rsid w:val="007E60B2"/>
    <w:rsid w:val="007E6D09"/>
    <w:rsid w:val="007F0B97"/>
    <w:rsid w:val="007F0BF1"/>
    <w:rsid w:val="007F3364"/>
    <w:rsid w:val="007F418C"/>
    <w:rsid w:val="007F4B70"/>
    <w:rsid w:val="007F57B6"/>
    <w:rsid w:val="007F66B9"/>
    <w:rsid w:val="007F7401"/>
    <w:rsid w:val="007F790F"/>
    <w:rsid w:val="00800D11"/>
    <w:rsid w:val="00802545"/>
    <w:rsid w:val="008028BA"/>
    <w:rsid w:val="00804922"/>
    <w:rsid w:val="00804D02"/>
    <w:rsid w:val="0080526C"/>
    <w:rsid w:val="0080602A"/>
    <w:rsid w:val="008108C5"/>
    <w:rsid w:val="00811EC5"/>
    <w:rsid w:val="008126B7"/>
    <w:rsid w:val="008130C6"/>
    <w:rsid w:val="008145CE"/>
    <w:rsid w:val="00815BD5"/>
    <w:rsid w:val="00816DEF"/>
    <w:rsid w:val="00817CA2"/>
    <w:rsid w:val="00820C88"/>
    <w:rsid w:val="00823693"/>
    <w:rsid w:val="00825827"/>
    <w:rsid w:val="008258E8"/>
    <w:rsid w:val="00825B54"/>
    <w:rsid w:val="008268DA"/>
    <w:rsid w:val="00826E05"/>
    <w:rsid w:val="008270A5"/>
    <w:rsid w:val="008274F1"/>
    <w:rsid w:val="00827B59"/>
    <w:rsid w:val="008304A3"/>
    <w:rsid w:val="00830A28"/>
    <w:rsid w:val="008315DA"/>
    <w:rsid w:val="00832596"/>
    <w:rsid w:val="00833240"/>
    <w:rsid w:val="008341AC"/>
    <w:rsid w:val="00834855"/>
    <w:rsid w:val="0083595A"/>
    <w:rsid w:val="008364A3"/>
    <w:rsid w:val="00836A5A"/>
    <w:rsid w:val="00836BC6"/>
    <w:rsid w:val="00836FC5"/>
    <w:rsid w:val="008372E7"/>
    <w:rsid w:val="008407AA"/>
    <w:rsid w:val="00840A00"/>
    <w:rsid w:val="00840C35"/>
    <w:rsid w:val="00841F14"/>
    <w:rsid w:val="008427DF"/>
    <w:rsid w:val="008429BF"/>
    <w:rsid w:val="00842E5F"/>
    <w:rsid w:val="00843303"/>
    <w:rsid w:val="00845E79"/>
    <w:rsid w:val="00847337"/>
    <w:rsid w:val="00851695"/>
    <w:rsid w:val="008516E0"/>
    <w:rsid w:val="00852E50"/>
    <w:rsid w:val="00853611"/>
    <w:rsid w:val="0085383C"/>
    <w:rsid w:val="00853E06"/>
    <w:rsid w:val="00854415"/>
    <w:rsid w:val="00854619"/>
    <w:rsid w:val="00854627"/>
    <w:rsid w:val="00854739"/>
    <w:rsid w:val="00856040"/>
    <w:rsid w:val="00857320"/>
    <w:rsid w:val="00857453"/>
    <w:rsid w:val="008622CD"/>
    <w:rsid w:val="00862515"/>
    <w:rsid w:val="008638CA"/>
    <w:rsid w:val="0086407E"/>
    <w:rsid w:val="00864298"/>
    <w:rsid w:val="00865099"/>
    <w:rsid w:val="008651ED"/>
    <w:rsid w:val="008653A7"/>
    <w:rsid w:val="008656B1"/>
    <w:rsid w:val="008656F8"/>
    <w:rsid w:val="00866476"/>
    <w:rsid w:val="008677D8"/>
    <w:rsid w:val="0087091C"/>
    <w:rsid w:val="00871833"/>
    <w:rsid w:val="00871C3E"/>
    <w:rsid w:val="00872826"/>
    <w:rsid w:val="0087285F"/>
    <w:rsid w:val="008731F3"/>
    <w:rsid w:val="0087383F"/>
    <w:rsid w:val="0087432E"/>
    <w:rsid w:val="0087455E"/>
    <w:rsid w:val="0087483D"/>
    <w:rsid w:val="00875928"/>
    <w:rsid w:val="00876453"/>
    <w:rsid w:val="008769AA"/>
    <w:rsid w:val="00880829"/>
    <w:rsid w:val="008814C8"/>
    <w:rsid w:val="008818B8"/>
    <w:rsid w:val="00881F76"/>
    <w:rsid w:val="00882544"/>
    <w:rsid w:val="00883095"/>
    <w:rsid w:val="008832B6"/>
    <w:rsid w:val="008855D3"/>
    <w:rsid w:val="00885DA0"/>
    <w:rsid w:val="008863C7"/>
    <w:rsid w:val="00886A75"/>
    <w:rsid w:val="00887EB3"/>
    <w:rsid w:val="00890DE3"/>
    <w:rsid w:val="0089105D"/>
    <w:rsid w:val="0089115A"/>
    <w:rsid w:val="0089187B"/>
    <w:rsid w:val="00891DC3"/>
    <w:rsid w:val="00892247"/>
    <w:rsid w:val="008926D8"/>
    <w:rsid w:val="00892F3D"/>
    <w:rsid w:val="00893466"/>
    <w:rsid w:val="00893B40"/>
    <w:rsid w:val="008952E9"/>
    <w:rsid w:val="008957BC"/>
    <w:rsid w:val="00897C5A"/>
    <w:rsid w:val="00897CD6"/>
    <w:rsid w:val="008A1005"/>
    <w:rsid w:val="008A1751"/>
    <w:rsid w:val="008A1A13"/>
    <w:rsid w:val="008A1F2D"/>
    <w:rsid w:val="008A3441"/>
    <w:rsid w:val="008A34B7"/>
    <w:rsid w:val="008A36D6"/>
    <w:rsid w:val="008A49BF"/>
    <w:rsid w:val="008A50A7"/>
    <w:rsid w:val="008A7579"/>
    <w:rsid w:val="008A772B"/>
    <w:rsid w:val="008B0155"/>
    <w:rsid w:val="008B0595"/>
    <w:rsid w:val="008B14CD"/>
    <w:rsid w:val="008B20A3"/>
    <w:rsid w:val="008B574D"/>
    <w:rsid w:val="008B6701"/>
    <w:rsid w:val="008B70A5"/>
    <w:rsid w:val="008C0C88"/>
    <w:rsid w:val="008C3E68"/>
    <w:rsid w:val="008C5186"/>
    <w:rsid w:val="008D00BB"/>
    <w:rsid w:val="008D1F48"/>
    <w:rsid w:val="008D1FB0"/>
    <w:rsid w:val="008D20C7"/>
    <w:rsid w:val="008D2651"/>
    <w:rsid w:val="008D369D"/>
    <w:rsid w:val="008D37EC"/>
    <w:rsid w:val="008D48C1"/>
    <w:rsid w:val="008D5257"/>
    <w:rsid w:val="008D53BF"/>
    <w:rsid w:val="008D611A"/>
    <w:rsid w:val="008D6136"/>
    <w:rsid w:val="008D66D7"/>
    <w:rsid w:val="008D6EC3"/>
    <w:rsid w:val="008E1830"/>
    <w:rsid w:val="008E1963"/>
    <w:rsid w:val="008E289E"/>
    <w:rsid w:val="008E3C0F"/>
    <w:rsid w:val="008E3ECC"/>
    <w:rsid w:val="008E45C7"/>
    <w:rsid w:val="008E50B3"/>
    <w:rsid w:val="008E5837"/>
    <w:rsid w:val="008E5DDD"/>
    <w:rsid w:val="008E6865"/>
    <w:rsid w:val="008F0228"/>
    <w:rsid w:val="008F0BDB"/>
    <w:rsid w:val="008F0E7C"/>
    <w:rsid w:val="008F179F"/>
    <w:rsid w:val="008F1C29"/>
    <w:rsid w:val="008F47CB"/>
    <w:rsid w:val="008F55DD"/>
    <w:rsid w:val="008F5761"/>
    <w:rsid w:val="008F66AB"/>
    <w:rsid w:val="008F6C98"/>
    <w:rsid w:val="0090099F"/>
    <w:rsid w:val="00901834"/>
    <w:rsid w:val="0090228B"/>
    <w:rsid w:val="00902952"/>
    <w:rsid w:val="00902E06"/>
    <w:rsid w:val="00902F69"/>
    <w:rsid w:val="009048F4"/>
    <w:rsid w:val="00904D91"/>
    <w:rsid w:val="009054F9"/>
    <w:rsid w:val="00907323"/>
    <w:rsid w:val="00907575"/>
    <w:rsid w:val="0091054D"/>
    <w:rsid w:val="00911DBE"/>
    <w:rsid w:val="00912E45"/>
    <w:rsid w:val="00913111"/>
    <w:rsid w:val="00913379"/>
    <w:rsid w:val="0091351F"/>
    <w:rsid w:val="009138FF"/>
    <w:rsid w:val="0091409B"/>
    <w:rsid w:val="0091433A"/>
    <w:rsid w:val="0091434F"/>
    <w:rsid w:val="009143BF"/>
    <w:rsid w:val="009155A6"/>
    <w:rsid w:val="00916159"/>
    <w:rsid w:val="00916420"/>
    <w:rsid w:val="00920041"/>
    <w:rsid w:val="0092184F"/>
    <w:rsid w:val="00922655"/>
    <w:rsid w:val="00922E51"/>
    <w:rsid w:val="009241CD"/>
    <w:rsid w:val="00924626"/>
    <w:rsid w:val="00926A54"/>
    <w:rsid w:val="00926E1E"/>
    <w:rsid w:val="00927248"/>
    <w:rsid w:val="009330F2"/>
    <w:rsid w:val="00934A8F"/>
    <w:rsid w:val="00935BCB"/>
    <w:rsid w:val="009377A0"/>
    <w:rsid w:val="00937889"/>
    <w:rsid w:val="009378D9"/>
    <w:rsid w:val="00937998"/>
    <w:rsid w:val="0094140A"/>
    <w:rsid w:val="0094253C"/>
    <w:rsid w:val="00943E98"/>
    <w:rsid w:val="009454C9"/>
    <w:rsid w:val="00945702"/>
    <w:rsid w:val="00946C32"/>
    <w:rsid w:val="00953B4C"/>
    <w:rsid w:val="00953CBC"/>
    <w:rsid w:val="00953CD0"/>
    <w:rsid w:val="009544F4"/>
    <w:rsid w:val="00954D36"/>
    <w:rsid w:val="009550C6"/>
    <w:rsid w:val="009560D1"/>
    <w:rsid w:val="00957083"/>
    <w:rsid w:val="009634E0"/>
    <w:rsid w:val="009634E6"/>
    <w:rsid w:val="00964681"/>
    <w:rsid w:val="0096469C"/>
    <w:rsid w:val="00964770"/>
    <w:rsid w:val="00964B4B"/>
    <w:rsid w:val="00966B1F"/>
    <w:rsid w:val="00970525"/>
    <w:rsid w:val="00970860"/>
    <w:rsid w:val="00971682"/>
    <w:rsid w:val="00971E8D"/>
    <w:rsid w:val="009729CB"/>
    <w:rsid w:val="00972A1C"/>
    <w:rsid w:val="0097338B"/>
    <w:rsid w:val="00973A62"/>
    <w:rsid w:val="00973B5E"/>
    <w:rsid w:val="00975EAE"/>
    <w:rsid w:val="00977339"/>
    <w:rsid w:val="00981194"/>
    <w:rsid w:val="0098215C"/>
    <w:rsid w:val="009828A2"/>
    <w:rsid w:val="0098396E"/>
    <w:rsid w:val="00983AE8"/>
    <w:rsid w:val="00983C85"/>
    <w:rsid w:val="00984BFA"/>
    <w:rsid w:val="0098579A"/>
    <w:rsid w:val="009861BB"/>
    <w:rsid w:val="00986F11"/>
    <w:rsid w:val="009913F3"/>
    <w:rsid w:val="00991876"/>
    <w:rsid w:val="00991991"/>
    <w:rsid w:val="0099203B"/>
    <w:rsid w:val="00995066"/>
    <w:rsid w:val="00995C4C"/>
    <w:rsid w:val="009979A7"/>
    <w:rsid w:val="009A01CC"/>
    <w:rsid w:val="009A0402"/>
    <w:rsid w:val="009A0A2D"/>
    <w:rsid w:val="009A1DA6"/>
    <w:rsid w:val="009A3EAA"/>
    <w:rsid w:val="009A4AF3"/>
    <w:rsid w:val="009A4E3D"/>
    <w:rsid w:val="009A5515"/>
    <w:rsid w:val="009A63CF"/>
    <w:rsid w:val="009A7E35"/>
    <w:rsid w:val="009B0621"/>
    <w:rsid w:val="009B2394"/>
    <w:rsid w:val="009B3519"/>
    <w:rsid w:val="009B436F"/>
    <w:rsid w:val="009C12BF"/>
    <w:rsid w:val="009C3F21"/>
    <w:rsid w:val="009C558C"/>
    <w:rsid w:val="009C64A2"/>
    <w:rsid w:val="009C7749"/>
    <w:rsid w:val="009C7781"/>
    <w:rsid w:val="009C7849"/>
    <w:rsid w:val="009D089B"/>
    <w:rsid w:val="009D0915"/>
    <w:rsid w:val="009D21D3"/>
    <w:rsid w:val="009D2681"/>
    <w:rsid w:val="009D3270"/>
    <w:rsid w:val="009D3C85"/>
    <w:rsid w:val="009D3CE7"/>
    <w:rsid w:val="009D73FF"/>
    <w:rsid w:val="009E1290"/>
    <w:rsid w:val="009E2385"/>
    <w:rsid w:val="009E24C8"/>
    <w:rsid w:val="009E33A1"/>
    <w:rsid w:val="009E4049"/>
    <w:rsid w:val="009E45F4"/>
    <w:rsid w:val="009E6697"/>
    <w:rsid w:val="009F2DC4"/>
    <w:rsid w:val="009F387C"/>
    <w:rsid w:val="009F38E7"/>
    <w:rsid w:val="009F3B37"/>
    <w:rsid w:val="009F3EA9"/>
    <w:rsid w:val="009F6B0C"/>
    <w:rsid w:val="009F6E46"/>
    <w:rsid w:val="00A001AA"/>
    <w:rsid w:val="00A002ED"/>
    <w:rsid w:val="00A01037"/>
    <w:rsid w:val="00A0274C"/>
    <w:rsid w:val="00A02C4C"/>
    <w:rsid w:val="00A03372"/>
    <w:rsid w:val="00A03476"/>
    <w:rsid w:val="00A036DE"/>
    <w:rsid w:val="00A0400D"/>
    <w:rsid w:val="00A055FC"/>
    <w:rsid w:val="00A065E3"/>
    <w:rsid w:val="00A10A07"/>
    <w:rsid w:val="00A1398A"/>
    <w:rsid w:val="00A140B4"/>
    <w:rsid w:val="00A14CAB"/>
    <w:rsid w:val="00A169CA"/>
    <w:rsid w:val="00A211E9"/>
    <w:rsid w:val="00A213F8"/>
    <w:rsid w:val="00A2180D"/>
    <w:rsid w:val="00A21A21"/>
    <w:rsid w:val="00A22C95"/>
    <w:rsid w:val="00A24D91"/>
    <w:rsid w:val="00A266A2"/>
    <w:rsid w:val="00A2673E"/>
    <w:rsid w:val="00A31236"/>
    <w:rsid w:val="00A32B98"/>
    <w:rsid w:val="00A33DEB"/>
    <w:rsid w:val="00A3483C"/>
    <w:rsid w:val="00A35A06"/>
    <w:rsid w:val="00A3735E"/>
    <w:rsid w:val="00A37568"/>
    <w:rsid w:val="00A41DC6"/>
    <w:rsid w:val="00A429C3"/>
    <w:rsid w:val="00A4391A"/>
    <w:rsid w:val="00A43F6F"/>
    <w:rsid w:val="00A445B0"/>
    <w:rsid w:val="00A4682B"/>
    <w:rsid w:val="00A479A3"/>
    <w:rsid w:val="00A50559"/>
    <w:rsid w:val="00A51E01"/>
    <w:rsid w:val="00A520E1"/>
    <w:rsid w:val="00A5215A"/>
    <w:rsid w:val="00A52771"/>
    <w:rsid w:val="00A52CDF"/>
    <w:rsid w:val="00A54409"/>
    <w:rsid w:val="00A54806"/>
    <w:rsid w:val="00A56DD3"/>
    <w:rsid w:val="00A574C4"/>
    <w:rsid w:val="00A60154"/>
    <w:rsid w:val="00A61A68"/>
    <w:rsid w:val="00A6241C"/>
    <w:rsid w:val="00A629E2"/>
    <w:rsid w:val="00A63128"/>
    <w:rsid w:val="00A64FDC"/>
    <w:rsid w:val="00A65171"/>
    <w:rsid w:val="00A654E9"/>
    <w:rsid w:val="00A656AD"/>
    <w:rsid w:val="00A6722A"/>
    <w:rsid w:val="00A67A30"/>
    <w:rsid w:val="00A713F3"/>
    <w:rsid w:val="00A716E5"/>
    <w:rsid w:val="00A72F41"/>
    <w:rsid w:val="00A7446F"/>
    <w:rsid w:val="00A7635F"/>
    <w:rsid w:val="00A765B1"/>
    <w:rsid w:val="00A77775"/>
    <w:rsid w:val="00A77E61"/>
    <w:rsid w:val="00A80305"/>
    <w:rsid w:val="00A8138F"/>
    <w:rsid w:val="00A81954"/>
    <w:rsid w:val="00A81D04"/>
    <w:rsid w:val="00A8373B"/>
    <w:rsid w:val="00A858E3"/>
    <w:rsid w:val="00A85D5D"/>
    <w:rsid w:val="00A86566"/>
    <w:rsid w:val="00A86FA2"/>
    <w:rsid w:val="00A87439"/>
    <w:rsid w:val="00A875A0"/>
    <w:rsid w:val="00A908D3"/>
    <w:rsid w:val="00A90E27"/>
    <w:rsid w:val="00A91773"/>
    <w:rsid w:val="00A91ECC"/>
    <w:rsid w:val="00A91FFC"/>
    <w:rsid w:val="00A924D6"/>
    <w:rsid w:val="00A92937"/>
    <w:rsid w:val="00A941ED"/>
    <w:rsid w:val="00A94381"/>
    <w:rsid w:val="00A94834"/>
    <w:rsid w:val="00A94EDD"/>
    <w:rsid w:val="00A96A84"/>
    <w:rsid w:val="00AA0927"/>
    <w:rsid w:val="00AA1209"/>
    <w:rsid w:val="00AA344F"/>
    <w:rsid w:val="00AA3B58"/>
    <w:rsid w:val="00AA3E91"/>
    <w:rsid w:val="00AA639A"/>
    <w:rsid w:val="00AA6A36"/>
    <w:rsid w:val="00AA7E06"/>
    <w:rsid w:val="00AB1D53"/>
    <w:rsid w:val="00AB361A"/>
    <w:rsid w:val="00AB3A91"/>
    <w:rsid w:val="00AB62A5"/>
    <w:rsid w:val="00AB6B4B"/>
    <w:rsid w:val="00AB7817"/>
    <w:rsid w:val="00AC1DE3"/>
    <w:rsid w:val="00AC2910"/>
    <w:rsid w:val="00AC3976"/>
    <w:rsid w:val="00AC3AE3"/>
    <w:rsid w:val="00AC5245"/>
    <w:rsid w:val="00AC526A"/>
    <w:rsid w:val="00AC5890"/>
    <w:rsid w:val="00AC59AA"/>
    <w:rsid w:val="00AC695E"/>
    <w:rsid w:val="00AC6FD4"/>
    <w:rsid w:val="00AC7882"/>
    <w:rsid w:val="00AD0CF6"/>
    <w:rsid w:val="00AD14AB"/>
    <w:rsid w:val="00AD2CC9"/>
    <w:rsid w:val="00AD399A"/>
    <w:rsid w:val="00AD4A37"/>
    <w:rsid w:val="00AD50FB"/>
    <w:rsid w:val="00AD5129"/>
    <w:rsid w:val="00AD6C24"/>
    <w:rsid w:val="00AD77F7"/>
    <w:rsid w:val="00AE0AAB"/>
    <w:rsid w:val="00AE0E10"/>
    <w:rsid w:val="00AE20D9"/>
    <w:rsid w:val="00AE3982"/>
    <w:rsid w:val="00AE3B0A"/>
    <w:rsid w:val="00AE46C7"/>
    <w:rsid w:val="00AE5951"/>
    <w:rsid w:val="00AE626F"/>
    <w:rsid w:val="00AF0069"/>
    <w:rsid w:val="00AF0D0E"/>
    <w:rsid w:val="00AF2986"/>
    <w:rsid w:val="00AF2BF5"/>
    <w:rsid w:val="00AF3F29"/>
    <w:rsid w:val="00AF4CA8"/>
    <w:rsid w:val="00AF5095"/>
    <w:rsid w:val="00AF5FBB"/>
    <w:rsid w:val="00AF7C27"/>
    <w:rsid w:val="00B02276"/>
    <w:rsid w:val="00B0235B"/>
    <w:rsid w:val="00B04EA6"/>
    <w:rsid w:val="00B050E6"/>
    <w:rsid w:val="00B05512"/>
    <w:rsid w:val="00B05D9A"/>
    <w:rsid w:val="00B06116"/>
    <w:rsid w:val="00B062B5"/>
    <w:rsid w:val="00B066D5"/>
    <w:rsid w:val="00B06774"/>
    <w:rsid w:val="00B06ED9"/>
    <w:rsid w:val="00B11D3F"/>
    <w:rsid w:val="00B127A6"/>
    <w:rsid w:val="00B130D0"/>
    <w:rsid w:val="00B14AEA"/>
    <w:rsid w:val="00B14C0F"/>
    <w:rsid w:val="00B14EC5"/>
    <w:rsid w:val="00B15702"/>
    <w:rsid w:val="00B17D58"/>
    <w:rsid w:val="00B20A19"/>
    <w:rsid w:val="00B211B6"/>
    <w:rsid w:val="00B22675"/>
    <w:rsid w:val="00B25CA7"/>
    <w:rsid w:val="00B25E09"/>
    <w:rsid w:val="00B26226"/>
    <w:rsid w:val="00B27363"/>
    <w:rsid w:val="00B30E6F"/>
    <w:rsid w:val="00B32072"/>
    <w:rsid w:val="00B32927"/>
    <w:rsid w:val="00B333C2"/>
    <w:rsid w:val="00B34CA0"/>
    <w:rsid w:val="00B35F12"/>
    <w:rsid w:val="00B376C1"/>
    <w:rsid w:val="00B41944"/>
    <w:rsid w:val="00B41F93"/>
    <w:rsid w:val="00B43203"/>
    <w:rsid w:val="00B4347A"/>
    <w:rsid w:val="00B44A46"/>
    <w:rsid w:val="00B47C68"/>
    <w:rsid w:val="00B5013F"/>
    <w:rsid w:val="00B51678"/>
    <w:rsid w:val="00B527C9"/>
    <w:rsid w:val="00B53DEA"/>
    <w:rsid w:val="00B550C6"/>
    <w:rsid w:val="00B55A46"/>
    <w:rsid w:val="00B56475"/>
    <w:rsid w:val="00B56A14"/>
    <w:rsid w:val="00B56BF7"/>
    <w:rsid w:val="00B601DE"/>
    <w:rsid w:val="00B60EC6"/>
    <w:rsid w:val="00B623FC"/>
    <w:rsid w:val="00B62D43"/>
    <w:rsid w:val="00B633C2"/>
    <w:rsid w:val="00B6373B"/>
    <w:rsid w:val="00B63904"/>
    <w:rsid w:val="00B63C7E"/>
    <w:rsid w:val="00B641B4"/>
    <w:rsid w:val="00B65109"/>
    <w:rsid w:val="00B65242"/>
    <w:rsid w:val="00B65508"/>
    <w:rsid w:val="00B6581F"/>
    <w:rsid w:val="00B65C2A"/>
    <w:rsid w:val="00B664A7"/>
    <w:rsid w:val="00B6770F"/>
    <w:rsid w:val="00B67A91"/>
    <w:rsid w:val="00B70699"/>
    <w:rsid w:val="00B70B94"/>
    <w:rsid w:val="00B724FD"/>
    <w:rsid w:val="00B72C1D"/>
    <w:rsid w:val="00B72C69"/>
    <w:rsid w:val="00B74E60"/>
    <w:rsid w:val="00B75402"/>
    <w:rsid w:val="00B75567"/>
    <w:rsid w:val="00B75EA5"/>
    <w:rsid w:val="00B763A2"/>
    <w:rsid w:val="00B7676E"/>
    <w:rsid w:val="00B815D5"/>
    <w:rsid w:val="00B8183F"/>
    <w:rsid w:val="00B81A5C"/>
    <w:rsid w:val="00B81D26"/>
    <w:rsid w:val="00B82012"/>
    <w:rsid w:val="00B84E80"/>
    <w:rsid w:val="00B86881"/>
    <w:rsid w:val="00B927CF"/>
    <w:rsid w:val="00B944EE"/>
    <w:rsid w:val="00B94B81"/>
    <w:rsid w:val="00B96493"/>
    <w:rsid w:val="00B976E4"/>
    <w:rsid w:val="00BA00DE"/>
    <w:rsid w:val="00BA0206"/>
    <w:rsid w:val="00BA0709"/>
    <w:rsid w:val="00BA07F3"/>
    <w:rsid w:val="00BA1EE8"/>
    <w:rsid w:val="00BA2CBA"/>
    <w:rsid w:val="00BA352E"/>
    <w:rsid w:val="00BA523C"/>
    <w:rsid w:val="00BA6BF4"/>
    <w:rsid w:val="00BA71FA"/>
    <w:rsid w:val="00BB08AB"/>
    <w:rsid w:val="00BB16F1"/>
    <w:rsid w:val="00BB27EB"/>
    <w:rsid w:val="00BB4BB2"/>
    <w:rsid w:val="00BB4C5C"/>
    <w:rsid w:val="00BB5D1F"/>
    <w:rsid w:val="00BB5E0F"/>
    <w:rsid w:val="00BB6377"/>
    <w:rsid w:val="00BB6EEC"/>
    <w:rsid w:val="00BB74B8"/>
    <w:rsid w:val="00BC04B7"/>
    <w:rsid w:val="00BC0787"/>
    <w:rsid w:val="00BC0A0A"/>
    <w:rsid w:val="00BC2AB2"/>
    <w:rsid w:val="00BC30A8"/>
    <w:rsid w:val="00BC45C6"/>
    <w:rsid w:val="00BC546C"/>
    <w:rsid w:val="00BC6479"/>
    <w:rsid w:val="00BC73DA"/>
    <w:rsid w:val="00BD09F0"/>
    <w:rsid w:val="00BD20ED"/>
    <w:rsid w:val="00BD341A"/>
    <w:rsid w:val="00BD3E8D"/>
    <w:rsid w:val="00BD5B2B"/>
    <w:rsid w:val="00BD642F"/>
    <w:rsid w:val="00BD77FF"/>
    <w:rsid w:val="00BD7E4F"/>
    <w:rsid w:val="00BE0AE1"/>
    <w:rsid w:val="00BE1CC9"/>
    <w:rsid w:val="00BE2C22"/>
    <w:rsid w:val="00BE2E8D"/>
    <w:rsid w:val="00BE3AB9"/>
    <w:rsid w:val="00BE4001"/>
    <w:rsid w:val="00BE6FCE"/>
    <w:rsid w:val="00BF0884"/>
    <w:rsid w:val="00BF19D1"/>
    <w:rsid w:val="00BF2809"/>
    <w:rsid w:val="00BF3546"/>
    <w:rsid w:val="00BF4EE5"/>
    <w:rsid w:val="00BF5223"/>
    <w:rsid w:val="00BF52CE"/>
    <w:rsid w:val="00BF5E83"/>
    <w:rsid w:val="00BF7B13"/>
    <w:rsid w:val="00BF7C1E"/>
    <w:rsid w:val="00BF7DD4"/>
    <w:rsid w:val="00C00269"/>
    <w:rsid w:val="00C00934"/>
    <w:rsid w:val="00C01672"/>
    <w:rsid w:val="00C01D76"/>
    <w:rsid w:val="00C02B24"/>
    <w:rsid w:val="00C04C9F"/>
    <w:rsid w:val="00C04F74"/>
    <w:rsid w:val="00C05754"/>
    <w:rsid w:val="00C059A5"/>
    <w:rsid w:val="00C05D97"/>
    <w:rsid w:val="00C05EA5"/>
    <w:rsid w:val="00C061E7"/>
    <w:rsid w:val="00C062D7"/>
    <w:rsid w:val="00C063BC"/>
    <w:rsid w:val="00C06859"/>
    <w:rsid w:val="00C07FA6"/>
    <w:rsid w:val="00C10500"/>
    <w:rsid w:val="00C109AA"/>
    <w:rsid w:val="00C117CD"/>
    <w:rsid w:val="00C1267D"/>
    <w:rsid w:val="00C12C2B"/>
    <w:rsid w:val="00C13497"/>
    <w:rsid w:val="00C14072"/>
    <w:rsid w:val="00C140A3"/>
    <w:rsid w:val="00C14D83"/>
    <w:rsid w:val="00C154FA"/>
    <w:rsid w:val="00C158B3"/>
    <w:rsid w:val="00C15ECA"/>
    <w:rsid w:val="00C172C3"/>
    <w:rsid w:val="00C2176E"/>
    <w:rsid w:val="00C21D9C"/>
    <w:rsid w:val="00C21DAF"/>
    <w:rsid w:val="00C222E0"/>
    <w:rsid w:val="00C22528"/>
    <w:rsid w:val="00C22843"/>
    <w:rsid w:val="00C22F2B"/>
    <w:rsid w:val="00C27464"/>
    <w:rsid w:val="00C27AEF"/>
    <w:rsid w:val="00C309F9"/>
    <w:rsid w:val="00C30C9F"/>
    <w:rsid w:val="00C3174F"/>
    <w:rsid w:val="00C31A34"/>
    <w:rsid w:val="00C339E7"/>
    <w:rsid w:val="00C34378"/>
    <w:rsid w:val="00C346EC"/>
    <w:rsid w:val="00C41EEE"/>
    <w:rsid w:val="00C435C3"/>
    <w:rsid w:val="00C43D84"/>
    <w:rsid w:val="00C4529B"/>
    <w:rsid w:val="00C45BD3"/>
    <w:rsid w:val="00C46788"/>
    <w:rsid w:val="00C47096"/>
    <w:rsid w:val="00C47242"/>
    <w:rsid w:val="00C478DC"/>
    <w:rsid w:val="00C50C6C"/>
    <w:rsid w:val="00C51479"/>
    <w:rsid w:val="00C516E8"/>
    <w:rsid w:val="00C54705"/>
    <w:rsid w:val="00C5636A"/>
    <w:rsid w:val="00C563FF"/>
    <w:rsid w:val="00C56BED"/>
    <w:rsid w:val="00C570B5"/>
    <w:rsid w:val="00C60969"/>
    <w:rsid w:val="00C61117"/>
    <w:rsid w:val="00C62427"/>
    <w:rsid w:val="00C631D6"/>
    <w:rsid w:val="00C638D5"/>
    <w:rsid w:val="00C64231"/>
    <w:rsid w:val="00C64B6F"/>
    <w:rsid w:val="00C64BE6"/>
    <w:rsid w:val="00C64E1A"/>
    <w:rsid w:val="00C651BB"/>
    <w:rsid w:val="00C656F8"/>
    <w:rsid w:val="00C6632E"/>
    <w:rsid w:val="00C7056F"/>
    <w:rsid w:val="00C70E16"/>
    <w:rsid w:val="00C71E23"/>
    <w:rsid w:val="00C7238D"/>
    <w:rsid w:val="00C73795"/>
    <w:rsid w:val="00C7450E"/>
    <w:rsid w:val="00C751F4"/>
    <w:rsid w:val="00C80248"/>
    <w:rsid w:val="00C80777"/>
    <w:rsid w:val="00C80A63"/>
    <w:rsid w:val="00C81BD1"/>
    <w:rsid w:val="00C81BDE"/>
    <w:rsid w:val="00C821A8"/>
    <w:rsid w:val="00C82242"/>
    <w:rsid w:val="00C825E9"/>
    <w:rsid w:val="00C82CCB"/>
    <w:rsid w:val="00C83E8D"/>
    <w:rsid w:val="00C83FDB"/>
    <w:rsid w:val="00C84036"/>
    <w:rsid w:val="00C857FC"/>
    <w:rsid w:val="00C86C0F"/>
    <w:rsid w:val="00C86FCF"/>
    <w:rsid w:val="00C90A6E"/>
    <w:rsid w:val="00C90DEB"/>
    <w:rsid w:val="00C9375C"/>
    <w:rsid w:val="00C93A2C"/>
    <w:rsid w:val="00C94C8E"/>
    <w:rsid w:val="00C95A74"/>
    <w:rsid w:val="00C97463"/>
    <w:rsid w:val="00C976E6"/>
    <w:rsid w:val="00C979FB"/>
    <w:rsid w:val="00C97B5F"/>
    <w:rsid w:val="00CA25B2"/>
    <w:rsid w:val="00CA301F"/>
    <w:rsid w:val="00CA489F"/>
    <w:rsid w:val="00CA493D"/>
    <w:rsid w:val="00CA4A3E"/>
    <w:rsid w:val="00CA5AAE"/>
    <w:rsid w:val="00CA5B55"/>
    <w:rsid w:val="00CB1471"/>
    <w:rsid w:val="00CB1735"/>
    <w:rsid w:val="00CB2AD3"/>
    <w:rsid w:val="00CB372C"/>
    <w:rsid w:val="00CB37D5"/>
    <w:rsid w:val="00CB4728"/>
    <w:rsid w:val="00CB4918"/>
    <w:rsid w:val="00CB603E"/>
    <w:rsid w:val="00CB67EE"/>
    <w:rsid w:val="00CC051F"/>
    <w:rsid w:val="00CC058D"/>
    <w:rsid w:val="00CC0E59"/>
    <w:rsid w:val="00CC1961"/>
    <w:rsid w:val="00CC19AF"/>
    <w:rsid w:val="00CC1B8C"/>
    <w:rsid w:val="00CC32C1"/>
    <w:rsid w:val="00CC5276"/>
    <w:rsid w:val="00CC577C"/>
    <w:rsid w:val="00CC762D"/>
    <w:rsid w:val="00CC7F75"/>
    <w:rsid w:val="00CD2D4C"/>
    <w:rsid w:val="00CD37CB"/>
    <w:rsid w:val="00CD3FC0"/>
    <w:rsid w:val="00CD5969"/>
    <w:rsid w:val="00CD5C29"/>
    <w:rsid w:val="00CD5FC1"/>
    <w:rsid w:val="00CE043C"/>
    <w:rsid w:val="00CE0ECA"/>
    <w:rsid w:val="00CE3840"/>
    <w:rsid w:val="00CE3AF3"/>
    <w:rsid w:val="00CE4645"/>
    <w:rsid w:val="00CE4DF3"/>
    <w:rsid w:val="00CE6896"/>
    <w:rsid w:val="00CE7F0E"/>
    <w:rsid w:val="00CF0398"/>
    <w:rsid w:val="00CF1D87"/>
    <w:rsid w:val="00CF258F"/>
    <w:rsid w:val="00CF4A77"/>
    <w:rsid w:val="00CF7EFE"/>
    <w:rsid w:val="00D01DBC"/>
    <w:rsid w:val="00D0232C"/>
    <w:rsid w:val="00D0412C"/>
    <w:rsid w:val="00D04D6F"/>
    <w:rsid w:val="00D05097"/>
    <w:rsid w:val="00D0649C"/>
    <w:rsid w:val="00D06B0C"/>
    <w:rsid w:val="00D0703F"/>
    <w:rsid w:val="00D07D46"/>
    <w:rsid w:val="00D103D0"/>
    <w:rsid w:val="00D10FE1"/>
    <w:rsid w:val="00D12E77"/>
    <w:rsid w:val="00D13F3B"/>
    <w:rsid w:val="00D1550F"/>
    <w:rsid w:val="00D15FCC"/>
    <w:rsid w:val="00D16425"/>
    <w:rsid w:val="00D16AD1"/>
    <w:rsid w:val="00D16F30"/>
    <w:rsid w:val="00D1706F"/>
    <w:rsid w:val="00D17342"/>
    <w:rsid w:val="00D200FE"/>
    <w:rsid w:val="00D21955"/>
    <w:rsid w:val="00D22014"/>
    <w:rsid w:val="00D22588"/>
    <w:rsid w:val="00D22D7E"/>
    <w:rsid w:val="00D2457B"/>
    <w:rsid w:val="00D26232"/>
    <w:rsid w:val="00D3038D"/>
    <w:rsid w:val="00D310C7"/>
    <w:rsid w:val="00D32742"/>
    <w:rsid w:val="00D339DC"/>
    <w:rsid w:val="00D33B7E"/>
    <w:rsid w:val="00D34029"/>
    <w:rsid w:val="00D34B9A"/>
    <w:rsid w:val="00D357A7"/>
    <w:rsid w:val="00D35BBA"/>
    <w:rsid w:val="00D3610B"/>
    <w:rsid w:val="00D36B93"/>
    <w:rsid w:val="00D4011C"/>
    <w:rsid w:val="00D40BD3"/>
    <w:rsid w:val="00D4169B"/>
    <w:rsid w:val="00D41D3B"/>
    <w:rsid w:val="00D43891"/>
    <w:rsid w:val="00D43C78"/>
    <w:rsid w:val="00D450F6"/>
    <w:rsid w:val="00D45FF3"/>
    <w:rsid w:val="00D4710B"/>
    <w:rsid w:val="00D47AF6"/>
    <w:rsid w:val="00D501E8"/>
    <w:rsid w:val="00D505CC"/>
    <w:rsid w:val="00D506EC"/>
    <w:rsid w:val="00D51768"/>
    <w:rsid w:val="00D520D1"/>
    <w:rsid w:val="00D53937"/>
    <w:rsid w:val="00D56231"/>
    <w:rsid w:val="00D56EF1"/>
    <w:rsid w:val="00D613D8"/>
    <w:rsid w:val="00D62848"/>
    <w:rsid w:val="00D62AD2"/>
    <w:rsid w:val="00D64668"/>
    <w:rsid w:val="00D646CE"/>
    <w:rsid w:val="00D653AE"/>
    <w:rsid w:val="00D65879"/>
    <w:rsid w:val="00D66619"/>
    <w:rsid w:val="00D66779"/>
    <w:rsid w:val="00D66C13"/>
    <w:rsid w:val="00D66D4A"/>
    <w:rsid w:val="00D66F9E"/>
    <w:rsid w:val="00D678D8"/>
    <w:rsid w:val="00D7078D"/>
    <w:rsid w:val="00D70DAD"/>
    <w:rsid w:val="00D7197D"/>
    <w:rsid w:val="00D71D3C"/>
    <w:rsid w:val="00D720CC"/>
    <w:rsid w:val="00D72BD5"/>
    <w:rsid w:val="00D73CF7"/>
    <w:rsid w:val="00D74430"/>
    <w:rsid w:val="00D752B4"/>
    <w:rsid w:val="00D76A6C"/>
    <w:rsid w:val="00D77F36"/>
    <w:rsid w:val="00D80111"/>
    <w:rsid w:val="00D80CB9"/>
    <w:rsid w:val="00D817C7"/>
    <w:rsid w:val="00D824CB"/>
    <w:rsid w:val="00D82FB7"/>
    <w:rsid w:val="00D836EC"/>
    <w:rsid w:val="00D84D30"/>
    <w:rsid w:val="00D86A45"/>
    <w:rsid w:val="00D87EC2"/>
    <w:rsid w:val="00D90589"/>
    <w:rsid w:val="00D92042"/>
    <w:rsid w:val="00D93104"/>
    <w:rsid w:val="00D93620"/>
    <w:rsid w:val="00D9456C"/>
    <w:rsid w:val="00D945AD"/>
    <w:rsid w:val="00D94F0E"/>
    <w:rsid w:val="00D9601F"/>
    <w:rsid w:val="00D97A45"/>
    <w:rsid w:val="00DA0174"/>
    <w:rsid w:val="00DA1E8F"/>
    <w:rsid w:val="00DA1F74"/>
    <w:rsid w:val="00DA2704"/>
    <w:rsid w:val="00DA2EEB"/>
    <w:rsid w:val="00DA51FF"/>
    <w:rsid w:val="00DA701A"/>
    <w:rsid w:val="00DA785E"/>
    <w:rsid w:val="00DB0A16"/>
    <w:rsid w:val="00DB19A0"/>
    <w:rsid w:val="00DB1D27"/>
    <w:rsid w:val="00DB2251"/>
    <w:rsid w:val="00DB34B9"/>
    <w:rsid w:val="00DB3740"/>
    <w:rsid w:val="00DB40F2"/>
    <w:rsid w:val="00DB4670"/>
    <w:rsid w:val="00DB5C9B"/>
    <w:rsid w:val="00DB5EBA"/>
    <w:rsid w:val="00DB6B83"/>
    <w:rsid w:val="00DB701D"/>
    <w:rsid w:val="00DB7CC5"/>
    <w:rsid w:val="00DC0BC9"/>
    <w:rsid w:val="00DC0C29"/>
    <w:rsid w:val="00DC1FAE"/>
    <w:rsid w:val="00DC229B"/>
    <w:rsid w:val="00DC2337"/>
    <w:rsid w:val="00DC23B3"/>
    <w:rsid w:val="00DC267C"/>
    <w:rsid w:val="00DC2823"/>
    <w:rsid w:val="00DC29CA"/>
    <w:rsid w:val="00DC2E30"/>
    <w:rsid w:val="00DC4313"/>
    <w:rsid w:val="00DC4403"/>
    <w:rsid w:val="00DC6719"/>
    <w:rsid w:val="00DC7863"/>
    <w:rsid w:val="00DD0B69"/>
    <w:rsid w:val="00DD1161"/>
    <w:rsid w:val="00DD1780"/>
    <w:rsid w:val="00DD22D3"/>
    <w:rsid w:val="00DD3181"/>
    <w:rsid w:val="00DD409F"/>
    <w:rsid w:val="00DD47E8"/>
    <w:rsid w:val="00DD4C18"/>
    <w:rsid w:val="00DD4CD7"/>
    <w:rsid w:val="00DD5CF9"/>
    <w:rsid w:val="00DD6891"/>
    <w:rsid w:val="00DD6EE1"/>
    <w:rsid w:val="00DE022A"/>
    <w:rsid w:val="00DE02F6"/>
    <w:rsid w:val="00DE0FDD"/>
    <w:rsid w:val="00DE0FE4"/>
    <w:rsid w:val="00DE1410"/>
    <w:rsid w:val="00DE1C8E"/>
    <w:rsid w:val="00DE1FBE"/>
    <w:rsid w:val="00DE40CF"/>
    <w:rsid w:val="00DE4643"/>
    <w:rsid w:val="00DE5806"/>
    <w:rsid w:val="00DE6E9A"/>
    <w:rsid w:val="00DE7551"/>
    <w:rsid w:val="00DF1C67"/>
    <w:rsid w:val="00DF2791"/>
    <w:rsid w:val="00DF2C4B"/>
    <w:rsid w:val="00DF4928"/>
    <w:rsid w:val="00DF6BF7"/>
    <w:rsid w:val="00DF7420"/>
    <w:rsid w:val="00E02A2F"/>
    <w:rsid w:val="00E02C68"/>
    <w:rsid w:val="00E04260"/>
    <w:rsid w:val="00E04E4E"/>
    <w:rsid w:val="00E04F72"/>
    <w:rsid w:val="00E0540A"/>
    <w:rsid w:val="00E054A7"/>
    <w:rsid w:val="00E0571F"/>
    <w:rsid w:val="00E1022F"/>
    <w:rsid w:val="00E105DA"/>
    <w:rsid w:val="00E133F9"/>
    <w:rsid w:val="00E134C9"/>
    <w:rsid w:val="00E14916"/>
    <w:rsid w:val="00E14DA8"/>
    <w:rsid w:val="00E15443"/>
    <w:rsid w:val="00E16E76"/>
    <w:rsid w:val="00E2115A"/>
    <w:rsid w:val="00E217C3"/>
    <w:rsid w:val="00E223F0"/>
    <w:rsid w:val="00E24336"/>
    <w:rsid w:val="00E24E95"/>
    <w:rsid w:val="00E24E9A"/>
    <w:rsid w:val="00E24FE9"/>
    <w:rsid w:val="00E25A21"/>
    <w:rsid w:val="00E25D4F"/>
    <w:rsid w:val="00E26054"/>
    <w:rsid w:val="00E31072"/>
    <w:rsid w:val="00E3277A"/>
    <w:rsid w:val="00E32CAC"/>
    <w:rsid w:val="00E32D3A"/>
    <w:rsid w:val="00E33CE1"/>
    <w:rsid w:val="00E33D00"/>
    <w:rsid w:val="00E342A8"/>
    <w:rsid w:val="00E36241"/>
    <w:rsid w:val="00E364F6"/>
    <w:rsid w:val="00E40BC8"/>
    <w:rsid w:val="00E412E3"/>
    <w:rsid w:val="00E4186C"/>
    <w:rsid w:val="00E42CA2"/>
    <w:rsid w:val="00E43E4E"/>
    <w:rsid w:val="00E44695"/>
    <w:rsid w:val="00E4469E"/>
    <w:rsid w:val="00E45CF6"/>
    <w:rsid w:val="00E46431"/>
    <w:rsid w:val="00E47840"/>
    <w:rsid w:val="00E55F45"/>
    <w:rsid w:val="00E572B2"/>
    <w:rsid w:val="00E61072"/>
    <w:rsid w:val="00E62724"/>
    <w:rsid w:val="00E627A0"/>
    <w:rsid w:val="00E62948"/>
    <w:rsid w:val="00E649C1"/>
    <w:rsid w:val="00E64A9F"/>
    <w:rsid w:val="00E650A5"/>
    <w:rsid w:val="00E65533"/>
    <w:rsid w:val="00E66B9A"/>
    <w:rsid w:val="00E673D8"/>
    <w:rsid w:val="00E67E23"/>
    <w:rsid w:val="00E67EAA"/>
    <w:rsid w:val="00E7070C"/>
    <w:rsid w:val="00E70963"/>
    <w:rsid w:val="00E709BE"/>
    <w:rsid w:val="00E712DA"/>
    <w:rsid w:val="00E724DF"/>
    <w:rsid w:val="00E730B7"/>
    <w:rsid w:val="00E73AE1"/>
    <w:rsid w:val="00E748EB"/>
    <w:rsid w:val="00E74E0D"/>
    <w:rsid w:val="00E7509A"/>
    <w:rsid w:val="00E75482"/>
    <w:rsid w:val="00E757C3"/>
    <w:rsid w:val="00E75E40"/>
    <w:rsid w:val="00E81C11"/>
    <w:rsid w:val="00E82694"/>
    <w:rsid w:val="00E83192"/>
    <w:rsid w:val="00E83ADF"/>
    <w:rsid w:val="00E84BA3"/>
    <w:rsid w:val="00E852E7"/>
    <w:rsid w:val="00E85458"/>
    <w:rsid w:val="00E85BB7"/>
    <w:rsid w:val="00E85E34"/>
    <w:rsid w:val="00E92DF5"/>
    <w:rsid w:val="00E92FF5"/>
    <w:rsid w:val="00E95B41"/>
    <w:rsid w:val="00E964A2"/>
    <w:rsid w:val="00E9681D"/>
    <w:rsid w:val="00E9707E"/>
    <w:rsid w:val="00E972CA"/>
    <w:rsid w:val="00E97801"/>
    <w:rsid w:val="00E97AC4"/>
    <w:rsid w:val="00EA006D"/>
    <w:rsid w:val="00EA54E8"/>
    <w:rsid w:val="00EA5BC8"/>
    <w:rsid w:val="00EA74D3"/>
    <w:rsid w:val="00EB22B1"/>
    <w:rsid w:val="00EB3BE0"/>
    <w:rsid w:val="00EB41C9"/>
    <w:rsid w:val="00EB5610"/>
    <w:rsid w:val="00EB6BF4"/>
    <w:rsid w:val="00EB7571"/>
    <w:rsid w:val="00EC0B78"/>
    <w:rsid w:val="00EC3059"/>
    <w:rsid w:val="00EC4325"/>
    <w:rsid w:val="00EC47F6"/>
    <w:rsid w:val="00EC60C6"/>
    <w:rsid w:val="00EC6CB3"/>
    <w:rsid w:val="00EC6E6F"/>
    <w:rsid w:val="00ED00AF"/>
    <w:rsid w:val="00ED059D"/>
    <w:rsid w:val="00ED0779"/>
    <w:rsid w:val="00ED1C34"/>
    <w:rsid w:val="00ED3015"/>
    <w:rsid w:val="00ED428B"/>
    <w:rsid w:val="00ED6B02"/>
    <w:rsid w:val="00ED6BFC"/>
    <w:rsid w:val="00EE2C82"/>
    <w:rsid w:val="00EE3BE1"/>
    <w:rsid w:val="00EE474F"/>
    <w:rsid w:val="00EE4ADB"/>
    <w:rsid w:val="00EE51FE"/>
    <w:rsid w:val="00EE59F6"/>
    <w:rsid w:val="00EF072C"/>
    <w:rsid w:val="00EF13F6"/>
    <w:rsid w:val="00EF1BC5"/>
    <w:rsid w:val="00EF5F16"/>
    <w:rsid w:val="00EF710B"/>
    <w:rsid w:val="00EF75DD"/>
    <w:rsid w:val="00F00952"/>
    <w:rsid w:val="00F02AC7"/>
    <w:rsid w:val="00F05363"/>
    <w:rsid w:val="00F05DB8"/>
    <w:rsid w:val="00F05E35"/>
    <w:rsid w:val="00F06637"/>
    <w:rsid w:val="00F07204"/>
    <w:rsid w:val="00F07AB0"/>
    <w:rsid w:val="00F07B02"/>
    <w:rsid w:val="00F07FBA"/>
    <w:rsid w:val="00F110DC"/>
    <w:rsid w:val="00F124FE"/>
    <w:rsid w:val="00F127CA"/>
    <w:rsid w:val="00F129D5"/>
    <w:rsid w:val="00F12BC9"/>
    <w:rsid w:val="00F12DBB"/>
    <w:rsid w:val="00F13212"/>
    <w:rsid w:val="00F13402"/>
    <w:rsid w:val="00F14B17"/>
    <w:rsid w:val="00F14B3C"/>
    <w:rsid w:val="00F15024"/>
    <w:rsid w:val="00F15BA8"/>
    <w:rsid w:val="00F16DC8"/>
    <w:rsid w:val="00F174F8"/>
    <w:rsid w:val="00F17F27"/>
    <w:rsid w:val="00F231C3"/>
    <w:rsid w:val="00F2457B"/>
    <w:rsid w:val="00F24F65"/>
    <w:rsid w:val="00F2549E"/>
    <w:rsid w:val="00F257D1"/>
    <w:rsid w:val="00F257F1"/>
    <w:rsid w:val="00F25B50"/>
    <w:rsid w:val="00F266D0"/>
    <w:rsid w:val="00F2694A"/>
    <w:rsid w:val="00F27445"/>
    <w:rsid w:val="00F27652"/>
    <w:rsid w:val="00F301F7"/>
    <w:rsid w:val="00F3055B"/>
    <w:rsid w:val="00F31390"/>
    <w:rsid w:val="00F31C20"/>
    <w:rsid w:val="00F31C8A"/>
    <w:rsid w:val="00F3238C"/>
    <w:rsid w:val="00F32697"/>
    <w:rsid w:val="00F32CD3"/>
    <w:rsid w:val="00F3458E"/>
    <w:rsid w:val="00F350F0"/>
    <w:rsid w:val="00F3526D"/>
    <w:rsid w:val="00F352A5"/>
    <w:rsid w:val="00F370BD"/>
    <w:rsid w:val="00F376C1"/>
    <w:rsid w:val="00F40F44"/>
    <w:rsid w:val="00F41E38"/>
    <w:rsid w:val="00F4220C"/>
    <w:rsid w:val="00F42FC1"/>
    <w:rsid w:val="00F431D9"/>
    <w:rsid w:val="00F44349"/>
    <w:rsid w:val="00F44659"/>
    <w:rsid w:val="00F4595C"/>
    <w:rsid w:val="00F45A67"/>
    <w:rsid w:val="00F47952"/>
    <w:rsid w:val="00F50414"/>
    <w:rsid w:val="00F51CDA"/>
    <w:rsid w:val="00F52458"/>
    <w:rsid w:val="00F55D70"/>
    <w:rsid w:val="00F565B0"/>
    <w:rsid w:val="00F56641"/>
    <w:rsid w:val="00F571CE"/>
    <w:rsid w:val="00F576DC"/>
    <w:rsid w:val="00F60066"/>
    <w:rsid w:val="00F60B7F"/>
    <w:rsid w:val="00F618DC"/>
    <w:rsid w:val="00F628AA"/>
    <w:rsid w:val="00F62CC1"/>
    <w:rsid w:val="00F63249"/>
    <w:rsid w:val="00F66D09"/>
    <w:rsid w:val="00F71623"/>
    <w:rsid w:val="00F71ABC"/>
    <w:rsid w:val="00F723D7"/>
    <w:rsid w:val="00F72F3E"/>
    <w:rsid w:val="00F73648"/>
    <w:rsid w:val="00F746B1"/>
    <w:rsid w:val="00F74C2B"/>
    <w:rsid w:val="00F7503B"/>
    <w:rsid w:val="00F7587A"/>
    <w:rsid w:val="00F75C1D"/>
    <w:rsid w:val="00F76280"/>
    <w:rsid w:val="00F7660B"/>
    <w:rsid w:val="00F767FA"/>
    <w:rsid w:val="00F7702F"/>
    <w:rsid w:val="00F8056E"/>
    <w:rsid w:val="00F80742"/>
    <w:rsid w:val="00F80D89"/>
    <w:rsid w:val="00F83B78"/>
    <w:rsid w:val="00F84538"/>
    <w:rsid w:val="00F84CA5"/>
    <w:rsid w:val="00F85B09"/>
    <w:rsid w:val="00F86988"/>
    <w:rsid w:val="00F87E1E"/>
    <w:rsid w:val="00F91520"/>
    <w:rsid w:val="00F91864"/>
    <w:rsid w:val="00F91E72"/>
    <w:rsid w:val="00F9384F"/>
    <w:rsid w:val="00F93C4B"/>
    <w:rsid w:val="00F93FDC"/>
    <w:rsid w:val="00F94CA3"/>
    <w:rsid w:val="00F96DAA"/>
    <w:rsid w:val="00F97211"/>
    <w:rsid w:val="00F97DB0"/>
    <w:rsid w:val="00FA06D7"/>
    <w:rsid w:val="00FA1031"/>
    <w:rsid w:val="00FA12D8"/>
    <w:rsid w:val="00FA19FA"/>
    <w:rsid w:val="00FA1EF6"/>
    <w:rsid w:val="00FA28BA"/>
    <w:rsid w:val="00FA3429"/>
    <w:rsid w:val="00FA37FC"/>
    <w:rsid w:val="00FA57F1"/>
    <w:rsid w:val="00FA5B7A"/>
    <w:rsid w:val="00FA6FB2"/>
    <w:rsid w:val="00FA77B4"/>
    <w:rsid w:val="00FB0333"/>
    <w:rsid w:val="00FB08A8"/>
    <w:rsid w:val="00FB0EA3"/>
    <w:rsid w:val="00FB1846"/>
    <w:rsid w:val="00FB2F67"/>
    <w:rsid w:val="00FB363C"/>
    <w:rsid w:val="00FB37DA"/>
    <w:rsid w:val="00FB3AF3"/>
    <w:rsid w:val="00FB4083"/>
    <w:rsid w:val="00FB429C"/>
    <w:rsid w:val="00FB5745"/>
    <w:rsid w:val="00FB584B"/>
    <w:rsid w:val="00FB6017"/>
    <w:rsid w:val="00FC16A3"/>
    <w:rsid w:val="00FC3B2B"/>
    <w:rsid w:val="00FC5490"/>
    <w:rsid w:val="00FC5AB7"/>
    <w:rsid w:val="00FC637E"/>
    <w:rsid w:val="00FC79B9"/>
    <w:rsid w:val="00FC7CEB"/>
    <w:rsid w:val="00FD1BEB"/>
    <w:rsid w:val="00FD2337"/>
    <w:rsid w:val="00FD4093"/>
    <w:rsid w:val="00FD44D5"/>
    <w:rsid w:val="00FD4711"/>
    <w:rsid w:val="00FD54C1"/>
    <w:rsid w:val="00FD5CA3"/>
    <w:rsid w:val="00FD6C43"/>
    <w:rsid w:val="00FD737E"/>
    <w:rsid w:val="00FE1940"/>
    <w:rsid w:val="00FE1EB3"/>
    <w:rsid w:val="00FE3C4F"/>
    <w:rsid w:val="00FE3D62"/>
    <w:rsid w:val="00FE4626"/>
    <w:rsid w:val="00FE4ED4"/>
    <w:rsid w:val="00FE4F85"/>
    <w:rsid w:val="00FE57D6"/>
    <w:rsid w:val="00FE6A1A"/>
    <w:rsid w:val="00FE6ACA"/>
    <w:rsid w:val="00FE6B42"/>
    <w:rsid w:val="00FE70FA"/>
    <w:rsid w:val="00FF02E8"/>
    <w:rsid w:val="00FF0E18"/>
    <w:rsid w:val="00FF1A95"/>
    <w:rsid w:val="00FF3F4F"/>
    <w:rsid w:val="00FF445A"/>
    <w:rsid w:val="00FF7EE6"/>
    <w:rsid w:val="00FF7F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uiPriority w:val="9"/>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basedOn w:val="Normal"/>
    <w:next w:val="Normal"/>
    <w:link w:val="Heading3Char"/>
    <w:uiPriority w:val="9"/>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uiPriority w:val="3"/>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iPriority w:val="9"/>
    <w:unhideWhenUsed/>
    <w:qFormat/>
    <w:rsid w:val="006B1D3E"/>
    <w:pPr>
      <w:outlineLvl w:val="4"/>
    </w:pPr>
    <w:rPr>
      <w:rFonts w:eastAsia="Times New Roman"/>
      <w:b w:val="0"/>
    </w:rPr>
  </w:style>
  <w:style w:type="paragraph" w:styleId="Heading6">
    <w:name w:val="heading 6"/>
    <w:basedOn w:val="Heading5"/>
    <w:next w:val="Normal"/>
    <w:link w:val="Heading6Char"/>
    <w:uiPriority w:val="9"/>
    <w:unhideWhenUsed/>
    <w:qFormat/>
    <w:rsid w:val="008638CA"/>
    <w:pPr>
      <w:outlineLvl w:val="5"/>
    </w:pPr>
    <w:rPr>
      <w:sz w:val="22"/>
    </w:rPr>
  </w:style>
  <w:style w:type="paragraph" w:styleId="Heading7">
    <w:name w:val="heading 7"/>
    <w:aliases w:val="Finding Heading"/>
    <w:basedOn w:val="Normal"/>
    <w:next w:val="Numbernormal"/>
    <w:link w:val="Heading7Char"/>
    <w:uiPriority w:val="9"/>
    <w:unhideWhenUsed/>
    <w:qFormat/>
    <w:rsid w:val="002D6CC1"/>
    <w:pPr>
      <w:numPr>
        <w:numId w:val="13"/>
      </w:numPr>
      <w:ind w:left="284"/>
      <w:outlineLvl w:val="6"/>
    </w:pPr>
    <w:rPr>
      <w:rFonts w:eastAsia="Calibri" w:cs="Arial"/>
      <w:b/>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basedOn w:val="DefaultParagraphFont"/>
    <w:link w:val="Heading3"/>
    <w:uiPriority w:val="9"/>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uiPriority w:val="3"/>
    <w:rsid w:val="008341AC"/>
    <w:rPr>
      <w:rFonts w:ascii="Arial" w:hAnsi="Arial" w:cs="Arial"/>
      <w:b/>
      <w:bCs/>
      <w:color w:val="4F81BD"/>
      <w:sz w:val="24"/>
    </w:rPr>
  </w:style>
  <w:style w:type="character" w:customStyle="1" w:styleId="Heading5Char">
    <w:name w:val="Heading 5 Char"/>
    <w:basedOn w:val="DefaultParagraphFont"/>
    <w:link w:val="Heading5"/>
    <w:uiPriority w:val="9"/>
    <w:rsid w:val="006B1D3E"/>
    <w:rPr>
      <w:rFonts w:ascii="Arial" w:eastAsia="Times New Roman" w:hAnsi="Arial" w:cs="Arial"/>
      <w:bCs/>
      <w:color w:val="4F81BD"/>
      <w:sz w:val="24"/>
    </w:rPr>
  </w:style>
  <w:style w:type="character" w:customStyle="1" w:styleId="Heading6Char">
    <w:name w:val="Heading 6 Char"/>
    <w:basedOn w:val="DefaultParagraphFont"/>
    <w:link w:val="Heading6"/>
    <w:uiPriority w:val="9"/>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34"/>
    <w:qFormat/>
    <w:rsid w:val="006B1D3E"/>
    <w:pPr>
      <w:numPr>
        <w:numId w:val="11"/>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5"/>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uiPriority w:val="9"/>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uiPriority w:val="99"/>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qFormat/>
    <w:rsid w:val="00C22F2B"/>
    <w:pPr>
      <w:numPr>
        <w:numId w:val="8"/>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9"/>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10"/>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6"/>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uiPriority w:val="10"/>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uiPriority w:val="10"/>
    <w:rsid w:val="00FA5B7A"/>
    <w:rPr>
      <w:rFonts w:ascii="Arial" w:eastAsia="Times New Roman" w:hAnsi="Arial" w:cs="Arial"/>
      <w:b/>
      <w:color w:val="5C89BF"/>
      <w:sz w:val="42"/>
      <w:szCs w:val="42"/>
    </w:rPr>
  </w:style>
  <w:style w:type="table" w:customStyle="1" w:styleId="TableGrid24">
    <w:name w:val="Table Grid24"/>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034B0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230770349">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263756934">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footer4.xml.rels><?xml version="1.0" encoding="UTF-8" standalone="yes"?>
<Relationships xmlns="http://schemas.openxmlformats.org/package/2006/relationships"><Relationship Id="rId1" Type="http://schemas.openxmlformats.org/officeDocument/2006/relationships/image" Target="media/image4.emf"/></Relationships>
</file>

<file path=word/_rels/footer5.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6" ma:contentTypeDescription="Create a new document." ma:contentTypeScope="" ma:versionID="c30ef120bac402839e9d659d92ad4370">
  <xsd:schema xmlns:xsd="http://www.w3.org/2001/XMLSchema" xmlns:xs="http://www.w3.org/2001/XMLSchema" xmlns:p="http://schemas.microsoft.com/office/2006/metadata/properties" xmlns:ns1="http://schemas.microsoft.com/sharepoint/v3" xmlns:ns2="db9a61e7-e58b-4a0f-a1f0-f0fe15068406" xmlns:ns3="a02d2d02-4cb9-496e-be02-a2ef08ff614e" targetNamespace="http://schemas.microsoft.com/office/2006/metadata/properties" ma:root="true" ma:fieldsID="5c19bf6bf9985affc3989f3b339fb1ec" ns1:_="" ns2:_="" ns3:_="">
    <xsd:import namespace="http://schemas.microsoft.com/sharepoint/v3"/>
    <xsd:import namespace="db9a61e7-e58b-4a0f-a1f0-f0fe15068406"/>
    <xsd:import namespace="a02d2d02-4cb9-496e-be02-a2ef08ff614e"/>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2d2d02-4cb9-496e-be02-a2ef08ff614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7F4A6-D886-456B-9A5C-EE7BA1BC5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a02d2d02-4cb9-496e-be02-a2ef08ff6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3.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5.xml><?xml version="1.0" encoding="utf-8"?>
<ds:datastoreItem xmlns:ds="http://schemas.openxmlformats.org/officeDocument/2006/customXml" ds:itemID="{8A6DDDC5-C08B-4D66-AFCB-0E712C58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11385</Words>
  <Characters>64901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76134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Masia,Tintswalo (SM)</cp:lastModifiedBy>
  <cp:revision>2</cp:revision>
  <cp:lastPrinted>2020-05-28T11:32:00Z</cp:lastPrinted>
  <dcterms:created xsi:type="dcterms:W3CDTF">2021-08-11T12:36:00Z</dcterms:created>
  <dcterms:modified xsi:type="dcterms:W3CDTF">2021-08-11T12:36:00Z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0x010100ACC49524D098E14FA6EB8D1196D58558</vt:lpwstr>
  </property>
</Properties>
</file>