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BAD3" w14:textId="77777777" w:rsidR="00575D4F" w:rsidRDefault="00575D4F" w:rsidP="00575D4F">
      <w:pPr>
        <w:jc w:val="center"/>
        <w:rPr>
          <w:b/>
          <w:lang w:val="ru-RU"/>
        </w:rPr>
      </w:pPr>
      <w:bookmarkStart w:id="0" w:name="_Hlk89100503"/>
      <w:bookmarkStart w:id="1" w:name="_Hlk89184901"/>
      <w:bookmarkStart w:id="2" w:name="_Hlk99528613"/>
      <w:r>
        <w:rPr>
          <w:b/>
          <w:lang w:val="ru-RU"/>
        </w:rPr>
        <w:t>Общество с ограниченной ответственностью</w:t>
      </w:r>
    </w:p>
    <w:p w14:paraId="1365FC42" w14:textId="77777777" w:rsidR="00575D4F" w:rsidRDefault="00575D4F" w:rsidP="00575D4F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4A8B2E04" w14:textId="77777777" w:rsidR="00575D4F" w:rsidRDefault="00575D4F" w:rsidP="00575D4F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</w:t>
      </w:r>
    </w:p>
    <w:p w14:paraId="58713894" w14:textId="77777777" w:rsidR="00575D4F" w:rsidRDefault="00575D4F" w:rsidP="00575D4F">
      <w:pPr>
        <w:jc w:val="center"/>
        <w:rPr>
          <w:b/>
          <w:lang w:val="ru-RU"/>
        </w:rPr>
      </w:pPr>
      <w:r w:rsidRPr="00560F50">
        <w:rPr>
          <w:b/>
          <w:lang w:val="ru-RU"/>
        </w:rPr>
        <w:t>610008, г. Киров, ул. Гагарина, д. 20, кв.62</w:t>
      </w:r>
    </w:p>
    <w:p w14:paraId="0A94598A" w14:textId="77777777" w:rsidR="00575D4F" w:rsidRDefault="00575D4F" w:rsidP="00575D4F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783BB974" w14:textId="77777777" w:rsidR="00575D4F" w:rsidRDefault="00575D4F" w:rsidP="00575D4F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26468B6E" w14:textId="77777777" w:rsidR="00575D4F" w:rsidRPr="00C27782" w:rsidRDefault="00575D4F" w:rsidP="00575D4F">
      <w:pPr>
        <w:rPr>
          <w:lang w:val="ru-RU"/>
        </w:rPr>
      </w:pPr>
    </w:p>
    <w:p w14:paraId="7B5FD133" w14:textId="77777777" w:rsidR="00575D4F" w:rsidRPr="00DE70C1" w:rsidRDefault="00575D4F" w:rsidP="00575D4F">
      <w:pPr>
        <w:pStyle w:val="a5"/>
        <w:spacing w:line="276" w:lineRule="auto"/>
        <w:rPr>
          <w:b/>
          <w:sz w:val="32"/>
          <w:szCs w:val="32"/>
          <w:u w:val="single"/>
        </w:rPr>
      </w:pPr>
      <w:r w:rsidRPr="001A1EFE">
        <w:rPr>
          <w:b/>
          <w:sz w:val="32"/>
          <w:szCs w:val="32"/>
        </w:rPr>
        <w:t>ПРОТОКОЛ</w:t>
      </w:r>
      <w:r w:rsidRPr="00FB52C8">
        <w:rPr>
          <w:b/>
          <w:sz w:val="32"/>
          <w:szCs w:val="32"/>
        </w:rPr>
        <w:t xml:space="preserve"> </w:t>
      </w:r>
      <w:r w:rsidRPr="00CE63E1">
        <w:rPr>
          <w:b/>
          <w:sz w:val="32"/>
          <w:szCs w:val="32"/>
          <w:u w:val="single"/>
        </w:rPr>
        <w:t>№</w:t>
      </w:r>
      <w:bookmarkStart w:id="3" w:name="rabochee_mesto"/>
      <w:bookmarkEnd w:id="3"/>
      <w:r>
        <w:rPr>
          <w:b/>
          <w:sz w:val="32"/>
          <w:szCs w:val="32"/>
          <w:u w:val="single"/>
        </w:rPr>
        <w:t>ЕИ-03-</w:t>
      </w:r>
      <w:r w:rsidR="007B6FE5">
        <w:rPr>
          <w:b/>
          <w:sz w:val="32"/>
          <w:szCs w:val="32"/>
          <w:u w:val="single"/>
        </w:rPr>
        <w:t>02</w:t>
      </w:r>
      <w:r>
        <w:rPr>
          <w:b/>
          <w:sz w:val="32"/>
          <w:szCs w:val="32"/>
          <w:u w:val="single"/>
        </w:rPr>
        <w:t>-0</w:t>
      </w:r>
      <w:bookmarkEnd w:id="0"/>
      <w:bookmarkEnd w:id="1"/>
      <w:bookmarkEnd w:id="2"/>
      <w:r w:rsidR="007B6FE5">
        <w:rPr>
          <w:b/>
          <w:sz w:val="32"/>
          <w:szCs w:val="32"/>
          <w:u w:val="single"/>
        </w:rPr>
        <w:t>1376</w:t>
      </w:r>
    </w:p>
    <w:p w14:paraId="25E9945B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 w:rsidRPr="00A41407">
        <w:rPr>
          <w:b/>
          <w:lang w:val="ru-RU"/>
        </w:rPr>
        <w:t xml:space="preserve"> </w:t>
      </w:r>
      <w:bookmarkStart w:id="4" w:name="per"/>
      <w:bookmarkEnd w:id="4"/>
      <w:r w:rsidR="00AF2347">
        <w:rPr>
          <w:b/>
          <w:lang w:val="ru-RU"/>
        </w:rPr>
        <w:t>пер</w:t>
      </w:r>
      <w:r w:rsidR="00CE3D10">
        <w:rPr>
          <w:b/>
          <w:lang w:val="ru-RU"/>
        </w:rPr>
        <w:t>иодической</w:t>
      </w:r>
      <w:r w:rsidRPr="00A41407">
        <w:rPr>
          <w:b/>
          <w:lang w:val="ru-RU"/>
        </w:rPr>
        <w:t xml:space="preserve"> поверки  СИ</w:t>
      </w:r>
      <w:r w:rsidR="00222127">
        <w:rPr>
          <w:b/>
          <w:lang w:val="ru-RU"/>
        </w:rPr>
        <w:t xml:space="preserve"> -</w:t>
      </w:r>
      <w:r w:rsidRPr="00A41407">
        <w:rPr>
          <w:b/>
          <w:lang w:val="ru-RU"/>
        </w:rPr>
        <w:t xml:space="preserve"> </w:t>
      </w:r>
      <w:bookmarkStart w:id="5" w:name="srizm"/>
      <w:bookmarkEnd w:id="5"/>
      <w:r w:rsidR="00FA7D87">
        <w:rPr>
          <w:b/>
          <w:lang w:val="ru-RU"/>
        </w:rPr>
        <w:t>Весы электронные тензометрические для статичес</w:t>
      </w:r>
      <w:r w:rsidR="00EB1415">
        <w:rPr>
          <w:b/>
          <w:lang w:val="ru-RU"/>
        </w:rPr>
        <w:t xml:space="preserve">кого взвешивания </w:t>
      </w:r>
      <w:r w:rsidR="00CD1E80" w:rsidRPr="00CD1E80">
        <w:rPr>
          <w:b/>
          <w:lang w:val="ru-RU"/>
        </w:rPr>
        <w:t>МП 150 ВДА</w:t>
      </w:r>
      <w:r w:rsidR="007B6FE5">
        <w:rPr>
          <w:b/>
          <w:lang w:val="ru-RU"/>
        </w:rPr>
        <w:t xml:space="preserve"> Ф-2</w:t>
      </w:r>
      <w:r w:rsidR="00CD1E80" w:rsidRPr="00CD1E80">
        <w:rPr>
          <w:b/>
          <w:lang w:val="ru-RU"/>
        </w:rPr>
        <w:t xml:space="preserve"> </w:t>
      </w:r>
      <w:r w:rsidR="007B6FE5">
        <w:rPr>
          <w:b/>
          <w:lang w:val="ru-RU"/>
        </w:rPr>
        <w:t>(20/50; 450*600)</w:t>
      </w:r>
      <w:r w:rsidR="00CD1E80" w:rsidRPr="00CD1E80">
        <w:rPr>
          <w:b/>
          <w:lang w:val="ru-RU"/>
        </w:rPr>
        <w:t xml:space="preserve"> №</w:t>
      </w:r>
      <w:r w:rsidR="007B6FE5">
        <w:rPr>
          <w:b/>
          <w:lang w:val="ru-RU"/>
        </w:rPr>
        <w:t>423347</w:t>
      </w:r>
    </w:p>
    <w:p w14:paraId="0CED203B" w14:textId="77777777" w:rsidR="007B6FE5" w:rsidRPr="00DB614A" w:rsidRDefault="007B6FE5" w:rsidP="007B6FE5">
      <w:pPr>
        <w:rPr>
          <w:lang w:val="ru-RU"/>
        </w:rPr>
      </w:pPr>
      <w:r w:rsidRPr="00DB614A">
        <w:rPr>
          <w:lang w:val="ru-RU"/>
        </w:rPr>
        <w:t xml:space="preserve">Принадлежащего: </w:t>
      </w:r>
      <w:r w:rsidRPr="00E5471B">
        <w:rPr>
          <w:lang w:val="ru-RU"/>
        </w:rPr>
        <w:t xml:space="preserve">ФГКУ </w:t>
      </w:r>
      <w:r>
        <w:rPr>
          <w:lang w:val="ru-RU"/>
        </w:rPr>
        <w:t>«</w:t>
      </w:r>
      <w:r w:rsidRPr="00E5471B">
        <w:rPr>
          <w:lang w:val="ru-RU"/>
        </w:rPr>
        <w:t>Логистический Центр № 59</w:t>
      </w:r>
      <w:r>
        <w:rPr>
          <w:lang w:val="ru-RU"/>
        </w:rPr>
        <w:t>»</w:t>
      </w:r>
      <w:r w:rsidRPr="00DB614A">
        <w:rPr>
          <w:lang w:val="ru-RU"/>
        </w:rPr>
        <w:t xml:space="preserve">, ИНН </w:t>
      </w:r>
      <w:r w:rsidRPr="00E5471B">
        <w:rPr>
          <w:lang w:val="ru-RU"/>
        </w:rPr>
        <w:t>3703004741</w:t>
      </w:r>
      <w:r w:rsidRPr="00DB614A">
        <w:rPr>
          <w:lang w:val="ru-RU"/>
        </w:rPr>
        <w:t xml:space="preserve">, </w:t>
      </w:r>
      <w:r w:rsidRPr="00E5471B">
        <w:rPr>
          <w:lang w:val="ru-RU"/>
        </w:rPr>
        <w:t>155808, Ивановская область, город Кинешма, ул. Ивана Виноградова, д.6а</w:t>
      </w:r>
    </w:p>
    <w:p w14:paraId="7FFA419C" w14:textId="77777777" w:rsidR="00575D4F" w:rsidRPr="00D50E16" w:rsidRDefault="007B6FE5" w:rsidP="007B6FE5">
      <w:pPr>
        <w:rPr>
          <w:lang w:val="ru-RU"/>
        </w:rPr>
      </w:pPr>
      <w:r w:rsidRPr="00DB614A">
        <w:rPr>
          <w:lang w:val="ru-RU"/>
        </w:rPr>
        <w:t xml:space="preserve">Место поверки:  </w:t>
      </w:r>
      <w:r w:rsidRPr="00E5471B">
        <w:rPr>
          <w:lang w:val="ru-RU"/>
        </w:rPr>
        <w:t>город Кинешма, ул. Ивана Виноградова, д.6а</w:t>
      </w:r>
    </w:p>
    <w:p w14:paraId="3EB3F722" w14:textId="77777777" w:rsidR="001222C3" w:rsidRPr="001A1EFE" w:rsidRDefault="001222C3" w:rsidP="001222C3">
      <w:pPr>
        <w:rPr>
          <w:lang w:val="ru-RU"/>
        </w:rPr>
      </w:pPr>
      <w:r w:rsidRPr="001A1EFE">
        <w:rPr>
          <w:lang w:val="ru-RU"/>
        </w:rPr>
        <w:t>Регистрационный номер средства измерений в ФИФ ОЕИ:</w:t>
      </w:r>
      <w:r>
        <w:rPr>
          <w:lang w:val="ru-RU"/>
        </w:rPr>
        <w:t xml:space="preserve"> </w:t>
      </w:r>
      <w:bookmarkStart w:id="6" w:name="fifa"/>
      <w:bookmarkEnd w:id="6"/>
      <w:r w:rsidR="00453A27" w:rsidRPr="00453A27">
        <w:rPr>
          <w:lang w:val="ru-RU"/>
        </w:rPr>
        <w:t>53638-13</w:t>
      </w:r>
    </w:p>
    <w:p w14:paraId="191C97C4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78F6E775" w14:textId="77777777" w:rsidR="005527D8" w:rsidRDefault="005527D8" w:rsidP="001222C3">
      <w:pPr>
        <w:rPr>
          <w:lang w:val="ru-RU"/>
        </w:rPr>
      </w:pPr>
      <w:bookmarkStart w:id="7" w:name="metr_harakt"/>
      <w:bookmarkEnd w:id="7"/>
      <w:r>
        <w:rPr>
          <w:lang w:val="ru-RU"/>
        </w:rPr>
        <w:t>НПВ=150 кг</w:t>
      </w:r>
    </w:p>
    <w:p w14:paraId="331A689E" w14:textId="77777777" w:rsidR="005527D8" w:rsidRDefault="00AF2347" w:rsidP="001222C3">
      <w:pPr>
        <w:rPr>
          <w:lang w:val="ru-RU"/>
        </w:rPr>
      </w:pPr>
      <w:r>
        <w:rPr>
          <w:lang w:val="ru-RU"/>
        </w:rPr>
        <w:t>НмПВ=0,4</w:t>
      </w:r>
      <w:r w:rsidR="005527D8">
        <w:rPr>
          <w:lang w:val="ru-RU"/>
        </w:rPr>
        <w:t xml:space="preserve">  кг</w:t>
      </w:r>
    </w:p>
    <w:p w14:paraId="172C4BA5" w14:textId="77777777" w:rsidR="001222C3" w:rsidRDefault="005527D8" w:rsidP="001222C3">
      <w:pPr>
        <w:rPr>
          <w:lang w:val="ru-RU"/>
        </w:rPr>
      </w:pPr>
      <w:r>
        <w:rPr>
          <w:lang w:val="ru-RU"/>
        </w:rPr>
        <w:t>е=</w:t>
      </w:r>
      <w:r w:rsidR="00AF2347">
        <w:rPr>
          <w:lang w:val="en-US"/>
        </w:rPr>
        <w:t>d</w:t>
      </w:r>
      <w:r w:rsidR="00FA7D87">
        <w:rPr>
          <w:lang w:val="ru-RU"/>
        </w:rPr>
        <w:t>=20</w:t>
      </w:r>
      <w:r>
        <w:rPr>
          <w:lang w:val="ru-RU"/>
        </w:rPr>
        <w:t xml:space="preserve"> г</w:t>
      </w:r>
      <w:r w:rsidR="001222C3">
        <w:rPr>
          <w:lang w:val="ru-RU"/>
        </w:rPr>
        <w:t xml:space="preserve"> </w:t>
      </w:r>
      <w:bookmarkStart w:id="8" w:name="olemetr"/>
      <w:bookmarkEnd w:id="8"/>
    </w:p>
    <w:p w14:paraId="195EAF0B" w14:textId="77777777" w:rsidR="00CE3D10" w:rsidRPr="00CE3D10" w:rsidRDefault="00CE3D10" w:rsidP="001222C3">
      <w:pPr>
        <w:rPr>
          <w:lang w:val="en-US"/>
        </w:rPr>
      </w:pPr>
      <w:r>
        <w:rPr>
          <w:lang w:val="en-US"/>
        </w:rPr>
        <w:t>n=7500</w:t>
      </w:r>
    </w:p>
    <w:p w14:paraId="606DF204" w14:textId="77777777" w:rsidR="00AF2347" w:rsidRDefault="00AF2347" w:rsidP="001222C3">
      <w:pPr>
        <w:rPr>
          <w:lang w:val="ru-RU"/>
        </w:rPr>
      </w:pPr>
      <w:r>
        <w:rPr>
          <w:lang w:val="ru-RU"/>
        </w:rPr>
        <w:t>Пределы допускаемой погрешности:</w:t>
      </w:r>
    </w:p>
    <w:p w14:paraId="74EA660E" w14:textId="77777777" w:rsidR="00AF2347" w:rsidRDefault="00FA7D87" w:rsidP="001222C3">
      <w:pPr>
        <w:rPr>
          <w:lang w:val="ru-RU"/>
        </w:rPr>
      </w:pPr>
      <w:r>
        <w:rPr>
          <w:lang w:val="ru-RU"/>
        </w:rPr>
        <w:t>От 0,4 д</w:t>
      </w:r>
      <w:r w:rsidR="00CE3D10">
        <w:rPr>
          <w:lang w:val="ru-RU"/>
        </w:rPr>
        <w:t>о 10 кг включ. - ± 2</w:t>
      </w:r>
      <w:r w:rsidR="00AF2347">
        <w:rPr>
          <w:lang w:val="ru-RU"/>
        </w:rPr>
        <w:t>0 г;</w:t>
      </w:r>
    </w:p>
    <w:p w14:paraId="5F5A28C9" w14:textId="77777777" w:rsidR="00AF2347" w:rsidRDefault="00FA7D87" w:rsidP="001222C3">
      <w:pPr>
        <w:rPr>
          <w:lang w:val="ru-RU"/>
        </w:rPr>
      </w:pPr>
      <w:r>
        <w:rPr>
          <w:lang w:val="ru-RU"/>
        </w:rPr>
        <w:t>свыше 1</w:t>
      </w:r>
      <w:r w:rsidR="00CE3D10">
        <w:rPr>
          <w:lang w:val="ru-RU"/>
        </w:rPr>
        <w:t>0 до 40 кг - ± 3</w:t>
      </w:r>
      <w:r w:rsidR="00AF2347">
        <w:rPr>
          <w:lang w:val="ru-RU"/>
        </w:rPr>
        <w:t>0 г;</w:t>
      </w:r>
    </w:p>
    <w:p w14:paraId="20DB910C" w14:textId="77777777" w:rsidR="00AF2347" w:rsidRDefault="00CE3D10" w:rsidP="001222C3">
      <w:pPr>
        <w:rPr>
          <w:lang w:val="ru-RU"/>
        </w:rPr>
      </w:pPr>
      <w:r>
        <w:rPr>
          <w:lang w:val="ru-RU"/>
        </w:rPr>
        <w:t>свыше 40 до 150 кг - ± 5</w:t>
      </w:r>
      <w:r w:rsidR="00FA7D87">
        <w:rPr>
          <w:lang w:val="ru-RU"/>
        </w:rPr>
        <w:t>0 г.</w:t>
      </w:r>
    </w:p>
    <w:p w14:paraId="22582DA9" w14:textId="77777777" w:rsidR="001222C3" w:rsidRDefault="001222C3" w:rsidP="001222C3">
      <w:pPr>
        <w:pStyle w:val="1"/>
      </w:pPr>
      <w:r w:rsidRPr="005D5D2C">
        <w:t xml:space="preserve">УСЛОВИЯ </w:t>
      </w:r>
      <w:r w:rsidRPr="0033370F">
        <w:t>ПРОВЕДЕНИЯ</w:t>
      </w:r>
      <w:r w:rsidRPr="005D5D2C">
        <w:t xml:space="preserve"> ПОВЕРКИ </w:t>
      </w:r>
    </w:p>
    <w:tbl>
      <w:tblPr>
        <w:tblW w:w="11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22"/>
        <w:gridCol w:w="2518"/>
      </w:tblGrid>
      <w:tr w:rsidR="001222C3" w:rsidRPr="00346DC8" w14:paraId="7D29DF14" w14:textId="77777777" w:rsidTr="003624D6">
        <w:tc>
          <w:tcPr>
            <w:tcW w:w="9322" w:type="dxa"/>
          </w:tcPr>
          <w:p w14:paraId="2BDC7DFE" w14:textId="77777777" w:rsidR="007B6FE5" w:rsidRPr="008F51B0" w:rsidRDefault="007B6FE5" w:rsidP="007B6FE5">
            <w:pPr>
              <w:rPr>
                <w:lang w:val="ru-RU"/>
              </w:rPr>
            </w:pPr>
            <w:bookmarkStart w:id="9" w:name="pogoda"/>
            <w:bookmarkEnd w:id="9"/>
            <w:r w:rsidRPr="008F51B0">
              <w:rPr>
                <w:lang w:val="ru-RU"/>
              </w:rPr>
              <w:t xml:space="preserve">Температура окружающего воздуха: </w:t>
            </w:r>
          </w:p>
          <w:p w14:paraId="44DA4BB2" w14:textId="77777777" w:rsidR="007B6FE5" w:rsidRPr="008F51B0" w:rsidRDefault="007B6FE5" w:rsidP="007B6FE5">
            <w:pPr>
              <w:rPr>
                <w:lang w:val="ru-RU"/>
              </w:rPr>
            </w:pPr>
            <w:r w:rsidRPr="008F51B0">
              <w:rPr>
                <w:lang w:val="ru-RU"/>
              </w:rPr>
              <w:t>в начале поверки: 2</w:t>
            </w:r>
            <w:r>
              <w:rPr>
                <w:lang w:val="ru-RU"/>
              </w:rPr>
              <w:t>0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7</w:t>
            </w:r>
            <w:r w:rsidRPr="008F51B0">
              <w:rPr>
                <w:lang w:val="ru-RU"/>
              </w:rPr>
              <w:t xml:space="preserve"> °C</w:t>
            </w:r>
          </w:p>
          <w:p w14:paraId="0596BE04" w14:textId="77777777" w:rsidR="007B6FE5" w:rsidRPr="008F51B0" w:rsidRDefault="007B6FE5" w:rsidP="007B6FE5">
            <w:pPr>
              <w:rPr>
                <w:lang w:val="ru-RU"/>
              </w:rPr>
            </w:pPr>
            <w:r w:rsidRPr="008F51B0">
              <w:rPr>
                <w:lang w:val="ru-RU"/>
              </w:rPr>
              <w:t>в конце поверки: 2</w:t>
            </w:r>
            <w:r>
              <w:rPr>
                <w:lang w:val="ru-RU"/>
              </w:rPr>
              <w:t>0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 xml:space="preserve"> °C</w:t>
            </w:r>
          </w:p>
          <w:p w14:paraId="03044479" w14:textId="77777777" w:rsidR="007B6FE5" w:rsidRPr="008F51B0" w:rsidRDefault="007B6FE5" w:rsidP="007B6FE5">
            <w:pPr>
              <w:rPr>
                <w:lang w:val="ru-RU"/>
              </w:rPr>
            </w:pPr>
            <w:r w:rsidRPr="008F51B0">
              <w:rPr>
                <w:lang w:val="ru-RU"/>
              </w:rPr>
              <w:t>Относительная влажность воздуха: 4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1</w:t>
            </w:r>
            <w:r w:rsidRPr="008F51B0">
              <w:rPr>
                <w:lang w:val="ru-RU"/>
              </w:rPr>
              <w:t xml:space="preserve"> %</w:t>
            </w:r>
          </w:p>
          <w:p w14:paraId="55C37F17" w14:textId="77777777" w:rsidR="007B6FE5" w:rsidRPr="008F51B0" w:rsidRDefault="007B6FE5" w:rsidP="007B6FE5">
            <w:pPr>
              <w:rPr>
                <w:lang w:val="ru-RU"/>
              </w:rPr>
            </w:pPr>
            <w:r w:rsidRPr="008F51B0">
              <w:rPr>
                <w:lang w:val="ru-RU"/>
              </w:rPr>
              <w:t>Изменение температуры воздуха в помещении в течение 1 часа не превышает 2,0 °C.</w:t>
            </w:r>
          </w:p>
          <w:p w14:paraId="47EF8AD8" w14:textId="77777777" w:rsidR="001222C3" w:rsidRPr="00346DC8" w:rsidRDefault="007B6FE5" w:rsidP="007B6FE5">
            <w:pPr>
              <w:rPr>
                <w:lang w:val="ru-RU"/>
              </w:rPr>
            </w:pPr>
            <w:r w:rsidRPr="008F51B0">
              <w:rPr>
                <w:lang w:val="ru-RU"/>
              </w:rPr>
              <w:t>Атмосферное давление: 9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 xml:space="preserve"> кПа</w:t>
            </w:r>
          </w:p>
        </w:tc>
        <w:tc>
          <w:tcPr>
            <w:tcW w:w="2518" w:type="dxa"/>
          </w:tcPr>
          <w:p w14:paraId="4BAE6A1E" w14:textId="77777777" w:rsidR="001222C3" w:rsidRPr="00346DC8" w:rsidRDefault="001222C3" w:rsidP="00EC1351">
            <w:pPr>
              <w:rPr>
                <w:lang w:val="ru-RU"/>
              </w:rPr>
            </w:pPr>
            <w:bookmarkStart w:id="10" w:name="tip_sertif"/>
            <w:bookmarkEnd w:id="10"/>
          </w:p>
        </w:tc>
      </w:tr>
    </w:tbl>
    <w:p w14:paraId="4A600ED5" w14:textId="77777777" w:rsidR="001222C3" w:rsidRPr="0033370F" w:rsidRDefault="001222C3" w:rsidP="001222C3">
      <w:pPr>
        <w:pStyle w:val="1"/>
      </w:pPr>
      <w:r>
        <w:t>ЭТАЛОНЫ, применяемые при поверке</w:t>
      </w:r>
    </w:p>
    <w:p w14:paraId="6225D1ED" w14:textId="77777777" w:rsidR="007B6FE5" w:rsidRPr="00B51165" w:rsidRDefault="007B6FE5" w:rsidP="007B6FE5">
      <w:pPr>
        <w:rPr>
          <w:szCs w:val="28"/>
        </w:rPr>
      </w:pPr>
      <w:bookmarkStart w:id="11" w:name="etalon"/>
      <w:bookmarkEnd w:id="11"/>
      <w:r w:rsidRPr="00B51165">
        <w:rPr>
          <w:szCs w:val="28"/>
        </w:rPr>
        <w:t>Набор гирь 1 мг-500 г F1 рег. № в ФИФ 58463-14, №PV156, 2 разряд;</w:t>
      </w:r>
    </w:p>
    <w:p w14:paraId="5FF3550D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М1 500 г рег. № в ФИФ 58048-14 №796242, 4 разряд;</w:t>
      </w:r>
    </w:p>
    <w:p w14:paraId="1512B967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1 кг рег. № в ФИФ 58048-14 №796241, 4 разряд;</w:t>
      </w:r>
    </w:p>
    <w:p w14:paraId="0A5F6A8E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2 кг рег. № в ФИФ 58048-14 №796236, 4 разряд;</w:t>
      </w:r>
    </w:p>
    <w:p w14:paraId="09877DAA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2 кг рег. № в ФИФ 58048-14 №796237, 4 разряд;</w:t>
      </w:r>
    </w:p>
    <w:p w14:paraId="2DEC9F73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5 кг рег. № в ФИФ 58048-14 №796238, 4 разряд;</w:t>
      </w:r>
    </w:p>
    <w:p w14:paraId="69ADDD8F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5 кг рег. № в ФИФ 58048-14 №812854, 4 разряд;</w:t>
      </w:r>
    </w:p>
    <w:p w14:paraId="4E19AE89" w14:textId="77777777" w:rsidR="007B6FE5" w:rsidRPr="00B51165" w:rsidRDefault="007B6FE5" w:rsidP="007B6FE5">
      <w:pPr>
        <w:rPr>
          <w:szCs w:val="28"/>
        </w:rPr>
      </w:pPr>
      <w:r w:rsidRPr="00B51165">
        <w:rPr>
          <w:szCs w:val="28"/>
        </w:rPr>
        <w:t>Гиря М1 5 кг рег. № в ФИФ 58048-14 №812855, 4 разряд;</w:t>
      </w:r>
    </w:p>
    <w:p w14:paraId="4A4993B6" w14:textId="77777777" w:rsidR="007B6FE5" w:rsidRDefault="007B6FE5" w:rsidP="007B6FE5">
      <w:pPr>
        <w:rPr>
          <w:szCs w:val="28"/>
        </w:rPr>
      </w:pPr>
      <w:r w:rsidRPr="00B51165">
        <w:rPr>
          <w:szCs w:val="28"/>
        </w:rPr>
        <w:t xml:space="preserve">Гири с номинальным значением массы 20 кг класса точности М1 рег. № в ФИФ 811-03 №60, </w:t>
      </w:r>
    </w:p>
    <w:p w14:paraId="03B49413" w14:textId="77777777" w:rsidR="00AF2347" w:rsidRPr="001023DB" w:rsidRDefault="007B6FE5" w:rsidP="007B6FE5">
      <w:pPr>
        <w:rPr>
          <w:lang w:val="ru-RU"/>
        </w:rPr>
      </w:pPr>
      <w:r w:rsidRPr="00B51165">
        <w:rPr>
          <w:szCs w:val="28"/>
        </w:rPr>
        <w:t>4 разряд.</w:t>
      </w:r>
    </w:p>
    <w:p w14:paraId="41A1400B" w14:textId="77777777" w:rsidR="00453A27" w:rsidRPr="00F47295" w:rsidRDefault="00453A27" w:rsidP="00453A27">
      <w:pPr>
        <w:pStyle w:val="1"/>
        <w:rPr>
          <w:lang w:val="de-AT"/>
        </w:rPr>
      </w:pPr>
      <w:r>
        <w:t>Методика</w:t>
      </w:r>
      <w:r w:rsidRPr="00F47295">
        <w:rPr>
          <w:lang w:val="de-AT"/>
        </w:rPr>
        <w:t xml:space="preserve"> </w:t>
      </w:r>
      <w:r>
        <w:t>поверки</w:t>
      </w:r>
    </w:p>
    <w:p w14:paraId="6222C71A" w14:textId="77777777" w:rsidR="00453A27" w:rsidRDefault="00453A27" w:rsidP="00453A27">
      <w:pPr>
        <w:rPr>
          <w:lang w:val="ru-RU"/>
        </w:rPr>
      </w:pPr>
      <w:bookmarkStart w:id="12" w:name="metod_pov"/>
      <w:bookmarkEnd w:id="12"/>
      <w:r>
        <w:rPr>
          <w:lang w:val="ru-RU"/>
        </w:rPr>
        <w:t>«ГСИ. Весы неавтоматического действия. Часть 1. Метрологические и технические требования. Испытания»</w:t>
      </w:r>
      <w:r w:rsidRPr="00FF756B">
        <w:rPr>
          <w:lang w:val="ru-RU"/>
        </w:rPr>
        <w:t xml:space="preserve"> </w:t>
      </w:r>
      <w:r>
        <w:rPr>
          <w:lang w:val="ru-RU"/>
        </w:rPr>
        <w:t xml:space="preserve"> ГОСТ Р 53228-2008</w:t>
      </w:r>
    </w:p>
    <w:p w14:paraId="6B3D19DE" w14:textId="77777777" w:rsidR="007B6FE5" w:rsidRPr="00346DC8" w:rsidRDefault="007B6FE5" w:rsidP="00453A27">
      <w:pPr>
        <w:rPr>
          <w:lang w:val="ru-RU"/>
        </w:rPr>
      </w:pPr>
    </w:p>
    <w:p w14:paraId="2216494B" w14:textId="77777777" w:rsidR="00453A27" w:rsidRPr="005D5D2C" w:rsidRDefault="00453A27" w:rsidP="00453A27">
      <w:pPr>
        <w:pStyle w:val="1"/>
      </w:pPr>
      <w:r>
        <w:lastRenderedPageBreak/>
        <w:t>РЕЗУЛЬТАТЫ</w:t>
      </w:r>
      <w:r w:rsidRPr="005D5D2C">
        <w:t xml:space="preserve"> </w:t>
      </w:r>
      <w:r w:rsidRPr="008244EC">
        <w:t>ПОВЕРКИ</w:t>
      </w:r>
    </w:p>
    <w:p w14:paraId="4C068E99" w14:textId="77777777" w:rsidR="00453A27" w:rsidRDefault="00453A27" w:rsidP="00453A27">
      <w:pPr>
        <w:rPr>
          <w:lang w:val="ru-RU"/>
        </w:rPr>
      </w:pPr>
      <w:bookmarkStart w:id="13" w:name="zak1"/>
      <w:bookmarkEnd w:id="13"/>
      <w:r>
        <w:rPr>
          <w:lang w:val="ru-RU"/>
        </w:rPr>
        <w:t>1. Внешний осмотр:</w:t>
      </w:r>
    </w:p>
    <w:p w14:paraId="329960F2" w14:textId="77777777" w:rsidR="00453A27" w:rsidRDefault="00453A27" w:rsidP="00453A27">
      <w:pPr>
        <w:rPr>
          <w:lang w:val="ru-RU"/>
        </w:rPr>
      </w:pPr>
      <w:r>
        <w:rPr>
          <w:lang w:val="ru-RU"/>
        </w:rPr>
        <w:t>- прохождение теста:</w:t>
      </w:r>
      <w:r w:rsidRPr="00363E3C">
        <w:rPr>
          <w:color w:val="FF0000"/>
          <w:lang w:val="ru-RU"/>
        </w:rPr>
        <w:t xml:space="preserve"> </w:t>
      </w:r>
      <w:r w:rsidRPr="009903F1">
        <w:rPr>
          <w:lang w:val="ru-RU"/>
        </w:rPr>
        <w:t>соответствует</w:t>
      </w:r>
    </w:p>
    <w:p w14:paraId="4128E3D4" w14:textId="77777777" w:rsidR="00453A27" w:rsidRDefault="00453A27" w:rsidP="00453A27">
      <w:pPr>
        <w:rPr>
          <w:lang w:val="ru-RU"/>
        </w:rPr>
      </w:pPr>
      <w:r>
        <w:rPr>
          <w:lang w:val="ru-RU"/>
        </w:rPr>
        <w:t>- идентификация програмного обеспечения: соответствует</w:t>
      </w:r>
    </w:p>
    <w:p w14:paraId="58B91388" w14:textId="77777777" w:rsidR="00453A27" w:rsidRDefault="00453A27" w:rsidP="00453A27">
      <w:pPr>
        <w:rPr>
          <w:lang w:val="ru-RU"/>
        </w:rPr>
      </w:pPr>
      <w:r>
        <w:rPr>
          <w:lang w:val="ru-RU"/>
        </w:rPr>
        <w:t>- наличие обязательных надписей: соответствует</w:t>
      </w:r>
    </w:p>
    <w:p w14:paraId="4F2F283D" w14:textId="77777777" w:rsidR="00453A27" w:rsidRPr="000208FC" w:rsidRDefault="00453A27" w:rsidP="00453A27">
      <w:pPr>
        <w:rPr>
          <w:lang w:val="ru-RU"/>
        </w:rPr>
      </w:pPr>
      <w:r>
        <w:rPr>
          <w:lang w:val="ru-RU"/>
        </w:rPr>
        <w:t>- наличие мест для знака поверки и контрольных пломб: соответствует</w:t>
      </w:r>
    </w:p>
    <w:p w14:paraId="5F279236" w14:textId="77777777" w:rsidR="00453A27" w:rsidRDefault="00453A27" w:rsidP="00453A27">
      <w:pPr>
        <w:rPr>
          <w:lang w:val="ru-RU"/>
        </w:rPr>
      </w:pPr>
      <w:r>
        <w:rPr>
          <w:lang w:val="ru-RU"/>
        </w:rPr>
        <w:t xml:space="preserve">2. Опробование: </w:t>
      </w:r>
    </w:p>
    <w:p w14:paraId="0C210A98" w14:textId="77777777" w:rsidR="00453A27" w:rsidRDefault="00453A27" w:rsidP="00453A27">
      <w:pPr>
        <w:rPr>
          <w:lang w:val="ru-RU"/>
        </w:rPr>
      </w:pPr>
      <w:r>
        <w:rPr>
          <w:lang w:val="ru-RU"/>
        </w:rPr>
        <w:t>- работоспособность весов и входящих в них отдельных устройств и механизмов: соответствует</w:t>
      </w:r>
    </w:p>
    <w:p w14:paraId="6AA02F0D" w14:textId="77777777" w:rsidR="00453A27" w:rsidRDefault="00453A27" w:rsidP="00453A27">
      <w:pPr>
        <w:rPr>
          <w:lang w:val="ru-RU"/>
        </w:rPr>
      </w:pPr>
      <w:r>
        <w:rPr>
          <w:lang w:val="ru-RU"/>
        </w:rPr>
        <w:t>- функционирование устройств установки на нуль и тарирования: соответствует</w:t>
      </w:r>
    </w:p>
    <w:p w14:paraId="1E39EAA7" w14:textId="77777777" w:rsidR="00453A27" w:rsidRDefault="00453A27" w:rsidP="00453A27">
      <w:pPr>
        <w:rPr>
          <w:lang w:val="ru-RU"/>
        </w:rPr>
      </w:pPr>
      <w:r>
        <w:rPr>
          <w:lang w:val="ru-RU"/>
        </w:rPr>
        <w:t>- отсутствие показаний весов со значениями более (</w:t>
      </w:r>
      <w:r>
        <w:rPr>
          <w:lang w:val="en-US"/>
        </w:rPr>
        <w:t>Max</w:t>
      </w:r>
      <w:r>
        <w:rPr>
          <w:lang w:val="ru-RU"/>
        </w:rPr>
        <w:t>+9е): соответствует</w:t>
      </w:r>
    </w:p>
    <w:p w14:paraId="2EEBD5D8" w14:textId="77777777" w:rsidR="00453A27" w:rsidRDefault="00453A27" w:rsidP="00453A27">
      <w:pPr>
        <w:pStyle w:val="a6"/>
      </w:pPr>
      <w:r>
        <w:t>3. Определение метрологических характеристик весов:</w:t>
      </w:r>
    </w:p>
    <w:p w14:paraId="28779CC2" w14:textId="77777777" w:rsidR="00453A27" w:rsidRDefault="00453A27" w:rsidP="00453A27">
      <w:pPr>
        <w:pStyle w:val="a6"/>
      </w:pPr>
      <w:r>
        <w:t xml:space="preserve">3.1 Проверка повторяемости (размаха) показаний:     </w:t>
      </w:r>
    </w:p>
    <w:bookmarkStart w:id="14" w:name="_MON_1744792451"/>
    <w:bookmarkEnd w:id="14"/>
    <w:p w14:paraId="0FC5776D" w14:textId="77777777" w:rsidR="00453A27" w:rsidRDefault="007B6FE5" w:rsidP="00453A27">
      <w:pPr>
        <w:pStyle w:val="a6"/>
      </w:pPr>
      <w:r>
        <w:object w:dxaOrig="7800" w:dyaOrig="2267" w14:anchorId="459E1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13.4pt" o:ole="">
            <v:imagedata r:id="rId8" o:title=""/>
          </v:shape>
          <o:OLEObject Type="Embed" ProgID="Excel.Sheet.12" ShapeID="_x0000_i1025" DrawAspect="Content" ObjectID="_1768764919" r:id="rId9"/>
        </w:object>
      </w:r>
      <w:r w:rsidR="00453A27">
        <w:t xml:space="preserve">   </w:t>
      </w:r>
    </w:p>
    <w:bookmarkStart w:id="15" w:name="_MON_1632730183"/>
    <w:bookmarkEnd w:id="15"/>
    <w:p w14:paraId="258345E0" w14:textId="77777777" w:rsidR="00453A27" w:rsidRPr="002772BF" w:rsidRDefault="00453A27" w:rsidP="00453A27">
      <w:pPr>
        <w:rPr>
          <w:lang w:val="ru-RU"/>
        </w:rPr>
      </w:pPr>
      <w:r>
        <w:object w:dxaOrig="7954" w:dyaOrig="2354" w14:anchorId="5E284434">
          <v:shape id="_x0000_i1026" type="#_x0000_t75" style="width:397.8pt;height:117.6pt" o:ole="">
            <v:imagedata r:id="rId10" o:title=""/>
          </v:shape>
          <o:OLEObject Type="Embed" ProgID="Excel.Sheet.12" ShapeID="_x0000_i1026" DrawAspect="Content" ObjectID="_1768764920" r:id="rId11"/>
        </w:object>
      </w:r>
    </w:p>
    <w:p w14:paraId="381C5B79" w14:textId="77777777" w:rsidR="00453A27" w:rsidRDefault="00453A27" w:rsidP="00453A27">
      <w:pPr>
        <w:pStyle w:val="a6"/>
      </w:pPr>
    </w:p>
    <w:p w14:paraId="32EDF42B" w14:textId="77777777" w:rsidR="00453A27" w:rsidRDefault="00453A27" w:rsidP="00453A27">
      <w:pPr>
        <w:pStyle w:val="a6"/>
      </w:pPr>
      <w:r>
        <w:t>3.2 Определение погрешности при установке на нуль и погрешности весов  при центрально-симметричном нагружении:</w:t>
      </w:r>
    </w:p>
    <w:bookmarkStart w:id="16" w:name="_MON_1744793707"/>
    <w:bookmarkEnd w:id="16"/>
    <w:p w14:paraId="6DBCECD6" w14:textId="77777777" w:rsidR="00453A27" w:rsidRDefault="007B6FE5" w:rsidP="00453A27">
      <w:pPr>
        <w:pStyle w:val="a6"/>
      </w:pPr>
      <w:r>
        <w:object w:dxaOrig="7800" w:dyaOrig="2267" w14:anchorId="49CD7427">
          <v:shape id="_x0000_i1027" type="#_x0000_t75" style="width:390pt;height:113.4pt" o:ole="">
            <v:imagedata r:id="rId12" o:title=""/>
          </v:shape>
          <o:OLEObject Type="Embed" ProgID="Excel.Sheet.12" ShapeID="_x0000_i1027" DrawAspect="Content" ObjectID="_1768764921" r:id="rId13"/>
        </w:object>
      </w:r>
    </w:p>
    <w:p w14:paraId="03D6B812" w14:textId="77777777" w:rsidR="00453A27" w:rsidRPr="005F358E" w:rsidRDefault="00453A27" w:rsidP="00453A27">
      <w:pPr>
        <w:pStyle w:val="a6"/>
      </w:pPr>
      <w:r>
        <w:t>Е</w:t>
      </w:r>
      <w:r w:rsidRPr="00E82D54">
        <w:rPr>
          <w:vertAlign w:val="subscript"/>
        </w:rPr>
        <w:t xml:space="preserve">0 </w:t>
      </w:r>
      <w:r w:rsidRPr="00E82D54">
        <w:t xml:space="preserve">= </w:t>
      </w:r>
      <w:r w:rsidRPr="00EF0601">
        <w:rPr>
          <w:lang w:val="en-US"/>
        </w:rPr>
        <w:t>I</w:t>
      </w:r>
      <w:r w:rsidRPr="00E82D54">
        <w:rPr>
          <w:vertAlign w:val="subscript"/>
        </w:rPr>
        <w:t>0</w:t>
      </w:r>
      <w:r w:rsidRPr="00E82D54">
        <w:t xml:space="preserve"> – </w:t>
      </w:r>
      <w:r w:rsidRPr="00EF0601">
        <w:rPr>
          <w:lang w:val="en-US"/>
        </w:rPr>
        <w:t>L</w:t>
      </w:r>
      <w:r w:rsidRPr="00E82D54">
        <w:rPr>
          <w:vertAlign w:val="subscript"/>
        </w:rPr>
        <w:t>0</w:t>
      </w:r>
      <w:r w:rsidRPr="00E82D54">
        <w:t>+0.5</w:t>
      </w:r>
      <w:r w:rsidRPr="00593632">
        <w:rPr>
          <w:lang w:val="en-US"/>
        </w:rPr>
        <w:t>d</w:t>
      </w:r>
      <w:r w:rsidRPr="00E82D54">
        <w:t>-</w:t>
      </w:r>
      <w:r w:rsidRPr="00EF0601">
        <w:rPr>
          <w:lang w:val="en-US"/>
        </w:rPr>
        <w:t>ΔL</w:t>
      </w:r>
      <w:r w:rsidRPr="00E82D54">
        <w:rPr>
          <w:vertAlign w:val="subscript"/>
        </w:rPr>
        <w:t xml:space="preserve">0 </w:t>
      </w:r>
      <w:r w:rsidRPr="00E82D54">
        <w:t>= 200-200+</w:t>
      </w:r>
      <w:r>
        <w:t>0,5*20-15</w:t>
      </w:r>
      <w:r w:rsidRPr="00E82D54">
        <w:t xml:space="preserve"> = -</w:t>
      </w:r>
      <w:r>
        <w:t>5</w:t>
      </w:r>
      <w:r w:rsidRPr="00E82D54">
        <w:t xml:space="preserve"> </w:t>
      </w:r>
      <w:r>
        <w:t>г</w:t>
      </w:r>
      <w:r w:rsidRPr="00E82D54">
        <w:t xml:space="preserve"> (</w:t>
      </w:r>
      <w:r>
        <w:t>Е</w:t>
      </w:r>
      <w:r w:rsidRPr="00E82D54">
        <w:rPr>
          <w:vertAlign w:val="subscript"/>
        </w:rPr>
        <w:t xml:space="preserve">0 </w:t>
      </w:r>
      <w:r w:rsidRPr="00E82D54">
        <w:t>= ± 0,25</w:t>
      </w:r>
      <w:r>
        <w:t>е</w:t>
      </w:r>
      <w:r w:rsidRPr="00E82D54">
        <w:t>)</w:t>
      </w:r>
    </w:p>
    <w:p w14:paraId="5F60346C" w14:textId="77777777" w:rsidR="00453A27" w:rsidRPr="00161937" w:rsidRDefault="00453A27" w:rsidP="00453A27">
      <w:pPr>
        <w:rPr>
          <w:lang w:val="ru-RU"/>
        </w:rPr>
      </w:pPr>
    </w:p>
    <w:bookmarkStart w:id="17" w:name="_MON_1632732008"/>
    <w:bookmarkEnd w:id="17"/>
    <w:p w14:paraId="08C801AF" w14:textId="77777777" w:rsidR="00453A27" w:rsidRDefault="00453A27" w:rsidP="00453A27">
      <w:pPr>
        <w:rPr>
          <w:lang w:val="ru-RU"/>
        </w:rPr>
      </w:pPr>
      <w:r>
        <w:object w:dxaOrig="10506" w:dyaOrig="2938" w14:anchorId="69EDE045">
          <v:shape id="_x0000_i1028" type="#_x0000_t75" style="width:516.6pt;height:144.6pt" o:ole="">
            <v:imagedata r:id="rId14" o:title=""/>
          </v:shape>
          <o:OLEObject Type="Embed" ProgID="Excel.Sheet.12" ShapeID="_x0000_i1028" DrawAspect="Content" ObjectID="_1768764922" r:id="rId15"/>
        </w:object>
      </w:r>
    </w:p>
    <w:p w14:paraId="7BF54002" w14:textId="77777777" w:rsidR="00453A27" w:rsidRDefault="00453A27" w:rsidP="00453A27">
      <w:pPr>
        <w:pStyle w:val="a6"/>
      </w:pPr>
    </w:p>
    <w:p w14:paraId="0AA577BA" w14:textId="77777777" w:rsidR="007B6FE5" w:rsidRDefault="007B6FE5" w:rsidP="00453A27">
      <w:pPr>
        <w:pStyle w:val="a6"/>
      </w:pPr>
    </w:p>
    <w:p w14:paraId="08EEDCBC" w14:textId="77777777" w:rsidR="007B6FE5" w:rsidRDefault="007B6FE5" w:rsidP="00453A27">
      <w:pPr>
        <w:pStyle w:val="a6"/>
      </w:pPr>
    </w:p>
    <w:p w14:paraId="4E96DAAF" w14:textId="77777777" w:rsidR="007B6FE5" w:rsidRDefault="007B6FE5" w:rsidP="00453A27">
      <w:pPr>
        <w:pStyle w:val="a6"/>
      </w:pPr>
    </w:p>
    <w:p w14:paraId="0C5042DF" w14:textId="77777777" w:rsidR="00453A27" w:rsidRDefault="00453A27" w:rsidP="00453A27">
      <w:pPr>
        <w:pStyle w:val="a6"/>
      </w:pPr>
      <w:r>
        <w:lastRenderedPageBreak/>
        <w:t>3.3 Определение погрешности при нецентральном нагружении:</w:t>
      </w:r>
    </w:p>
    <w:bookmarkStart w:id="18" w:name="_MON_1744793721"/>
    <w:bookmarkEnd w:id="18"/>
    <w:p w14:paraId="7E220993" w14:textId="77777777" w:rsidR="00453A27" w:rsidRDefault="007B6FE5" w:rsidP="00453A27">
      <w:pPr>
        <w:pStyle w:val="a6"/>
      </w:pPr>
      <w:r>
        <w:object w:dxaOrig="7440" w:dyaOrig="2232" w14:anchorId="65C1AAAE">
          <v:shape id="_x0000_i1029" type="#_x0000_t75" style="width:372pt;height:111.6pt" o:ole="">
            <v:imagedata r:id="rId16" o:title=""/>
          </v:shape>
          <o:OLEObject Type="Embed" ProgID="Excel.Sheet.12" ShapeID="_x0000_i1029" DrawAspect="Content" ObjectID="_1768764923" r:id="rId17"/>
        </w:object>
      </w:r>
    </w:p>
    <w:p w14:paraId="7AD63ED1" w14:textId="251CA6A2" w:rsidR="00453A27" w:rsidRDefault="008F0326" w:rsidP="00453A27">
      <w:pPr>
        <w:pStyle w:val="a6"/>
      </w:pPr>
      <w:r>
        <w:rPr>
          <w:noProof/>
        </w:rPr>
        <w:drawing>
          <wp:inline distT="0" distB="0" distL="0" distR="0" wp14:anchorId="51BDB977" wp14:editId="10443E74">
            <wp:extent cx="3093720" cy="769620"/>
            <wp:effectExtent l="0" t="0" r="0" b="0"/>
            <wp:docPr id="6" name="Рисунок 6" descr="ГОСТ Р 53228-2008 Весы неавтоматического действия. Часть 1. Метрологические и технические требования. Испытания (с Изменением N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СТ Р 53228-2008 Весы неавтоматического действия. Часть 1. Метрологические и технические требования. Испытания (с Изменением N 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_MON_1592210975"/>
    <w:bookmarkStart w:id="20" w:name="_MON_1592211012"/>
    <w:bookmarkStart w:id="21" w:name="_MON_1592211051"/>
    <w:bookmarkEnd w:id="19"/>
    <w:bookmarkEnd w:id="20"/>
    <w:bookmarkEnd w:id="21"/>
    <w:p w14:paraId="0834BFDB" w14:textId="77777777" w:rsidR="00453A27" w:rsidRDefault="00453A27" w:rsidP="00453A27">
      <w:pPr>
        <w:rPr>
          <w:lang w:val="ru-RU"/>
        </w:rPr>
      </w:pPr>
      <w:r>
        <w:object w:dxaOrig="10345" w:dyaOrig="4793" w14:anchorId="7680E56A">
          <v:shape id="_x0000_i1031" type="#_x0000_t75" style="width:466.8pt;height:3in" o:ole="">
            <v:imagedata r:id="rId19" o:title=""/>
          </v:shape>
          <o:OLEObject Type="Embed" ProgID="Excel.Sheet.12" ShapeID="_x0000_i1031" DrawAspect="Content" ObjectID="_1768764924" r:id="rId20"/>
        </w:object>
      </w:r>
    </w:p>
    <w:p w14:paraId="6AB0E5A2" w14:textId="77777777" w:rsidR="00453A27" w:rsidRDefault="00453A27" w:rsidP="00453A27">
      <w:pPr>
        <w:pStyle w:val="a6"/>
      </w:pPr>
    </w:p>
    <w:p w14:paraId="1F667715" w14:textId="77777777" w:rsidR="00453A27" w:rsidRDefault="00453A27" w:rsidP="00453A27">
      <w:pPr>
        <w:pStyle w:val="a6"/>
      </w:pPr>
      <w:r>
        <w:t>3.4 Определение погрешности при работе устройства тарирования:</w:t>
      </w:r>
    </w:p>
    <w:bookmarkStart w:id="22" w:name="_MON_1744793738"/>
    <w:bookmarkEnd w:id="22"/>
    <w:p w14:paraId="38F32471" w14:textId="77777777" w:rsidR="00453A27" w:rsidRPr="00161937" w:rsidRDefault="007B6FE5" w:rsidP="00453A27">
      <w:pPr>
        <w:rPr>
          <w:lang w:val="ru-RU"/>
        </w:rPr>
      </w:pPr>
      <w:r>
        <w:object w:dxaOrig="7800" w:dyaOrig="2267" w14:anchorId="49EE15E2">
          <v:shape id="_x0000_i1032" type="#_x0000_t75" style="width:390pt;height:113.4pt" o:ole="">
            <v:imagedata r:id="rId21" o:title=""/>
          </v:shape>
          <o:OLEObject Type="Embed" ProgID="Excel.Sheet.12" ShapeID="_x0000_i1032" DrawAspect="Content" ObjectID="_1768764925" r:id="rId22"/>
        </w:object>
      </w:r>
    </w:p>
    <w:bookmarkStart w:id="23" w:name="_MON_1634026912"/>
    <w:bookmarkEnd w:id="23"/>
    <w:p w14:paraId="62C9C549" w14:textId="77777777" w:rsidR="00453A27" w:rsidRPr="005F358E" w:rsidRDefault="00453A27" w:rsidP="00453A27">
      <w:pPr>
        <w:pStyle w:val="a6"/>
        <w:rPr>
          <w:lang w:val="en-US"/>
        </w:rPr>
      </w:pPr>
      <w:r>
        <w:object w:dxaOrig="10345" w:dyaOrig="6156" w14:anchorId="4DCA5B0A">
          <v:shape id="_x0000_i1033" type="#_x0000_t75" style="width:517.2pt;height:307.8pt" o:ole="">
            <v:imagedata r:id="rId23" o:title=""/>
          </v:shape>
          <o:OLEObject Type="Embed" ProgID="Excel.Sheet.12" ShapeID="_x0000_i1033" DrawAspect="Content" ObjectID="_1768764926" r:id="rId24"/>
        </w:object>
      </w:r>
    </w:p>
    <w:p w14:paraId="71A2713C" w14:textId="77777777" w:rsidR="00575D4F" w:rsidRPr="00DB2293" w:rsidRDefault="00575D4F" w:rsidP="00575D4F">
      <w:pPr>
        <w:spacing w:before="360" w:after="120"/>
        <w:ind w:firstLine="4321"/>
        <w:rPr>
          <w:color w:val="000000"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r w:rsidRPr="00B04471">
        <w:rPr>
          <w:color w:val="000000"/>
          <w:lang w:val="ru-RU"/>
        </w:rPr>
        <w:t xml:space="preserve">СИ  </w:t>
      </w:r>
      <w:r>
        <w:rPr>
          <w:color w:val="000000"/>
          <w:lang w:val="ru-RU"/>
        </w:rPr>
        <w:t>соответствует установленным в описании типа метрологическим требованиям и пригодно к применению.</w:t>
      </w:r>
      <w:r w:rsidRPr="00674F98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br/>
      </w:r>
      <w:r>
        <w:rPr>
          <w:lang w:val="ru-RU"/>
        </w:rPr>
        <w:t xml:space="preserve">Поверитель      _____________    </w:t>
      </w:r>
      <w:bookmarkStart w:id="24" w:name="pover"/>
      <w:bookmarkEnd w:id="24"/>
      <w:r w:rsidR="007B6FE5">
        <w:rPr>
          <w:lang w:val="ru-RU"/>
        </w:rPr>
        <w:t>С.В. Стариков</w:t>
      </w:r>
      <w:r>
        <w:rPr>
          <w:lang w:val="ru-RU"/>
        </w:rPr>
        <w:t xml:space="preserve">                                </w:t>
      </w:r>
      <w:r>
        <w:t>Дата поверки</w:t>
      </w:r>
      <w:r>
        <w:rPr>
          <w:lang w:val="ru-RU"/>
        </w:rPr>
        <w:t xml:space="preserve">  </w:t>
      </w:r>
      <w:bookmarkStart w:id="25" w:name="data_pov"/>
      <w:bookmarkEnd w:id="25"/>
      <w:r w:rsidR="007B6FE5">
        <w:rPr>
          <w:lang w:val="ru-RU"/>
        </w:rPr>
        <w:t>04</w:t>
      </w:r>
      <w:r>
        <w:rPr>
          <w:lang w:val="ru-RU"/>
        </w:rPr>
        <w:t xml:space="preserve"> </w:t>
      </w:r>
      <w:r w:rsidR="007B6FE5">
        <w:rPr>
          <w:lang w:val="ru-RU"/>
        </w:rPr>
        <w:t>сентября</w:t>
      </w:r>
      <w:r>
        <w:rPr>
          <w:lang w:val="ru-RU"/>
        </w:rPr>
        <w:t xml:space="preserve"> 2023 г. </w:t>
      </w:r>
      <w:r>
        <w:rPr>
          <w:color w:val="FFFFFF"/>
          <w:lang w:val="ru-RU"/>
        </w:rPr>
        <w:t>.</w:t>
      </w:r>
      <w:r>
        <w:rPr>
          <w:u w:val="single"/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vertAlign w:val="superscript"/>
          <w:lang w:val="ru-RU"/>
        </w:rPr>
        <w:t xml:space="preserve">                                                (</w:t>
      </w:r>
      <w:r>
        <w:rPr>
          <w:vertAlign w:val="superscript"/>
        </w:rPr>
        <w:t>подпись)</w:t>
      </w:r>
    </w:p>
    <w:p w14:paraId="7FDF0454" w14:textId="77777777" w:rsidR="00575D4F" w:rsidRPr="00BB19BA" w:rsidRDefault="00575D4F" w:rsidP="00575D4F">
      <w:pPr>
        <w:spacing w:before="360" w:after="120"/>
        <w:rPr>
          <w:lang w:val="ru-RU"/>
        </w:rPr>
      </w:pPr>
    </w:p>
    <w:p w14:paraId="29B5FC55" w14:textId="77777777" w:rsidR="00C65361" w:rsidRPr="00CD1E80" w:rsidRDefault="00C65361" w:rsidP="00575D4F">
      <w:pPr>
        <w:spacing w:before="360" w:after="120"/>
        <w:ind w:firstLine="4321"/>
        <w:rPr>
          <w:color w:val="000000"/>
        </w:rPr>
      </w:pPr>
    </w:p>
    <w:sectPr w:rsidR="00C65361" w:rsidRPr="00CD1E80" w:rsidSect="005D5D2C">
      <w:footerReference w:type="default" r:id="rId25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5FE4" w14:textId="77777777" w:rsidR="00DB2834" w:rsidRDefault="00DB2834" w:rsidP="00C61554">
      <w:r>
        <w:separator/>
      </w:r>
    </w:p>
  </w:endnote>
  <w:endnote w:type="continuationSeparator" w:id="0">
    <w:p w14:paraId="23C2B5C1" w14:textId="77777777" w:rsidR="00DB2834" w:rsidRDefault="00DB2834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D824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624D6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624D6">
      <w:rPr>
        <w:b/>
        <w:noProof/>
      </w:rPr>
      <w:t>4</w:t>
    </w:r>
    <w:r>
      <w:rPr>
        <w:b/>
      </w:rPr>
      <w:fldChar w:fldCharType="end"/>
    </w:r>
  </w:p>
  <w:p w14:paraId="4408D377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1953" w14:textId="77777777" w:rsidR="00DB2834" w:rsidRDefault="00DB2834" w:rsidP="00C61554">
      <w:r>
        <w:separator/>
      </w:r>
    </w:p>
  </w:footnote>
  <w:footnote w:type="continuationSeparator" w:id="0">
    <w:p w14:paraId="26FC6D57" w14:textId="77777777" w:rsidR="00DB2834" w:rsidRDefault="00DB2834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6315"/>
    <w:rsid w:val="000E5E1E"/>
    <w:rsid w:val="000E5ED0"/>
    <w:rsid w:val="000E71EC"/>
    <w:rsid w:val="000F18AD"/>
    <w:rsid w:val="000F797D"/>
    <w:rsid w:val="00120CB4"/>
    <w:rsid w:val="001222C3"/>
    <w:rsid w:val="0013204D"/>
    <w:rsid w:val="00154103"/>
    <w:rsid w:val="00156548"/>
    <w:rsid w:val="001706F7"/>
    <w:rsid w:val="001803A8"/>
    <w:rsid w:val="00181182"/>
    <w:rsid w:val="00194D02"/>
    <w:rsid w:val="00197528"/>
    <w:rsid w:val="001A1EFE"/>
    <w:rsid w:val="001B4E4E"/>
    <w:rsid w:val="001C48AD"/>
    <w:rsid w:val="001C4F8B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948C2"/>
    <w:rsid w:val="00296967"/>
    <w:rsid w:val="002A3AB6"/>
    <w:rsid w:val="002A7CCA"/>
    <w:rsid w:val="002B481F"/>
    <w:rsid w:val="002D07BC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1C89"/>
    <w:rsid w:val="00357BD5"/>
    <w:rsid w:val="003624D6"/>
    <w:rsid w:val="003659E7"/>
    <w:rsid w:val="0037549D"/>
    <w:rsid w:val="00377744"/>
    <w:rsid w:val="003833D7"/>
    <w:rsid w:val="00383CE0"/>
    <w:rsid w:val="00390BA5"/>
    <w:rsid w:val="003A30AB"/>
    <w:rsid w:val="003A4B20"/>
    <w:rsid w:val="003E7FB7"/>
    <w:rsid w:val="003F1E4F"/>
    <w:rsid w:val="00402CB5"/>
    <w:rsid w:val="00405F3E"/>
    <w:rsid w:val="0040739D"/>
    <w:rsid w:val="00415D4B"/>
    <w:rsid w:val="004224BD"/>
    <w:rsid w:val="004265CA"/>
    <w:rsid w:val="00453A27"/>
    <w:rsid w:val="0049133F"/>
    <w:rsid w:val="004B28B5"/>
    <w:rsid w:val="004C3A05"/>
    <w:rsid w:val="004C7EAE"/>
    <w:rsid w:val="004D47EC"/>
    <w:rsid w:val="004D7453"/>
    <w:rsid w:val="004E0B4B"/>
    <w:rsid w:val="004E6694"/>
    <w:rsid w:val="00524A09"/>
    <w:rsid w:val="00525D44"/>
    <w:rsid w:val="00547DA6"/>
    <w:rsid w:val="005527D8"/>
    <w:rsid w:val="00555341"/>
    <w:rsid w:val="00575D4F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7EC"/>
    <w:rsid w:val="006128E5"/>
    <w:rsid w:val="00612B99"/>
    <w:rsid w:val="006265F6"/>
    <w:rsid w:val="00630520"/>
    <w:rsid w:val="00643DE8"/>
    <w:rsid w:val="006443C5"/>
    <w:rsid w:val="0065527D"/>
    <w:rsid w:val="00655D67"/>
    <w:rsid w:val="0066417D"/>
    <w:rsid w:val="00674F98"/>
    <w:rsid w:val="006835FF"/>
    <w:rsid w:val="006A53AB"/>
    <w:rsid w:val="006B0B8B"/>
    <w:rsid w:val="006C4F73"/>
    <w:rsid w:val="006F1B8D"/>
    <w:rsid w:val="00700A2E"/>
    <w:rsid w:val="00701216"/>
    <w:rsid w:val="00712D57"/>
    <w:rsid w:val="00730AFD"/>
    <w:rsid w:val="007312D9"/>
    <w:rsid w:val="00737969"/>
    <w:rsid w:val="00751C3E"/>
    <w:rsid w:val="007572E9"/>
    <w:rsid w:val="00763FA9"/>
    <w:rsid w:val="007825FC"/>
    <w:rsid w:val="007A5734"/>
    <w:rsid w:val="007B6FE5"/>
    <w:rsid w:val="007C097B"/>
    <w:rsid w:val="007C5C24"/>
    <w:rsid w:val="007D2AB3"/>
    <w:rsid w:val="007E293E"/>
    <w:rsid w:val="007E2952"/>
    <w:rsid w:val="007E7DB8"/>
    <w:rsid w:val="007F2162"/>
    <w:rsid w:val="00800F73"/>
    <w:rsid w:val="00802DBD"/>
    <w:rsid w:val="00811D45"/>
    <w:rsid w:val="0082277A"/>
    <w:rsid w:val="008244EC"/>
    <w:rsid w:val="00835A76"/>
    <w:rsid w:val="00843CB3"/>
    <w:rsid w:val="00862F06"/>
    <w:rsid w:val="00872C89"/>
    <w:rsid w:val="00881EED"/>
    <w:rsid w:val="00887E1E"/>
    <w:rsid w:val="008A4510"/>
    <w:rsid w:val="008B3433"/>
    <w:rsid w:val="008B57F7"/>
    <w:rsid w:val="008C6CA6"/>
    <w:rsid w:val="008F0326"/>
    <w:rsid w:val="008F2E82"/>
    <w:rsid w:val="008F691F"/>
    <w:rsid w:val="00916C0E"/>
    <w:rsid w:val="00917BAA"/>
    <w:rsid w:val="00922542"/>
    <w:rsid w:val="00922C67"/>
    <w:rsid w:val="00924BB9"/>
    <w:rsid w:val="00932AC9"/>
    <w:rsid w:val="00942FB5"/>
    <w:rsid w:val="00947D67"/>
    <w:rsid w:val="009524ED"/>
    <w:rsid w:val="00966FA0"/>
    <w:rsid w:val="0096735B"/>
    <w:rsid w:val="00973CA1"/>
    <w:rsid w:val="00984563"/>
    <w:rsid w:val="009975A1"/>
    <w:rsid w:val="009A21F1"/>
    <w:rsid w:val="009A25D2"/>
    <w:rsid w:val="009D320F"/>
    <w:rsid w:val="009D5191"/>
    <w:rsid w:val="009E35C9"/>
    <w:rsid w:val="009E604E"/>
    <w:rsid w:val="009F5830"/>
    <w:rsid w:val="00A41407"/>
    <w:rsid w:val="00A41FE4"/>
    <w:rsid w:val="00A51709"/>
    <w:rsid w:val="00A51E97"/>
    <w:rsid w:val="00A54C2B"/>
    <w:rsid w:val="00A75094"/>
    <w:rsid w:val="00A76C58"/>
    <w:rsid w:val="00A86240"/>
    <w:rsid w:val="00A91B01"/>
    <w:rsid w:val="00A93BDF"/>
    <w:rsid w:val="00AA4D07"/>
    <w:rsid w:val="00AB60A1"/>
    <w:rsid w:val="00AD0C2B"/>
    <w:rsid w:val="00AD5AB6"/>
    <w:rsid w:val="00AE4FC8"/>
    <w:rsid w:val="00AE5A35"/>
    <w:rsid w:val="00AF0160"/>
    <w:rsid w:val="00AF2347"/>
    <w:rsid w:val="00B00629"/>
    <w:rsid w:val="00B04471"/>
    <w:rsid w:val="00B27CB4"/>
    <w:rsid w:val="00B34D22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A566B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5ADD"/>
    <w:rsid w:val="00BF6F53"/>
    <w:rsid w:val="00C05CA7"/>
    <w:rsid w:val="00C16FD8"/>
    <w:rsid w:val="00C179F9"/>
    <w:rsid w:val="00C27782"/>
    <w:rsid w:val="00C542BE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1E80"/>
    <w:rsid w:val="00CD6938"/>
    <w:rsid w:val="00CE3D10"/>
    <w:rsid w:val="00CE63E1"/>
    <w:rsid w:val="00D0658F"/>
    <w:rsid w:val="00D11985"/>
    <w:rsid w:val="00D1729D"/>
    <w:rsid w:val="00D26357"/>
    <w:rsid w:val="00D348F6"/>
    <w:rsid w:val="00D43A1B"/>
    <w:rsid w:val="00D475FC"/>
    <w:rsid w:val="00D54E13"/>
    <w:rsid w:val="00D66FBB"/>
    <w:rsid w:val="00D717CF"/>
    <w:rsid w:val="00D8469E"/>
    <w:rsid w:val="00D87BB8"/>
    <w:rsid w:val="00DA4D75"/>
    <w:rsid w:val="00DB2834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26C92"/>
    <w:rsid w:val="00E37CD6"/>
    <w:rsid w:val="00E42716"/>
    <w:rsid w:val="00E54496"/>
    <w:rsid w:val="00E565A5"/>
    <w:rsid w:val="00E65DEB"/>
    <w:rsid w:val="00E77D1B"/>
    <w:rsid w:val="00E91A07"/>
    <w:rsid w:val="00E938FE"/>
    <w:rsid w:val="00EA0F27"/>
    <w:rsid w:val="00EB1415"/>
    <w:rsid w:val="00EB1E6E"/>
    <w:rsid w:val="00EB5FE2"/>
    <w:rsid w:val="00EC1351"/>
    <w:rsid w:val="00EF0C32"/>
    <w:rsid w:val="00F006A5"/>
    <w:rsid w:val="00F0693F"/>
    <w:rsid w:val="00F106AE"/>
    <w:rsid w:val="00F17C9F"/>
    <w:rsid w:val="00F252AD"/>
    <w:rsid w:val="00F33A5E"/>
    <w:rsid w:val="00F33E13"/>
    <w:rsid w:val="00F42F3D"/>
    <w:rsid w:val="00F44AE7"/>
    <w:rsid w:val="00F47295"/>
    <w:rsid w:val="00F503EC"/>
    <w:rsid w:val="00F52CD3"/>
    <w:rsid w:val="00F6045A"/>
    <w:rsid w:val="00F67B20"/>
    <w:rsid w:val="00F71378"/>
    <w:rsid w:val="00F77268"/>
    <w:rsid w:val="00F83219"/>
    <w:rsid w:val="00F90425"/>
    <w:rsid w:val="00F92360"/>
    <w:rsid w:val="00FA0810"/>
    <w:rsid w:val="00FA0A79"/>
    <w:rsid w:val="00FA2B20"/>
    <w:rsid w:val="00FA7D87"/>
    <w:rsid w:val="00FB140E"/>
    <w:rsid w:val="00FB51FB"/>
    <w:rsid w:val="00FB52C8"/>
    <w:rsid w:val="00FB5B4F"/>
    <w:rsid w:val="00FC7BF0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AB924"/>
  <w15:chartTrackingRefBased/>
  <w15:docId w15:val="{73609703-4110-4ADD-8399-007515D6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20">
    <w:name w:val="Заголовок 2 Знак"/>
    <w:link w:val="2"/>
    <w:rsid w:val="00CD1E80"/>
    <w:rPr>
      <w:sz w:val="24"/>
      <w:szCs w:val="24"/>
    </w:rPr>
  </w:style>
  <w:style w:type="character" w:customStyle="1" w:styleId="a7">
    <w:name w:val="Основной текст Знак"/>
    <w:link w:val="a6"/>
    <w:rsid w:val="00453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Excel_Worksheet5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package" Target="embeddings/Microsoft_Excel_Worksheet7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package" Target="embeddings/Microsoft_Excel_Worksheet6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B437-1E20-47D2-B635-129302EE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