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Implementation Specification: Analytics Dashboard Template Gallery</w:t>
      </w:r>
    </w:p>
    <w:p>
      <w:pPr>
        <w:pStyle w:val="Heading2"/>
        <w:pStyle w:val="MdHeading2"/>
      </w:pPr>
      <w:r>
        <w:t xml:space="preserve">How to use this document</w:t>
      </w:r>
    </w:p>
    <w:p>
      <w:pPr>
        <w:pStyle w:val="MdParagraph"/>
      </w:pPr>
      <w:r>
        <w:t xml:space="preserve">Treat this document as an execution contract for a coding agent. Follow the sections in order. Do not begin by recreating the screenshots as static images. Instead, reconstruct their shared dashboard shell and chart compositions as reusable React components, then populate them with synthetic data.</w:t>
      </w:r>
    </w:p>
    <w:p>
      <w:pPr>
        <w:pStyle w:val="MdSpace"/>
        <w:spacing w:before="0" w:after="60"/>
      </w:pPr>
    </w:p>
    <w:p>
      <w:pPr>
        <w:pStyle w:val="MdParagraph"/>
      </w:pPr>
      <w:r>
        <w:t xml:space="preserve">The supplied screenshots show four related dashboard views: Commission, Marketing, Sales, and Customer Analysis. They share a business-intelligence application frame but differ in density and chart vocabulary. The goal is to preserve the visual grammar and hierarchy while removing the source identity and all potentially confidential content.</w:t>
      </w:r>
    </w:p>
    <w:p>
      <w:pPr>
        <w:pStyle w:val="MdSpace"/>
        <w:spacing w:before="0" w:after="60"/>
      </w:pPr>
    </w:p>
    <w:p>
      <w:pPr>
        <w:pStyle w:val="Heading2"/>
        <w:pStyle w:val="MdHeading2"/>
      </w:pPr>
      <w:r>
        <w:t xml:space="preserve">Section 1 — Observe and preserve the visual invariants</w:t>
      </w:r>
    </w:p>
    <w:p>
      <w:pPr>
        <w:pStyle w:val="Heading3"/>
        <w:pStyle w:val="MdHeading3"/>
      </w:pPr>
      <w:r>
        <w:t xml:space="preserve">1.1 Shared application frame</w:t>
      </w:r>
    </w:p>
    <w:p>
      <w:pPr>
        <w:pStyle w:val="MdParagraph"/>
      </w:pPr>
      <w:r>
        <w:t xml:space="preserve">Each reference has a pale gray application canvas, a white top command bar, a persistent white left navigation rail, and a main content surface offset to the right. The source frame is approximately a 16:9 desktop analytics workspace, but some screenshots are tall because the page scrolls vertically.</w:t>
      </w:r>
    </w:p>
    <w:p>
      <w:pPr>
        <w:pStyle w:val="MdSpace"/>
        <w:spacing w:before="0" w:after="60"/>
      </w:pPr>
    </w:p>
    <w:p>
      <w:pPr>
        <w:pStyle w:val="MdParagraph"/>
      </w:pPr>
      <w:r>
        <w:t xml:space="preserve">Implement the shell as three layers: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Layer</w:t>
            </w:r>
          </w:p>
        </w:tc>
        <w:tc>
          <w:tcPr>
            <w:tcMar>
              <w:top w:type="dxa" w:w="100"/>
              <w:left w:type="dxa" w:w="120"/>
              <w:bottom w:type="dxa" w:w="100"/>
              <w:right w:type="dxa" w:w="120"/>
            </w:tcMar>
            <w:vAlign w:val="center"/>
          </w:tcPr>
          <w:p>
            <w:pPr>
              <w:pStyle w:val="MdTableHeader"/>
            </w:pPr>
            <w:r>
              <w:t xml:space="preserve">Desktop behavior</w:t>
            </w:r>
          </w:p>
        </w:tc>
        <w:tc>
          <w:tcPr>
            <w:tcBorders>
              <w:right w:val="none"/>
            </w:tcBorders>
            <w:tcMar>
              <w:top w:type="dxa" w:w="100"/>
              <w:left w:type="dxa" w:w="120"/>
              <w:bottom w:type="dxa" w:w="100"/>
              <w:right w:type="dxa" w:w="120"/>
            </w:tcMar>
            <w:vAlign w:val="center"/>
          </w:tcPr>
          <w:p>
            <w:pPr>
              <w:pStyle w:val="MdTableHeader"/>
            </w:pPr>
            <w:r>
              <w:t xml:space="preserve">Mobile behavior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Top bar</w:t>
            </w:r>
          </w:p>
        </w:tc>
        <w:tc>
          <w:tcPr>
            <w:tcMar>
              <w:top w:type="dxa" w:w="80"/>
              <w:left w:type="dxa" w:w="120"/>
              <w:bottom w:type="dxa" w:w="80"/>
              <w:right w:type="dxa" w:w="120"/>
            </w:tcMar>
            <w:vAlign w:val="center"/>
          </w:tcPr>
          <w:p>
            <w:pPr>
              <w:pStyle w:val="MdTableCell"/>
            </w:pPr>
            <w:r>
              <w:t xml:space="preserve">Fixed-height horizontal header spanning the viewport; brand at left, actions at right</w:t>
            </w:r>
          </w:p>
        </w:tc>
        <w:tc>
          <w:tcPr>
            <w:tcBorders>
              <w:right w:val="none"/>
            </w:tcBorders>
            <w:tcMar>
              <w:top w:type="dxa" w:w="80"/>
              <w:left w:type="dxa" w:w="120"/>
              <w:bottom w:type="dxa" w:w="80"/>
              <w:right w:type="dxa" w:w="120"/>
            </w:tcMar>
            <w:vAlign w:val="center"/>
          </w:tcPr>
          <w:p>
            <w:pPr>
              <w:pStyle w:val="MdTableCell"/>
            </w:pPr>
            <w:r>
              <w:t xml:space="preserve">Condensed header with brand mark, title, and one overflow action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Left rail</w:t>
            </w:r>
          </w:p>
        </w:tc>
        <w:tc>
          <w:tcPr>
            <w:tcMar>
              <w:top w:type="dxa" w:w="80"/>
              <w:left w:type="dxa" w:w="120"/>
              <w:bottom w:type="dxa" w:w="80"/>
              <w:right w:type="dxa" w:w="120"/>
            </w:tcMar>
            <w:vAlign w:val="center"/>
          </w:tcPr>
          <w:p>
            <w:pPr>
              <w:pStyle w:val="MdTableCell"/>
            </w:pPr>
            <w:r>
              <w:t xml:space="preserve">Fixed-width navigation column with five section links and a collapse affordance</w:t>
            </w:r>
          </w:p>
        </w:tc>
        <w:tc>
          <w:tcPr>
            <w:tcBorders>
              <w:right w:val="none"/>
            </w:tcBorders>
            <w:tcMar>
              <w:top w:type="dxa" w:w="80"/>
              <w:left w:type="dxa" w:w="120"/>
              <w:bottom w:type="dxa" w:w="80"/>
              <w:right w:type="dxa" w:w="120"/>
            </w:tcMar>
            <w:vAlign w:val="center"/>
          </w:tcPr>
          <w:p>
            <w:pPr>
              <w:pStyle w:val="MdTableCell"/>
            </w:pPr>
            <w:r>
              <w:t xml:space="preserve">Replaced by a compact horizontal tab strip or drawer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Main stage</w:t>
            </w:r>
          </w:p>
        </w:tc>
        <w:tc>
          <w:tcPr>
            <w:tcBorders>
              <w:bottom w:val="single" w:color="E1E4E8" w:sz="4"/>
            </w:tcBorders>
            <w:tcMar>
              <w:top w:type="dxa" w:w="80"/>
              <w:left w:type="dxa" w:w="120"/>
              <w:bottom w:type="dxa" w:w="80"/>
              <w:right w:type="dxa" w:w="120"/>
            </w:tcMar>
            <w:vAlign w:val="center"/>
          </w:tcPr>
          <w:p>
            <w:pPr>
              <w:pStyle w:val="MdTableCell"/>
            </w:pPr>
            <w:r>
              <w:t xml:space="preserve">Scrollable light-gray background containing a white dashboard frame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Full-width scrollable stage with preview cards stacked vertically</w:t>
            </w:r>
          </w:p>
        </w:tc>
      </w:tr>
    </w:tbl>
    <w:p>
      <w:pPr>
        <w:pStyle w:val="MdParagraph"/>
      </w:pPr>
      <w:r>
        <w:t xml:space="preserve">The shell should feel like a template gallery, not the original product. Use a generated abstract mark and a neutral brand name such as “Northstar Metrics Studio.” Do not reuse the source logo, source product name, source favicon, or source application controls verbatim.</w:t>
      </w:r>
    </w:p>
    <w:p>
      <w:pPr>
        <w:pStyle w:val="MdSpace"/>
        <w:spacing w:before="0" w:after="60"/>
      </w:pPr>
    </w:p>
    <w:p>
      <w:pPr>
        <w:pStyle w:val="Heading3"/>
        <w:pStyle w:val="MdHeading3"/>
      </w:pPr>
      <w:r>
        <w:t xml:space="preserve">1.2 Dashboard frame</w:t>
      </w:r>
    </w:p>
    <w:p>
      <w:pPr>
        <w:pStyle w:val="MdParagraph"/>
      </w:pPr>
      <w:r>
        <w:t xml:space="preserve">Inside the stage, each dashboard preview is a white or very pale surface with a deep green title strip at the top. The title strip contains a large page title on the left and one or more filter controls on the right. On the far right of the reference screenshots is a logo area; replace it with the abstract mark and keep it visually smaller than the title.</w:t>
      </w:r>
    </w:p>
    <w:p>
      <w:pPr>
        <w:pStyle w:val="MdSpace"/>
        <w:spacing w:before="0" w:after="60"/>
      </w:pPr>
    </w:p>
    <w:p>
      <w:pPr>
        <w:pStyle w:val="MdParagraph"/>
      </w:pPr>
      <w:r>
        <w:t xml:space="preserve">Use the following approximate layout rules:</w:t>
      </w:r>
    </w:p>
    <w:p>
      <w:pPr>
        <w:pStyle w:val="MdSpace"/>
        <w:spacing w:before="0" w:after="60"/>
      </w:pPr>
    </w:p>
    <w:p>
      <w:pPr>
        <w:pStyle w:val="MdListItem"/>
        <w:numPr>
          <w:ilvl w:val="0"/>
          <w:numId w:val="2"/>
        </w:numPr>
      </w:pPr>
      <w:r>
        <w:t xml:space="preserve">Main stage padding: 20–28px on desktop.</w:t>
      </w:r>
    </w:p>
    <w:p>
      <w:pPr>
        <w:pStyle w:val="MdListItem"/>
        <w:numPr>
          <w:ilvl w:val="0"/>
          <w:numId w:val="2"/>
        </w:numPr>
      </w:pPr>
      <w:r>
        <w:t xml:space="preserve">Dashboard frame max width: 1240–1440px, depending on viewport.</w:t>
      </w:r>
    </w:p>
    <w:p>
      <w:pPr>
        <w:pStyle w:val="MdListItem"/>
        <w:numPr>
          <w:ilvl w:val="0"/>
          <w:numId w:val="2"/>
        </w:numPr>
      </w:pPr>
      <w:r>
        <w:t xml:space="preserve">Title strip height: 58–72px.</w:t>
      </w:r>
    </w:p>
    <w:p>
      <w:pPr>
        <w:pStyle w:val="MdListItem"/>
        <w:numPr>
          <w:ilvl w:val="0"/>
          <w:numId w:val="2"/>
        </w:numPr>
      </w:pPr>
      <w:r>
        <w:t xml:space="preserve">Dashboard background: </w:t>
      </w:r>
      <w:r>
        <w:rPr>
          <w:rStyle w:val="MdCode"/>
          <w:u w:val="single"/>
        </w:rPr>
        <w:t xml:space="preserve">#F0F0EE</w:t>
      </w:r>
      <w:r>
        <w:t xml:space="preserve"> or an equivalent pale stone.</w:t>
      </w:r>
    </w:p>
    <w:p>
      <w:pPr>
        <w:pStyle w:val="MdListItem"/>
        <w:numPr>
          <w:ilvl w:val="0"/>
          <w:numId w:val="2"/>
        </w:numPr>
      </w:pPr>
      <w:r>
        <w:t xml:space="preserve">Panel background: white.</w:t>
      </w:r>
    </w:p>
    <w:p>
      <w:pPr>
        <w:pStyle w:val="MdListItem"/>
        <w:numPr>
          <w:ilvl w:val="0"/>
          <w:numId w:val="2"/>
        </w:numPr>
      </w:pPr>
      <w:r>
        <w:t xml:space="preserve">Primary green: approximately </w:t>
      </w:r>
      <w:r>
        <w:rPr>
          <w:rStyle w:val="MdCode"/>
          <w:u w:val="single"/>
        </w:rPr>
        <w:t xml:space="preserve">#0B5D48</w:t>
      </w:r>
      <w:r>
        <w:t xml:space="preserve">.</w:t>
      </w:r>
    </w:p>
    <w:p>
      <w:pPr>
        <w:pStyle w:val="MdListItem"/>
        <w:numPr>
          <w:ilvl w:val="0"/>
          <w:numId w:val="2"/>
        </w:numPr>
      </w:pPr>
      <w:r>
        <w:t xml:space="preserve">Body text: graphite, not pure black.</w:t>
      </w:r>
    </w:p>
    <w:p>
      <w:pPr>
        <w:pStyle w:val="MdListItem"/>
        <w:numPr>
          <w:ilvl w:val="0"/>
          <w:numId w:val="2"/>
        </w:numPr>
      </w:pPr>
      <w:r>
        <w:t xml:space="preserve">Chart bars and lines: the same primary green, with pale green and amber used only for comparison or warning states.</w:t>
      </w:r>
    </w:p>
    <w:p>
      <w:pPr>
        <w:pStyle w:val="MdListItem"/>
        <w:numPr>
          <w:ilvl w:val="0"/>
          <w:numId w:val="2"/>
        </w:numPr>
      </w:pPr>
      <w:r>
        <w:t xml:space="preserve">Panel corners: restrained 2–6px radius; do not turn every region into a rounded floating card.</w:t>
      </w:r>
    </w:p>
    <w:p>
      <w:pPr>
        <w:pStyle w:val="MdListItem"/>
        <w:numPr>
          <w:ilvl w:val="0"/>
          <w:numId w:val="2"/>
        </w:numPr>
      </w:pPr>
      <w:r>
        <w:t xml:space="preserve">Panel shadows: subtle, soft, and low contrast.</w:t>
      </w:r>
    </w:p>
    <w:p>
      <w:pPr>
        <w:pStyle w:val="MdSpace"/>
        <w:spacing w:before="0" w:after="60"/>
      </w:pPr>
    </w:p>
    <w:p>
      <w:pPr>
        <w:pStyle w:val="MdParagraph"/>
      </w:pPr>
      <w:r>
        <w:t xml:space="preserve">The screenshot’s most important visual effect is contrast between a quiet pale canvas and a strong green header/chart system. Preserve that relationship.</w:t>
      </w:r>
    </w:p>
    <w:p>
      <w:pPr>
        <w:pStyle w:val="MdSpace"/>
        <w:spacing w:before="0" w:after="60"/>
      </w:pPr>
    </w:p>
    <w:p>
      <w:pPr>
        <w:pStyle w:val="Heading3"/>
        <w:pStyle w:val="MdHeading3"/>
      </w:pPr>
      <w:r>
        <w:t xml:space="preserve">1.3 Typography hierarchy</w:t>
      </w:r>
    </w:p>
    <w:p>
      <w:pPr>
        <w:pStyle w:val="MdParagraph"/>
      </w:pPr>
      <w:r>
        <w:t xml:space="preserve">The source screenshots use large page titles, bold chart titles, compact filter labels, and very large KPI values. Implement a deliberate hierarchy:</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Element</w:t>
            </w:r>
          </w:p>
        </w:tc>
        <w:tc>
          <w:tcPr>
            <w:tcBorders>
              <w:right w:val="none"/>
            </w:tcBorders>
            <w:tcMar>
              <w:top w:type="dxa" w:w="100"/>
              <w:left w:type="dxa" w:w="120"/>
              <w:bottom w:type="dxa" w:w="100"/>
              <w:right w:type="dxa" w:w="120"/>
            </w:tcMar>
            <w:vAlign w:val="center"/>
          </w:tcPr>
          <w:p>
            <w:pPr>
              <w:pStyle w:val="MdTableHeader"/>
            </w:pPr>
            <w:r>
              <w:t xml:space="preserve">Suggested treatment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Gallery editorial heading</w:t>
            </w:r>
          </w:p>
        </w:tc>
        <w:tc>
          <w:tcPr>
            <w:tcBorders>
              <w:right w:val="none"/>
            </w:tcBorders>
            <w:tcMar>
              <w:top w:type="dxa" w:w="80"/>
              <w:left w:type="dxa" w:w="120"/>
              <w:bottom w:type="dxa" w:w="80"/>
              <w:right w:type="dxa" w:w="120"/>
            </w:tcMar>
            <w:vAlign w:val="center"/>
          </w:tcPr>
          <w:p>
            <w:pPr>
              <w:pStyle w:val="MdTableCell"/>
            </w:pPr>
            <w:r>
              <w:t xml:space="preserve">Source Serif 4, 48–64px, medium or semibold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Dashboard title</w:t>
            </w:r>
          </w:p>
        </w:tc>
        <w:tc>
          <w:tcPr>
            <w:tcBorders>
              <w:right w:val="none"/>
            </w:tcBorders>
            <w:tcMar>
              <w:top w:type="dxa" w:w="80"/>
              <w:left w:type="dxa" w:w="120"/>
              <w:bottom w:type="dxa" w:w="80"/>
              <w:right w:type="dxa" w:w="120"/>
            </w:tcMar>
            <w:vAlign w:val="center"/>
          </w:tcPr>
          <w:p>
            <w:pPr>
              <w:pStyle w:val="MdTableCell"/>
            </w:pPr>
            <w:r>
              <w:t xml:space="preserve">DM Sans, 34–48px, semibold, white on green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Section/chart title</w:t>
            </w:r>
          </w:p>
        </w:tc>
        <w:tc>
          <w:tcPr>
            <w:tcBorders>
              <w:right w:val="none"/>
            </w:tcBorders>
            <w:tcMar>
              <w:top w:type="dxa" w:w="80"/>
              <w:left w:type="dxa" w:w="120"/>
              <w:bottom w:type="dxa" w:w="80"/>
              <w:right w:type="dxa" w:w="120"/>
            </w:tcMar>
            <w:vAlign w:val="center"/>
          </w:tcPr>
          <w:p>
            <w:pPr>
              <w:pStyle w:val="MdTableCell"/>
            </w:pPr>
            <w:r>
              <w:t xml:space="preserve">DM Sans, 16–20px, semibold, graphite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KPI label</w:t>
            </w:r>
          </w:p>
        </w:tc>
        <w:tc>
          <w:tcPr>
            <w:tcBorders>
              <w:right w:val="none"/>
            </w:tcBorders>
            <w:tcMar>
              <w:top w:type="dxa" w:w="80"/>
              <w:left w:type="dxa" w:w="120"/>
              <w:bottom w:type="dxa" w:w="80"/>
              <w:right w:type="dxa" w:w="120"/>
            </w:tcMar>
            <w:vAlign w:val="center"/>
          </w:tcPr>
          <w:p>
            <w:pPr>
              <w:pStyle w:val="MdTableCell"/>
            </w:pPr>
            <w:r>
              <w:t xml:space="preserve">DM Sans, 12–14px, semibold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KPI value</w:t>
            </w:r>
          </w:p>
        </w:tc>
        <w:tc>
          <w:tcPr>
            <w:tcBorders>
              <w:right w:val="none"/>
            </w:tcBorders>
            <w:tcMar>
              <w:top w:type="dxa" w:w="80"/>
              <w:left w:type="dxa" w:w="120"/>
              <w:bottom w:type="dxa" w:w="80"/>
              <w:right w:type="dxa" w:w="120"/>
            </w:tcMar>
            <w:vAlign w:val="center"/>
          </w:tcPr>
          <w:p>
            <w:pPr>
              <w:pStyle w:val="MdTableCell"/>
            </w:pPr>
            <w:r>
              <w:t xml:space="preserve">DM Sans, 30–42px, regular or medium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Axis labels and table text</w:t>
            </w:r>
          </w:p>
        </w:tc>
        <w:tc>
          <w:tcPr>
            <w:tcBorders>
              <w:right w:val="none"/>
            </w:tcBorders>
            <w:tcMar>
              <w:top w:type="dxa" w:w="80"/>
              <w:left w:type="dxa" w:w="120"/>
              <w:bottom w:type="dxa" w:w="80"/>
              <w:right w:type="dxa" w:w="120"/>
            </w:tcMar>
            <w:vAlign w:val="center"/>
          </w:tcPr>
          <w:p>
            <w:pPr>
              <w:pStyle w:val="MdTableCell"/>
            </w:pPr>
            <w:r>
              <w:t xml:space="preserve">DM Sans, 10–13px</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Metadata and badges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DM Sans, 10–12px, uppercase with letter spacing</w:t>
            </w:r>
          </w:p>
        </w:tc>
      </w:tr>
    </w:tbl>
    <w:p>
      <w:pPr>
        <w:pStyle w:val="MdParagraph"/>
      </w:pPr>
      <w:r>
        <w:t xml:space="preserve">Do not use a single generic font for every layer. The gallery shell should feel editorial; the dashboard previews should feel operational.</w:t>
      </w:r>
    </w:p>
    <w:p>
      <w:pPr>
        <w:pStyle w:val="MdSpace"/>
        <w:spacing w:before="0" w:after="60"/>
      </w:pPr>
    </w:p>
    <w:p>
      <w:pPr>
        <w:pStyle w:val="Heading2"/>
        <w:pStyle w:val="MdHeading2"/>
      </w:pPr>
      <w:r>
        <w:t xml:space="preserve">Section 2 — Establish the project data model before writing UI</w:t>
      </w:r>
    </w:p>
    <w:p>
      <w:pPr>
        <w:pStyle w:val="MdParagraph"/>
      </w:pPr>
      <w:r>
        <w:t xml:space="preserve">Create a typed catalog and typed synthetic-data module before implementing the page components. The UI should consume these structures rather than hard-code values inside JSX.</w:t>
      </w:r>
    </w:p>
    <w:p>
      <w:pPr>
        <w:pStyle w:val="MdSpace"/>
        <w:spacing w:before="0" w:after="60"/>
      </w:pPr>
    </w:p>
    <w:p>
      <w:pPr>
        <w:pStyle w:val="Heading3"/>
        <w:pStyle w:val="MdHeading3"/>
      </w:pPr>
      <w:r>
        <w:t xml:space="preserve">2.1 Template catalog contract</w:t>
      </w:r>
    </w:p>
    <w:p>
      <w:pPr>
        <w:pStyle w:val="MdParagraph"/>
      </w:pPr>
      <w:r>
        <w:t xml:space="preserve">Create </w:t>
      </w:r>
      <w:r>
        <w:rPr>
          <w:rStyle w:val="MdCode"/>
          <w:u w:val="single"/>
        </w:rPr>
        <w:t xml:space="preserve">client/src/lib/templateCatalog.ts</w:t>
      </w:r>
      <w:r>
        <w:t xml:space="preserve"> with a structure equivalent to:</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TemplateId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"marketing"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"commission"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"customer-analysis"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TemplateCatalogItem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TemplateId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title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shortTitle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category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chartTypes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density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"focused"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"balanced"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"dense"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previewAspect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"wide"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synthetic</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Populate exactly four records for the first release. Use neutral descriptions such as “Campaign efficiency and lead flow” rather than source-specific business wording.</w:t>
      </w:r>
    </w:p>
    <w:p>
      <w:pPr>
        <w:pStyle w:val="MdSpace"/>
        <w:spacing w:before="0" w:after="60"/>
      </w:pPr>
    </w:p>
    <w:p>
      <w:pPr>
        <w:pStyle w:val="Heading3"/>
        <w:pStyle w:val="MdHeading3"/>
      </w:pPr>
      <w:r>
        <w:t xml:space="preserve">2.2 Safe-data contract</w:t>
      </w:r>
    </w:p>
    <w:p>
      <w:pPr>
        <w:pStyle w:val="MdParagraph"/>
      </w:pPr>
      <w:r>
        <w:t xml:space="preserve">Create </w:t>
      </w:r>
      <w:r>
        <w:rPr>
          <w:rStyle w:val="MdCode"/>
          <w:u w:val="single"/>
        </w:rPr>
        <w:t xml:space="preserve">client/src/lib/syntheticData.ts</w:t>
      </w:r>
      <w:r>
        <w:t xml:space="preserve">. Every record should be deterministic and clearly artificial.</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SyntheticMeta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synthetic</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source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"generated-demo-data"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reportingPeriod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Every template data object must contain </w:t>
      </w:r>
      <w:r>
        <w:rPr>
          <w:rStyle w:val="MdCode"/>
          <w:u w:val="single"/>
        </w:rPr>
        <w:t xml:space="preserve">meta: SyntheticMeta</w:t>
      </w:r>
      <w:r>
        <w:t xml:space="preserve">. Use names such as “Avery Stone,” “Jordan Vale,” “Casey Rowan,” “Morgan Reed,” and “Taylor Quinn.” Use customer identifiers with a </w:t>
      </w:r>
      <w:r>
        <w:rPr>
          <w:rStyle w:val="MdCode"/>
          <w:u w:val="single"/>
        </w:rPr>
        <w:t xml:space="preserve">DEMO-</w:t>
      </w:r>
      <w:r>
        <w:t xml:space="preserve"> prefix. Never use real-looking phone numbers, emails, URLs, legal names, or long unprefixed IDs.</w:t>
      </w:r>
    </w:p>
    <w:p>
      <w:pPr>
        <w:pStyle w:val="MdSpace"/>
        <w:spacing w:before="0" w:after="60"/>
      </w:pPr>
    </w:p>
    <w:p>
      <w:pPr>
        <w:pStyle w:val="MdParagraph"/>
      </w:pPr>
      <w:r>
        <w:t xml:space="preserve">Use a fixed seed or hard-coded fictional arrays. Do not call an external API. Do not use the exact values visible in the screenshots. Preserve only the approximate shapes: one or two leaders, a few mid-range values, a trailing value, and plausible month-to-month movement.</w:t>
      </w:r>
    </w:p>
    <w:p>
      <w:pPr>
        <w:pStyle w:val="MdSpace"/>
        <w:spacing w:before="0" w:after="60"/>
      </w:pPr>
    </w:p>
    <w:p>
      <w:pPr>
        <w:pStyle w:val="Heading2"/>
        <w:pStyle w:val="MdHeading2"/>
      </w:pPr>
      <w:r>
        <w:t xml:space="preserve">Section 3 — Build the reusable component system</w:t>
      </w:r>
    </w:p>
    <w:p>
      <w:pPr>
        <w:pStyle w:val="MdParagraph"/>
      </w:pPr>
      <w:r>
        <w:t xml:space="preserve">Create components in this order so the coding agent does not duplicate markup.</w:t>
      </w:r>
    </w:p>
    <w:p>
      <w:pPr>
        <w:pStyle w:val="MdSpace"/>
        <w:spacing w:before="0" w:after="60"/>
      </w:pPr>
    </w:p>
    <w:p>
      <w:pPr>
        <w:pStyle w:val="Heading3"/>
        <w:pStyle w:val="MdHeading3"/>
      </w:pPr>
      <w:r>
        <w:t xml:space="preserve">3.1 </w:t>
      </w:r>
      <w:r>
        <w:rPr>
          <w:rStyle w:val="MdCode"/>
          <w:u w:val="single"/>
        </w:rPr>
        <w:t xml:space="preserve">GalleryShell</w:t>
      </w:r>
    </w:p>
    <w:p>
      <w:pPr>
        <w:pStyle w:val="MdParagraph"/>
      </w:pPr>
      <w:r>
        <w:t xml:space="preserve">Responsibilities: render the top bar, left rail, mobile navigation, page background, and main content slot. It owns the selected template and responsive navigation state.</w:t>
      </w:r>
    </w:p>
    <w:p>
      <w:pPr>
        <w:pStyle w:val="MdSpace"/>
        <w:spacing w:before="0" w:after="60"/>
      </w:pPr>
    </w:p>
    <w:p>
      <w:pPr>
        <w:pStyle w:val="MdParagraph"/>
      </w:pPr>
      <w:r>
        <w:t xml:space="preserve">Required behavior: the active rail item must have a pale blue highlight and blue text, matching the reference’s active navigation treatment without copying the source labels. The rail should expose “Marketing,” “Commission,” “Sales,” “Customer,” and “Gallery” as neutral navigation concepts. Add a collapse affordance on desktop and a drawer trigger on small screens.</w:t>
      </w:r>
    </w:p>
    <w:p>
      <w:pPr>
        <w:pStyle w:val="MdSpace"/>
        <w:spacing w:before="0" w:after="60"/>
      </w:pPr>
    </w:p>
    <w:p>
      <w:pPr>
        <w:pStyle w:val="Heading3"/>
        <w:pStyle w:val="MdHeading3"/>
      </w:pPr>
      <w:r>
        <w:t xml:space="preserve">3.2 </w:t>
      </w:r>
      <w:r>
        <w:rPr>
          <w:rStyle w:val="MdCode"/>
          <w:u w:val="single"/>
        </w:rPr>
        <w:t xml:space="preserve">GalleryHeader</w:t>
      </w:r>
    </w:p>
    <w:p>
      <w:pPr>
        <w:pStyle w:val="MdParagraph"/>
      </w:pPr>
      <w:r>
        <w:t xml:space="preserve">Responsibilities: display the editorial title, one-sentence explanation, synthetic-data disclosure, template count, category filter, and optional search input.</w:t>
      </w:r>
    </w:p>
    <w:p>
      <w:pPr>
        <w:pStyle w:val="MdSpace"/>
        <w:spacing w:before="0" w:after="60"/>
      </w:pPr>
    </w:p>
    <w:p>
      <w:pPr>
        <w:pStyle w:val="MdParagraph"/>
      </w:pPr>
      <w:r>
        <w:t xml:space="preserve">Use copy that explicitly establishes the privacy boundary: “Illustrative dashboards built with generated data. No source customers, identifiers, logos, or production metrics are shown.”</w:t>
      </w:r>
    </w:p>
    <w:p>
      <w:pPr>
        <w:pStyle w:val="MdSpace"/>
        <w:spacing w:before="0" w:after="60"/>
      </w:pPr>
    </w:p>
    <w:p>
      <w:pPr>
        <w:pStyle w:val="Heading3"/>
        <w:pStyle w:val="MdHeading3"/>
      </w:pPr>
      <w:r>
        <w:t xml:space="preserve">3.3 </w:t>
      </w:r>
      <w:r>
        <w:rPr>
          <w:rStyle w:val="MdCode"/>
          <w:u w:val="single"/>
        </w:rPr>
        <w:t xml:space="preserve">TemplateCard</w:t>
      </w:r>
    </w:p>
    <w:p>
      <w:pPr>
        <w:pStyle w:val="MdParagraph"/>
      </w:pPr>
      <w:r>
        <w:t xml:space="preserve">Responsibilities: display a compact dashboard specimen, title, description, chart-type metadata, density label, and inspect action.</w:t>
      </w:r>
    </w:p>
    <w:p>
      <w:pPr>
        <w:pStyle w:val="MdSpace"/>
        <w:spacing w:before="0" w:after="60"/>
      </w:pPr>
    </w:p>
    <w:p>
      <w:pPr>
        <w:pStyle w:val="MdParagraph"/>
      </w:pPr>
      <w:r>
        <w:t xml:space="preserve">The preview image must not be a screenshot. Render a scaled live component inside a clipped frame. On hover, lift the card by 2–4px and reveal a stronger shadow. On focus, show a visible outline. The inspect action must be a real button or link, not a dead visual affordance.</w:t>
      </w:r>
    </w:p>
    <w:p>
      <w:pPr>
        <w:pStyle w:val="MdSpace"/>
        <w:spacing w:before="0" w:after="60"/>
      </w:pPr>
    </w:p>
    <w:p>
      <w:pPr>
        <w:pStyle w:val="Heading3"/>
        <w:pStyle w:val="MdHeading3"/>
      </w:pPr>
      <w:r>
        <w:t xml:space="preserve">3.4 </w:t>
      </w:r>
      <w:r>
        <w:rPr>
          <w:rStyle w:val="MdCode"/>
          <w:u w:val="single"/>
        </w:rPr>
        <w:t xml:space="preserve">DashboardFrame</w:t>
      </w:r>
    </w:p>
    <w:p>
      <w:pPr>
        <w:pStyle w:val="MdParagraph"/>
      </w:pPr>
      <w:r>
        <w:t xml:space="preserve">Responsibilities: render the green title strip, dashboard-level filter row, generated abstract mark, and dashboard body. Accept </w:t>
      </w:r>
      <w:r>
        <w:rPr>
          <w:rStyle w:val="MdCode"/>
          <w:u w:val="single"/>
        </w:rPr>
        <w:t xml:space="preserve">title</w:t>
      </w:r>
      <w:r>
        <w:t xml:space="preserve">, </w:t>
      </w:r>
      <w:r>
        <w:rPr>
          <w:rStyle w:val="MdCode"/>
          <w:u w:val="single"/>
        </w:rPr>
        <w:t xml:space="preserve">filters</w:t>
      </w:r>
      <w:r>
        <w:t xml:space="preserve">, </w:t>
      </w:r>
      <w:r>
        <w:rPr>
          <w:rStyle w:val="MdCode"/>
          <w:u w:val="single"/>
        </w:rPr>
        <w:t xml:space="preserve">children</w:t>
      </w:r>
      <w:r>
        <w:t xml:space="preserve">, and </w:t>
      </w:r>
      <w:r>
        <w:rPr>
          <w:rStyle w:val="MdCode"/>
          <w:u w:val="single"/>
        </w:rPr>
        <w:t xml:space="preserve">density</w:t>
      </w:r>
      <w:r>
        <w:t xml:space="preserve"> props.</w:t>
      </w:r>
    </w:p>
    <w:p>
      <w:pPr>
        <w:pStyle w:val="MdSpace"/>
        <w:spacing w:before="0" w:after="60"/>
      </w:pPr>
    </w:p>
    <w:p>
      <w:pPr>
        <w:pStyle w:val="MdParagraph"/>
      </w:pPr>
      <w:r>
        <w:t xml:space="preserve">The title strip should remain visually consistent across all four dashboards. Filters may be static controls in the first release, but if they are interactive they must update synthetic data only and must never imply a connection to real sources.</w:t>
      </w:r>
    </w:p>
    <w:p>
      <w:pPr>
        <w:pStyle w:val="MdSpace"/>
        <w:spacing w:before="0" w:after="60"/>
      </w:pPr>
    </w:p>
    <w:p>
      <w:pPr>
        <w:pStyle w:val="Heading3"/>
        <w:pStyle w:val="MdHeading3"/>
      </w:pPr>
      <w:r>
        <w:t xml:space="preserve">3.5 </w:t>
      </w:r>
      <w:r>
        <w:rPr>
          <w:rStyle w:val="MdCode"/>
          <w:u w:val="single"/>
        </w:rPr>
        <w:t xml:space="preserve">KpiGrid</w:t>
      </w:r>
      <w:r>
        <w:t xml:space="preserve"> and </w:t>
      </w:r>
      <w:r>
        <w:rPr>
          <w:rStyle w:val="MdCode"/>
          <w:u w:val="single"/>
        </w:rPr>
        <w:t xml:space="preserve">KpiCard</w:t>
      </w:r>
    </w:p>
    <w:p>
      <w:pPr>
        <w:pStyle w:val="MdParagraph"/>
      </w:pPr>
      <w:r>
        <w:t xml:space="preserve">Responsibilities: render large metric cards. Accept label, value, optional delta, delta direction, and optional accent state. Use CSS grid with responsive columns. Preserve the screenshots’ high-level rhythm: four cards for Sales, eight cards for Marketing, six cards for Commission, and six cards for Customer Analysis.</w:t>
      </w:r>
    </w:p>
    <w:p>
      <w:pPr>
        <w:pStyle w:val="MdSpace"/>
        <w:spacing w:before="0" w:after="60"/>
      </w:pPr>
    </w:p>
    <w:p>
      <w:pPr>
        <w:pStyle w:val="MdParagraph"/>
      </w:pPr>
      <w:r>
        <w:t xml:space="preserve">Never use an actual source metric. Use rounded display formatting such as </w:t>
      </w:r>
      <w:r>
        <w:rPr>
          <w:rStyle w:val="MdCode"/>
          <w:u w:val="single"/>
        </w:rPr>
        <w:t xml:space="preserve">1.4M</w:t>
      </w:r>
      <w:r>
        <w:t xml:space="preserve">, </w:t>
      </w:r>
      <w:r>
        <w:rPr>
          <w:rStyle w:val="MdCode"/>
          <w:u w:val="single"/>
        </w:rPr>
        <w:t xml:space="preserve">238.6K</w:t>
      </w:r>
      <w:r>
        <w:t xml:space="preserve">, </w:t>
      </w:r>
      <w:r>
        <w:rPr>
          <w:rStyle w:val="MdCode"/>
          <w:u w:val="single"/>
        </w:rPr>
        <w:t xml:space="preserve">17.8%</w:t>
      </w:r>
      <w:r>
        <w:t xml:space="preserve">, and </w:t>
      </w:r>
      <w:r>
        <w:rPr>
          <w:rStyle w:val="MdCode"/>
          <w:u w:val="single"/>
        </w:rPr>
        <w:t xml:space="preserve">684</w:t>
      </w:r>
      <w:r>
        <w:t xml:space="preserve">, but generate new values.</w:t>
      </w:r>
    </w:p>
    <w:p>
      <w:pPr>
        <w:pStyle w:val="MdSpace"/>
        <w:spacing w:before="0" w:after="60"/>
      </w:pPr>
    </w:p>
    <w:p>
      <w:pPr>
        <w:pStyle w:val="Heading3"/>
        <w:pStyle w:val="MdHeading3"/>
      </w:pPr>
      <w:r>
        <w:t xml:space="preserve">3.6 Chart components</w:t>
      </w:r>
    </w:p>
    <w:p>
      <w:pPr>
        <w:pStyle w:val="MdParagraph"/>
      </w:pPr>
      <w:r>
        <w:t xml:space="preserve">Create the following reusable chart wrappers with a consistent title, panel surface, chart height, accessible description, and empty-state support:</w:t>
      </w:r>
    </w:p>
    <w:p>
      <w:pPr>
        <w:pStyle w:val="MdSpace"/>
        <w:spacing w:before="0" w:after="60"/>
      </w:pPr>
    </w:p>
    <w:p>
      <w:pPr>
        <w:pStyle w:val="MdListItem"/>
        <w:numPr>
          <w:ilvl w:val="0"/>
          <w:numId w:val="2"/>
        </w:numPr>
      </w:pPr>
      <w:r>
        <w:rPr>
          <w:rStyle w:val="MdCode"/>
          <w:u w:val="single"/>
        </w:rPr>
        <w:t xml:space="preserve">VerticalBarChart</w:t>
      </w:r>
      <w:r>
        <w:t xml:space="preserve"> for ranked values by person or category.</w:t>
      </w:r>
    </w:p>
    <w:p>
      <w:pPr>
        <w:pStyle w:val="MdListItem"/>
        <w:numPr>
          <w:ilvl w:val="0"/>
          <w:numId w:val="2"/>
        </w:numPr>
      </w:pPr>
      <w:r>
        <w:rPr>
          <w:rStyle w:val="MdCode"/>
          <w:u w:val="single"/>
        </w:rPr>
        <w:t xml:space="preserve">HorizontalBarChart</w:t>
      </w:r>
      <w:r>
        <w:t xml:space="preserve"> for monthly revenue or other long labels.</w:t>
      </w:r>
    </w:p>
    <w:p>
      <w:pPr>
        <w:pStyle w:val="MdListItem"/>
        <w:numPr>
          <w:ilvl w:val="0"/>
          <w:numId w:val="2"/>
        </w:numPr>
      </w:pPr>
      <w:r>
        <w:rPr>
          <w:rStyle w:val="MdCode"/>
          <w:u w:val="single"/>
        </w:rPr>
        <w:t xml:space="preserve">AreaTrendChart</w:t>
      </w:r>
      <w:r>
        <w:t xml:space="preserve"> for Sales’ time-based revenue curve.</w:t>
      </w:r>
    </w:p>
    <w:p>
      <w:pPr>
        <w:pStyle w:val="MdListItem"/>
        <w:numPr>
          <w:ilvl w:val="0"/>
          <w:numId w:val="2"/>
        </w:numPr>
      </w:pPr>
      <w:r>
        <w:rPr>
          <w:rStyle w:val="MdCode"/>
          <w:u w:val="single"/>
        </w:rPr>
        <w:t xml:space="preserve">GroupedBarChart</w:t>
      </w:r>
      <w:r>
        <w:t xml:space="preserve"> for new versus returning customers.</w:t>
      </w:r>
    </w:p>
    <w:p>
      <w:pPr>
        <w:pStyle w:val="MdListItem"/>
        <w:numPr>
          <w:ilvl w:val="0"/>
          <w:numId w:val="2"/>
        </w:numPr>
      </w:pPr>
      <w:r>
        <w:rPr>
          <w:rStyle w:val="MdCode"/>
          <w:u w:val="single"/>
        </w:rPr>
        <w:t xml:space="preserve">CohortHeatmap</w:t>
      </w:r>
      <w:r>
        <w:t xml:space="preserve"> for Customer Analysis retention cohorts.</w:t>
      </w:r>
    </w:p>
    <w:p>
      <w:pPr>
        <w:pStyle w:val="MdListItem"/>
        <w:numPr>
          <w:ilvl w:val="0"/>
          <w:numId w:val="2"/>
        </w:numPr>
      </w:pPr>
      <w:r>
        <w:rPr>
          <w:rStyle w:val="MdCode"/>
          <w:u w:val="single"/>
        </w:rPr>
        <w:t xml:space="preserve">DataTable</w:t>
      </w:r>
      <w:r>
        <w:t xml:space="preserve"> for the sanitized customer list.</w:t>
      </w:r>
    </w:p>
    <w:p>
      <w:pPr>
        <w:pStyle w:val="MdSpace"/>
        <w:spacing w:before="0" w:after="60"/>
      </w:pPr>
    </w:p>
    <w:p>
      <w:pPr>
        <w:pStyle w:val="MdParagraph"/>
      </w:pPr>
      <w:r>
        <w:t xml:space="preserve">Use Recharts for bar and area charts. Use semantic HTML/CSS for the heatmap and table. Keep chart colors consistent: green for primary, pale green for comparison, blue for active/highlight, amber for caution, rust for negative movement.</w:t>
      </w:r>
    </w:p>
    <w:p>
      <w:pPr>
        <w:pStyle w:val="MdSpace"/>
        <w:spacing w:before="0" w:after="60"/>
      </w:pPr>
    </w:p>
    <w:p>
      <w:pPr>
        <w:pStyle w:val="Heading2"/>
        <w:pStyle w:val="MdHeading2"/>
      </w:pPr>
      <w:r>
        <w:t xml:space="preserve">Section 4 — Implement the gallery page before dashboard details</w:t>
      </w:r>
    </w:p>
    <w:p>
      <w:pPr>
        <w:pStyle w:val="MdParagraph"/>
      </w:pPr>
      <w:r>
        <w:t xml:space="preserve">Create </w:t>
      </w:r>
      <w:r>
        <w:rPr>
          <w:rStyle w:val="MdCode"/>
          <w:u w:val="single"/>
        </w:rPr>
        <w:t xml:space="preserve">client/src/pages/Home.tsx</w:t>
      </w:r>
      <w:r>
        <w:t xml:space="preserve"> with the following order:</w:t>
      </w:r>
    </w:p>
    <w:p>
      <w:pPr>
        <w:pStyle w:val="MdSpace"/>
        <w:spacing w:before="0" w:after="60"/>
      </w:pPr>
    </w:p>
    <w:p>
      <w:pPr>
        <w:pStyle w:val="MdListItem"/>
        <w:numPr>
          <w:ilvl w:val="0"/>
          <w:numId w:val="3"/>
        </w:numPr>
      </w:pPr>
      <w:r>
        <w:t xml:space="preserve">Render </w:t>
      </w:r>
      <w:r>
        <w:rPr>
          <w:rStyle w:val="MdCode"/>
          <w:u w:val="single"/>
        </w:rPr>
        <w:t xml:space="preserve">GalleryShell</w:t>
      </w:r>
      <w:r>
        <w:t xml:space="preserve">.</w:t>
      </w:r>
    </w:p>
    <w:p>
      <w:pPr>
        <w:pStyle w:val="MdListItem"/>
        <w:numPr>
          <w:ilvl w:val="0"/>
          <w:numId w:val="3"/>
        </w:numPr>
      </w:pPr>
      <w:r>
        <w:t xml:space="preserve">Render </w:t>
      </w:r>
      <w:r>
        <w:rPr>
          <w:rStyle w:val="MdCode"/>
          <w:u w:val="single"/>
        </w:rPr>
        <w:t xml:space="preserve">GalleryHeader</w:t>
      </w:r>
      <w:r>
        <w:t xml:space="preserve"> on the main stage.</w:t>
      </w:r>
    </w:p>
    <w:p>
      <w:pPr>
        <w:pStyle w:val="MdListItem"/>
        <w:numPr>
          <w:ilvl w:val="0"/>
          <w:numId w:val="3"/>
        </w:numPr>
      </w:pPr>
      <w:r>
        <w:t xml:space="preserve">Render a small “safe data” notice with a lock or shield icon.</w:t>
      </w:r>
    </w:p>
    <w:p>
      <w:pPr>
        <w:pStyle w:val="MdListItem"/>
        <w:numPr>
          <w:ilvl w:val="0"/>
          <w:numId w:val="3"/>
        </w:numPr>
      </w:pPr>
      <w:r>
        <w:t xml:space="preserve">Render filter controls.</w:t>
      </w:r>
    </w:p>
    <w:p>
      <w:pPr>
        <w:pStyle w:val="MdListItem"/>
        <w:numPr>
          <w:ilvl w:val="0"/>
          <w:numId w:val="3"/>
        </w:numPr>
      </w:pPr>
      <w:r>
        <w:t xml:space="preserve">Render the four </w:t>
      </w:r>
      <w:r>
        <w:rPr>
          <w:rStyle w:val="MdCode"/>
          <w:u w:val="single"/>
        </w:rPr>
        <w:t xml:space="preserve">TemplateCard</w:t>
      </w:r>
      <w:r>
        <w:t xml:space="preserve"> instances from the template catalog.</w:t>
      </w:r>
    </w:p>
    <w:p>
      <w:pPr>
        <w:pStyle w:val="MdListItem"/>
        <w:numPr>
          <w:ilvl w:val="0"/>
          <w:numId w:val="3"/>
        </w:numPr>
      </w:pPr>
      <w:r>
        <w:t xml:space="preserve">Render a lower informational band explaining that the previews are reconstructed patterns, not production data exports.</w:t>
      </w:r>
    </w:p>
    <w:p>
      <w:pPr>
        <w:pStyle w:val="MdSpace"/>
        <w:spacing w:before="0" w:after="60"/>
      </w:pPr>
    </w:p>
    <w:p>
      <w:pPr>
        <w:pStyle w:val="MdParagraph"/>
      </w:pPr>
      <w:r>
        <w:t xml:space="preserve">Use an asymmetric layout rather than a perfectly centered grid. The first specimen may span a larger area, while the remaining three occupy smaller editorial cards. On mobile, stack cards in a clear reading order.</w:t>
      </w:r>
    </w:p>
    <w:p>
      <w:pPr>
        <w:pStyle w:val="MdSpace"/>
        <w:spacing w:before="0" w:after="60"/>
      </w:pPr>
    </w:p>
    <w:p>
      <w:pPr>
        <w:pStyle w:val="MdParagraph"/>
      </w:pPr>
      <w:r>
        <w:t xml:space="preserve">The gallery should remain understandable if JavaScript interactions are limited. Avoid placing essential explanatory text only inside hover states.</w:t>
      </w:r>
    </w:p>
    <w:p>
      <w:pPr>
        <w:pStyle w:val="MdSpace"/>
        <w:spacing w:before="0" w:after="60"/>
      </w:pPr>
    </w:p>
    <w:p>
      <w:pPr>
        <w:pStyle w:val="Heading2"/>
        <w:pStyle w:val="MdHeading2"/>
      </w:pPr>
      <w:r>
        <w:t xml:space="preserve">Section 5 — Implement each dashboard specimen from the screenshot grammar</w:t>
      </w:r>
    </w:p>
    <w:p>
      <w:pPr>
        <w:pStyle w:val="Heading3"/>
        <w:pStyle w:val="MdHeading3"/>
      </w:pPr>
      <w:r>
        <w:t xml:space="preserve">5.1 Marketing specimen</w:t>
      </w:r>
    </w:p>
    <w:p>
      <w:pPr>
        <w:pStyle w:val="MdParagraph"/>
      </w:pPr>
      <w:r>
        <w:t xml:space="preserve">This is the first implementation target because it contains the most reusable patterns.</w:t>
      </w:r>
    </w:p>
    <w:p>
      <w:pPr>
        <w:pStyle w:val="MdSpace"/>
        <w:spacing w:before="0" w:after="60"/>
      </w:pPr>
    </w:p>
    <w:p>
      <w:pPr>
        <w:pStyle w:val="MdParagraph"/>
      </w:pPr>
      <w:r>
        <w:t xml:space="preserve">Structure:</w:t>
      </w:r>
    </w:p>
    <w:p>
      <w:pPr>
        <w:pStyle w:val="MdSpace"/>
        <w:spacing w:before="0" w:after="60"/>
      </w:pPr>
    </w:p>
    <w:p>
      <w:pPr>
        <w:pStyle w:val="MdListItem"/>
        <w:numPr>
          <w:ilvl w:val="0"/>
          <w:numId w:val="3"/>
        </w:numPr>
      </w:pPr>
      <w:r>
        <w:t xml:space="preserve">Green title strip titled “Marketing Performance.”</w:t>
      </w:r>
    </w:p>
    <w:p>
      <w:pPr>
        <w:pStyle w:val="MdListItem"/>
        <w:numPr>
          <w:ilvl w:val="0"/>
          <w:numId w:val="3"/>
        </w:numPr>
      </w:pPr>
      <w:r>
        <w:t xml:space="preserve">Filter row with fictional account, salesperson, and date controls.</w:t>
      </w:r>
    </w:p>
    <w:p>
      <w:pPr>
        <w:pStyle w:val="MdListItem"/>
        <w:numPr>
          <w:ilvl w:val="0"/>
          <w:numId w:val="3"/>
        </w:numPr>
      </w:pPr>
      <w:r>
        <w:t xml:space="preserve">Eight KPI cards arranged in two rows of four: spend YTD, spend MTD, spend with tax MTD, conversion rate, leads YTD, leads MTD, CPM MTD, and acquisition cost.</w:t>
      </w:r>
    </w:p>
    <w:p>
      <w:pPr>
        <w:pStyle w:val="MdListItem"/>
        <w:numPr>
          <w:ilvl w:val="0"/>
          <w:numId w:val="3"/>
        </w:numPr>
      </w:pPr>
      <w:r>
        <w:t xml:space="preserve">Two side-by-side charts: conversion rate by representative and leads by representative.</w:t>
      </w:r>
    </w:p>
    <w:p>
      <w:pPr>
        <w:pStyle w:val="MdListItem"/>
        <w:numPr>
          <w:ilvl w:val="0"/>
          <w:numId w:val="3"/>
        </w:numPr>
      </w:pPr>
      <w:r>
        <w:t xml:space="preserve">Two lower charts: monthly spend and new-customer revenue.</w:t>
      </w:r>
    </w:p>
    <w:p>
      <w:pPr>
        <w:pStyle w:val="MdListItem"/>
        <w:numPr>
          <w:ilvl w:val="0"/>
          <w:numId w:val="3"/>
        </w:numPr>
      </w:pPr>
      <w:r>
        <w:t xml:space="preserve">Footer metadata stating the reporting period and synthetic-data status.</w:t>
      </w:r>
    </w:p>
    <w:p>
      <w:pPr>
        <w:pStyle w:val="MdSpace"/>
        <w:spacing w:before="0" w:after="60"/>
      </w:pPr>
    </w:p>
    <w:p>
      <w:pPr>
        <w:pStyle w:val="MdParagraph"/>
      </w:pPr>
      <w:r>
        <w:t xml:space="preserve">Use realistic visual relationships but new data. Include one positive delta and one negative delta to reproduce the visual semantics of the reference without copying its values.</w:t>
      </w:r>
    </w:p>
    <w:p>
      <w:pPr>
        <w:pStyle w:val="MdSpace"/>
        <w:spacing w:before="0" w:after="60"/>
      </w:pPr>
    </w:p>
    <w:p>
      <w:pPr>
        <w:pStyle w:val="Heading3"/>
        <w:pStyle w:val="MdHeading3"/>
      </w:pPr>
      <w:r>
        <w:t xml:space="preserve">5.2 Commission specimen</w:t>
      </w:r>
    </w:p>
    <w:p>
      <w:pPr>
        <w:pStyle w:val="MdParagraph"/>
      </w:pPr>
      <w:r>
        <w:t xml:space="preserve">Structure:</w:t>
      </w:r>
    </w:p>
    <w:p>
      <w:pPr>
        <w:pStyle w:val="MdSpace"/>
        <w:spacing w:before="0" w:after="60"/>
      </w:pPr>
    </w:p>
    <w:p>
      <w:pPr>
        <w:pStyle w:val="MdListItem"/>
        <w:numPr>
          <w:ilvl w:val="0"/>
          <w:numId w:val="3"/>
        </w:numPr>
      </w:pPr>
      <w:r>
        <w:t xml:space="preserve">Green title strip titled “Commission Overview.”</w:t>
      </w:r>
    </w:p>
    <w:p>
      <w:pPr>
        <w:pStyle w:val="MdListItem"/>
        <w:numPr>
          <w:ilvl w:val="0"/>
          <w:numId w:val="3"/>
        </w:numPr>
      </w:pPr>
      <w:r>
        <w:t xml:space="preserve">Date-range and representative filters.</w:t>
      </w:r>
    </w:p>
    <w:p>
      <w:pPr>
        <w:pStyle w:val="MdListItem"/>
        <w:numPr>
          <w:ilvl w:val="0"/>
          <w:numId w:val="3"/>
        </w:numPr>
      </w:pPr>
      <w:r>
        <w:t xml:space="preserve">Six KPI cards: gross sales, delivery cost, balance due, gross commission, B2C commission, and net commission.</w:t>
      </w:r>
    </w:p>
    <w:p>
      <w:pPr>
        <w:pStyle w:val="MdListItem"/>
        <w:numPr>
          <w:ilvl w:val="0"/>
          <w:numId w:val="3"/>
        </w:numPr>
      </w:pPr>
      <w:r>
        <w:t xml:space="preserve">Two upper charts: net commission by representative and monthly net commission.</w:t>
      </w:r>
    </w:p>
    <w:p>
      <w:pPr>
        <w:pStyle w:val="MdListItem"/>
        <w:numPr>
          <w:ilvl w:val="0"/>
          <w:numId w:val="3"/>
        </w:numPr>
      </w:pPr>
      <w:r>
        <w:t xml:space="preserve">A wide lower chart: balance due by representative.</w:t>
      </w:r>
    </w:p>
    <w:p>
      <w:pPr>
        <w:pStyle w:val="MdSpace"/>
        <w:spacing w:before="0" w:after="60"/>
      </w:pPr>
    </w:p>
    <w:p>
      <w:pPr>
        <w:pStyle w:val="MdParagraph"/>
      </w:pPr>
      <w:r>
        <w:t xml:space="preserve">The lower chart should have several near-zero categories to demonstrate how the layout handles small values, but do not copy the reference values. Use a deliberate zero/empty label treatment instead of misleadingly tall bars.</w:t>
      </w:r>
    </w:p>
    <w:p>
      <w:pPr>
        <w:pStyle w:val="MdSpace"/>
        <w:spacing w:before="0" w:after="60"/>
      </w:pPr>
    </w:p>
    <w:p>
      <w:pPr>
        <w:pStyle w:val="Heading3"/>
        <w:pStyle w:val="MdHeading3"/>
      </w:pPr>
      <w:r>
        <w:t xml:space="preserve">5.3 Sales specimen</w:t>
      </w:r>
    </w:p>
    <w:p>
      <w:pPr>
        <w:pStyle w:val="MdParagraph"/>
      </w:pPr>
      <w:r>
        <w:t xml:space="preserve">Structure:</w:t>
      </w:r>
    </w:p>
    <w:p>
      <w:pPr>
        <w:pStyle w:val="MdSpace"/>
        <w:spacing w:before="0" w:after="60"/>
      </w:pPr>
    </w:p>
    <w:p>
      <w:pPr>
        <w:pStyle w:val="MdListItem"/>
        <w:numPr>
          <w:ilvl w:val="0"/>
          <w:numId w:val="3"/>
        </w:numPr>
      </w:pPr>
      <w:r>
        <w:t xml:space="preserve">Green title strip titled “Sales Performance.”</w:t>
      </w:r>
    </w:p>
    <w:p>
      <w:pPr>
        <w:pStyle w:val="MdListItem"/>
        <w:numPr>
          <w:ilvl w:val="0"/>
          <w:numId w:val="3"/>
        </w:numPr>
      </w:pPr>
      <w:r>
        <w:t xml:space="preserve">Date range and representative filters.</w:t>
      </w:r>
    </w:p>
    <w:p>
      <w:pPr>
        <w:pStyle w:val="MdListItem"/>
        <w:numPr>
          <w:ilvl w:val="0"/>
          <w:numId w:val="3"/>
        </w:numPr>
      </w:pPr>
      <w:r>
        <w:t xml:space="preserve">Four KPI cards: gross sales YTD, gross sales MTD, gross sales MTD B2C, and gross sales MTD B2B.</w:t>
      </w:r>
    </w:p>
    <w:p>
      <w:pPr>
        <w:pStyle w:val="MdListItem"/>
        <w:numPr>
          <w:ilvl w:val="0"/>
          <w:numId w:val="3"/>
        </w:numPr>
      </w:pPr>
      <w:r>
        <w:t xml:space="preserve">A left-aligned horizontal bar panel for monthly new-business revenue.</w:t>
      </w:r>
    </w:p>
    <w:p>
      <w:pPr>
        <w:pStyle w:val="MdListItem"/>
        <w:numPr>
          <w:ilvl w:val="0"/>
          <w:numId w:val="3"/>
        </w:numPr>
      </w:pPr>
      <w:r>
        <w:t xml:space="preserve">A wide lower area trend panel for sales over reporting weeks.</w:t>
      </w:r>
    </w:p>
    <w:p>
      <w:pPr>
        <w:pStyle w:val="MdListItem"/>
        <w:numPr>
          <w:ilvl w:val="0"/>
          <w:numId w:val="3"/>
        </w:numPr>
      </w:pPr>
      <w:r>
        <w:t xml:space="preserve">Include one intentional “No data” state for the B2B KPI to preserve the reference’s empty-state pattern, but label it as illustrative.</w:t>
      </w:r>
    </w:p>
    <w:p>
      <w:pPr>
        <w:pStyle w:val="MdSpace"/>
        <w:spacing w:before="0" w:after="60"/>
      </w:pPr>
    </w:p>
    <w:p>
      <w:pPr>
        <w:pStyle w:val="MdParagraph"/>
      </w:pPr>
      <w:r>
        <w:t xml:space="preserve">The screenshot leaves significant whitespace around the horizontal chart. Preserve that editorial asymmetry instead of stretching the chart to fill every pixel.</w:t>
      </w:r>
    </w:p>
    <w:p>
      <w:pPr>
        <w:pStyle w:val="MdSpace"/>
        <w:spacing w:before="0" w:after="60"/>
      </w:pPr>
    </w:p>
    <w:p>
      <w:pPr>
        <w:pStyle w:val="Heading3"/>
        <w:pStyle w:val="MdHeading3"/>
      </w:pPr>
      <w:r>
        <w:t xml:space="preserve">5.4 Customer Analysis specimen</w:t>
      </w:r>
    </w:p>
    <w:p>
      <w:pPr>
        <w:pStyle w:val="MdParagraph"/>
      </w:pPr>
      <w:r>
        <w:t xml:space="preserve">Structure:</w:t>
      </w:r>
    </w:p>
    <w:p>
      <w:pPr>
        <w:pStyle w:val="MdSpace"/>
        <w:spacing w:before="0" w:after="60"/>
      </w:pPr>
    </w:p>
    <w:p>
      <w:pPr>
        <w:pStyle w:val="MdListItem"/>
        <w:numPr>
          <w:ilvl w:val="0"/>
          <w:numId w:val="3"/>
        </w:numPr>
      </w:pPr>
      <w:r>
        <w:t xml:space="preserve">Green title strip titled “Customer Analysis.”</w:t>
      </w:r>
    </w:p>
    <w:p>
      <w:pPr>
        <w:pStyle w:val="MdListItem"/>
        <w:numPr>
          <w:ilvl w:val="0"/>
          <w:numId w:val="3"/>
        </w:numPr>
      </w:pPr>
      <w:r>
        <w:t xml:space="preserve">Six KPI cards: active customers, returning customers, average order value, lifetime value, acquisition cost, and LTV-to-CAC ratio.</w:t>
      </w:r>
    </w:p>
    <w:p>
      <w:pPr>
        <w:pStyle w:val="MdListItem"/>
        <w:numPr>
          <w:ilvl w:val="0"/>
          <w:numId w:val="3"/>
        </w:numPr>
      </w:pPr>
      <w:r>
        <w:t xml:space="preserve">Grouped bar chart for new and returning customers by month.</w:t>
      </w:r>
    </w:p>
    <w:p>
      <w:pPr>
        <w:pStyle w:val="MdListItem"/>
        <w:numPr>
          <w:ilvl w:val="0"/>
          <w:numId w:val="3"/>
        </w:numPr>
      </w:pPr>
      <w:r>
        <w:t xml:space="preserve">Retention-rate bar chart.</w:t>
      </w:r>
    </w:p>
    <w:p>
      <w:pPr>
        <w:pStyle w:val="MdListItem"/>
        <w:numPr>
          <w:ilvl w:val="0"/>
          <w:numId w:val="3"/>
        </w:numPr>
      </w:pPr>
      <w:r>
        <w:t xml:space="preserve">Cohort heatmap with month columns and retention percentages.</w:t>
      </w:r>
    </w:p>
    <w:p>
      <w:pPr>
        <w:pStyle w:val="MdListItem"/>
        <w:numPr>
          <w:ilvl w:val="0"/>
          <w:numId w:val="3"/>
        </w:numPr>
      </w:pPr>
      <w:r>
        <w:t xml:space="preserve">Frequency-category summary table.</w:t>
      </w:r>
    </w:p>
    <w:p>
      <w:pPr>
        <w:pStyle w:val="MdListItem"/>
        <w:numPr>
          <w:ilvl w:val="0"/>
          <w:numId w:val="3"/>
        </w:numPr>
      </w:pPr>
      <w:r>
        <w:t xml:space="preserve">Sanitized customer lifecycle table.</w:t>
      </w:r>
    </w:p>
    <w:p>
      <w:pPr>
        <w:pStyle w:val="MdSpace"/>
        <w:spacing w:before="0" w:after="60"/>
      </w:pPr>
    </w:p>
    <w:p>
      <w:pPr>
        <w:pStyle w:val="MdParagraph"/>
      </w:pPr>
      <w:r>
        <w:t xml:space="preserve">The source screenshot is the densest and tallest view. Reproduce the density through section stacking, not tiny unreadable text. On mobile, make the heatmap and data table horizontally scrollable inside labeled regions.</w:t>
      </w:r>
    </w:p>
    <w:p>
      <w:pPr>
        <w:pStyle w:val="MdSpace"/>
        <w:spacing w:before="0" w:after="60"/>
      </w:pPr>
    </w:p>
    <w:p>
      <w:pPr>
        <w:pStyle w:val="MdParagraph"/>
      </w:pPr>
      <w:r>
        <w:t xml:space="preserve">The customer table must use fields such as </w:t>
      </w:r>
      <w:r>
        <w:rPr>
          <w:rStyle w:val="MdCode"/>
          <w:u w:val="single"/>
        </w:rPr>
        <w:t xml:space="preserve">DEMO-CUST-1048</w:t>
      </w:r>
      <w:r>
        <w:t xml:space="preserve">, “Avery Stone,” “Rep A,” “Medium,” “Monthly,” and “1 day.” Do not include phone numbers. If a phone-number column is needed to demonstrate layout, render </w:t>
      </w:r>
      <w:r>
        <w:rPr>
          <w:rStyle w:val="MdCode"/>
          <w:u w:val="single"/>
        </w:rPr>
        <w:t xml:space="preserve">Not collected</w:t>
      </w:r>
      <w:r>
        <w:t xml:space="preserve"> or </w:t>
      </w:r>
      <w:r>
        <w:rPr>
          <w:rStyle w:val="MdCode"/>
          <w:u w:val="single"/>
        </w:rPr>
        <w:t xml:space="preserve">Masked demo field</w:t>
      </w:r>
      <w:r>
        <w:t xml:space="preserve"> for every row.</w:t>
      </w:r>
    </w:p>
    <w:p>
      <w:pPr>
        <w:pStyle w:val="MdSpace"/>
        <w:spacing w:before="0" w:after="60"/>
      </w:pPr>
    </w:p>
    <w:p>
      <w:pPr>
        <w:pStyle w:val="Heading2"/>
        <w:pStyle w:val="MdHeading2"/>
      </w:pPr>
      <w:r>
        <w:t xml:space="preserve">Section 6 — Add detail inspection behavior</w:t>
      </w:r>
    </w:p>
    <w:p>
      <w:pPr>
        <w:pStyle w:val="MdParagraph"/>
      </w:pPr>
      <w:r>
        <w:t xml:space="preserve">Implement either a Wouter detail route such as </w:t>
      </w:r>
      <w:r>
        <w:rPr>
          <w:rStyle w:val="MdCode"/>
          <w:u w:val="single"/>
        </w:rPr>
        <w:t xml:space="preserve">/templates/:templateId</w:t>
      </w:r>
      <w:r>
        <w:t xml:space="preserve"> or an accessible dialog/drawer. Prefer a route if the preview needs to be tall and scrollable; prefer a dialog if fast gallery comparison is more important.</w:t>
      </w:r>
    </w:p>
    <w:p>
      <w:pPr>
        <w:pStyle w:val="MdSpace"/>
        <w:spacing w:before="0" w:after="60"/>
      </w:pPr>
    </w:p>
    <w:p>
      <w:pPr>
        <w:pStyle w:val="MdParagraph"/>
      </w:pPr>
      <w:r>
        <w:t xml:space="preserve">The detail view must include:</w:t>
      </w:r>
    </w:p>
    <w:p>
      <w:pPr>
        <w:pStyle w:val="MdSpace"/>
        <w:spacing w:before="0" w:after="60"/>
      </w:pPr>
    </w:p>
    <w:p>
      <w:pPr>
        <w:pStyle w:val="MdListItem"/>
        <w:numPr>
          <w:ilvl w:val="0"/>
          <w:numId w:val="2"/>
        </w:numPr>
      </w:pPr>
      <w:r>
        <w:t xml:space="preserve">Back-to-gallery control.</w:t>
      </w:r>
    </w:p>
    <w:p>
      <w:pPr>
        <w:pStyle w:val="MdListItem"/>
        <w:numPr>
          <w:ilvl w:val="0"/>
          <w:numId w:val="2"/>
        </w:numPr>
      </w:pPr>
      <w:r>
        <w:t xml:space="preserve">Larger live dashboard preview.</w:t>
      </w:r>
    </w:p>
    <w:p>
      <w:pPr>
        <w:pStyle w:val="MdListItem"/>
        <w:numPr>
          <w:ilvl w:val="0"/>
          <w:numId w:val="2"/>
        </w:numPr>
      </w:pPr>
      <w:r>
        <w:t xml:space="preserve">Template description and chart inventory.</w:t>
      </w:r>
    </w:p>
    <w:p>
      <w:pPr>
        <w:pStyle w:val="MdListItem"/>
        <w:numPr>
          <w:ilvl w:val="0"/>
          <w:numId w:val="2"/>
        </w:numPr>
      </w:pPr>
      <w:r>
        <w:t xml:space="preserve">Synthetic-data disclosure.</w:t>
      </w:r>
    </w:p>
    <w:p>
      <w:pPr>
        <w:pStyle w:val="MdListItem"/>
        <w:numPr>
          <w:ilvl w:val="0"/>
          <w:numId w:val="2"/>
        </w:numPr>
      </w:pPr>
      <w:r>
        <w:t xml:space="preserve">Preview-width controls for desktop, tablet, and mobile.</w:t>
      </w:r>
    </w:p>
    <w:p>
      <w:pPr>
        <w:pStyle w:val="MdListItem"/>
        <w:numPr>
          <w:ilvl w:val="0"/>
          <w:numId w:val="2"/>
        </w:numPr>
      </w:pPr>
      <w:r>
        <w:t xml:space="preserve">Optional annotation toggle that labels KPI grid, ranked bar chart, trend chart, heatmap, or sanitized table.</w:t>
      </w:r>
    </w:p>
    <w:p>
      <w:pPr>
        <w:pStyle w:val="MdListItem"/>
        <w:numPr>
          <w:ilvl w:val="0"/>
          <w:numId w:val="2"/>
        </w:numPr>
      </w:pPr>
      <w:r>
        <w:t xml:space="preserve">A visible “Illustrative only” badge in the preview frame.</w:t>
      </w:r>
    </w:p>
    <w:p>
      <w:pPr>
        <w:pStyle w:val="MdSpace"/>
        <w:spacing w:before="0" w:after="60"/>
      </w:pPr>
    </w:p>
    <w:p>
      <w:pPr>
        <w:pStyle w:val="MdParagraph"/>
      </w:pPr>
      <w:r>
        <w:t xml:space="preserve">Do not include a “connect data” or “export production report” CTA in the first release. If a future action is displayed, it must be labeled as coming soon and show a toast instead of pretending to work.</w:t>
      </w:r>
    </w:p>
    <w:p>
      <w:pPr>
        <w:pStyle w:val="MdSpace"/>
        <w:spacing w:before="0" w:after="60"/>
      </w:pPr>
    </w:p>
    <w:p>
      <w:pPr>
        <w:pStyle w:val="Heading2"/>
        <w:pStyle w:val="MdHeading2"/>
      </w:pPr>
      <w:r>
        <w:t xml:space="preserve">Section 7 — Apply styling and motion rules</w:t>
      </w:r>
    </w:p>
    <w:p>
      <w:pPr>
        <w:pStyle w:val="MdParagraph"/>
      </w:pPr>
      <w:r>
        <w:t xml:space="preserve">Update </w:t>
      </w:r>
      <w:r>
        <w:rPr>
          <w:rStyle w:val="MdCode"/>
          <w:u w:val="single"/>
        </w:rPr>
        <w:t xml:space="preserve">client/src/index.css</w:t>
      </w:r>
      <w:r>
        <w:t xml:space="preserve"> with design tokens for Instrument Green, Mineral Blue, warm ivory, pale stone, graphite, amber, and rust. Import DM Sans and Source Serif 4 in </w:t>
      </w:r>
      <w:r>
        <w:rPr>
          <w:rStyle w:val="MdCode"/>
          <w:u w:val="single"/>
        </w:rPr>
        <w:t xml:space="preserve">client/index.html</w:t>
      </w:r>
      <w:r>
        <w:t xml:space="preserve">. Keep the global Tailwind token system intact.</w:t>
      </w:r>
    </w:p>
    <w:p>
      <w:pPr>
        <w:pStyle w:val="MdSpace"/>
        <w:spacing w:before="0" w:after="60"/>
      </w:pPr>
    </w:p>
    <w:p>
      <w:pPr>
        <w:pStyle w:val="MdParagraph"/>
      </w:pPr>
      <w:r>
        <w:t xml:space="preserve">Use these motion rules:</w:t>
      </w:r>
    </w:p>
    <w:p>
      <w:pPr>
        <w:pStyle w:val="MdSpace"/>
        <w:spacing w:before="0" w:after="60"/>
      </w:pPr>
    </w:p>
    <w:p>
      <w:pPr>
        <w:pStyle w:val="MdListItem"/>
        <w:numPr>
          <w:ilvl w:val="0"/>
          <w:numId w:val="2"/>
        </w:numPr>
      </w:pPr>
      <w:r>
        <w:t xml:space="preserve">Card hover: transform translateY(-3px), 180ms ease-out.</w:t>
      </w:r>
    </w:p>
    <w:p>
      <w:pPr>
        <w:pStyle w:val="MdListItem"/>
        <w:numPr>
          <w:ilvl w:val="0"/>
          <w:numId w:val="2"/>
        </w:numPr>
      </w:pPr>
      <w:r>
        <w:t xml:space="preserve">Filter state changes: opacity/transform only, 180–240ms.</w:t>
      </w:r>
    </w:p>
    <w:p>
      <w:pPr>
        <w:pStyle w:val="MdListItem"/>
        <w:numPr>
          <w:ilvl w:val="0"/>
          <w:numId w:val="2"/>
        </w:numPr>
      </w:pPr>
      <w:r>
        <w:t xml:space="preserve">Detail preview entry: fade plus translateY(8px), 220ms.</w:t>
      </w:r>
    </w:p>
    <w:p>
      <w:pPr>
        <w:pStyle w:val="MdListItem"/>
        <w:numPr>
          <w:ilvl w:val="0"/>
          <w:numId w:val="2"/>
        </w:numPr>
      </w:pPr>
      <w:r>
        <w:t xml:space="preserve">Do not animate chart geometry on every render.</w:t>
      </w:r>
    </w:p>
    <w:p>
      <w:pPr>
        <w:pStyle w:val="MdListItem"/>
        <w:numPr>
          <w:ilvl w:val="0"/>
          <w:numId w:val="2"/>
        </w:numPr>
      </w:pPr>
      <w:r>
        <w:t xml:space="preserve">Disable non-essential motion under </w:t>
      </w:r>
      <w:r>
        <w:rPr>
          <w:rStyle w:val="MdCode"/>
          <w:u w:val="single"/>
        </w:rPr>
        <w:t xml:space="preserve">prefers-reduced-motion: reduce</w:t>
      </w:r>
      <w:r>
        <w:t xml:space="preserve">.</w:t>
      </w:r>
    </w:p>
    <w:p>
      <w:pPr>
        <w:pStyle w:val="MdSpace"/>
        <w:spacing w:before="0" w:after="60"/>
      </w:pPr>
    </w:p>
    <w:p>
      <w:pPr>
        <w:pStyle w:val="MdParagraph"/>
      </w:pPr>
      <w:r>
        <w:t xml:space="preserve">Use visible focus rings. Check text contrast against the actual rendered surfaces. Do not place dark text directly on the green title strip or light text over pale chart backgrounds without a clear surface behind it.</w:t>
      </w:r>
    </w:p>
    <w:p>
      <w:pPr>
        <w:pStyle w:val="MdSpace"/>
        <w:spacing w:before="0" w:after="60"/>
      </w:pPr>
    </w:p>
    <w:p>
      <w:pPr>
        <w:pStyle w:val="Heading2"/>
        <w:pStyle w:val="MdHeading2"/>
      </w:pPr>
      <w:r>
        <w:t xml:space="preserve">Section 8 — Privacy implementation checks</w:t>
      </w:r>
    </w:p>
    <w:p>
      <w:pPr>
        <w:pStyle w:val="MdParagraph"/>
      </w:pPr>
      <w:r>
        <w:t xml:space="preserve">Before declaring the work complete, run all of the following:</w:t>
      </w:r>
    </w:p>
    <w:p>
      <w:pPr>
        <w:pStyle w:val="MdSpace"/>
        <w:spacing w:before="0" w:after="60"/>
      </w:pPr>
    </w:p>
    <w:p>
      <w:pPr>
        <w:pStyle w:val="MdListItem"/>
        <w:numPr>
          <w:ilvl w:val="0"/>
          <w:numId w:val="3"/>
        </w:numPr>
      </w:pPr>
      <w:r>
        <w:t xml:space="preserve">Search source code for the source company name, source logo name, original screenshot filenames, original customer names, and any source-specific labels.</w:t>
      </w:r>
    </w:p>
    <w:p>
      <w:pPr>
        <w:pStyle w:val="MdListItem"/>
        <w:numPr>
          <w:ilvl w:val="0"/>
          <w:numId w:val="3"/>
        </w:numPr>
      </w:pPr>
      <w:r>
        <w:t xml:space="preserve">Search for phone-number patterns, email-like strings, URLs, and long numeric identifiers.</w:t>
      </w:r>
    </w:p>
    <w:p>
      <w:pPr>
        <w:pStyle w:val="MdListItem"/>
        <w:numPr>
          <w:ilvl w:val="0"/>
          <w:numId w:val="3"/>
        </w:numPr>
      </w:pPr>
      <w:r>
        <w:t xml:space="preserve">Confirm that the original screenshots are not imported into React, CSS, HTML, or the build output.</w:t>
      </w:r>
    </w:p>
    <w:p>
      <w:pPr>
        <w:pStyle w:val="MdListItem"/>
        <w:numPr>
          <w:ilvl w:val="0"/>
          <w:numId w:val="3"/>
        </w:numPr>
      </w:pPr>
      <w:r>
        <w:t xml:space="preserve">Confirm every template data object contains </w:t>
      </w:r>
      <w:r>
        <w:rPr>
          <w:rStyle w:val="MdCode"/>
          <w:u w:val="single"/>
        </w:rPr>
        <w:t xml:space="preserve">synthetic: true</w:t>
      </w:r>
      <w:r>
        <w:t xml:space="preserve"> and </w:t>
      </w:r>
      <w:r>
        <w:rPr>
          <w:rStyle w:val="MdCode"/>
          <w:u w:val="single"/>
        </w:rPr>
        <w:t xml:space="preserve">source: "generated-demo-data"</w:t>
      </w:r>
      <w:r>
        <w:t xml:space="preserve">.</w:t>
      </w:r>
    </w:p>
    <w:p>
      <w:pPr>
        <w:pStyle w:val="MdListItem"/>
        <w:numPr>
          <w:ilvl w:val="0"/>
          <w:numId w:val="3"/>
        </w:numPr>
      </w:pPr>
      <w:r>
        <w:t xml:space="preserve">Confirm no browser request is made for dashboard data.</w:t>
      </w:r>
    </w:p>
    <w:p>
      <w:pPr>
        <w:pStyle w:val="MdListItem"/>
        <w:numPr>
          <w:ilvl w:val="0"/>
          <w:numId w:val="3"/>
        </w:numPr>
      </w:pPr>
      <w:r>
        <w:t xml:space="preserve">Inspect the visible page manually at desktop and mobile widths for accidental leakage in tooltips, legends, empty states, and detail views.</w:t>
      </w:r>
    </w:p>
    <w:p>
      <w:pPr>
        <w:pStyle w:val="MdListItem"/>
        <w:numPr>
          <w:ilvl w:val="0"/>
          <w:numId w:val="3"/>
        </w:numPr>
      </w:pPr>
      <w:r>
        <w:t xml:space="preserve">Confirm that the abstract replacement mark contains no text or source logo geometry.</w:t>
      </w:r>
    </w:p>
    <w:p>
      <w:pPr>
        <w:pStyle w:val="MdSpace"/>
        <w:spacing w:before="0" w:after="60"/>
      </w:pPr>
    </w:p>
    <w:p>
      <w:pPr>
        <w:pStyle w:val="MdParagraph"/>
      </w:pPr>
      <w:r>
        <w:t xml:space="preserve">A privacy scan failure is a release blocker, even if the UI looks correct.</w:t>
      </w:r>
    </w:p>
    <w:p>
      <w:pPr>
        <w:pStyle w:val="MdSpace"/>
        <w:spacing w:before="0" w:after="60"/>
      </w:pPr>
    </w:p>
    <w:p>
      <w:pPr>
        <w:pStyle w:val="Heading2"/>
        <w:pStyle w:val="MdHeading2"/>
      </w:pPr>
      <w:r>
        <w:t xml:space="preserve">Section 9 — Validation sequence</w:t>
      </w:r>
    </w:p>
    <w:p>
      <w:pPr>
        <w:pStyle w:val="MdParagraph"/>
      </w:pPr>
      <w:r>
        <w:t xml:space="preserve">Run the validation in this exact order:</w:t>
      </w:r>
    </w:p>
    <w:p>
      <w:pPr>
        <w:pStyle w:val="MdSpace"/>
        <w:spacing w:before="0" w:after="60"/>
      </w:pPr>
    </w:p>
    <w:p>
      <w:pPr>
        <w:pStyle w:val="MdListItem"/>
        <w:numPr>
          <w:ilvl w:val="0"/>
          <w:numId w:val="3"/>
        </w:numPr>
      </w:pPr>
      <w:r>
        <w:rPr>
          <w:rStyle w:val="MdCode"/>
          <w:u w:val="single"/>
        </w:rPr>
        <w:t xml:space="preserve">pnpm check</w:t>
      </w:r>
      <w:r>
        <w:t xml:space="preserve"> for TypeScript errors.</w:t>
      </w:r>
    </w:p>
    <w:p>
      <w:pPr>
        <w:pStyle w:val="MdListItem"/>
        <w:numPr>
          <w:ilvl w:val="0"/>
          <w:numId w:val="3"/>
        </w:numPr>
      </w:pPr>
      <w:r>
        <w:rPr>
          <w:rStyle w:val="MdCode"/>
          <w:u w:val="single"/>
        </w:rPr>
        <w:t xml:space="preserve">pnpm build</w:t>
      </w:r>
      <w:r>
        <w:t xml:space="preserve"> for production compilation.</w:t>
      </w:r>
    </w:p>
    <w:p>
      <w:pPr>
        <w:pStyle w:val="MdListItem"/>
        <w:numPr>
          <w:ilvl w:val="0"/>
          <w:numId w:val="3"/>
        </w:numPr>
      </w:pPr>
      <w:r>
        <w:t xml:space="preserve">Open the gallery route and verify that all four cards render.</w:t>
      </w:r>
    </w:p>
    <w:p>
      <w:pPr>
        <w:pStyle w:val="MdListItem"/>
        <w:numPr>
          <w:ilvl w:val="0"/>
          <w:numId w:val="3"/>
        </w:numPr>
      </w:pPr>
      <w:r>
        <w:t xml:space="preserve">Select each card and verify the correct dashboard specimen appears.</w:t>
      </w:r>
    </w:p>
    <w:p>
      <w:pPr>
        <w:pStyle w:val="MdListItem"/>
        <w:numPr>
          <w:ilvl w:val="0"/>
          <w:numId w:val="3"/>
        </w:numPr>
      </w:pPr>
      <w:r>
        <w:t xml:space="preserve">Toggle filters, annotation state, and preview widths.</w:t>
      </w:r>
    </w:p>
    <w:p>
      <w:pPr>
        <w:pStyle w:val="MdListItem"/>
        <w:numPr>
          <w:ilvl w:val="0"/>
          <w:numId w:val="3"/>
        </w:numPr>
      </w:pPr>
      <w:r>
        <w:t xml:space="preserve">Test keyboard navigation through the rail, filters, cards, dialog/route controls, and tables.</w:t>
      </w:r>
    </w:p>
    <w:p>
      <w:pPr>
        <w:pStyle w:val="MdListItem"/>
        <w:numPr>
          <w:ilvl w:val="0"/>
          <w:numId w:val="3"/>
        </w:numPr>
      </w:pPr>
      <w:r>
        <w:t xml:space="preserve">Test at approximately 1280×720, 1024×768, 768×1024, and 375×812.</w:t>
      </w:r>
    </w:p>
    <w:p>
      <w:pPr>
        <w:pStyle w:val="MdListItem"/>
        <w:numPr>
          <w:ilvl w:val="0"/>
          <w:numId w:val="3"/>
        </w:numPr>
      </w:pPr>
      <w:r>
        <w:t xml:space="preserve">Inspect scroll behavior for the tall Customer Analysis preview.</w:t>
      </w:r>
    </w:p>
    <w:p>
      <w:pPr>
        <w:pStyle w:val="MdListItem"/>
        <w:numPr>
          <w:ilvl w:val="0"/>
          <w:numId w:val="3"/>
        </w:numPr>
      </w:pPr>
      <w:r>
        <w:t xml:space="preserve">Verify empty and zero-value states in Sales and Commission.</w:t>
      </w:r>
    </w:p>
    <w:p>
      <w:pPr>
        <w:pStyle w:val="MdListItem"/>
        <w:numPr>
          <w:ilvl w:val="0"/>
          <w:numId w:val="3"/>
        </w:numPr>
      </w:pPr>
      <w:r>
        <w:t xml:space="preserve">Perform the privacy scan and manual content review.</w:t>
      </w:r>
    </w:p>
    <w:p>
      <w:pPr>
        <w:pStyle w:val="MdListItem"/>
        <w:numPr>
          <w:ilvl w:val="0"/>
          <w:numId w:val="3"/>
        </w:numPr>
      </w:pPr>
      <w:r>
        <w:t xml:space="preserve">Capture representative screenshots only after the preceding checks pass.</w:t>
      </w:r>
    </w:p>
    <w:p>
      <w:pPr>
        <w:pStyle w:val="MdSpace"/>
        <w:spacing w:before="0" w:after="60"/>
      </w:pPr>
    </w:p>
    <w:p>
      <w:pPr>
        <w:pStyle w:val="Heading2"/>
        <w:pStyle w:val="MdHeading2"/>
      </w:pPr>
      <w:r>
        <w:t xml:space="preserve">Section 10 — Definition of done</w:t>
      </w:r>
    </w:p>
    <w:p>
      <w:pPr>
        <w:pStyle w:val="MdParagraph"/>
      </w:pPr>
      <w:r>
        <w:t xml:space="preserve">The coding agent may report completion only when the page is a live, responsive gallery rather than a collection of static screenshot images; all four specimens are implemented from shared components; all visible content is synthetic; every interactive control has a meaningful result or an honest coming-soon state; the mobile layout is usable; and type-check, build, interaction, accessibility, visual, and privacy checks have passed.</w:t>
      </w:r>
    </w:p>
    <w:p>
      <w:pPr>
        <w:pStyle w:val="MdSpace"/>
        <w:spacing w:before="0" w:after="60"/>
      </w:pPr>
    </w:p>
    <w:p>
      <w:pPr>
        <w:pStyle w:val="MdParagraph"/>
      </w:pPr>
      <w:r>
        <w:t xml:space="preserve">The first implementation pass should stop after the gallery shell and Marketing specimen are complete only if the task is explicitly staged. Otherwise, continue through Commission, Sales, Customer Analysis, detail inspection, and final validation before producing the delivery checkpoint.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2026-08-23T12:04:33.948Z</dcterms:created>
  <dcterms:modified xsi:type="dcterms:W3CDTF">2026-08-23T12:04:33.948Z</dcterms:modified>
</cp:coreProperties>
</file>

<file path=docProps/custom.xml><?xml version="1.0" encoding="utf-8"?>
<Properties xmlns="http://schemas.openxmlformats.org/officeDocument/2006/custom-properties" xmlns:vt="http://schemas.openxmlformats.org/officeDocument/2006/docPropsVTypes"/>
</file>