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C649D" w14:textId="6BCCEE55" w:rsidR="00566D4B" w:rsidRPr="00566D4B" w:rsidRDefault="008707B0" w:rsidP="00566D4B">
      <w:pPr>
        <w:jc w:val="center"/>
        <w:rPr>
          <w:sz w:val="32"/>
          <w:szCs w:val="32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7216" behindDoc="0" locked="0" layoutInCell="1" allowOverlap="1" wp14:anchorId="0DD3BDC6" wp14:editId="4565394D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238250" cy="513080"/>
            <wp:effectExtent l="0" t="0" r="0" b="1270"/>
            <wp:wrapSquare wrapText="bothSides"/>
            <wp:docPr id="1" name="Picture 1" descr="C:\Users\Clint Davey\AppData\Local\Microsoft\Windows\Temporary Internet Files\Content.Word\Maincom group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nt Davey\AppData\Local\Microsoft\Windows\Temporary Internet Files\Content.Word\Maincom group logo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6D4B">
        <w:rPr>
          <w:b/>
          <w:sz w:val="32"/>
          <w:szCs w:val="32"/>
          <w:u w:val="single"/>
        </w:rPr>
        <w:t>SAFE WORK METHOD STATEMENT (SWMS) –</w:t>
      </w:r>
      <w:r w:rsidR="00566D4B">
        <w:rPr>
          <w:sz w:val="32"/>
          <w:szCs w:val="32"/>
          <w:u w:val="single"/>
        </w:rPr>
        <w:t xml:space="preserve"> also known as Job Safety Analysis (JSA)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952"/>
        <w:gridCol w:w="4448"/>
        <w:gridCol w:w="122"/>
        <w:gridCol w:w="472"/>
        <w:gridCol w:w="1377"/>
        <w:gridCol w:w="743"/>
        <w:gridCol w:w="806"/>
        <w:gridCol w:w="4694"/>
      </w:tblGrid>
      <w:tr w:rsidR="00157BFE" w:rsidRPr="00157BFE" w14:paraId="6E364C96" w14:textId="77777777" w:rsidTr="008707B0">
        <w:trPr>
          <w:cantSplit/>
          <w:trHeight w:val="20"/>
        </w:trPr>
        <w:tc>
          <w:tcPr>
            <w:tcW w:w="4871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4F81BD" w:themeFill="accent1"/>
            <w:vAlign w:val="center"/>
          </w:tcPr>
          <w:p w14:paraId="5D2EF9E9" w14:textId="0BC26252" w:rsidR="00157BFE" w:rsidRPr="00157BFE" w:rsidRDefault="00557C2D" w:rsidP="004F2725">
            <w:pPr>
              <w:spacing w:after="120"/>
              <w:rPr>
                <w:rFonts w:cstheme="minorHAnsi"/>
                <w:noProof/>
                <w:color w:val="FFFFFF"/>
                <w:sz w:val="20"/>
                <w:szCs w:val="20"/>
              </w:rPr>
            </w:pPr>
            <w:r>
              <w:t xml:space="preserve">    </w:t>
            </w:r>
            <w:r w:rsidR="00157BFE" w:rsidRPr="00157BFE">
              <w:rPr>
                <w:rFonts w:cstheme="minorHAnsi"/>
                <w:noProof/>
                <w:color w:val="FFFFFF"/>
                <w:sz w:val="20"/>
                <w:szCs w:val="20"/>
              </w:rPr>
              <w:t>Organisation Details</w:t>
            </w:r>
          </w:p>
        </w:tc>
      </w:tr>
      <w:tr w:rsidR="00157BFE" w:rsidRPr="00157BFE" w14:paraId="67373225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251ABE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Organisation Name:</w:t>
            </w:r>
          </w:p>
        </w:tc>
        <w:tc>
          <w:tcPr>
            <w:tcW w:w="1573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7FB56E" w14:textId="2CBA14D5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913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5FFE99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Contact Name::</w:t>
            </w:r>
          </w:p>
        </w:tc>
        <w:tc>
          <w:tcPr>
            <w:tcW w:w="14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B711EC" w14:textId="45FB4ABB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</w:p>
        </w:tc>
      </w:tr>
      <w:tr w:rsidR="00157BFE" w:rsidRPr="00157BFE" w14:paraId="68184F4F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8BA41D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ACN/ABN</w:t>
            </w:r>
          </w:p>
        </w:tc>
        <w:tc>
          <w:tcPr>
            <w:tcW w:w="1573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23C1E1" w14:textId="79BDEE9D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913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D1AA4E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Contact Position:</w:t>
            </w:r>
          </w:p>
        </w:tc>
        <w:tc>
          <w:tcPr>
            <w:tcW w:w="14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7F5CD0" w14:textId="546ED195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</w:p>
        </w:tc>
      </w:tr>
      <w:tr w:rsidR="00157BFE" w:rsidRPr="00157BFE" w14:paraId="3C85AAEE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A768F0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Address:</w:t>
            </w:r>
          </w:p>
        </w:tc>
        <w:tc>
          <w:tcPr>
            <w:tcW w:w="1573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716D7E" w14:textId="067808EE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913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825E5A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Contract Phone No:</w:t>
            </w:r>
          </w:p>
        </w:tc>
        <w:tc>
          <w:tcPr>
            <w:tcW w:w="146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6A8BE5" w14:textId="3A6B1F50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</w:p>
        </w:tc>
      </w:tr>
      <w:tr w:rsidR="00157BFE" w14:paraId="3893EBD8" w14:textId="77777777" w:rsidTr="008707B0">
        <w:trPr>
          <w:cantSplit/>
          <w:trHeight w:val="20"/>
        </w:trPr>
        <w:tc>
          <w:tcPr>
            <w:tcW w:w="4871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4F81BD" w:themeFill="accent1"/>
            <w:vAlign w:val="center"/>
          </w:tcPr>
          <w:p w14:paraId="6EFB4506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color w:val="FFFFFF"/>
                <w:sz w:val="20"/>
                <w:szCs w:val="20"/>
              </w:rPr>
            </w:pPr>
            <w:r w:rsidRPr="00157BFE">
              <w:rPr>
                <w:rFonts w:cstheme="minorHAnsi"/>
                <w:noProof/>
                <w:color w:val="FFFFFF"/>
                <w:sz w:val="20"/>
                <w:szCs w:val="20"/>
              </w:rPr>
              <w:t>Project Details:</w:t>
            </w:r>
          </w:p>
        </w:tc>
      </w:tr>
      <w:tr w:rsidR="008707B0" w14:paraId="67BC8AA8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CB9044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 xml:space="preserve">Project: </w:t>
            </w:r>
          </w:p>
        </w:tc>
        <w:tc>
          <w:tcPr>
            <w:tcW w:w="138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6A4F88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615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79CB2D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Area:</w:t>
            </w:r>
          </w:p>
        </w:tc>
        <w:tc>
          <w:tcPr>
            <w:tcW w:w="1948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747516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</w:p>
        </w:tc>
      </w:tr>
      <w:tr w:rsidR="00157BFE" w14:paraId="5B0EE465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203BAD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Activity:</w:t>
            </w:r>
          </w:p>
        </w:tc>
        <w:tc>
          <w:tcPr>
            <w:tcW w:w="138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9E4439" w14:textId="77777777" w:rsidR="00157BFE" w:rsidRPr="00157BFE" w:rsidRDefault="0025053D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Carpentry (Fixing)</w:t>
            </w:r>
          </w:p>
        </w:tc>
        <w:tc>
          <w:tcPr>
            <w:tcW w:w="2563" w:type="pct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AC1985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This SWMS has been developed in consultation with:</w:t>
            </w:r>
          </w:p>
          <w:p w14:paraId="395BE2DA" w14:textId="77777777" w:rsidR="00157BFE" w:rsidRPr="00157BFE" w:rsidRDefault="001A5428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All</w:t>
            </w:r>
            <w:r w:rsidR="004A3F0C">
              <w:rPr>
                <w:rFonts w:cstheme="minorHAnsi"/>
                <w:noProof/>
                <w:sz w:val="20"/>
                <w:szCs w:val="20"/>
              </w:rPr>
              <w:t xml:space="preserve"> staff from Maincom Group get consulted in relation to safety and workplace activities.</w:t>
            </w:r>
          </w:p>
          <w:p w14:paraId="151A8F61" w14:textId="16B485B2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Reviewed by: _</w:t>
            </w:r>
            <w:r w:rsidR="008707B0">
              <w:rPr>
                <w:rFonts w:cstheme="minorHAnsi"/>
                <w:noProof/>
                <w:sz w:val="20"/>
                <w:szCs w:val="20"/>
              </w:rPr>
              <w:t>______________________________________</w:t>
            </w:r>
          </w:p>
          <w:p w14:paraId="5C5F9CCA" w14:textId="3C95222A" w:rsidR="00157BFE" w:rsidRPr="00157BFE" w:rsidRDefault="00157BFE" w:rsidP="001B31D6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Position: _</w:t>
            </w:r>
            <w:r w:rsidR="008707B0">
              <w:rPr>
                <w:rFonts w:cstheme="minorHAnsi"/>
                <w:noProof/>
                <w:sz w:val="20"/>
                <w:szCs w:val="20"/>
              </w:rPr>
              <w:t>_________________________________</w:t>
            </w:r>
            <w:r w:rsidRPr="00157BFE">
              <w:rPr>
                <w:rFonts w:cstheme="minorHAnsi"/>
                <w:noProof/>
                <w:sz w:val="20"/>
                <w:szCs w:val="20"/>
              </w:rPr>
              <w:t>___ Date: _ / __ /</w:t>
            </w:r>
          </w:p>
        </w:tc>
      </w:tr>
      <w:tr w:rsidR="00157BFE" w14:paraId="79E6D336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5CEFEC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 xml:space="preserve">Resources / Trades Involved: </w:t>
            </w:r>
          </w:p>
        </w:tc>
        <w:tc>
          <w:tcPr>
            <w:tcW w:w="3950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5FFFD8" w14:textId="6E3781F5" w:rsidR="00157BFE" w:rsidRPr="00157BFE" w:rsidRDefault="00502B38" w:rsidP="008E1374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 xml:space="preserve">Trades Involved: </w:t>
            </w:r>
            <w:r>
              <w:rPr>
                <w:rFonts w:cstheme="minorHAnsi"/>
                <w:noProof/>
                <w:sz w:val="20"/>
                <w:szCs w:val="20"/>
              </w:rPr>
              <w:tab/>
              <w:t>Carpenter</w:t>
            </w:r>
            <w:r w:rsidR="008E1374" w:rsidRPr="008E1374">
              <w:rPr>
                <w:rFonts w:cstheme="minorHAnsi"/>
                <w:noProof/>
                <w:sz w:val="20"/>
                <w:szCs w:val="20"/>
              </w:rPr>
              <w:t xml:space="preserve"> </w:t>
            </w:r>
          </w:p>
        </w:tc>
      </w:tr>
      <w:tr w:rsidR="00157BFE" w14:paraId="24F625FD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41C557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Equipment Used:</w:t>
            </w:r>
          </w:p>
        </w:tc>
        <w:tc>
          <w:tcPr>
            <w:tcW w:w="3950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3C64DD" w14:textId="77777777" w:rsidR="00157BFE" w:rsidRPr="00157BFE" w:rsidRDefault="0025053D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E</w:t>
            </w:r>
            <w:r w:rsidR="008E1374" w:rsidRPr="008E1374">
              <w:rPr>
                <w:rFonts w:cstheme="minorHAnsi"/>
                <w:noProof/>
                <w:sz w:val="20"/>
                <w:szCs w:val="20"/>
              </w:rPr>
              <w:t>lec</w:t>
            </w:r>
            <w:r>
              <w:rPr>
                <w:rFonts w:cstheme="minorHAnsi"/>
                <w:noProof/>
                <w:sz w:val="20"/>
                <w:szCs w:val="20"/>
              </w:rPr>
              <w:t>trical power tools</w:t>
            </w:r>
          </w:p>
        </w:tc>
      </w:tr>
      <w:tr w:rsidR="00157BFE" w14:paraId="2A1A4105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1C1B20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 xml:space="preserve">Maintenance checks: </w:t>
            </w:r>
          </w:p>
        </w:tc>
        <w:tc>
          <w:tcPr>
            <w:tcW w:w="3950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4967A6" w14:textId="77777777" w:rsidR="00157BFE" w:rsidRPr="00157BFE" w:rsidRDefault="008E1374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8E1374">
              <w:rPr>
                <w:rFonts w:cstheme="minorHAnsi"/>
                <w:noProof/>
                <w:sz w:val="20"/>
                <w:szCs w:val="20"/>
              </w:rPr>
              <w:t>Monthly checks on electrical equipment, daily checks on significant items of Plant</w:t>
            </w:r>
          </w:p>
        </w:tc>
      </w:tr>
      <w:tr w:rsidR="00157BFE" w14:paraId="3A1868C1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3D1E01" w14:textId="77777777" w:rsidR="00157BFE" w:rsidRPr="00157BFE" w:rsidRDefault="00157BFE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Materials Used:</w:t>
            </w:r>
          </w:p>
        </w:tc>
        <w:tc>
          <w:tcPr>
            <w:tcW w:w="3950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B4E740" w14:textId="77777777" w:rsidR="00157BFE" w:rsidRPr="00157BFE" w:rsidRDefault="00074F1F" w:rsidP="004F2725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Pine, steel</w:t>
            </w:r>
          </w:p>
        </w:tc>
      </w:tr>
      <w:tr w:rsidR="008707B0" w14:paraId="55A9349D" w14:textId="77777777" w:rsidTr="008707B0">
        <w:trPr>
          <w:cantSplit/>
          <w:trHeight w:val="20"/>
        </w:trPr>
        <w:tc>
          <w:tcPr>
            <w:tcW w:w="9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777A2C" w14:textId="77777777" w:rsidR="008707B0" w:rsidRPr="00157BFE" w:rsidRDefault="008707B0" w:rsidP="008707B0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 w:rsidRPr="00157BFE">
              <w:rPr>
                <w:rFonts w:cstheme="minorHAnsi"/>
                <w:noProof/>
                <w:sz w:val="20"/>
                <w:szCs w:val="20"/>
              </w:rPr>
              <w:t>Occupational Health Safety or Environmental Legislation:</w:t>
            </w:r>
          </w:p>
        </w:tc>
        <w:tc>
          <w:tcPr>
            <w:tcW w:w="1426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6D7C72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0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 xml:space="preserve">Work Health and Safety Act 2011 </w:t>
              </w:r>
              <w:r w:rsidR="008707B0">
                <w:rPr>
                  <w:rStyle w:val="Hyperlink"/>
                  <w:sz w:val="12"/>
                  <w:szCs w:val="12"/>
                </w:rPr>
                <w:t>(ACT)</w:t>
              </w:r>
            </w:hyperlink>
          </w:p>
          <w:p w14:paraId="064C1961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1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 xml:space="preserve">Work Health and Safety Regulation 2011 </w:t>
              </w:r>
              <w:r w:rsidR="008707B0">
                <w:rPr>
                  <w:rStyle w:val="Hyperlink"/>
                  <w:sz w:val="12"/>
                  <w:szCs w:val="12"/>
                </w:rPr>
                <w:t>(ACT)</w:t>
              </w:r>
            </w:hyperlink>
          </w:p>
          <w:p w14:paraId="30764A4C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2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 xml:space="preserve">Work Health and Safety Act 2011 </w:t>
              </w:r>
              <w:r w:rsidR="008707B0">
                <w:rPr>
                  <w:rStyle w:val="Hyperlink"/>
                  <w:sz w:val="12"/>
                  <w:szCs w:val="12"/>
                </w:rPr>
                <w:t>(NSW)</w:t>
              </w:r>
            </w:hyperlink>
          </w:p>
          <w:p w14:paraId="450D17F5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3" w:anchor="/view/regulation/2017/404/full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>Work Health and Safety Regulation 2017 </w:t>
              </w:r>
              <w:r w:rsidR="008707B0">
                <w:rPr>
                  <w:rStyle w:val="Hyperlink"/>
                  <w:sz w:val="12"/>
                  <w:szCs w:val="12"/>
                </w:rPr>
                <w:t>(NSW)</w:t>
              </w:r>
            </w:hyperlink>
          </w:p>
          <w:p w14:paraId="225CDD62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4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 xml:space="preserve">Work Health and Safety Act 2011 </w:t>
              </w:r>
              <w:r w:rsidR="008707B0">
                <w:rPr>
                  <w:rStyle w:val="Hyperlink"/>
                  <w:sz w:val="12"/>
                  <w:szCs w:val="12"/>
                </w:rPr>
                <w:t>(Qld)</w:t>
              </w:r>
            </w:hyperlink>
          </w:p>
          <w:p w14:paraId="5FA5C819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5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 xml:space="preserve">Work Health and Safety Regulation 2011 </w:t>
              </w:r>
              <w:r w:rsidR="008707B0">
                <w:rPr>
                  <w:rStyle w:val="Hyperlink"/>
                  <w:sz w:val="12"/>
                  <w:szCs w:val="12"/>
                </w:rPr>
                <w:t>(Qld)</w:t>
              </w:r>
            </w:hyperlink>
          </w:p>
          <w:p w14:paraId="75FA5C91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6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 xml:space="preserve">Work Health and Safety Act 2012 </w:t>
              </w:r>
              <w:r w:rsidR="008707B0">
                <w:rPr>
                  <w:rStyle w:val="Hyperlink"/>
                  <w:sz w:val="12"/>
                  <w:szCs w:val="12"/>
                </w:rPr>
                <w:t>(SA)</w:t>
              </w:r>
            </w:hyperlink>
          </w:p>
          <w:p w14:paraId="20BE1FB0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7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 xml:space="preserve">Work Health and Safety Regulation 2012 </w:t>
              </w:r>
              <w:r w:rsidR="008707B0">
                <w:rPr>
                  <w:rStyle w:val="Hyperlink"/>
                  <w:sz w:val="12"/>
                  <w:szCs w:val="12"/>
                </w:rPr>
                <w:t xml:space="preserve">(SA) </w:t>
              </w:r>
            </w:hyperlink>
          </w:p>
          <w:p w14:paraId="38D263E7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8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>Occupational Health and Safety Act 2004</w:t>
              </w:r>
              <w:r w:rsidR="008707B0">
                <w:rPr>
                  <w:rStyle w:val="Hyperlink"/>
                  <w:sz w:val="12"/>
                  <w:szCs w:val="12"/>
                </w:rPr>
                <w:t xml:space="preserve"> (Vic) </w:t>
              </w:r>
            </w:hyperlink>
          </w:p>
          <w:p w14:paraId="7A4F5AE6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19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>Occupational Health and Safety Regulations 2017</w:t>
              </w:r>
              <w:r w:rsidR="008707B0">
                <w:rPr>
                  <w:rStyle w:val="Hyperlink"/>
                  <w:sz w:val="12"/>
                  <w:szCs w:val="12"/>
                </w:rPr>
                <w:t xml:space="preserve"> (Vic)</w:t>
              </w:r>
            </w:hyperlink>
          </w:p>
          <w:p w14:paraId="515F1C6B" w14:textId="77777777" w:rsidR="008707B0" w:rsidRDefault="00B016CB" w:rsidP="008707B0">
            <w:pPr>
              <w:spacing w:after="120"/>
              <w:rPr>
                <w:sz w:val="12"/>
                <w:szCs w:val="12"/>
              </w:rPr>
            </w:pPr>
            <w:hyperlink r:id="rId20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>Occupational Safety and Health Act 1984</w:t>
              </w:r>
              <w:r w:rsidR="008707B0">
                <w:rPr>
                  <w:rStyle w:val="Hyperlink"/>
                  <w:sz w:val="12"/>
                  <w:szCs w:val="12"/>
                </w:rPr>
                <w:t xml:space="preserve"> (WA)</w:t>
              </w:r>
            </w:hyperlink>
          </w:p>
          <w:p w14:paraId="28EEF252" w14:textId="48D2203E" w:rsidR="008707B0" w:rsidRPr="00157BFE" w:rsidRDefault="00B016CB" w:rsidP="008707B0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hyperlink r:id="rId21" w:history="1">
              <w:r w:rsidR="008707B0">
                <w:rPr>
                  <w:rStyle w:val="Hyperlink"/>
                  <w:i/>
                  <w:iCs/>
                  <w:color w:val="0000FF"/>
                  <w:sz w:val="12"/>
                  <w:szCs w:val="12"/>
                </w:rPr>
                <w:t xml:space="preserve">Occupational Safety and Health Regulations 1996 </w:t>
              </w:r>
              <w:r w:rsidR="008707B0">
                <w:rPr>
                  <w:rStyle w:val="Hyperlink"/>
                  <w:sz w:val="12"/>
                  <w:szCs w:val="12"/>
                </w:rPr>
                <w:t>(WA)</w:t>
              </w:r>
              <w:r w:rsidR="008707B0">
                <w:rPr>
                  <w:rStyle w:val="Hyperlink"/>
                  <w:sz w:val="16"/>
                  <w:szCs w:val="16"/>
                </w:rPr>
                <w:t xml:space="preserve"> </w:t>
              </w:r>
            </w:hyperlink>
          </w:p>
        </w:tc>
        <w:tc>
          <w:tcPr>
            <w:tcW w:w="809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D2EBD5" w14:textId="6BC5422F" w:rsidR="008707B0" w:rsidRPr="00157BFE" w:rsidRDefault="008707B0" w:rsidP="008707B0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>Codes or Standards applicable to the works:</w:t>
            </w:r>
          </w:p>
        </w:tc>
        <w:tc>
          <w:tcPr>
            <w:tcW w:w="1716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8267C7" w14:textId="77777777" w:rsidR="008707B0" w:rsidRDefault="008707B0" w:rsidP="008707B0">
            <w:pPr>
              <w:spacing w:after="120"/>
              <w:rPr>
                <w:rFonts w:cstheme="minorHAnsi"/>
                <w:i/>
                <w:noProof/>
                <w:sz w:val="20"/>
                <w:szCs w:val="20"/>
              </w:rPr>
            </w:pPr>
            <w:r>
              <w:rPr>
                <w:rFonts w:cstheme="minorHAnsi"/>
                <w:i/>
                <w:noProof/>
                <w:sz w:val="20"/>
                <w:szCs w:val="20"/>
              </w:rPr>
              <w:t>The National Code of Construction (NCC)( Building Code of Australia (BCA))</w:t>
            </w:r>
          </w:p>
          <w:p w14:paraId="6DD42358" w14:textId="77777777" w:rsidR="008707B0" w:rsidRDefault="008707B0" w:rsidP="008707B0">
            <w:pPr>
              <w:spacing w:after="120"/>
              <w:rPr>
                <w:rFonts w:cstheme="minorHAnsi"/>
                <w:i/>
                <w:noProof/>
                <w:sz w:val="20"/>
                <w:szCs w:val="20"/>
              </w:rPr>
            </w:pPr>
            <w:r>
              <w:rPr>
                <w:rFonts w:cstheme="minorHAnsi"/>
                <w:i/>
                <w:noProof/>
                <w:sz w:val="20"/>
                <w:szCs w:val="20"/>
              </w:rPr>
              <w:t>Codes Of Pratices or AS/NZ Standards as applicable to your work</w:t>
            </w:r>
          </w:p>
          <w:p w14:paraId="6A36DC2A" w14:textId="0989049B" w:rsidR="008707B0" w:rsidRPr="00157BFE" w:rsidRDefault="008707B0" w:rsidP="008707B0">
            <w:pPr>
              <w:spacing w:after="120"/>
              <w:rPr>
                <w:rFonts w:cstheme="minorHAnsi"/>
                <w:noProof/>
                <w:sz w:val="20"/>
                <w:szCs w:val="20"/>
              </w:rPr>
            </w:pPr>
          </w:p>
        </w:tc>
      </w:tr>
    </w:tbl>
    <w:p w14:paraId="38D63C4A" w14:textId="77777777" w:rsidR="00557C2D" w:rsidRDefault="00557C2D" w:rsidP="008D07B7">
      <w:bookmarkStart w:id="0" w:name="_GoBack"/>
      <w:bookmarkEnd w:id="0"/>
    </w:p>
    <w:sectPr w:rsidR="00557C2D" w:rsidSect="008D07B7">
      <w:footerReference w:type="default" r:id="rId22"/>
      <w:pgSz w:w="16838" w:h="11906" w:orient="landscape"/>
      <w:pgMar w:top="720" w:right="720" w:bottom="720" w:left="720" w:header="708" w:footer="58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8850A" w14:textId="77777777" w:rsidR="00B016CB" w:rsidRDefault="00B016CB" w:rsidP="008D07B7">
      <w:pPr>
        <w:spacing w:after="0" w:line="240" w:lineRule="auto"/>
      </w:pPr>
      <w:r>
        <w:separator/>
      </w:r>
    </w:p>
  </w:endnote>
  <w:endnote w:type="continuationSeparator" w:id="0">
    <w:p w14:paraId="309C1825" w14:textId="77777777" w:rsidR="00B016CB" w:rsidRDefault="00B016CB" w:rsidP="008D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TCCentury BookC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19430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4D5EF05" w14:textId="77777777" w:rsidR="0076649C" w:rsidRDefault="0076649C" w:rsidP="008D07B7">
            <w:pPr>
              <w:pStyle w:val="Footer"/>
            </w:pPr>
            <w:r>
              <w:t>Safe Work Method Statement (SWMS)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6A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6A2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61AA5" w14:textId="77777777" w:rsidR="00B016CB" w:rsidRDefault="00B016CB" w:rsidP="008D07B7">
      <w:pPr>
        <w:spacing w:after="0" w:line="240" w:lineRule="auto"/>
      </w:pPr>
      <w:r>
        <w:separator/>
      </w:r>
    </w:p>
  </w:footnote>
  <w:footnote w:type="continuationSeparator" w:id="0">
    <w:p w14:paraId="322BA7BF" w14:textId="77777777" w:rsidR="00B016CB" w:rsidRDefault="00B016CB" w:rsidP="008D0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9627A"/>
    <w:multiLevelType w:val="hybridMultilevel"/>
    <w:tmpl w:val="A4D0636E"/>
    <w:lvl w:ilvl="0" w:tplc="02082C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710425"/>
    <w:multiLevelType w:val="hybridMultilevel"/>
    <w:tmpl w:val="E74C03A6"/>
    <w:lvl w:ilvl="0" w:tplc="37041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2D"/>
    <w:rsid w:val="00071E24"/>
    <w:rsid w:val="00074F1F"/>
    <w:rsid w:val="000B3503"/>
    <w:rsid w:val="000C6BBC"/>
    <w:rsid w:val="000E48E2"/>
    <w:rsid w:val="00157BFE"/>
    <w:rsid w:val="001816ED"/>
    <w:rsid w:val="001A5428"/>
    <w:rsid w:val="001B31D6"/>
    <w:rsid w:val="002465B6"/>
    <w:rsid w:val="0025053D"/>
    <w:rsid w:val="002C5170"/>
    <w:rsid w:val="002D5EA0"/>
    <w:rsid w:val="003372A0"/>
    <w:rsid w:val="00351C15"/>
    <w:rsid w:val="00362629"/>
    <w:rsid w:val="00404C1B"/>
    <w:rsid w:val="00411635"/>
    <w:rsid w:val="0044681A"/>
    <w:rsid w:val="004A3D30"/>
    <w:rsid w:val="004A3F0C"/>
    <w:rsid w:val="004F2725"/>
    <w:rsid w:val="00502B38"/>
    <w:rsid w:val="00521CA3"/>
    <w:rsid w:val="00557C2D"/>
    <w:rsid w:val="00566D4B"/>
    <w:rsid w:val="0062062A"/>
    <w:rsid w:val="00674496"/>
    <w:rsid w:val="006C6005"/>
    <w:rsid w:val="0076649C"/>
    <w:rsid w:val="007A4FE0"/>
    <w:rsid w:val="007F708D"/>
    <w:rsid w:val="008319AA"/>
    <w:rsid w:val="008707B0"/>
    <w:rsid w:val="008D07B7"/>
    <w:rsid w:val="008E1374"/>
    <w:rsid w:val="00901569"/>
    <w:rsid w:val="00901641"/>
    <w:rsid w:val="0094521E"/>
    <w:rsid w:val="009730D3"/>
    <w:rsid w:val="009A3234"/>
    <w:rsid w:val="009B33CD"/>
    <w:rsid w:val="00A07F37"/>
    <w:rsid w:val="00A237A4"/>
    <w:rsid w:val="00A3590B"/>
    <w:rsid w:val="00AE1ED4"/>
    <w:rsid w:val="00B016CB"/>
    <w:rsid w:val="00B24A65"/>
    <w:rsid w:val="00B74774"/>
    <w:rsid w:val="00D12745"/>
    <w:rsid w:val="00D76176"/>
    <w:rsid w:val="00DC11F7"/>
    <w:rsid w:val="00DE6A25"/>
    <w:rsid w:val="00E048AF"/>
    <w:rsid w:val="00E85DC5"/>
    <w:rsid w:val="00EB492B"/>
    <w:rsid w:val="00F155A0"/>
    <w:rsid w:val="00F64F9E"/>
    <w:rsid w:val="00F65AF6"/>
    <w:rsid w:val="00F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C3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4681A"/>
    <w:pPr>
      <w:keepNext/>
      <w:tabs>
        <w:tab w:val="num" w:pos="851"/>
      </w:tabs>
      <w:spacing w:after="120" w:line="240" w:lineRule="auto"/>
      <w:ind w:left="851" w:hanging="851"/>
      <w:outlineLvl w:val="0"/>
    </w:pPr>
    <w:rPr>
      <w:rFonts w:ascii="Arial" w:eastAsia="Times New Roman" w:hAnsi="Arial" w:cs="Arial"/>
      <w:b/>
      <w:bCs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8E137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8E1374"/>
    <w:pPr>
      <w:keepNext/>
      <w:spacing w:after="0" w:line="240" w:lineRule="auto"/>
      <w:ind w:left="113"/>
      <w:jc w:val="both"/>
      <w:outlineLvl w:val="5"/>
    </w:pPr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8E1374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66D4B"/>
    <w:pPr>
      <w:spacing w:after="0" w:line="240" w:lineRule="auto"/>
    </w:pPr>
    <w:rPr>
      <w:rFonts w:ascii="Arial" w:eastAsia="Times New Roman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566D4B"/>
    <w:rPr>
      <w:rFonts w:ascii="Arial" w:eastAsia="Times New Roman" w:hAnsi="Arial" w:cs="Arial"/>
    </w:rPr>
  </w:style>
  <w:style w:type="paragraph" w:customStyle="1" w:styleId="Body">
    <w:name w:val="Body"/>
    <w:basedOn w:val="Normal"/>
    <w:uiPriority w:val="99"/>
    <w:rsid w:val="00566D4B"/>
    <w:pPr>
      <w:spacing w:before="120" w:after="60" w:line="240" w:lineRule="auto"/>
    </w:pPr>
    <w:rPr>
      <w:rFonts w:ascii="ITCCentury BookCond" w:eastAsia="Times New Roman" w:hAnsi="ITCCentury BookCond" w:cs="ITCCentury BookCond"/>
      <w:sz w:val="20"/>
      <w:szCs w:val="20"/>
    </w:rPr>
  </w:style>
  <w:style w:type="paragraph" w:customStyle="1" w:styleId="OmniPage3">
    <w:name w:val="OmniPage #3"/>
    <w:basedOn w:val="Normal"/>
    <w:rsid w:val="0044681A"/>
    <w:pPr>
      <w:tabs>
        <w:tab w:val="right" w:pos="9857"/>
      </w:tabs>
      <w:spacing w:after="0" w:line="240" w:lineRule="auto"/>
      <w:ind w:left="2814"/>
    </w:pPr>
    <w:rPr>
      <w:rFonts w:ascii="Times New Roman" w:eastAsia="Times New Roman" w:hAnsi="Times New Roman" w:cs="Arial"/>
      <w:noProof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44681A"/>
    <w:rPr>
      <w:rFonts w:ascii="Arial" w:eastAsia="Times New Roman" w:hAnsi="Arial" w:cs="Arial"/>
      <w:b/>
      <w:bCs/>
      <w:cap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D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B7"/>
  </w:style>
  <w:style w:type="character" w:customStyle="1" w:styleId="Heading4Char">
    <w:name w:val="Heading 4 Char"/>
    <w:basedOn w:val="DefaultParagraphFont"/>
    <w:link w:val="Heading4"/>
    <w:rsid w:val="008E1374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8E1374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E1374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707B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707B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4681A"/>
    <w:pPr>
      <w:keepNext/>
      <w:tabs>
        <w:tab w:val="num" w:pos="851"/>
      </w:tabs>
      <w:spacing w:after="120" w:line="240" w:lineRule="auto"/>
      <w:ind w:left="851" w:hanging="851"/>
      <w:outlineLvl w:val="0"/>
    </w:pPr>
    <w:rPr>
      <w:rFonts w:ascii="Arial" w:eastAsia="Times New Roman" w:hAnsi="Arial" w:cs="Arial"/>
      <w:b/>
      <w:bCs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8E137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8E1374"/>
    <w:pPr>
      <w:keepNext/>
      <w:spacing w:after="0" w:line="240" w:lineRule="auto"/>
      <w:ind w:left="113"/>
      <w:jc w:val="both"/>
      <w:outlineLvl w:val="5"/>
    </w:pPr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8E1374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66D4B"/>
    <w:pPr>
      <w:spacing w:after="0" w:line="240" w:lineRule="auto"/>
    </w:pPr>
    <w:rPr>
      <w:rFonts w:ascii="Arial" w:eastAsia="Times New Roman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566D4B"/>
    <w:rPr>
      <w:rFonts w:ascii="Arial" w:eastAsia="Times New Roman" w:hAnsi="Arial" w:cs="Arial"/>
    </w:rPr>
  </w:style>
  <w:style w:type="paragraph" w:customStyle="1" w:styleId="Body">
    <w:name w:val="Body"/>
    <w:basedOn w:val="Normal"/>
    <w:uiPriority w:val="99"/>
    <w:rsid w:val="00566D4B"/>
    <w:pPr>
      <w:spacing w:before="120" w:after="60" w:line="240" w:lineRule="auto"/>
    </w:pPr>
    <w:rPr>
      <w:rFonts w:ascii="ITCCentury BookCond" w:eastAsia="Times New Roman" w:hAnsi="ITCCentury BookCond" w:cs="ITCCentury BookCond"/>
      <w:sz w:val="20"/>
      <w:szCs w:val="20"/>
    </w:rPr>
  </w:style>
  <w:style w:type="paragraph" w:customStyle="1" w:styleId="OmniPage3">
    <w:name w:val="OmniPage #3"/>
    <w:basedOn w:val="Normal"/>
    <w:rsid w:val="0044681A"/>
    <w:pPr>
      <w:tabs>
        <w:tab w:val="right" w:pos="9857"/>
      </w:tabs>
      <w:spacing w:after="0" w:line="240" w:lineRule="auto"/>
      <w:ind w:left="2814"/>
    </w:pPr>
    <w:rPr>
      <w:rFonts w:ascii="Times New Roman" w:eastAsia="Times New Roman" w:hAnsi="Times New Roman" w:cs="Arial"/>
      <w:noProof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44681A"/>
    <w:rPr>
      <w:rFonts w:ascii="Arial" w:eastAsia="Times New Roman" w:hAnsi="Arial" w:cs="Arial"/>
      <w:b/>
      <w:bCs/>
      <w:cap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D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B7"/>
  </w:style>
  <w:style w:type="character" w:customStyle="1" w:styleId="Heading4Char">
    <w:name w:val="Heading 4 Char"/>
    <w:basedOn w:val="DefaultParagraphFont"/>
    <w:link w:val="Heading4"/>
    <w:rsid w:val="008E1374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8E1374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E1374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707B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707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gislation.nsw.gov.au/" TargetMode="External"/><Relationship Id="rId18" Type="http://schemas.openxmlformats.org/officeDocument/2006/relationships/hyperlink" Target="http://www.legislation.vic.gov.au/Domino/Web_Notes/LDMS/PubStatbook.nsf/edfb620cf7503d1aca256da4001b08af/750e0d9e0b2b387fca256f71001fa7be!OpenDocument&amp;Highlight=0,occupational,health,safet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mmerce.wa.gov.au/worksafe/about-occupational-safety-and-health-regulations-19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legislation.nsw.gov.au/fragview/inforce/act+10+2011+pt.14-div.2+0+N?tocnav=y" TargetMode="External"/><Relationship Id="rId17" Type="http://schemas.openxmlformats.org/officeDocument/2006/relationships/hyperlink" Target="http://www.legislation.sa.gov.au/LZ/C/R/Work%20Health%20and%20Safety%20Regulations%202012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egislation.sa.gov.au/LZ/C/A/WORK%20HEALTH%20AND%20SAFETY%20ACT%202012.aspx" TargetMode="External"/><Relationship Id="rId20" Type="http://schemas.openxmlformats.org/officeDocument/2006/relationships/hyperlink" Target="http://www.commerce.wa.gov.au/worksafe/about-occupational-safety-and-health-act-198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egislation.act.gov.au/sl/2011-36/default.asp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worksafe.qld.gov.au/laws-and-compliance/workplace-health-and-safety-laws/laws-and-legislation/work-health-and-safety-regulation-201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egislation.act.gov.au/a/2011-35/default.asp" TargetMode="External"/><Relationship Id="rId19" Type="http://schemas.openxmlformats.org/officeDocument/2006/relationships/hyperlink" Target="http://www.legislation.vic.gov.au/Domino/Web_Notes/LDMS/PubLawToday.nsf/b12e276826f7c27fca256de50022686b/8679a979bf5a8abcca258140007ce8f9!OpenDocum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worksafe.qld.gov.au/laws-and-compliance/workplace-health-and-safety-laws/laws-and-legislation/work-health-and-safety-act-201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AF07-735F-43C5-B453-112D5763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Davey</dc:creator>
  <cp:lastModifiedBy>Eduardo Aparicio</cp:lastModifiedBy>
  <cp:revision>3</cp:revision>
  <cp:lastPrinted>2011-09-26T01:07:00Z</cp:lastPrinted>
  <dcterms:created xsi:type="dcterms:W3CDTF">2019-01-22T02:58:00Z</dcterms:created>
  <dcterms:modified xsi:type="dcterms:W3CDTF">2019-04-29T05:38:00Z</dcterms:modified>
</cp:coreProperties>
</file>