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 Energy Bills and the second floor would heat up a lot more than the rest of the house in the summer.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was remodeled in 2017  after being basically abandoned for the 20 years before that. When remodeling the house a new extension was added (the laundry room and bathroom) and an air sealed crawlspace was installed underneath it. While there is insulation it is not continuous and causes thermal blinding to occur on the side connected to the basement. Since the house was build in 1890 it is balloon framed and has cellulose installed in the walls when there it was renovated. The house also had some fibre glass batts in the attic that is very old.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wall in the kitchen where the fridge is placed was replaced when the house was replaced after a tree fell on it during its abandoned years. There have also been the addition of the mud room, laundry room and unconditioned sun room since its renovation in 2017 as far as we are aware.</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NA. There are 1 single paned vinyl windows. These are in fair condition, they have a total area of 1 ft². Located in the Bathroom.</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1st floor 74, 2nd floor 49. NA</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65% of its air every hour. Over one day, the house goes through 16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NA</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Left Bedroom: 7pa, right bedroom: 21 pa front bedroom:12.5 pa, Mudroom 4.5 pa, Attic: 28pa</w:t>
      </w:r>
    </w:p>
    <w:p>
      <w:pPr>
        <w:pStyle w:val="BodyText"/>
      </w:pPr>
      <w:r>
        <w:t xml:space="preserve">To test how well the basement is air sealed, we open the interior door to the basement and record how leaky the house and basement are together. With the basement door open, your house had an ACHnatural value of NA. Mudroom closed 2192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5"/>
    <w:bookmarkStart w:id="56" w:name="air-source-heat-pumps"/>
    <w:p>
      <w:pPr>
        <w:pStyle w:val="Heading3"/>
      </w:pPr>
      <w:r>
        <w:t xml:space="preserve">4.15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2025-07-17T18:12:39Z</dcterms:created>
  <dcterms:modified xsi:type="dcterms:W3CDTF">2025-07-17T18:12:39Z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