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67.png" ContentType="image/png"/>
  <Override PartName="/word/media/rId42.jpg" ContentType="image/jpeg"/>
  <Override PartName="/word/media/rId29.jpg" ContentType="image/jpeg"/>
  <Override PartName="/word/media/rId48.jpg" ContentType="image/jpeg"/>
  <Override PartName="/word/media/rId32.jpg" ContentType="image/jpeg"/>
  <Override PartName="/word/media/rId53.jpg" ContentType="image/jpeg"/>
  <Override PartName="/word/media/rId35.jpg" ContentType="image/jpeg"/>
  <Override PartName="/word/media/rId58.jpg" ContentType="image/jpeg"/>
  <Override PartName="/word/media/rId38.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energy-audit-report"/>
    <w:p>
      <w:pPr>
        <w:pStyle w:val="Heading2"/>
      </w:pPr>
      <w:r>
        <w:t xml:space="preserve">Energy Audit Report</w:t>
      </w:r>
    </w:p>
    <w:p>
      <w:pPr>
        <w:pStyle w:val="FirstParagraph"/>
      </w:pPr>
      <w:r>
        <w:t xml:space="preserve">Homeowner: Me_summer_test2</w:t>
      </w:r>
    </w:p>
    <w:p>
      <w:pPr>
        <w:pStyle w:val="BodyText"/>
      </w:pPr>
      <w:r>
        <w:t xml:space="preserve">Address: Me_summer_test2</w:t>
      </w:r>
    </w:p>
    <w:p>
      <w:pPr>
        <w:pStyle w:val="BodyText"/>
      </w:pPr>
      <w:r>
        <w:t xml:space="preserve">Auditors: Rudy</w:t>
      </w:r>
    </w:p>
    <w:p>
      <w:pPr>
        <w:pStyle w:val="BodyText"/>
      </w:pPr>
      <w:r>
        <w:t xml:space="preserve">Contact: mdicommunityenergy@coa.edu, 802 266 0301</w:t>
      </w:r>
    </w:p>
    <w:p>
      <w:pPr>
        <w:pStyle w:val="BodyText"/>
      </w:pPr>
      <w:r>
        <w:t xml:space="preserve">Date: 15 July 2024</w:t>
      </w:r>
    </w:p>
    <w:p>
      <w:r>
        <w:pict>
          <v:rect style="width:0;height:1.5pt" o:hralign="center" o:hrstd="t" o:hr="t"/>
        </w:pict>
      </w:r>
    </w:p>
    <w:p>
      <w:pPr>
        <w:pStyle w:val="FirstParagraph"/>
      </w:pPr>
      <w:r>
        <w:t xml:space="preserve">We conducted an energy assessment of your home on 2024-05-24. This report will tell you what we did, what we found, and what we suggest for your home. These suggestions include information on incentives and financing to make improvements more affordable.</w:t>
      </w:r>
    </w:p>
    <w:p>
      <w:r>
        <w:pict>
          <v:rect style="width:0;height:1.5pt" o:hralign="center" o:hrstd="t" o:hr="t"/>
        </w:pict>
      </w:r>
    </w:p>
    <w:p>
      <w:pPr>
        <w:pStyle w:val="FirstParagraph"/>
      </w:pPr>
      <w:r>
        <w:drawing>
          <wp:inline>
            <wp:extent cx="5334000" cy="1429525"/>
            <wp:effectExtent b="0" l="0" r="0" t="0"/>
            <wp:docPr descr="" title="" id="21" name="Picture"/>
            <a:graphic>
              <a:graphicData uri="http://schemas.openxmlformats.org/drawingml/2006/picture">
                <pic:pic>
                  <pic:nvPicPr>
                    <pic:cNvPr descr="images/Logos-together.png" id="22" name="Picture"/>
                    <pic:cNvPicPr>
                      <a:picLocks noChangeArrowheads="1" noChangeAspect="1"/>
                    </pic:cNvPicPr>
                  </pic:nvPicPr>
                  <pic:blipFill>
                    <a:blip r:embed="rId20"/>
                    <a:stretch>
                      <a:fillRect/>
                    </a:stretch>
                  </pic:blipFill>
                  <pic:spPr bwMode="auto">
                    <a:xfrm>
                      <a:off x="0" y="0"/>
                      <a:ext cx="5334000" cy="1429525"/>
                    </a:xfrm>
                    <a:prstGeom prst="rect">
                      <a:avLst/>
                    </a:prstGeom>
                    <a:noFill/>
                    <a:ln w="9525">
                      <a:noFill/>
                      <a:headEnd/>
                      <a:tailEnd/>
                    </a:ln>
                  </pic:spPr>
                </pic:pic>
              </a:graphicData>
            </a:graphic>
          </wp:inline>
        </w:drawing>
      </w:r>
    </w:p>
    <w:bookmarkEnd w:id="23"/>
    <w:bookmarkStart w:id="24" w:name="table-of-contents"/>
    <w:p>
      <w:pPr>
        <w:pStyle w:val="Heading1"/>
      </w:pPr>
      <w:r>
        <w:t xml:space="preserve">Table of Contents</w:t>
      </w:r>
    </w:p>
    <w:p>
      <w:pPr>
        <w:pStyle w:val="FirstParagraph"/>
      </w:pPr>
      <w:r>
        <w:t xml:space="preserve">Here will be the table of contents</w:t>
      </w:r>
    </w:p>
    <w:bookmarkEnd w:id="24"/>
    <w:bookmarkStart w:id="71" w:name="summary-of-your-audit"/>
    <w:p>
      <w:pPr>
        <w:pStyle w:val="Heading1"/>
      </w:pPr>
      <w:r>
        <w:t xml:space="preserve">1. Summary of your Audit</w:t>
      </w:r>
    </w:p>
    <w:p>
      <w:pPr>
        <w:pStyle w:val="FirstParagraph"/>
      </w:pPr>
      <w:r>
        <w:t xml:space="preserve">1.1 Visual Inspection and Measurements</w:t>
      </w:r>
    </w:p>
    <w:p>
      <w:pPr>
        <w:pStyle w:val="BodyText"/>
      </w:pPr>
      <w:r>
        <w:t xml:space="preserve">We started with a tour and visual inspection of the inside and outside of the home. We identified any visible damage to the building, moisture control strategies, major appliances, and insulation. We measured square footage and volume of the home, as well as the area of all exterior windows and doors. We used a kill-a-watt meter to measure the electricity use of some appliances. During your audit, we used a carbon monoxide meter to measure the ambient carbon monoxide levels throughout the home.</w:t>
      </w:r>
    </w:p>
    <w:p>
      <w:pPr>
        <w:pStyle w:val="BodyText"/>
      </w:pPr>
      <w:r>
        <w:t xml:space="preserve">1.2 Attic</w:t>
      </w:r>
    </w:p>
    <w:p>
      <w:pPr>
        <w:pStyle w:val="BodyText"/>
      </w:pPr>
      <w:r>
        <w:t xml:space="preserve">We entered the attic to check for insulation, air sealing, ventilation, and potential hazards such as mold. Additionally, we visually inspected the attic ventilation and any duct and pipework passing through the attic.</w:t>
      </w:r>
    </w:p>
    <w:p>
      <w:pPr>
        <w:pStyle w:val="BodyText"/>
      </w:pPr>
      <w:r>
        <w:t xml:space="preserve">1.3 Basement</w:t>
      </w:r>
    </w:p>
    <w:p>
      <w:pPr>
        <w:pStyle w:val="BodyText"/>
      </w:pPr>
      <w:r>
        <w:t xml:space="preserve">We visually inspected any appliances in the basement and noted insulation levels, moisture, rodents, and any other concerns.</w:t>
      </w:r>
    </w:p>
    <w:p>
      <w:pPr>
        <w:pStyle w:val="BodyText"/>
      </w:pPr>
      <w:r>
        <w:t xml:space="preserve">1.4 Combustion Appliance Safety</w:t>
      </w:r>
    </w:p>
    <w:p>
      <w:pPr>
        <w:pStyle w:val="BodyText"/>
      </w:pPr>
      <w:r>
        <w:t xml:space="preserve">We assessed combustion appliances that burn fossil fuels such as propane, heating oil, or kerosene. These include furnaces, boilers, water heaters, and gas ovens.</w:t>
      </w:r>
    </w:p>
    <w:p>
      <w:pPr>
        <w:pStyle w:val="BodyText"/>
      </w:pPr>
      <w:r>
        <w:t xml:space="preserve">Option 1: We visually inspected and conducted combustion safety tests on the combustion appliance(s) in your home. This included measuring for carbon monoxide and testing that flue gases are properly exhausting from the home.</w:t>
      </w:r>
      <w:r>
        <w:t xml:space="preserve"> </w:t>
      </w:r>
      <w:r>
        <w:t xml:space="preserve">Option 2: We visually inspected your appliance(s) but were unable to perform combustion safety tests.</w:t>
      </w:r>
    </w:p>
    <w:p>
      <w:pPr>
        <w:pStyle w:val="BodyText"/>
      </w:pPr>
      <w:r>
        <w:t xml:space="preserve">IF propane gas, Add sentence to Options 1/2: We also performed gas leak detection tests on your propane appliance(s).</w:t>
      </w:r>
    </w:p>
    <w:p>
      <w:pPr>
        <w:pStyle w:val="BodyText"/>
      </w:pPr>
      <w:r>
        <w:t xml:space="preserve">1.5 Blower Door / Air Leakage Test</w:t>
      </w:r>
    </w:p>
    <w:p>
      <w:pPr>
        <w:pStyle w:val="BodyText"/>
      </w:pPr>
      <w:r>
        <w:t xml:space="preserve">We used a large fan in an exterior door to depressurize your house. This allows us to determine the volume of air leakage into the house and to locate bigger air leaks. To find leaks, we used an infrared camera to check for unusually hot and cold spots. We also checked the pressure differences of the rooms to help determine major air leak locations.</w:t>
      </w:r>
    </w:p>
    <w:bookmarkStart w:id="25" w:name="homes-current-conditions"/>
    <w:p>
      <w:pPr>
        <w:pStyle w:val="Heading2"/>
      </w:pPr>
      <w:r>
        <w:t xml:space="preserve">Home’s current conditions</w:t>
      </w: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Build: Year 2019</w:t>
            </w:r>
          </w:p>
        </w:tc>
        <w:tc>
          <w:tcPr/>
          <w:p>
            <w:pPr>
              <w:jc w:val="left"/>
            </w:pPr>
            <w:r>
              <w:t xml:space="preserve">Primary heating fuel: Gas</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Volume: 5000 cubic feet</w:t>
            </w:r>
          </w:p>
        </w:tc>
        <w:tc>
          <w:tcPr/>
          <w:p>
            <w:pPr>
              <w:jc w:val="left"/>
            </w:pPr>
            <w:r>
              <w:t xml:space="preserve">Secondary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Area: 5000 square feet</w:t>
            </w:r>
          </w:p>
        </w:tc>
        <w:tc>
          <w:tcPr/>
          <w:p>
            <w:pPr>
              <w:jc w:val="left"/>
            </w:pPr>
            <w:r>
              <w:t xml:space="preserve">Water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Net wall area: 500 square feet</w:t>
            </w:r>
          </w:p>
        </w:tc>
        <w:tc>
          <w:tcPr/>
          <w:p>
            <w:pPr>
              <w:jc w:val="left"/>
            </w:pPr>
            <w:r>
              <w:t xml:space="preserve">Window type: doublepaned</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Ceiling/attic area: 2000 square feet</w:t>
            </w:r>
          </w:p>
        </w:tc>
        <w:tc>
          <w:tcPr/>
          <w:p>
            <w:pPr>
              <w:jc w:val="left"/>
            </w:pPr>
            <w:r>
              <w:t xml:space="preserve">Window area:400 square feet</w:t>
            </w:r>
          </w:p>
        </w:tc>
      </w:tr>
    </w:tbl>
    <w:p>
      <w:pPr>
        <w:framePr w:w="0" w:h="0" w:vAnchor="margin" w:hAnchor="margin" w:xAlign="right" w:yAlign="top"/>
      </w:pPr>
    </w:p>
    <w:tbl>
      <w:tblPr>
        <w:tblStyle w:val="Table"/>
        <w:tblW w:type="pct" w:w="5000"/>
        <w:tblLook w:firstRow="0" w:lastRow="0" w:firstColumn="0" w:lastColumn="0" w:noHBand="0" w:noVBand="0" w:val="0000"/>
        <w:jc w:val="start"/>
        <w:tblLayout w:type="fixed"/>
      </w:tblPr>
      <w:tblGrid>
        <w:gridCol w:w="3960"/>
        <w:gridCol w:w="3960"/>
      </w:tblGrid>
      <w:tr>
        <w:tc>
          <w:tcPr/>
          <w:p>
            <w:pPr>
              <w:jc w:val="left"/>
            </w:pPr>
            <w:r>
              <w:t xml:space="preserve">Ceiling height: 5 feet</w:t>
            </w:r>
          </w:p>
        </w:tc>
        <w:tc>
          <w:tcPr/>
          <w:p>
            <w:pPr>
              <w:jc w:val="left"/>
            </w:pPr>
            <w:r>
              <w:t xml:space="preserve">Door type and area: no_idea, 500 square feet</w:t>
            </w:r>
          </w:p>
        </w:tc>
      </w:tr>
    </w:tbl>
    <w:bookmarkEnd w:id="25"/>
    <w:bookmarkStart w:id="26" w:name="health-and-safety"/>
    <w:p>
      <w:pPr>
        <w:pStyle w:val="Heading2"/>
      </w:pPr>
      <w:r>
        <w:t xml:space="preserve">Health and safety</w:t>
      </w:r>
    </w:p>
    <w:p>
      <w:pPr>
        <w:pStyle w:val="FirstParagraph"/>
      </w:pPr>
      <w:r>
        <w:t xml:space="preserve">Combustion Gas Spillage Test – PASSED (Emissions Spilled for 50 seconds)</w:t>
      </w:r>
    </w:p>
    <w:p>
      <w:pPr>
        <w:pStyle w:val="BodyText"/>
      </w:pPr>
      <w:r>
        <w:t xml:space="preserve">Appliance Carbon Monoxide (CO) Test – FAILED( Detected 30parts per million)</w:t>
      </w:r>
    </w:p>
    <w:p>
      <w:pPr>
        <w:pStyle w:val="BodyText"/>
      </w:pPr>
      <w:r>
        <w:t xml:space="preserve">Ambient Carbon Monoxide (CO) Test – PASSED (Detected 20 parts per million)</w:t>
      </w:r>
    </w:p>
    <w:p>
      <w:pPr>
        <w:pStyle w:val="BodyText"/>
      </w:pPr>
      <w:r>
        <w:t xml:space="preserve">Combustion Appliance Draft Test – FAILED</w:t>
      </w:r>
    </w:p>
    <w:p>
      <w:pPr>
        <w:pStyle w:val="BodyText"/>
      </w:pPr>
      <w:r>
        <w:t xml:space="preserve">Gas leak detection: PASSED, NA</w:t>
      </w:r>
    </w:p>
    <w:p>
      <w:pPr>
        <w:pStyle w:val="BodyText"/>
      </w:pPr>
      <w:r>
        <w:t xml:space="preserve">Other Health &amp; Safety Concerns: There were no further health and/or safety concerns that were identified at the time of your energy audit.</w:t>
      </w:r>
    </w:p>
    <w:bookmarkEnd w:id="26"/>
    <w:bookmarkStart w:id="27" w:name="air-quality"/>
    <w:p>
      <w:pPr>
        <w:pStyle w:val="Heading2"/>
      </w:pPr>
      <w:r>
        <w:t xml:space="preserve">Air quality</w:t>
      </w:r>
    </w:p>
    <w:bookmarkEnd w:id="27"/>
    <w:bookmarkStart w:id="41" w:name="insulation-levels"/>
    <w:p>
      <w:pPr>
        <w:pStyle w:val="Heading2"/>
      </w:pPr>
      <w:r>
        <w:t xml:space="preserve">Insulation levels</w:t>
      </w:r>
    </w:p>
    <w:tbl>
      <w:tblPr>
        <w:tblStyle w:val="Table"/>
        <w:tblW w:type="pct" w:w="5000"/>
        <w:tblLook w:firstRow="0" w:lastRow="0" w:firstColumn="0" w:lastColumn="0" w:noHBand="0" w:noVBand="0" w:val="0000"/>
        <w:jc w:val="start"/>
        <w:tblLayout w:type="fixed"/>
      </w:tblPr>
      <w:tblGrid>
        <w:gridCol w:w="1980"/>
        <w:gridCol w:w="3520"/>
        <w:gridCol w:w="2420"/>
      </w:tblGrid>
      <w:tr>
        <w:tc>
          <w:tcPr/>
          <w:p>
            <w:pPr>
              <w:pStyle w:val="Compact"/>
              <w:jc w:val="left"/>
            </w:pPr>
            <w:r>
              <w:t xml:space="preserve">HOME COMPONENT</w:t>
            </w:r>
          </w:p>
        </w:tc>
        <w:tc>
          <w:tcPr/>
          <w:p>
            <w:pPr>
              <w:pStyle w:val="Compact"/>
              <w:jc w:val="left"/>
            </w:pPr>
            <w:r>
              <w:t xml:space="preserve">YOUR HOME’S R-VALUES</w:t>
            </w:r>
          </w:p>
        </w:tc>
        <w:tc>
          <w:tcPr/>
          <w:p>
            <w:pPr>
              <w:pStyle w:val="Compact"/>
              <w:jc w:val="left"/>
            </w:pPr>
            <w:r>
              <w:t xml:space="preserve">US D.O.E. RECOMMENDED R-VALUES</w:t>
            </w:r>
          </w:p>
        </w:tc>
      </w:tr>
      <w:tr>
        <w:tc>
          <w:tcPr/>
          <w:p>
            <w:pPr>
              <w:pStyle w:val="Compact"/>
              <w:jc w:val="left"/>
            </w:pPr>
            <w:r>
              <w:t xml:space="preserve">Attics/Ceilings</w:t>
            </w:r>
          </w:p>
        </w:tc>
        <w:tc>
          <w:tcPr/>
          <w:p>
            <w:pPr>
              <w:pStyle w:val="Compact"/>
              <w:jc w:val="left"/>
            </w:pPr>
            <w:r>
              <w:t xml:space="preserve">50</w:t>
            </w:r>
          </w:p>
        </w:tc>
        <w:tc>
          <w:tcPr/>
          <w:p>
            <w:pPr>
              <w:pStyle w:val="Compact"/>
              <w:jc w:val="left"/>
            </w:pPr>
            <w:r>
              <w:t xml:space="preserve">60</w:t>
            </w:r>
          </w:p>
        </w:tc>
      </w:tr>
      <w:tr>
        <w:tc>
          <w:tcPr/>
          <w:p>
            <w:pPr>
              <w:pStyle w:val="Compact"/>
              <w:jc w:val="left"/>
            </w:pPr>
            <w:r>
              <w:t xml:space="preserve">Above Ground Walls</w:t>
            </w:r>
          </w:p>
        </w:tc>
        <w:tc>
          <w:tcPr/>
          <w:p>
            <w:pPr>
              <w:pStyle w:val="Compact"/>
              <w:jc w:val="left"/>
            </w:pPr>
            <w:r>
              <w:t xml:space="preserve">20</w:t>
            </w:r>
          </w:p>
        </w:tc>
        <w:tc>
          <w:tcPr/>
          <w:p>
            <w:pPr>
              <w:pStyle w:val="Compact"/>
              <w:jc w:val="left"/>
            </w:pPr>
            <w:r>
              <w:t xml:space="preserve">30</w:t>
            </w:r>
          </w:p>
        </w:tc>
      </w:tr>
      <w:tr>
        <w:tc>
          <w:tcPr/>
          <w:p>
            <w:pPr>
              <w:pStyle w:val="Compact"/>
              <w:jc w:val="left"/>
            </w:pPr>
            <w:r>
              <w:t xml:space="preserve">Basement Walls</w:t>
            </w:r>
          </w:p>
        </w:tc>
        <w:tc>
          <w:tcPr/>
          <w:p>
            <w:pPr>
              <w:pStyle w:val="Compact"/>
              <w:jc w:val="left"/>
            </w:pPr>
            <w:r>
              <w:t xml:space="preserve">20</w:t>
            </w:r>
          </w:p>
        </w:tc>
        <w:tc>
          <w:tcPr/>
          <w:p>
            <w:pPr>
              <w:pStyle w:val="Compact"/>
              <w:jc w:val="left"/>
            </w:pPr>
            <w:r>
              <w:t xml:space="preserve">19</w:t>
            </w:r>
          </w:p>
        </w:tc>
      </w:tr>
    </w:tbl>
    <w:p>
      <w:pPr>
        <w:pStyle w:val="BodyText"/>
      </w:pPr>
      <w:r>
        <w:t xml:space="preserve">source</w:t>
      </w:r>
      <w:r>
        <w:t xml:space="preserve"> </w:t>
      </w:r>
      <w:hyperlink r:id="rId28">
        <w:r>
          <w:rPr>
            <w:rStyle w:val="Hyperlink"/>
          </w:rPr>
          <w:t xml:space="preserve">U.S. Department of Energy, Pacific Northwest Labaratory</w:t>
        </w:r>
      </w:hyperlink>
    </w:p>
    <w:p>
      <w:pPr>
        <w:pStyle w:val="BodyText"/>
      </w:pPr>
      <w:r>
        <w:t xml:space="preserve">Here are some picture of your insulation.</w:t>
      </w:r>
    </w:p>
    <w:p>
      <w:pPr>
        <w:pStyle w:val="BodyText"/>
      </w:pPr>
      <w:r>
        <w:drawing>
          <wp:inline>
            <wp:extent cx="2667000" cy="2000249"/>
            <wp:effectExtent b="0" l="0" r="0" t="0"/>
            <wp:docPr descr="" title="" id="30" name="Picture"/>
            <a:graphic>
              <a:graphicData uri="http://schemas.openxmlformats.org/drawingml/2006/picture">
                <pic:pic>
                  <pic:nvPicPr>
                    <pic:cNvPr descr="images/HM20240515024604_VIS.jpeg" id="31" name="Picture"/>
                    <pic:cNvPicPr>
                      <a:picLocks noChangeArrowheads="1" noChangeAspect="1"/>
                    </pic:cNvPicPr>
                  </pic:nvPicPr>
                  <pic:blipFill>
                    <a:blip r:embed="rId29"/>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3" name="Picture"/>
            <a:graphic>
              <a:graphicData uri="http://schemas.openxmlformats.org/drawingml/2006/picture">
                <pic:pic>
                  <pic:nvPicPr>
                    <pic:cNvPr descr="images/HM20240515030058_VIS.jpeg" id="34" name="Picture"/>
                    <pic:cNvPicPr>
                      <a:picLocks noChangeArrowheads="1" noChangeAspect="1"/>
                    </pic:cNvPicPr>
                  </pic:nvPicPr>
                  <pic:blipFill>
                    <a:blip r:embed="rId32"/>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6" name="Picture"/>
            <a:graphic>
              <a:graphicData uri="http://schemas.openxmlformats.org/drawingml/2006/picture">
                <pic:pic>
                  <pic:nvPicPr>
                    <pic:cNvPr descr="images/HM20240515030203_VIS.jpeg" id="37" name="Picture"/>
                    <pic:cNvPicPr>
                      <a:picLocks noChangeArrowheads="1" noChangeAspect="1"/>
                    </pic:cNvPicPr>
                  </pic:nvPicPr>
                  <pic:blipFill>
                    <a:blip r:embed="rId35"/>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drawing>
          <wp:inline>
            <wp:extent cx="2667000" cy="2000249"/>
            <wp:effectExtent b="0" l="0" r="0" t="0"/>
            <wp:docPr descr="" title="" id="39" name="Picture"/>
            <a:graphic>
              <a:graphicData uri="http://schemas.openxmlformats.org/drawingml/2006/picture">
                <pic:pic>
                  <pic:nvPicPr>
                    <pic:cNvPr descr="images/HM20240515031225_VIS.jpeg" id="40" name="Picture"/>
                    <pic:cNvPicPr>
                      <a:picLocks noChangeArrowheads="1" noChangeAspect="1"/>
                    </pic:cNvPicPr>
                  </pic:nvPicPr>
                  <pic:blipFill>
                    <a:blip r:embed="rId38"/>
                    <a:stretch>
                      <a:fillRect/>
                    </a:stretch>
                  </pic:blipFill>
                  <pic:spPr bwMode="auto">
                    <a:xfrm>
                      <a:off x="0" y="0"/>
                      <a:ext cx="2667000" cy="2000249"/>
                    </a:xfrm>
                    <a:prstGeom prst="rect">
                      <a:avLst/>
                    </a:prstGeom>
                    <a:noFill/>
                    <a:ln w="9525">
                      <a:noFill/>
                      <a:headEnd/>
                      <a:tailEnd/>
                    </a:ln>
                  </pic:spPr>
                </pic:pic>
              </a:graphicData>
            </a:graphic>
          </wp:inline>
        </w:drawing>
      </w:r>
    </w:p>
    <w:p>
      <w:pPr>
        <w:pStyle w:val="BodyText"/>
      </w:pPr>
      <w:r>
        <w:t xml:space="preserve">Images of the insulation pictures.</w:t>
      </w:r>
    </w:p>
    <w:bookmarkEnd w:id="41"/>
    <w:bookmarkStart w:id="64" w:name="blower-door-air-leakage-test"/>
    <w:p>
      <w:pPr>
        <w:pStyle w:val="Heading2"/>
      </w:pPr>
      <w:r>
        <w:t xml:space="preserve">Blower Door / Air Leakage Test</w:t>
      </w:r>
    </w:p>
    <w:p>
      <w:pPr>
        <w:pStyle w:val="FirstParagraph"/>
      </w:pPr>
      <w:r>
        <w:t xml:space="preserve">The blower door test, determined that your homes air leakage rate is 0.7Natural Air Changes per Hour(ACHn) (Should I explain what ACHn is?) CFM50 was 450 with B ring used. (Include photo)</w:t>
      </w:r>
    </w:p>
    <w:p>
      <w:pPr>
        <w:pStyle w:val="BodyText"/>
      </w:pPr>
      <w:r>
        <w:drawing>
          <wp:inline>
            <wp:extent cx="2667000" cy="2000250"/>
            <wp:effectExtent b="0" l="0" r="0" t="0"/>
            <wp:docPr descr="" title="" id="43" name="Picture"/>
            <a:graphic>
              <a:graphicData uri="http://schemas.openxmlformats.org/drawingml/2006/picture">
                <pic:pic>
                  <pic:nvPicPr>
                    <pic:cNvPr descr="images/HM20240514152940ring.jpeg" id="44" name="Picture"/>
                    <pic:cNvPicPr>
                      <a:picLocks noChangeArrowheads="1" noChangeAspect="1"/>
                    </pic:cNvPicPr>
                  </pic:nvPicPr>
                  <pic:blipFill>
                    <a:blip r:embed="rId42"/>
                    <a:stretch>
                      <a:fillRect/>
                    </a:stretch>
                  </pic:blipFill>
                  <pic:spPr bwMode="auto">
                    <a:xfrm>
                      <a:off x="0" y="0"/>
                      <a:ext cx="2667000" cy="2000250"/>
                    </a:xfrm>
                    <a:prstGeom prst="rect">
                      <a:avLst/>
                    </a:prstGeom>
                    <a:noFill/>
                    <a:ln w="9525">
                      <a:noFill/>
                      <a:headEnd/>
                      <a:tailEnd/>
                    </a:ln>
                  </pic:spPr>
                </pic:pic>
              </a:graphicData>
            </a:graphic>
          </wp:inline>
        </w:drawing>
      </w:r>
    </w:p>
    <w:p>
      <w:pPr>
        <w:pStyle w:val="BodyText"/>
      </w:pPr>
      <w:r>
        <w:t xml:space="preserve">NA</w:t>
      </w:r>
    </w:p>
    <w:bookmarkStart w:id="63" w:name="your-building-on-the-scale"/>
    <w:p>
      <w:pPr>
        <w:pStyle w:val="Heading3"/>
      </w:pPr>
      <w:r>
        <w:t xml:space="preserve">Your Building on the scale</w:t>
      </w:r>
    </w:p>
    <w:p>
      <w:pPr>
        <w:pStyle w:val="FirstParagraph"/>
      </w:pPr>
      <w:r>
        <w:t xml:space="preserve">This scale shows how is your building compare to air leakage standards. Where being closer to zero providing with the best energy saving.</w:t>
      </w:r>
    </w:p>
    <w:p>
      <w:pPr>
        <w:pStyle w:val="BodyText"/>
      </w:pPr>
      <w:r>
        <w:drawing>
          <wp:inline>
            <wp:extent cx="4620126" cy="3696101"/>
            <wp:effectExtent b="0" l="0" r="0" t="0"/>
            <wp:docPr descr="" title="" id="46" name="Picture"/>
            <a:graphic>
              <a:graphicData uri="http://schemas.openxmlformats.org/drawingml/2006/picture">
                <pic:pic>
                  <pic:nvPicPr>
                    <pic:cNvPr descr="Energy_Report_Summer_files/figure-docx/air%20leakage%20tests%20ggplot-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blower door test and visual inspection detected the following areas for moderate to severe air leakage:</w:t>
      </w:r>
    </w:p>
    <w:p>
      <w:pPr>
        <w:pStyle w:val="BodyText"/>
      </w:pPr>
      <w:r>
        <w:t xml:space="preserve">(This would be pictures)</w:t>
      </w:r>
    </w:p>
    <w:p>
      <w:pPr>
        <w:pStyle w:val="BodyText"/>
      </w:pPr>
      <w:r>
        <w:drawing>
          <wp:inline>
            <wp:extent cx="2613660" cy="1960244"/>
            <wp:effectExtent b="0" l="0" r="0" t="0"/>
            <wp:docPr descr="" title="" id="49" name="Picture"/>
            <a:graphic>
              <a:graphicData uri="http://schemas.openxmlformats.org/drawingml/2006/picture">
                <pic:pic>
                  <pic:nvPicPr>
                    <pic:cNvPr descr="images/HM20240515030058.jpeg" id="50" name="Picture"/>
                    <pic:cNvPicPr>
                      <a:picLocks noChangeArrowheads="1" noChangeAspect="1"/>
                    </pic:cNvPicPr>
                  </pic:nvPicPr>
                  <pic:blipFill>
                    <a:blip r:embed="rId4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1" name="Picture"/>
            <a:graphic>
              <a:graphicData uri="http://schemas.openxmlformats.org/drawingml/2006/picture">
                <pic:pic>
                  <pic:nvPicPr>
                    <pic:cNvPr descr="images/HM20240515030058_VIS.jpeg" id="52" name="Picture"/>
                    <pic:cNvPicPr>
                      <a:picLocks noChangeArrowheads="1" noChangeAspect="1"/>
                    </pic:cNvPicPr>
                  </pic:nvPicPr>
                  <pic:blipFill>
                    <a:blip r:embed="rId32"/>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4" name="Picture"/>
            <a:graphic>
              <a:graphicData uri="http://schemas.openxmlformats.org/drawingml/2006/picture">
                <pic:pic>
                  <pic:nvPicPr>
                    <pic:cNvPr descr="images/HM20240515030203.jpeg" id="55" name="Picture"/>
                    <pic:cNvPicPr>
                      <a:picLocks noChangeArrowheads="1" noChangeAspect="1"/>
                    </pic:cNvPicPr>
                  </pic:nvPicPr>
                  <pic:blipFill>
                    <a:blip r:embed="rId53"/>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56" name="Picture"/>
            <a:graphic>
              <a:graphicData uri="http://schemas.openxmlformats.org/drawingml/2006/picture">
                <pic:pic>
                  <pic:nvPicPr>
                    <pic:cNvPr descr="images/HM20240515030203_VIS.jpeg" id="57" name="Picture"/>
                    <pic:cNvPicPr>
                      <a:picLocks noChangeArrowheads="1" noChangeAspect="1"/>
                    </pic:cNvPicPr>
                  </pic:nvPicPr>
                  <pic:blipFill>
                    <a:blip r:embed="rId35"/>
                    <a:stretch>
                      <a:fillRect/>
                    </a:stretch>
                  </pic:blipFill>
                  <pic:spPr bwMode="auto">
                    <a:xfrm>
                      <a:off x="0" y="0"/>
                      <a:ext cx="2613660" cy="1960245"/>
                    </a:xfrm>
                    <a:prstGeom prst="rect">
                      <a:avLst/>
                    </a:prstGeom>
                    <a:noFill/>
                    <a:ln w="9525">
                      <a:noFill/>
                      <a:headEnd/>
                      <a:tailEnd/>
                    </a:ln>
                  </pic:spPr>
                </pic:pic>
              </a:graphicData>
            </a:graphic>
          </wp:inline>
        </w:drawing>
      </w:r>
    </w:p>
    <w:p>
      <w:pPr>
        <w:pStyle w:val="BodyText"/>
      </w:pPr>
      <w:r>
        <w:drawing>
          <wp:inline>
            <wp:extent cx="2613660" cy="1960244"/>
            <wp:effectExtent b="0" l="0" r="0" t="0"/>
            <wp:docPr descr="" title="" id="59" name="Picture"/>
            <a:graphic>
              <a:graphicData uri="http://schemas.openxmlformats.org/drawingml/2006/picture">
                <pic:pic>
                  <pic:nvPicPr>
                    <pic:cNvPr descr="images/HM20240515031225.jpeg" id="60" name="Picture"/>
                    <pic:cNvPicPr>
                      <a:picLocks noChangeArrowheads="1" noChangeAspect="1"/>
                    </pic:cNvPicPr>
                  </pic:nvPicPr>
                  <pic:blipFill>
                    <a:blip r:embed="rId58"/>
                    <a:stretch>
                      <a:fillRect/>
                    </a:stretch>
                  </pic:blipFill>
                  <pic:spPr bwMode="auto">
                    <a:xfrm>
                      <a:off x="0" y="0"/>
                      <a:ext cx="2613660" cy="1960244"/>
                    </a:xfrm>
                    <a:prstGeom prst="rect">
                      <a:avLst/>
                    </a:prstGeom>
                    <a:noFill/>
                    <a:ln w="9525">
                      <a:noFill/>
                      <a:headEnd/>
                      <a:tailEnd/>
                    </a:ln>
                  </pic:spPr>
                </pic:pic>
              </a:graphicData>
            </a:graphic>
          </wp:inline>
        </w:drawing>
      </w:r>
    </w:p>
    <w:p>
      <w:pPr>
        <w:pStyle w:val="BodyText"/>
      </w:pPr>
      <w:r>
        <w:drawing>
          <wp:inline>
            <wp:extent cx="2613660" cy="1960245"/>
            <wp:effectExtent b="0" l="0" r="0" t="0"/>
            <wp:docPr descr="" title="" id="61" name="Picture"/>
            <a:graphic>
              <a:graphicData uri="http://schemas.openxmlformats.org/drawingml/2006/picture">
                <pic:pic>
                  <pic:nvPicPr>
                    <pic:cNvPr descr="images/HM20240515031225_VIS.jpeg" id="62" name="Picture"/>
                    <pic:cNvPicPr>
                      <a:picLocks noChangeArrowheads="1" noChangeAspect="1"/>
                    </pic:cNvPicPr>
                  </pic:nvPicPr>
                  <pic:blipFill>
                    <a:blip r:embed="rId38"/>
                    <a:stretch>
                      <a:fillRect/>
                    </a:stretch>
                  </pic:blipFill>
                  <pic:spPr bwMode="auto">
                    <a:xfrm>
                      <a:off x="0" y="0"/>
                      <a:ext cx="2613660" cy="1960245"/>
                    </a:xfrm>
                    <a:prstGeom prst="rect">
                      <a:avLst/>
                    </a:prstGeom>
                    <a:noFill/>
                    <a:ln w="9525">
                      <a:noFill/>
                      <a:headEnd/>
                      <a:tailEnd/>
                    </a:ln>
                  </pic:spPr>
                </pic:pic>
              </a:graphicData>
            </a:graphic>
          </wp:inline>
        </w:drawing>
      </w:r>
    </w:p>
    <w:bookmarkEnd w:id="63"/>
    <w:bookmarkEnd w:id="64"/>
    <w:bookmarkStart w:id="65" w:name="heating-and-cooling-systems"/>
    <w:p>
      <w:pPr>
        <w:pStyle w:val="Heading2"/>
      </w:pPr>
      <w:r>
        <w:t xml:space="preserve">Heating and Cooling Systems</w:t>
      </w:r>
    </w:p>
    <w:p>
      <w:pPr>
        <w:pStyle w:val="FirstParagraph"/>
      </w:pPr>
      <w:r>
        <w:t xml:space="preserve">(Image of heating system) Your home is currently heated with an Gas Your current heating system has the following efficiency and output ratings:</w:t>
      </w:r>
    </w:p>
    <w:p>
      <w:pPr>
        <w:numPr>
          <w:ilvl w:val="0"/>
          <w:numId w:val="1001"/>
        </w:numPr>
      </w:pPr>
      <w:r>
        <w:t xml:space="preserve">Heating efficiency = 20</w:t>
      </w:r>
    </w:p>
    <w:p>
      <w:pPr>
        <w:numPr>
          <w:ilvl w:val="0"/>
          <w:numId w:val="1001"/>
        </w:numPr>
      </w:pPr>
      <w:r>
        <w:t xml:space="preserve">Annual Fuel Utilization Efficiency (AFUE)(need a new column here)</w:t>
      </w:r>
    </w:p>
    <w:p>
      <w:pPr>
        <w:numPr>
          <w:ilvl w:val="0"/>
          <w:numId w:val="1001"/>
        </w:numPr>
      </w:pPr>
      <w:r>
        <w:t xml:space="preserve">Heating output = 2000 Btu/hr.</w:t>
      </w:r>
    </w:p>
    <w:p>
      <w:pPr>
        <w:pStyle w:val="FirstParagraph"/>
      </w:pPr>
      <w:r>
        <w:t xml:space="preserve">Your home is cooled with (need new column for cooling type) r code here. (I need conditional rendering here) The size, construction, and energy consuming features of your home have all been factored into the calculation of the heating and cooling loads for your home:</w:t>
      </w:r>
    </w:p>
    <w:p>
      <w:pPr>
        <w:numPr>
          <w:ilvl w:val="0"/>
          <w:numId w:val="1002"/>
        </w:numPr>
      </w:pPr>
      <w:r>
        <w:t xml:space="preserve">Heating load = 3000 Btu/hr</w:t>
      </w:r>
    </w:p>
    <w:p>
      <w:pPr>
        <w:numPr>
          <w:ilvl w:val="0"/>
          <w:numId w:val="1002"/>
        </w:numPr>
      </w:pPr>
      <w:r>
        <w:t xml:space="preserve">Cooling load = 1.5</w:t>
      </w:r>
      <w:r>
        <w:t xml:space="preserve">^{4}Btu/hr</w:t>
      </w:r>
    </w:p>
    <w:p>
      <w:pPr>
        <w:pStyle w:val="FirstParagraph"/>
      </w:pPr>
      <w:r>
        <w:t xml:space="preserve">It is important to make sure that a new heating/cooling system is designed to meet the heating and cooling loads of your home. And please keep in mind that any changes to your home (i.e. – air sealing, insulating, etc…) will ultimately decrease your heating load and can lead to saving money on a new heating system by enabling you to purchase a system with a lower energy output.</w:t>
      </w:r>
    </w:p>
    <w:bookmarkEnd w:id="65"/>
    <w:bookmarkStart w:id="66" w:name="buildings-electricy-use"/>
    <w:p>
      <w:pPr>
        <w:pStyle w:val="Heading2"/>
      </w:pPr>
      <w:r>
        <w:t xml:space="preserve">Buildings Electricy use</w:t>
      </w:r>
    </w:p>
    <w:bookmarkEnd w:id="66"/>
    <w:bookmarkStart w:id="70" w:name="energy-bill-analysis"/>
    <w:p>
      <w:pPr>
        <w:pStyle w:val="Heading2"/>
      </w:pPr>
      <w:r>
        <w:t xml:space="preserve">Energy Bill analysis</w:t>
      </w:r>
    </w:p>
    <w:p>
      <w:pPr>
        <w:pStyle w:val="FirstParagraph"/>
      </w:pPr>
      <w:r>
        <w:drawing>
          <wp:inline>
            <wp:extent cx="4620126" cy="3696101"/>
            <wp:effectExtent b="0" l="0" r="0" t="0"/>
            <wp:docPr descr="" title="" id="68" name="Picture"/>
            <a:graphic>
              <a:graphicData uri="http://schemas.openxmlformats.org/drawingml/2006/picture">
                <pic:pic>
                  <pic:nvPicPr>
                    <pic:cNvPr descr="Energy_Report_Summer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35" Target="media/rId35.jpg" /><Relationship Type="http://schemas.openxmlformats.org/officeDocument/2006/relationships/image" Id="rId58" Target="media/rId58.jpg" /><Relationship Type="http://schemas.openxmlformats.org/officeDocument/2006/relationships/image" Id="rId38" Target="media/rId38.jpg" /><Relationship Type="http://schemas.openxmlformats.org/officeDocument/2006/relationships/image" Id="rId20" Target="media/rId20.png" /><Relationship Type="http://schemas.openxmlformats.org/officeDocument/2006/relationships/hyperlink" Id="rId28" Target="https://basc.pnnl.gov/information/2009-2021-iecc-and-irc-minimum-insulation-requirements-new-homes" TargetMode="External" /></Relationships>
</file>

<file path=word/_rels/footnotes.xml.rels><?xml version="1.0" encoding="UTF-8"?><Relationships xmlns="http://schemas.openxmlformats.org/package/2006/relationships"><Relationship Type="http://schemas.openxmlformats.org/officeDocument/2006/relationships/hyperlink" Id="rId28" Target="https://basc.pnnl.gov/information/2009-2021-iecc-and-irc-minimum-insulation-requirements-new-ho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2024-07-15T17:26:53Z</dcterms:created>
  <dcterms:modified xsi:type="dcterms:W3CDTF">2024-07-15T17:26:53Z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params">
    <vt:lpwstr/>
  </property>
  <property fmtid="{D5CDD505-2E9C-101B-9397-08002B2CF9AE}" pid="9" name="toc-title">
    <vt:lpwstr>Table of contents</vt:lpwstr>
  </property>
</Properties>
</file>