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Client (fictional)</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IronPeak Fitness (fictional network)</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Location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Robina Town Centre, QLD — new club, pre-opening</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type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Post-Construction Audit</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conducted</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 July 2026</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issued</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8 July 2026 (48-hour turnaround)</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Lead auditor</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 Harker, Senior Auditor — Maintain Audits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reference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MA-2026-PC-0147</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Distribution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head office; franchisee principal — Commercial in confidence</w:t>
            </w:r>
          </w:p>
        </w:tc>
      </w:tr>
    </w:tbl>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F59E0B" w:sz="4"/>
              <w:left w:val="single" w:color="F59E0B" w:sz="12"/>
              <w:bottom w:val="single" w:color="F59E0B" w:sz="4"/>
              <w:right w:val="none" w:color="FFFFFF" w:sz="0"/>
            </w:tcBorders>
            <w:shd w:fill="FEF9C3" w:color="auto" w:val="clear"/>
            <w:tcMar>
              <w:top w:type="dxa" w:w="100"/>
              <w:left w:type="dxa" w:w="160"/>
              <w:bottom w:type="dxa" w:w="100"/>
              <w:right w:type="dxa" w:w="160"/>
            </w:tcMar>
          </w:tcPr>
          <w:p>
            <w:pPr>
              <w:jc w:val="center"/>
            </w:pPr>
            <w:r>
              <w:rPr>
                <w:rFonts w:ascii="Calibri" w:cs="Calibri" w:eastAsia="Calibri" w:hAnsi="Calibri"/>
                <w:b/>
                <w:bCs/>
                <w:color w:val="854D0E"/>
                <w:sz w:val="17"/>
                <w:szCs w:val="17"/>
              </w:rPr>
              <w:t xml:space="preserve">SAMPLE DOCUMENT — all client details and findings are fictional, prepared to demonstrate Maintain Audits' reporting format.</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1</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EXECUTIVE SUMMARY</w:t>
            </w:r>
          </w:p>
        </w:tc>
      </w:tr>
    </w:tbl>
    <w:p>
      <w:pPr>
        <w:spacing w:after="160"/>
      </w:pPr>
    </w:p>
    <w:p>
      <w:pPr>
        <w:spacing w:after="160" w:before="0"/>
      </w:pPr>
      <w:r>
        <w:rPr>
          <w:rFonts w:ascii="Calibri" w:cs="Calibri" w:eastAsia="Calibri" w:hAnsi="Calibri"/>
          <w:b w:val="false"/>
          <w:bCs w:val="false"/>
          <w:color w:val="1F2D2B"/>
          <w:sz w:val="20"/>
          <w:szCs w:val="20"/>
        </w:rPr>
        <w:t xml:space="preserve">IronPeak Fitness Robina was audited eleven days before its scheduled member opening. The fitout is substantially complete and of good overall quality, with 87% of the 142 checklist items verified compliant on the day.</w:t>
      </w:r>
    </w:p>
    <w:p>
      <w:pPr>
        <w:spacing w:after="160" w:before="0"/>
      </w:pPr>
      <w:r>
        <w:rPr>
          <w:rFonts w:ascii="Calibri" w:cs="Calibri" w:eastAsia="Calibri" w:hAnsi="Calibri"/>
          <w:b w:val="false"/>
          <w:bCs w:val="false"/>
          <w:color w:val="1F2D2B"/>
          <w:sz w:val="20"/>
          <w:szCs w:val="20"/>
        </w:rPr>
        <w:t xml:space="preserve">Two issues must be resolved before opening: an emergency exit partially obstructed by unracked equipment pallets, and incomplete anchoring of the functional training rig. Neither is unusual at this stage of a build, but both are opening blockers. The remaining findings are defect-level items the builder can close under the existing contract before practical completion sign-off.</w:t>
      </w:r>
    </w:p>
    <w:p>
      <w:pPr>
        <w:spacing w:after="160" w:before="0"/>
      </w:pPr>
      <w:r>
        <w:rPr>
          <w:rFonts w:ascii="Calibri" w:cs="Calibri" w:eastAsia="Calibri" w:hAnsi="Calibri"/>
          <w:b w:val="false"/>
          <w:bCs w:val="false"/>
          <w:color w:val="1F2D2B"/>
          <w:sz w:val="20"/>
          <w:szCs w:val="20"/>
        </w:rPr>
        <w:t xml:space="preserve">Provided the two pre-opening items are closed and verified, we see no reason the site cannot open on schedule.</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Overall Result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500"/>
        <w:gridCol w:w="6246"/>
      </w:tblGrid>
      <w:tr>
        <w:tc>
          <w:tcPr>
            <w:tcW w:type="dxa" w:w="3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Measure</w:t>
            </w:r>
          </w:p>
        </w:tc>
        <w:tc>
          <w:tcPr>
            <w:tcW w:type="dxa" w:w="6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Result</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compliance score</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87% (124 of 142 checklist items compliant)</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rating</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High</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Findings raised</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Most urgent action due</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Before member opening — rig anchoring (PC-02)</w:t>
            </w:r>
          </w:p>
        </w:tc>
      </w:tr>
    </w:tbl>
    <w:p>
      <w:pPr>
        <w:spacing w:after="160"/>
      </w:pPr>
    </w:p>
    <w:p>
      <w:pPr>
        <w:pBdr>
          <w:bottom w:val="single" w:color="06F285" w:sz="4"/>
        </w:pBdr>
        <w:spacing w:after="100" w:before="240"/>
      </w:pPr>
      <w:r>
        <w:rPr>
          <w:rFonts w:ascii="Calibri" w:cs="Calibri" w:eastAsia="Calibri" w:hAnsi="Calibri"/>
          <w:b/>
          <w:bCs/>
          <w:color w:val="07272D"/>
          <w:sz w:val="22"/>
          <w:szCs w:val="22"/>
        </w:rPr>
        <w:t xml:space="preserve">Findings by Risk Rating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500"/>
        <w:gridCol w:w="7246"/>
      </w:tblGrid>
      <w:tr>
        <w:tc>
          <w:tcPr>
            <w:tcW w:type="dxa" w:w="2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7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Count</w:t>
            </w:r>
          </w:p>
        </w:tc>
      </w:tr>
      <w:tr>
        <w:tc>
          <w:tcPr>
            <w:tcW w:type="dxa" w:w="25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w:t>
            </w:r>
          </w:p>
        </w:tc>
      </w:tr>
      <w:tr>
        <w:tc>
          <w:tcPr>
            <w:tcW w:type="dxa" w:w="25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2</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SCOPE &amp; METHODOLOGY</w:t>
            </w:r>
          </w:p>
        </w:tc>
      </w:tr>
    </w:tbl>
    <w:p>
      <w:pPr>
        <w:spacing w:after="160"/>
      </w:pPr>
    </w:p>
    <w:p>
      <w:pPr>
        <w:spacing w:after="160" w:before="0"/>
      </w:pPr>
      <w:r>
        <w:rPr>
          <w:rFonts w:ascii="Calibri" w:cs="Calibri" w:eastAsia="Calibri" w:hAnsi="Calibri"/>
          <w:b w:val="false"/>
          <w:bCs w:val="false"/>
          <w:color w:val="1F2D2B"/>
          <w:sz w:val="20"/>
          <w:szCs w:val="20"/>
        </w:rPr>
        <w:t xml:space="preserve">This audit verifies that the completed fitout matches the IronPeak brand standard v4.2, the approved construction drawings (Rev D), the equipment schedule, and applicable safety requirements — before opening day.</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In Scope</w:t>
      </w:r>
    </w:p>
    <w:p>
      <w:pPr>
        <w:pStyle w:val="ListParagraph"/>
        <w:numPr>
          <w:ilvl w:val="0"/>
          <w:numId w:val="1"/>
        </w:numPr>
        <w:spacing w:after="80"/>
      </w:pPr>
      <w:r>
        <w:rPr>
          <w:rFonts w:ascii="Calibri" w:cs="Calibri" w:eastAsia="Calibri" w:hAnsi="Calibri"/>
          <w:color w:val="1F2D2B"/>
          <w:sz w:val="20"/>
          <w:szCs w:val="20"/>
        </w:rPr>
        <w:t xml:space="preserve">Structural fitout vs approved drawings — walls, flooring, glazing, ceiling grid</w:t>
      </w:r>
    </w:p>
    <w:p>
      <w:pPr>
        <w:pStyle w:val="ListParagraph"/>
        <w:numPr>
          <w:ilvl w:val="0"/>
          <w:numId w:val="1"/>
        </w:numPr>
        <w:spacing w:after="80"/>
      </w:pPr>
      <w:r>
        <w:rPr>
          <w:rFonts w:ascii="Calibri" w:cs="Calibri" w:eastAsia="Calibri" w:hAnsi="Calibri"/>
          <w:color w:val="1F2D2B"/>
          <w:sz w:val="20"/>
          <w:szCs w:val="20"/>
        </w:rPr>
        <w:t xml:space="preserve">Gym equipment installation, anchoring, and commissioning against the equipment schedule</w:t>
      </w:r>
    </w:p>
    <w:p>
      <w:pPr>
        <w:pStyle w:val="ListParagraph"/>
        <w:numPr>
          <w:ilvl w:val="0"/>
          <w:numId w:val="1"/>
        </w:numPr>
        <w:spacing w:after="80"/>
      </w:pPr>
      <w:r>
        <w:rPr>
          <w:rFonts w:ascii="Calibri" w:cs="Calibri" w:eastAsia="Calibri" w:hAnsi="Calibri"/>
          <w:color w:val="1F2D2B"/>
          <w:sz w:val="20"/>
          <w:szCs w:val="20"/>
        </w:rPr>
        <w:t xml:space="preserve">Electrical, lighting, and emergency systems — exit lighting, RCDs, switchboard labelling</w:t>
      </w:r>
    </w:p>
    <w:p>
      <w:pPr>
        <w:pStyle w:val="ListParagraph"/>
        <w:numPr>
          <w:ilvl w:val="0"/>
          <w:numId w:val="1"/>
        </w:numPr>
        <w:spacing w:after="80"/>
      </w:pPr>
      <w:r>
        <w:rPr>
          <w:rFonts w:ascii="Calibri" w:cs="Calibri" w:eastAsia="Calibri" w:hAnsi="Calibri"/>
          <w:color w:val="1F2D2B"/>
          <w:sz w:val="20"/>
          <w:szCs w:val="20"/>
        </w:rPr>
        <w:t xml:space="preserve">Amenities — change rooms, showers, accessible facilities, plumbing operation</w:t>
      </w:r>
    </w:p>
    <w:p>
      <w:pPr>
        <w:pStyle w:val="ListParagraph"/>
        <w:numPr>
          <w:ilvl w:val="0"/>
          <w:numId w:val="1"/>
        </w:numPr>
        <w:spacing w:after="80"/>
      </w:pPr>
      <w:r>
        <w:rPr>
          <w:rFonts w:ascii="Calibri" w:cs="Calibri" w:eastAsia="Calibri" w:hAnsi="Calibri"/>
          <w:color w:val="1F2D2B"/>
          <w:sz w:val="20"/>
          <w:szCs w:val="20"/>
        </w:rPr>
        <w:t xml:space="preserve">Brand elements — signage, wayfinding, wall graphics, colour and finish specification</w:t>
      </w:r>
    </w:p>
    <w:p>
      <w:pPr>
        <w:pStyle w:val="ListParagraph"/>
        <w:numPr>
          <w:ilvl w:val="0"/>
          <w:numId w:val="1"/>
        </w:numPr>
        <w:spacing w:after="80"/>
      </w:pPr>
      <w:r>
        <w:rPr>
          <w:rFonts w:ascii="Calibri" w:cs="Calibri" w:eastAsia="Calibri" w:hAnsi="Calibri"/>
          <w:color w:val="1F2D2B"/>
          <w:sz w:val="20"/>
          <w:szCs w:val="20"/>
        </w:rPr>
        <w:t xml:space="preserve">Safety compliance — egress paths, fire equipment, first aid, AED placement</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How the Audit Was Conducted</w:t>
      </w:r>
    </w:p>
    <w:p>
      <w:pPr>
        <w:pStyle w:val="ListParagraph"/>
        <w:numPr>
          <w:ilvl w:val="0"/>
          <w:numId w:val="1"/>
        </w:numPr>
        <w:spacing w:after="80"/>
      </w:pPr>
      <w:r>
        <w:rPr>
          <w:rFonts w:ascii="Calibri" w:cs="Calibri" w:eastAsia="Calibri" w:hAnsi="Calibri"/>
          <w:color w:val="1F2D2B"/>
          <w:sz w:val="20"/>
          <w:szCs w:val="20"/>
        </w:rPr>
        <w:t xml:space="preserve">Full-day on-site inspection using the 142-point IronPeak post-construction checklist</w:t>
      </w:r>
    </w:p>
    <w:p>
      <w:pPr>
        <w:pStyle w:val="ListParagraph"/>
        <w:numPr>
          <w:ilvl w:val="0"/>
          <w:numId w:val="1"/>
        </w:numPr>
        <w:spacing w:after="80"/>
      </w:pPr>
      <w:r>
        <w:rPr>
          <w:rFonts w:ascii="Calibri" w:cs="Calibri" w:eastAsia="Calibri" w:hAnsi="Calibri"/>
          <w:color w:val="1F2D2B"/>
          <w:sz w:val="20"/>
          <w:szCs w:val="20"/>
        </w:rPr>
        <w:t xml:space="preserve">Photo evidence captured for every non-compliant item (312 photos on file)</w:t>
      </w:r>
    </w:p>
    <w:p>
      <w:pPr>
        <w:pStyle w:val="ListParagraph"/>
        <w:numPr>
          <w:ilvl w:val="0"/>
          <w:numId w:val="1"/>
        </w:numPr>
        <w:spacing w:after="80"/>
      </w:pPr>
      <w:r>
        <w:rPr>
          <w:rFonts w:ascii="Calibri" w:cs="Calibri" w:eastAsia="Calibri" w:hAnsi="Calibri"/>
          <w:color w:val="1F2D2B"/>
          <w:sz w:val="20"/>
          <w:szCs w:val="20"/>
        </w:rPr>
        <w:t xml:space="preserve">Cross-check of installed equipment serial numbers against the purchase schedule</w:t>
      </w:r>
    </w:p>
    <w:p>
      <w:pPr>
        <w:pStyle w:val="ListParagraph"/>
        <w:numPr>
          <w:ilvl w:val="0"/>
          <w:numId w:val="1"/>
        </w:numPr>
        <w:spacing w:after="80"/>
      </w:pPr>
      <w:r>
        <w:rPr>
          <w:rFonts w:ascii="Calibri" w:cs="Calibri" w:eastAsia="Calibri" w:hAnsi="Calibri"/>
          <w:color w:val="1F2D2B"/>
          <w:sz w:val="20"/>
          <w:szCs w:val="20"/>
        </w:rPr>
        <w:t xml:space="preserve">Review of builder's certificates: electrical safety, glazing, waterproofing, fire penetrations</w:t>
      </w:r>
    </w:p>
    <w:p>
      <w:pPr>
        <w:pStyle w:val="ListParagraph"/>
        <w:numPr>
          <w:ilvl w:val="0"/>
          <w:numId w:val="1"/>
        </w:numPr>
        <w:spacing w:after="80"/>
      </w:pPr>
      <w:r>
        <w:rPr>
          <w:rFonts w:ascii="Calibri" w:cs="Calibri" w:eastAsia="Calibri" w:hAnsi="Calibri"/>
          <w:color w:val="1F2D2B"/>
          <w:sz w:val="20"/>
          <w:szCs w:val="20"/>
        </w:rPr>
        <w:t xml:space="preserve">Walk-through with the site foreman and incoming club manager</w:t>
      </w:r>
    </w:p>
    <w:p>
      <w:pPr>
        <w:spacing w:after="160"/>
      </w:pPr>
    </w:p>
    <w:p>
      <w:pPr>
        <w:pBdr>
          <w:bottom w:val="single" w:color="06F285" w:sz="4"/>
        </w:pBdr>
        <w:spacing w:after="100" w:before="240"/>
      </w:pPr>
      <w:r>
        <w:rPr>
          <w:rFonts w:ascii="Calibri" w:cs="Calibri" w:eastAsia="Calibri" w:hAnsi="Calibri"/>
          <w:b/>
          <w:bCs/>
          <w:color w:val="07272D"/>
          <w:sz w:val="22"/>
          <w:szCs w:val="22"/>
        </w:rPr>
        <w:t xml:space="preserve">Risk Rating Scale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00"/>
        <w:gridCol w:w="5546"/>
        <w:gridCol w:w="2800"/>
      </w:tblGrid>
      <w:tr>
        <w:tc>
          <w:tcPr>
            <w:tcW w:type="dxa" w:w="1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55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Meaning</w:t>
            </w:r>
          </w:p>
        </w:tc>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 required</w:t>
            </w:r>
          </w:p>
        </w:tc>
      </w:tr>
      <w:tr>
        <w:tc>
          <w:tcPr>
            <w:tcW w:type="dxa" w:w="14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Immediate threat to safety, legal compliance, or brand integrity.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r>
        <w:tc>
          <w:tcPr>
            <w:tcW w:type="dxa" w:w="14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Material non-compliance likely to cause customer, safety, or financial impact.</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r>
        <w:tc>
          <w:tcPr>
            <w:tcW w:type="dxa" w:w="14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Non-compliance with franchise standards; manageable if addressed promptly.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r>
        <w:tc>
          <w:tcPr>
            <w:tcW w:type="dxa" w:w="14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Minor deviation or housekeeping issue.</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r>
        <w:tc>
          <w:tcPr>
            <w:tcW w:type="dxa" w:w="14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Not a non-compliance; an improvement opportunity worth acting on.</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3</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FINDINGS SUMMARY</w:t>
            </w:r>
          </w:p>
        </w:tc>
      </w:tr>
    </w:tbl>
    <w:p>
      <w:pPr>
        <w:spacing w:after="1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2400"/>
        <w:gridCol w:w="4346"/>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2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43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Finding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FFFFFF"/>
                <w:sz w:val="17"/>
                <w:szCs w:val="17"/>
              </w:rPr>
              <w:t xml:space="preserve">Rating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PC-01</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Egress &amp; fire safety</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Emergency exit obstructed by equipment pallets</w:t>
            </w:r>
          </w:p>
        </w:tc>
        <w:tc>
          <w:tcPr>
            <w:tcW w:type="dxa" w:w="22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91B1B"/>
                <w:sz w:val="18"/>
                <w:szCs w:val="18"/>
              </w:rPr>
              <w:t xml:space="preserve">Critical</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PC-02</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Equipment installation</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Functional training rig not fully anchored</w:t>
            </w:r>
          </w:p>
        </w:tc>
        <w:tc>
          <w:tcPr>
            <w:tcW w:type="dxa" w:w="22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91B1B"/>
                <w:sz w:val="18"/>
                <w:szCs w:val="18"/>
              </w:rPr>
              <w:t xml:space="preserve">Critical</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PC-03</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Electrical</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Switchboard circuits unlabelled and one RCD untested</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PC-04</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Amenities</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Accessible shower rail heights outside specification</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PC-05</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standards</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Reception wall graphic printed in superseded brand colour</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PC-06</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Safety equipment</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AED mounted but not yet registered or signed</w:t>
            </w:r>
          </w:p>
        </w:tc>
        <w:tc>
          <w:tcPr>
            <w:tcW w:type="dxa" w:w="22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166534"/>
                <w:sz w:val="18"/>
                <w:szCs w:val="18"/>
              </w:rPr>
              <w:t xml:space="preserve">Low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4</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DETAILED FINDINGS</w:t>
            </w:r>
          </w:p>
        </w:tc>
      </w:tr>
    </w:tbl>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E2E2" w:color="auto" w:val="clear"/>
            <w:tcMar>
              <w:top w:type="dxa" w:w="90"/>
              <w:left w:type="dxa" w:w="80"/>
              <w:bottom w:type="dxa" w:w="90"/>
              <w:right w:type="dxa" w:w="80"/>
            </w:tcMar>
            <w:vAlign w:val="center"/>
          </w:tcPr>
          <w:p>
            <w:pPr>
              <w:jc w:val="center"/>
            </w:pPr>
            <w:r>
              <w:rPr>
                <w:rFonts w:ascii="Calibri" w:cs="Calibri" w:eastAsia="Calibri" w:hAnsi="Calibri"/>
                <w:b/>
                <w:bCs/>
                <w:color w:val="991B1B"/>
                <w:sz w:val="16"/>
                <w:szCs w:val="16"/>
              </w:rPr>
              <w:t xml:space="preserve">CRITICAL</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PC-01</w:t>
            </w:r>
            <w:r>
              <w:rPr>
                <w:rFonts w:ascii="Calibri" w:cs="Calibri" w:eastAsia="Calibri" w:hAnsi="Calibri"/>
                <w:b/>
                <w:bCs/>
                <w:color w:val="07272D"/>
                <w:sz w:val="20"/>
                <w:szCs w:val="20"/>
              </w:rPr>
              <w:t xml:space="preserve"> — Emergency exit obstructed by equipment pallets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Egress &amp; fire safety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NCC egress provisions; IronPeak std 9.1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rear emergency exit corridor was partially blocked by three pallets of unracked weight plates, reducing clear width to approximately 600mm against a required 1000mm.</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044–049; corridor width measurement recorded on checklist item 9.1.3.</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Clear the corridor immediately and keep it clear through the remainder of the fitout. Confirm with dated photo evidence before opening.</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Builder / site foreman</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E2E2" w:color="auto" w:val="clear"/>
            <w:tcMar>
              <w:top w:type="dxa" w:w="90"/>
              <w:left w:type="dxa" w:w="80"/>
              <w:bottom w:type="dxa" w:w="90"/>
              <w:right w:type="dxa" w:w="80"/>
            </w:tcMar>
            <w:vAlign w:val="center"/>
          </w:tcPr>
          <w:p>
            <w:pPr>
              <w:jc w:val="center"/>
            </w:pPr>
            <w:r>
              <w:rPr>
                <w:rFonts w:ascii="Calibri" w:cs="Calibri" w:eastAsia="Calibri" w:hAnsi="Calibri"/>
                <w:b/>
                <w:bCs/>
                <w:color w:val="991B1B"/>
                <w:sz w:val="16"/>
                <w:szCs w:val="16"/>
              </w:rPr>
              <w:t xml:space="preserve">CRITICAL</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PC-02</w:t>
            </w:r>
            <w:r>
              <w:rPr>
                <w:rFonts w:ascii="Calibri" w:cs="Calibri" w:eastAsia="Calibri" w:hAnsi="Calibri"/>
                <w:b/>
                <w:bCs/>
                <w:color w:val="07272D"/>
                <w:sz w:val="20"/>
                <w:szCs w:val="20"/>
              </w:rPr>
              <w:t xml:space="preserve"> — Functional training rig not fully anchored</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Equipment installation</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Manufacturer install spec; IronPeak std 5.4</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Before opening</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6-bay functional rig had 14 of 24 floor anchors torqued and marked. The installer had left site with the balance incomplete and no return date booked.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101–108; installer sign-off sheet incomplete on items 5.4.2 and 5.4.5.</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Do not permit use of the rig until all anchors are installed, torqued, and certified by the installer. Obtain the manufacturer's completed installation certificate.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Equipment supplier / franchisee</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PC-03</w:t>
            </w:r>
            <w:r>
              <w:rPr>
                <w:rFonts w:ascii="Calibri" w:cs="Calibri" w:eastAsia="Calibri" w:hAnsi="Calibri"/>
                <w:b/>
                <w:bCs/>
                <w:color w:val="07272D"/>
                <w:sz w:val="20"/>
                <w:szCs w:val="20"/>
              </w:rPr>
              <w:t xml:space="preserve"> — Switchboard circuits unlabelled and one RCD untested</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Electrical</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AS/NZS 3000; IronPeak std 7.2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Twelve circuits in the main switchboard were unlabelled, and the electrician's test sheet showed no result recorded against RCD 4 (cardio zone).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133–136; electrical certificate reviewed on site — RCD 4 field blank.</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Electrician to complete labelling and provide an amended test certificate including RCD 4 before practical completion.</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Electrical contractor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PC-04</w:t>
            </w:r>
            <w:r>
              <w:rPr>
                <w:rFonts w:ascii="Calibri" w:cs="Calibri" w:eastAsia="Calibri" w:hAnsi="Calibri"/>
                <w:b/>
                <w:bCs/>
                <w:color w:val="07272D"/>
                <w:sz w:val="20"/>
                <w:szCs w:val="20"/>
              </w:rPr>
              <w:t xml:space="preserve"> — Accessible shower rail heights outside specification</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Amenities</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AS 1428.1; drawing A-402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Grab rails in the accessible shower were installed 60–80mm above the heights nominated on drawing A-402, and the fold-down seat fouls the rail when raised.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156–161; measurements recorded against checklist item 6.3.4.</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Reinstall rails to the specified heights and re-certify. This is rectification work under the build contract — raise as a defect before sign-off.</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Builder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PC-05</w:t>
            </w:r>
            <w:r>
              <w:rPr>
                <w:rFonts w:ascii="Calibri" w:cs="Calibri" w:eastAsia="Calibri" w:hAnsi="Calibri"/>
                <w:b/>
                <w:bCs/>
                <w:color w:val="07272D"/>
                <w:sz w:val="20"/>
                <w:szCs w:val="20"/>
              </w:rPr>
              <w:t xml:space="preserve"> — Reception wall graphic printed in superseded brand colour</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Brand standards</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IronPeak brand guide v4.2, s.3</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feature wall graphic behind reception uses the pre-2025 orange (approx. #E8631C) rather than the current brand orange (#FF5A1F), producing a visible mismatch with the illuminated lobby signage.</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Photos 018–022; colour swatch comparison recorded on site.</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Reprint and reinstall the graphic in the current colour before the opening event photography.</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Signage contractor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DCFCE7" w:color="auto" w:val="clear"/>
            <w:tcMar>
              <w:top w:type="dxa" w:w="90"/>
              <w:left w:type="dxa" w:w="80"/>
              <w:bottom w:type="dxa" w:w="90"/>
              <w:right w:type="dxa" w:w="80"/>
            </w:tcMar>
            <w:vAlign w:val="center"/>
          </w:tcPr>
          <w:p>
            <w:pPr>
              <w:jc w:val="center"/>
            </w:pPr>
            <w:r>
              <w:rPr>
                <w:rFonts w:ascii="Calibri" w:cs="Calibri" w:eastAsia="Calibri" w:hAnsi="Calibri"/>
                <w:b/>
                <w:bCs/>
                <w:color w:val="166534"/>
                <w:sz w:val="16"/>
                <w:szCs w:val="16"/>
              </w:rPr>
              <w:t xml:space="preserve">LOW</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PC-06</w:t>
            </w:r>
            <w:r>
              <w:rPr>
                <w:rFonts w:ascii="Calibri" w:cs="Calibri" w:eastAsia="Calibri" w:hAnsi="Calibri"/>
                <w:b/>
                <w:bCs/>
                <w:color w:val="07272D"/>
                <w:sz w:val="20"/>
                <w:szCs w:val="20"/>
              </w:rPr>
              <w:t xml:space="preserve"> — AED mounted but not yet registered or signed</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Safety equipment</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IronPeak std 9.6</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The AED is wall-mounted at reception but lacks the overhead location sign, and the unit has not been registered with the state ambulance AED registry.</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Photo 171; registry search returned no listing for this address.</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Install the AED location sign from the approved signage pack and complete registry listing.</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Club manager</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5</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WHAT'S WORKING WELL</w:t>
            </w:r>
          </w:p>
        </w:tc>
      </w:tr>
    </w:tbl>
    <w:p>
      <w:pPr>
        <w:spacing w:after="160"/>
      </w:pPr>
    </w:p>
    <w:p>
      <w:pPr>
        <w:spacing w:after="160" w:before="0"/>
      </w:pPr>
      <w:r>
        <w:rPr>
          <w:rFonts w:ascii="Calibri" w:cs="Calibri" w:eastAsia="Calibri" w:hAnsi="Calibri"/>
          <w:b w:val="false"/>
          <w:bCs w:val="false"/>
          <w:color w:val="1F2D2B"/>
          <w:sz w:val="20"/>
          <w:szCs w:val="20"/>
        </w:rPr>
        <w:t xml:space="preserve">An audit should recognise strength as clearly as it flags risk. The following practices met or exceeded the network standard:</w:t>
      </w:r>
    </w:p>
    <w:p>
      <w:pPr>
        <w:spacing w:after="80"/>
      </w:pPr>
    </w:p>
    <w:p>
      <w:pPr>
        <w:pStyle w:val="ListParagraph"/>
        <w:numPr>
          <w:ilvl w:val="0"/>
          <w:numId w:val="1"/>
        </w:numPr>
        <w:spacing w:after="80"/>
      </w:pPr>
      <w:r>
        <w:rPr>
          <w:rFonts w:ascii="Calibri" w:cs="Calibri" w:eastAsia="Calibri" w:hAnsi="Calibri"/>
          <w:color w:val="1F2D2B"/>
          <w:sz w:val="20"/>
          <w:szCs w:val="20"/>
        </w:rPr>
        <w:t xml:space="preserve">Flooring, glazing, and waterproofing certificates were complete, current, and matched the installed product</w:t>
      </w:r>
    </w:p>
    <w:p>
      <w:pPr>
        <w:pStyle w:val="ListParagraph"/>
        <w:numPr>
          <w:ilvl w:val="0"/>
          <w:numId w:val="1"/>
        </w:numPr>
        <w:spacing w:after="80"/>
      </w:pPr>
      <w:r>
        <w:rPr>
          <w:rFonts w:ascii="Calibri" w:cs="Calibri" w:eastAsia="Calibri" w:hAnsi="Calibri"/>
          <w:color w:val="1F2D2B"/>
          <w:sz w:val="20"/>
          <w:szCs w:val="20"/>
        </w:rPr>
        <w:t xml:space="preserve">Cardio equipment commissioning was fully documented, with all 38 units serial-matched to the purchase schedule</w:t>
      </w:r>
    </w:p>
    <w:p>
      <w:pPr>
        <w:pStyle w:val="ListParagraph"/>
        <w:numPr>
          <w:ilvl w:val="0"/>
          <w:numId w:val="1"/>
        </w:numPr>
        <w:spacing w:after="80"/>
      </w:pPr>
      <w:r>
        <w:rPr>
          <w:rFonts w:ascii="Calibri" w:cs="Calibri" w:eastAsia="Calibri" w:hAnsi="Calibri"/>
          <w:color w:val="1F2D2B"/>
          <w:sz w:val="20"/>
          <w:szCs w:val="20"/>
        </w:rPr>
        <w:t xml:space="preserve">Fire extinguishers and exit lighting were installed, tagged, and test-dated</w:t>
      </w:r>
    </w:p>
    <w:p>
      <w:pPr>
        <w:pStyle w:val="ListParagraph"/>
        <w:numPr>
          <w:ilvl w:val="0"/>
          <w:numId w:val="1"/>
        </w:numPr>
        <w:spacing w:after="80"/>
      </w:pPr>
      <w:r>
        <w:rPr>
          <w:rFonts w:ascii="Calibri" w:cs="Calibri" w:eastAsia="Calibri" w:hAnsi="Calibri"/>
          <w:color w:val="1F2D2B"/>
          <w:sz w:val="20"/>
          <w:szCs w:val="20"/>
        </w:rPr>
        <w:t xml:space="preserve">Overall build quality is high — junctions, finishes, and acoustic treatment exceed the network's typical standard</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6</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REMEDIATION ROADMAP</w:t>
            </w:r>
          </w:p>
        </w:tc>
      </w:tr>
    </w:tbl>
    <w:p>
      <w:pPr>
        <w:spacing w:after="160"/>
      </w:pPr>
    </w:p>
    <w:p>
      <w:pPr>
        <w:spacing w:after="160" w:before="0"/>
      </w:pPr>
      <w:r>
        <w:rPr>
          <w:rFonts w:ascii="Calibri" w:cs="Calibri" w:eastAsia="Calibri" w:hAnsi="Calibri"/>
          <w:b w:val="false"/>
          <w:bCs w:val="false"/>
          <w:color w:val="1F2D2B"/>
          <w:sz w:val="20"/>
          <w:szCs w:val="20"/>
        </w:rPr>
        <w:t xml:space="preserve">Actions are sequenced by risk. Maintain Audits can verify closure of each item through a follow-up desktop review or re-inspection.</w:t>
      </w:r>
    </w:p>
    <w:p>
      <w:pPr>
        <w:spacing w:after="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3846"/>
        <w:gridCol w:w="2900"/>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38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w:t>
            </w:r>
          </w:p>
        </w:tc>
        <w:tc>
          <w:tcPr>
            <w:tcW w:type="dxa" w:w="29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Owner</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Due</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PC-01</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Clear egress corridor; supply photo evidence of clear path</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Builder / site foreman</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48 hours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PC-02</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Complete rig anchoring; obtain installer certification</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Equipment supplier / franchisee</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Before opening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PC-03</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Label circuits; retest RCD 4 and reissue certificate</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Electrical contractor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PC-04</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Reinstall accessible shower rails to spec</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Builder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PC-05</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Reprint reception graphic in current brand colour</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Signage contractor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PC-06</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Install AED signage; register unit</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Club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90 days</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7</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NEXT STEPS &amp; ONGOING MONITORING</w:t>
            </w:r>
          </w:p>
        </w:tc>
      </w:tr>
    </w:tbl>
    <w:p>
      <w:pPr>
        <w:spacing w:after="160"/>
      </w:pPr>
    </w:p>
    <w:p>
      <w:pPr>
        <w:pStyle w:val="ListParagraph"/>
        <w:numPr>
          <w:ilvl w:val="0"/>
          <w:numId w:val="1"/>
        </w:numPr>
        <w:spacing w:after="80"/>
      </w:pPr>
      <w:r>
        <w:rPr>
          <w:rFonts w:ascii="Calibri" w:cs="Calibri" w:eastAsia="Calibri" w:hAnsi="Calibri"/>
          <w:color w:val="1F2D2B"/>
          <w:sz w:val="20"/>
          <w:szCs w:val="20"/>
        </w:rPr>
        <w:t xml:space="preserve">Builder and suppliers to close PC-01 and PC-02 and return evidence within 48 hours; Maintain Audits will verify by desktop review at no charge</w:t>
      </w:r>
    </w:p>
    <w:p>
      <w:pPr>
        <w:pStyle w:val="ListParagraph"/>
        <w:numPr>
          <w:ilvl w:val="0"/>
          <w:numId w:val="1"/>
        </w:numPr>
        <w:spacing w:after="80"/>
      </w:pPr>
      <w:r>
        <w:rPr>
          <w:rFonts w:ascii="Calibri" w:cs="Calibri" w:eastAsia="Calibri" w:hAnsi="Calibri"/>
          <w:color w:val="1F2D2B"/>
          <w:sz w:val="20"/>
          <w:szCs w:val="20"/>
        </w:rPr>
        <w:t xml:space="preserve">Remaining defects to be tracked through the builder's defect list and closed before practical completion sign-off</w:t>
      </w:r>
    </w:p>
    <w:p>
      <w:pPr>
        <w:pStyle w:val="ListParagraph"/>
        <w:numPr>
          <w:ilvl w:val="0"/>
          <w:numId w:val="1"/>
        </w:numPr>
        <w:spacing w:after="80"/>
      </w:pPr>
      <w:r>
        <w:rPr>
          <w:rFonts w:ascii="Calibri" w:cs="Calibri" w:eastAsia="Calibri" w:hAnsi="Calibri"/>
          <w:color w:val="1F2D2B"/>
          <w:sz w:val="20"/>
          <w:szCs w:val="20"/>
        </w:rPr>
        <w:t xml:space="preserve">We recommend a 90-day post-opening operational audit to confirm the site has transitioned cleanly from build to operations</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20"/>
              <w:left w:type="dxa" w:w="180"/>
              <w:bottom w:type="dxa" w:w="120"/>
              <w:right w:type="dxa" w:w="180"/>
            </w:tcMar>
          </w:tcPr>
          <w:p>
            <w:pPr>
              <w:jc w:val="center"/>
            </w:pPr>
            <w:r>
              <w:rPr>
                <w:rFonts w:ascii="Calibri" w:cs="Calibri" w:eastAsia="Calibri" w:hAnsi="Calibri"/>
                <w:b/>
                <w:bCs/>
                <w:color w:val="FFFFFF"/>
                <w:sz w:val="18"/>
                <w:szCs w:val="18"/>
              </w:rPr>
              <w:t xml:space="preserve">Questions about this report:  info@maintainaudits.com.au  ·  +61 414 530 836  ·  maintainaudits.com.au</w:t>
            </w:r>
          </w:p>
        </w:tc>
      </w:tr>
    </w:tbl>
    <w:p>
      <w:pPr>
        <w:spacing w:after="160"/>
      </w:pPr>
    </w:p>
    <w:p>
      <w:pPr>
        <w:spacing w:after="0"/>
        <w:jc w:val="center"/>
      </w:pPr>
      <w:r>
        <w:rPr>
          <w:rFonts w:ascii="Calibri" w:cs="Calibri" w:eastAsia="Calibri" w:hAnsi="Calibri"/>
          <w:color w:val="64748B"/>
          <w:sz w:val="16"/>
          <w:szCs w:val="16"/>
        </w:rPr>
        <w:t xml:space="preserve">This report is a sample document prepared by Maintain Audits, a division of Maintain Technology, for demonstration purposes. All client names, locations, personnel, and findings are fictional. Actual audit reports are prepared under our engagement terms and are confidential to the client. This document does not constitute legal, financial, or professional compliance advice.</w:t>
      </w:r>
    </w:p>
    <w:sectPr>
      <w:headerReference w:type="default" r:id="rId7"/>
      <w:footerReference w:type="default" r:id="rId8"/>
      <w:pgSz w:w="11906" w:h="16838"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7017"/>
      <w:gridCol w:w="2728"/>
    </w:tblGrid>
    <w:tr>
      <w:tc>
        <w:tcPr>
          <w:tcBorders>
            <w:top w:val="single" w:color="D1D5DB"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5"/>
              <w:szCs w:val="15"/>
            </w:rPr>
            <w:t xml:space="preserve">info@maintainaudits.com.au  ·  +61 414 530 836  ·  Commercial in confidence</w:t>
          </w:r>
        </w:p>
      </w:tc>
      <w:tc>
        <w:tcPr>
          <w:tcBorders>
            <w:top w:val="single" w:color="D1D5DB"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pPr>
          <w:r>
            <w:drawing>
              <wp:inline distT="0" distB="0" distL="0" distR="0">
                <wp:extent cx="1571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333375"/>
                        </a:xfrm>
                        <a:prstGeom prst="rect">
                          <a:avLst/>
                        </a:prstGeom>
                      </pic:spPr>
                    </pic:pic>
                  </a:graphicData>
                </a:graphic>
              </wp:inline>
            </w:drawing>
          </w:r>
        </w:p>
      </w:tc>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jc w:val="right"/>
          </w:pPr>
          <w:r>
            <w:rPr>
              <w:rFonts w:ascii="Calibri" w:cs="Calibri" w:eastAsia="Calibri" w:hAnsi="Calibri"/>
              <w:color w:val="64748B"/>
              <w:sz w:val="16"/>
              <w:szCs w:val="16"/>
            </w:rPr>
            <w:t xml:space="preserve">maintainaudits.com.au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ea5eaa8c09a56bb8114a9ff9628e8a47726da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fb012c0e5f1fd6ddfd9ec97ae36ee101a2ab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2026-07-14T01:14:02.553Z</dcterms:created>
  <dcterms:modified xsi:type="dcterms:W3CDTF">2026-07-14T01:14:02.558Z</dcterms:modified>
</cp:coreProperties>
</file>

<file path=docProps/custom.xml><?xml version="1.0" encoding="utf-8"?>
<Properties xmlns="http://schemas.openxmlformats.org/officeDocument/2006/custom-properties" xmlns:vt="http://schemas.openxmlformats.org/officeDocument/2006/docPropsVTypes"/>
</file>